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F4" w:rsidRDefault="00C24E5B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0.75pt;margin-top:-37.35pt;width:569.3pt;height:741.75pt;z-index:251659264;mso-position-horizontal-relative:text;mso-position-vertical-relative:text;mso-width-relative:page;mso-height-relative:page">
            <v:imagedata r:id="rId5" o:title="CARATULA DEL PRESUPUESTO DE EGRESOS" cropleft="11476f"/>
            <w10:wrap type="square"/>
          </v:shape>
        </w:pict>
      </w:r>
    </w:p>
    <w:sectPr w:rsidR="00B45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5B"/>
    <w:rsid w:val="00524A59"/>
    <w:rsid w:val="00860BC2"/>
    <w:rsid w:val="00C24E5B"/>
    <w:rsid w:val="00F1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Augusto Monrroy Garcia</dc:creator>
  <cp:lastModifiedBy>Cesar Augusto Monrroy Garcia</cp:lastModifiedBy>
  <cp:revision>2</cp:revision>
  <cp:lastPrinted>2017-08-22T18:17:00Z</cp:lastPrinted>
  <dcterms:created xsi:type="dcterms:W3CDTF">2017-08-22T18:14:00Z</dcterms:created>
  <dcterms:modified xsi:type="dcterms:W3CDTF">2017-08-22T18:17:00Z</dcterms:modified>
</cp:coreProperties>
</file>