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4102E" w14:textId="77777777" w:rsidR="000707C1" w:rsidRPr="000707C1" w:rsidRDefault="000707C1" w:rsidP="000707C1">
      <w:pPr>
        <w:spacing w:after="0" w:line="240" w:lineRule="auto"/>
        <w:rPr>
          <w:rFonts w:ascii="Times New Roman" w:eastAsia="Times New Roman" w:hAnsi="Times New Roman" w:cs="Times New Roman"/>
          <w:sz w:val="24"/>
          <w:szCs w:val="24"/>
        </w:rPr>
      </w:pPr>
      <w:r w:rsidRPr="000707C1">
        <w:rPr>
          <w:rFonts w:ascii="Times New Roman" w:eastAsia="Times New Roman" w:hAnsi="Times New Roman" w:cs="Times New Roman"/>
          <w:sz w:val="24"/>
          <w:szCs w:val="24"/>
        </w:rPr>
        <w:br/>
      </w:r>
    </w:p>
    <w:p w14:paraId="649D7BBE" w14:textId="3614AB47" w:rsidR="000707C1" w:rsidRPr="000707C1" w:rsidRDefault="00B31328" w:rsidP="000707C1">
      <w:pPr>
        <w:numPr>
          <w:ilvl w:val="0"/>
          <w:numId w:val="2"/>
        </w:numPr>
        <w:spacing w:after="0" w:line="240" w:lineRule="auto"/>
        <w:jc w:val="both"/>
        <w:textAlignment w:val="baseline"/>
        <w:rPr>
          <w:rFonts w:ascii="Arial" w:eastAsia="Times New Roman" w:hAnsi="Arial" w:cs="Arial"/>
          <w:color w:val="000000"/>
        </w:rPr>
      </w:pPr>
      <w:r>
        <w:rPr>
          <w:rFonts w:ascii="Arial" w:eastAsia="Times New Roman" w:hAnsi="Arial" w:cs="Arial"/>
          <w:color w:val="000000"/>
        </w:rPr>
        <w:t xml:space="preserve">Done - </w:t>
      </w:r>
      <w:r w:rsidR="000707C1" w:rsidRPr="000707C1">
        <w:rPr>
          <w:rFonts w:ascii="Arial" w:eastAsia="Times New Roman" w:hAnsi="Arial" w:cs="Arial"/>
          <w:color w:val="000000"/>
        </w:rPr>
        <w:t>Healthcare accessibility varies across space and time, with critical downstream effects on detection of outbreaks, treatment of disease, and effort cost of visiting the doctor</w:t>
      </w:r>
    </w:p>
    <w:p w14:paraId="08A1095C" w14:textId="31434AFB" w:rsidR="000707C1" w:rsidRPr="000707C1" w:rsidRDefault="00B31328" w:rsidP="000707C1">
      <w:pPr>
        <w:numPr>
          <w:ilvl w:val="0"/>
          <w:numId w:val="2"/>
        </w:numPr>
        <w:spacing w:after="0" w:line="240" w:lineRule="auto"/>
        <w:jc w:val="both"/>
        <w:textAlignment w:val="baseline"/>
        <w:rPr>
          <w:rFonts w:ascii="Arial" w:eastAsia="Times New Roman" w:hAnsi="Arial" w:cs="Arial"/>
          <w:color w:val="000000"/>
        </w:rPr>
      </w:pPr>
      <w:r>
        <w:rPr>
          <w:rFonts w:ascii="Arial" w:eastAsia="Times New Roman" w:hAnsi="Arial" w:cs="Arial"/>
          <w:color w:val="000000"/>
        </w:rPr>
        <w:t xml:space="preserve">Done - </w:t>
      </w:r>
      <w:r w:rsidR="000707C1" w:rsidRPr="000707C1">
        <w:rPr>
          <w:rFonts w:ascii="Arial" w:eastAsia="Times New Roman" w:hAnsi="Arial" w:cs="Arial"/>
          <w:color w:val="000000"/>
        </w:rPr>
        <w:t>This becomes especially important in rural areas, where doctors can often be difficult to access, and where wages, public transportation, and insurance may make regular doctor visits challenging</w:t>
      </w:r>
    </w:p>
    <w:p w14:paraId="24F0C007" w14:textId="77777777" w:rsidR="000707C1" w:rsidRPr="000707C1" w:rsidRDefault="000707C1" w:rsidP="000707C1">
      <w:pPr>
        <w:numPr>
          <w:ilvl w:val="0"/>
          <w:numId w:val="2"/>
        </w:numPr>
        <w:spacing w:after="0" w:line="240" w:lineRule="auto"/>
        <w:jc w:val="both"/>
        <w:textAlignment w:val="baseline"/>
        <w:rPr>
          <w:rFonts w:ascii="Arial" w:eastAsia="Times New Roman" w:hAnsi="Arial" w:cs="Arial"/>
          <w:color w:val="000000"/>
        </w:rPr>
      </w:pPr>
      <w:r w:rsidRPr="000707C1">
        <w:rPr>
          <w:rFonts w:ascii="Arial" w:eastAsia="Times New Roman" w:hAnsi="Arial" w:cs="Arial"/>
          <w:color w:val="000000"/>
        </w:rPr>
        <w:t>Healthcare accessibility can also change during major natural disasters and events such as the COVID-19 pandemic</w:t>
      </w:r>
    </w:p>
    <w:p w14:paraId="43038976" w14:textId="77777777" w:rsidR="000707C1" w:rsidRPr="000707C1" w:rsidRDefault="000707C1" w:rsidP="000707C1">
      <w:pPr>
        <w:numPr>
          <w:ilvl w:val="0"/>
          <w:numId w:val="2"/>
        </w:numPr>
        <w:spacing w:after="0" w:line="240" w:lineRule="auto"/>
        <w:jc w:val="both"/>
        <w:textAlignment w:val="baseline"/>
        <w:rPr>
          <w:rFonts w:ascii="Arial" w:eastAsia="Times New Roman" w:hAnsi="Arial" w:cs="Arial"/>
          <w:color w:val="000000"/>
        </w:rPr>
      </w:pPr>
      <w:r w:rsidRPr="000707C1">
        <w:rPr>
          <w:rFonts w:ascii="Arial" w:eastAsia="Times New Roman" w:hAnsi="Arial" w:cs="Arial"/>
          <w:color w:val="000000"/>
        </w:rPr>
        <w:t>Previous studies have underscored both of these healthcare accessibility challenges</w:t>
      </w:r>
    </w:p>
    <w:p w14:paraId="3D6405CD" w14:textId="77777777" w:rsidR="000707C1" w:rsidRDefault="000707C1" w:rsidP="000707C1">
      <w:pPr>
        <w:numPr>
          <w:ilvl w:val="0"/>
          <w:numId w:val="2"/>
        </w:numPr>
        <w:spacing w:after="0" w:line="240" w:lineRule="auto"/>
        <w:jc w:val="both"/>
        <w:textAlignment w:val="baseline"/>
        <w:rPr>
          <w:rFonts w:ascii="Arial" w:eastAsia="Times New Roman" w:hAnsi="Arial" w:cs="Arial"/>
          <w:color w:val="000000"/>
        </w:rPr>
      </w:pPr>
      <w:r w:rsidRPr="000707C1">
        <w:rPr>
          <w:rFonts w:ascii="Arial" w:eastAsia="Times New Roman" w:hAnsi="Arial" w:cs="Arial"/>
          <w:color w:val="000000"/>
        </w:rPr>
        <w:t>However, less is known about how these factors interact: What happens to healthcare accessibility patterns in rural areas during major events in the USA?</w:t>
      </w:r>
      <w:r>
        <w:rPr>
          <w:rFonts w:ascii="Arial" w:eastAsia="Times New Roman" w:hAnsi="Arial" w:cs="Arial"/>
          <w:color w:val="000000"/>
        </w:rPr>
        <w:t xml:space="preserve"> </w:t>
      </w:r>
    </w:p>
    <w:p w14:paraId="79BD4131" w14:textId="3EC2A441" w:rsidR="000707C1" w:rsidRPr="000707C1" w:rsidRDefault="000707C1" w:rsidP="000707C1">
      <w:pPr>
        <w:numPr>
          <w:ilvl w:val="0"/>
          <w:numId w:val="2"/>
        </w:numPr>
        <w:spacing w:after="0" w:line="240" w:lineRule="auto"/>
        <w:jc w:val="both"/>
        <w:textAlignment w:val="baseline"/>
        <w:rPr>
          <w:rFonts w:ascii="Arial" w:eastAsia="Times New Roman" w:hAnsi="Arial" w:cs="Arial"/>
          <w:color w:val="000000"/>
        </w:rPr>
      </w:pPr>
      <w:r>
        <w:rPr>
          <w:rFonts w:ascii="Arial" w:eastAsia="Times New Roman" w:hAnsi="Arial" w:cs="Arial"/>
          <w:color w:val="000000"/>
        </w:rPr>
        <w:t xml:space="preserve">It’s also important to note how healthcare trips vary from other types of trips. How did change </w:t>
      </w:r>
      <w:proofErr w:type="gramStart"/>
      <w:r>
        <w:rPr>
          <w:rFonts w:ascii="Arial" w:eastAsia="Times New Roman" w:hAnsi="Arial" w:cs="Arial"/>
          <w:color w:val="000000"/>
        </w:rPr>
        <w:t>in  healthcare</w:t>
      </w:r>
      <w:proofErr w:type="gramEnd"/>
      <w:r>
        <w:rPr>
          <w:rFonts w:ascii="Arial" w:eastAsia="Times New Roman" w:hAnsi="Arial" w:cs="Arial"/>
          <w:color w:val="000000"/>
        </w:rPr>
        <w:t xml:space="preserve"> accessibility patterns differ from overall travel patterns?</w:t>
      </w:r>
    </w:p>
    <w:p w14:paraId="6C7AE005" w14:textId="77777777" w:rsidR="000707C1" w:rsidRPr="000707C1" w:rsidRDefault="000707C1" w:rsidP="000707C1">
      <w:pPr>
        <w:numPr>
          <w:ilvl w:val="0"/>
          <w:numId w:val="2"/>
        </w:numPr>
        <w:spacing w:after="0" w:line="240" w:lineRule="auto"/>
        <w:jc w:val="both"/>
        <w:textAlignment w:val="baseline"/>
        <w:rPr>
          <w:rFonts w:ascii="Arial" w:eastAsia="Times New Roman" w:hAnsi="Arial" w:cs="Arial"/>
          <w:color w:val="000000"/>
        </w:rPr>
      </w:pPr>
      <w:r w:rsidRPr="000707C1">
        <w:rPr>
          <w:rFonts w:ascii="Arial" w:eastAsia="Times New Roman" w:hAnsi="Arial" w:cs="Arial"/>
          <w:color w:val="000000"/>
        </w:rPr>
        <w:t>Here, we examine healthcare accessibility across southwest Virginia:</w:t>
      </w:r>
    </w:p>
    <w:p w14:paraId="40F11D52" w14:textId="77777777" w:rsidR="000707C1" w:rsidRPr="000707C1" w:rsidRDefault="000707C1" w:rsidP="000707C1">
      <w:pPr>
        <w:numPr>
          <w:ilvl w:val="1"/>
          <w:numId w:val="3"/>
        </w:numPr>
        <w:spacing w:after="0" w:line="240" w:lineRule="auto"/>
        <w:jc w:val="both"/>
        <w:textAlignment w:val="baseline"/>
        <w:rPr>
          <w:rFonts w:ascii="Arial" w:eastAsia="Times New Roman" w:hAnsi="Arial" w:cs="Arial"/>
          <w:color w:val="000000"/>
        </w:rPr>
      </w:pPr>
      <w:r w:rsidRPr="000707C1">
        <w:rPr>
          <w:rFonts w:ascii="Arial" w:eastAsia="Times New Roman" w:hAnsi="Arial" w:cs="Arial"/>
          <w:color w:val="000000"/>
        </w:rPr>
        <w:t>How did overall healthcare utilization change from before and during the COVID-19 pandemic?</w:t>
      </w:r>
    </w:p>
    <w:p w14:paraId="7CFEB637" w14:textId="77777777" w:rsidR="000707C1" w:rsidRPr="000707C1" w:rsidRDefault="000707C1" w:rsidP="000707C1">
      <w:pPr>
        <w:numPr>
          <w:ilvl w:val="1"/>
          <w:numId w:val="4"/>
        </w:numPr>
        <w:spacing w:after="0" w:line="240" w:lineRule="auto"/>
        <w:jc w:val="both"/>
        <w:textAlignment w:val="baseline"/>
        <w:rPr>
          <w:rFonts w:ascii="Arial" w:eastAsia="Times New Roman" w:hAnsi="Arial" w:cs="Arial"/>
          <w:color w:val="000000"/>
        </w:rPr>
      </w:pPr>
      <w:r w:rsidRPr="000707C1">
        <w:rPr>
          <w:rFonts w:ascii="Arial" w:eastAsia="Times New Roman" w:hAnsi="Arial" w:cs="Arial"/>
          <w:color w:val="000000"/>
        </w:rPr>
        <w:t xml:space="preserve">How did the healthcare utilization </w:t>
      </w:r>
      <w:proofErr w:type="gramStart"/>
      <w:r w:rsidRPr="000707C1">
        <w:rPr>
          <w:rFonts w:ascii="Arial" w:eastAsia="Times New Roman" w:hAnsi="Arial" w:cs="Arial"/>
          <w:color w:val="000000"/>
        </w:rPr>
        <w:t>patterns</w:t>
      </w:r>
      <w:proofErr w:type="gramEnd"/>
      <w:r w:rsidRPr="000707C1">
        <w:rPr>
          <w:rFonts w:ascii="Arial" w:eastAsia="Times New Roman" w:hAnsi="Arial" w:cs="Arial"/>
          <w:color w:val="000000"/>
        </w:rPr>
        <w:t xml:space="preserve"> themselves change (e.g. did distances traveled change?)</w:t>
      </w:r>
    </w:p>
    <w:p w14:paraId="52A15D9B" w14:textId="77777777" w:rsidR="000707C1" w:rsidRPr="000707C1" w:rsidRDefault="000707C1" w:rsidP="000707C1">
      <w:pPr>
        <w:numPr>
          <w:ilvl w:val="1"/>
          <w:numId w:val="5"/>
        </w:numPr>
        <w:spacing w:after="0" w:line="240" w:lineRule="auto"/>
        <w:jc w:val="both"/>
        <w:textAlignment w:val="baseline"/>
        <w:rPr>
          <w:rFonts w:ascii="Arial" w:eastAsia="Times New Roman" w:hAnsi="Arial" w:cs="Arial"/>
          <w:color w:val="000000"/>
        </w:rPr>
      </w:pPr>
      <w:r w:rsidRPr="000707C1">
        <w:rPr>
          <w:rFonts w:ascii="Arial" w:eastAsia="Times New Roman" w:hAnsi="Arial" w:cs="Arial"/>
          <w:color w:val="000000"/>
        </w:rPr>
        <w:t>What characterized areas that were least likely to access healthcare?</w:t>
      </w:r>
    </w:p>
    <w:p w14:paraId="1390E64B" w14:textId="77777777" w:rsidR="000707C1" w:rsidRDefault="000707C1" w:rsidP="000707C1">
      <w:pPr>
        <w:numPr>
          <w:ilvl w:val="1"/>
          <w:numId w:val="6"/>
        </w:numPr>
        <w:spacing w:after="0" w:line="240" w:lineRule="auto"/>
        <w:jc w:val="both"/>
        <w:textAlignment w:val="baseline"/>
        <w:rPr>
          <w:rFonts w:ascii="Arial" w:eastAsia="Times New Roman" w:hAnsi="Arial" w:cs="Arial"/>
          <w:color w:val="000000"/>
        </w:rPr>
      </w:pPr>
      <w:r w:rsidRPr="000707C1">
        <w:rPr>
          <w:rFonts w:ascii="Arial" w:eastAsia="Times New Roman" w:hAnsi="Arial" w:cs="Arial"/>
          <w:color w:val="000000"/>
        </w:rPr>
        <w:t>What characterized areas that changed the most during the pandemic?</w:t>
      </w:r>
    </w:p>
    <w:p w14:paraId="249ADC2F" w14:textId="1AC4CD71" w:rsidR="000707C1" w:rsidRPr="000707C1" w:rsidRDefault="000707C1" w:rsidP="000707C1">
      <w:pPr>
        <w:numPr>
          <w:ilvl w:val="1"/>
          <w:numId w:val="6"/>
        </w:numPr>
        <w:spacing w:after="0" w:line="240" w:lineRule="auto"/>
        <w:jc w:val="both"/>
        <w:textAlignment w:val="baseline"/>
        <w:rPr>
          <w:rFonts w:ascii="Arial" w:eastAsia="Times New Roman" w:hAnsi="Arial" w:cs="Arial"/>
          <w:color w:val="000000"/>
        </w:rPr>
      </w:pPr>
      <w:r>
        <w:rPr>
          <w:rFonts w:ascii="Arial" w:eastAsia="Times New Roman" w:hAnsi="Arial" w:cs="Arial"/>
          <w:color w:val="000000"/>
        </w:rPr>
        <w:t>How did these changes differ from changes in travel to other types of locations?</w:t>
      </w:r>
    </w:p>
    <w:p w14:paraId="762A441A" w14:textId="4E838E7C" w:rsidR="003B03EE" w:rsidRPr="00E84AEE" w:rsidRDefault="003B03EE" w:rsidP="003B03EE">
      <w:pPr>
        <w:spacing w:line="360" w:lineRule="auto"/>
        <w:jc w:val="both"/>
        <w:rPr>
          <w:rFonts w:ascii="Times New Roman" w:hAnsi="Times New Roman" w:cs="Times New Roman"/>
          <w:color w:val="F6F6F6"/>
          <w:sz w:val="24"/>
          <w:szCs w:val="24"/>
        </w:rPr>
      </w:pPr>
    </w:p>
    <w:p w14:paraId="27FDFA66" w14:textId="75A8BC73" w:rsidR="003B03EE" w:rsidRPr="00E84AEE" w:rsidRDefault="00E84AEE" w:rsidP="003B03EE">
      <w:pPr>
        <w:spacing w:line="360" w:lineRule="auto"/>
        <w:jc w:val="both"/>
        <w:rPr>
          <w:rFonts w:ascii="Times New Roman" w:hAnsi="Times New Roman" w:cs="Times New Roman"/>
          <w:color w:val="000000" w:themeColor="text1"/>
          <w:sz w:val="24"/>
          <w:szCs w:val="24"/>
        </w:rPr>
      </w:pPr>
      <w:r w:rsidRPr="00E84AEE">
        <w:rPr>
          <w:rFonts w:ascii="Times New Roman" w:hAnsi="Times New Roman" w:cs="Times New Roman"/>
          <w:color w:val="000000" w:themeColor="text1"/>
          <w:sz w:val="24"/>
          <w:szCs w:val="24"/>
        </w:rPr>
        <w:t>Figures:</w:t>
      </w:r>
    </w:p>
    <w:p w14:paraId="5983140A" w14:textId="5267077D" w:rsidR="00E84AEE" w:rsidRDefault="00E84AEE" w:rsidP="00E84AEE">
      <w:pPr>
        <w:spacing w:line="360" w:lineRule="auto"/>
        <w:jc w:val="both"/>
        <w:rPr>
          <w:rFonts w:ascii="Times New Roman" w:hAnsi="Times New Roman" w:cs="Times New Roman"/>
          <w:color w:val="000000" w:themeColor="text1"/>
          <w:sz w:val="24"/>
          <w:szCs w:val="24"/>
        </w:rPr>
      </w:pPr>
      <w:r w:rsidRPr="00E84AEE">
        <w:rPr>
          <w:rFonts w:ascii="Times New Roman" w:hAnsi="Times New Roman" w:cs="Times New Roman"/>
          <w:color w:val="000000" w:themeColor="text1"/>
          <w:sz w:val="24"/>
          <w:szCs w:val="24"/>
        </w:rPr>
        <w:t>Interesting examples of specific months:</w:t>
      </w:r>
    </w:p>
    <w:p w14:paraId="23C271A5" w14:textId="372E452E" w:rsidR="00E84AEE" w:rsidRDefault="00E84AEE" w:rsidP="00E84AEE">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April 2020: Month after the start of the pandemic, reduced mobility to everywhere &amp; healthcare centers</w:t>
      </w:r>
    </w:p>
    <w:p w14:paraId="07F04D5C" w14:textId="52F4193A" w:rsidR="00E84AEE" w:rsidRPr="00E84AEE" w:rsidRDefault="00E84AEE" w:rsidP="00E84AEE">
      <w:pPr>
        <w:spacing w:line="360" w:lineRule="auto"/>
        <w:jc w:val="both"/>
        <w:rPr>
          <w:rFonts w:ascii="Times New Roman" w:hAnsi="Times New Roman" w:cs="Times New Roman"/>
          <w:color w:val="000000" w:themeColor="text1"/>
          <w:sz w:val="24"/>
          <w:szCs w:val="24"/>
        </w:rPr>
      </w:pPr>
      <w:r w:rsidRPr="00E84AEE">
        <w:rPr>
          <w:rFonts w:ascii="Times New Roman" w:hAnsi="Times New Roman" w:cs="Times New Roman"/>
          <w:noProof/>
          <w:color w:val="000000" w:themeColor="text1"/>
          <w:sz w:val="24"/>
          <w:szCs w:val="24"/>
        </w:rPr>
        <w:lastRenderedPageBreak/>
        <w:drawing>
          <wp:inline distT="0" distB="0" distL="0" distR="0" wp14:anchorId="37D88197" wp14:editId="3B0E6281">
            <wp:extent cx="5943600" cy="3302000"/>
            <wp:effectExtent l="0" t="0" r="0" b="0"/>
            <wp:docPr id="1669599410" name="Picture 4"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99410" name="Picture 4" descr="A screenshot of a computer screen&#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302000"/>
                    </a:xfrm>
                    <a:prstGeom prst="rect">
                      <a:avLst/>
                    </a:prstGeom>
                    <a:noFill/>
                    <a:ln>
                      <a:noFill/>
                    </a:ln>
                  </pic:spPr>
                </pic:pic>
              </a:graphicData>
            </a:graphic>
          </wp:inline>
        </w:drawing>
      </w:r>
    </w:p>
    <w:p w14:paraId="569C07D5" w14:textId="5FBB1C76" w:rsidR="00E84AEE" w:rsidRDefault="00E84AEE" w:rsidP="00E84AEE">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May 2020: Healthcare visits up in some areas, general travel down</w:t>
      </w:r>
    </w:p>
    <w:p w14:paraId="481AA8D4" w14:textId="54F61D5E" w:rsidR="00E84AEE" w:rsidRPr="00E84AEE" w:rsidRDefault="00E84AEE" w:rsidP="00E84AEE">
      <w:pPr>
        <w:spacing w:line="360" w:lineRule="auto"/>
        <w:jc w:val="both"/>
        <w:rPr>
          <w:rFonts w:ascii="Times New Roman" w:hAnsi="Times New Roman" w:cs="Times New Roman"/>
          <w:color w:val="000000" w:themeColor="text1"/>
          <w:sz w:val="24"/>
          <w:szCs w:val="24"/>
        </w:rPr>
      </w:pPr>
      <w:r w:rsidRPr="00E84AEE">
        <w:rPr>
          <w:rFonts w:ascii="Times New Roman" w:hAnsi="Times New Roman" w:cs="Times New Roman"/>
          <w:noProof/>
          <w:color w:val="000000" w:themeColor="text1"/>
          <w:sz w:val="24"/>
          <w:szCs w:val="24"/>
        </w:rPr>
        <w:drawing>
          <wp:inline distT="0" distB="0" distL="0" distR="0" wp14:anchorId="38058DB8" wp14:editId="7EC73377">
            <wp:extent cx="5943600" cy="3302000"/>
            <wp:effectExtent l="0" t="0" r="0" b="0"/>
            <wp:docPr id="1651405823" name="Picture 6" descr="A screenshot of a computer gener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5823" name="Picture 6" descr="A screenshot of a computer generated image&#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302000"/>
                    </a:xfrm>
                    <a:prstGeom prst="rect">
                      <a:avLst/>
                    </a:prstGeom>
                    <a:noFill/>
                    <a:ln>
                      <a:noFill/>
                    </a:ln>
                  </pic:spPr>
                </pic:pic>
              </a:graphicData>
            </a:graphic>
          </wp:inline>
        </w:drawing>
      </w:r>
    </w:p>
    <w:p w14:paraId="2F94CCAB" w14:textId="77777777" w:rsidR="00E84AEE" w:rsidRPr="00E84AEE" w:rsidRDefault="00E84AEE" w:rsidP="00E84AEE">
      <w:pPr>
        <w:spacing w:line="360" w:lineRule="auto"/>
        <w:jc w:val="both"/>
        <w:rPr>
          <w:rFonts w:ascii="Times New Roman" w:hAnsi="Times New Roman" w:cs="Times New Roman"/>
          <w:color w:val="000000" w:themeColor="text1"/>
          <w:sz w:val="24"/>
          <w:szCs w:val="24"/>
        </w:rPr>
      </w:pPr>
    </w:p>
    <w:p w14:paraId="5C76C11A" w14:textId="77777777" w:rsidR="00E84AEE" w:rsidRDefault="00E84AEE" w:rsidP="003B03EE">
      <w:pPr>
        <w:spacing w:line="360" w:lineRule="auto"/>
        <w:jc w:val="both"/>
        <w:rPr>
          <w:rFonts w:ascii="Times New Roman" w:hAnsi="Times New Roman" w:cs="Times New Roman"/>
          <w:color w:val="4472C4" w:themeColor="accent1"/>
          <w:sz w:val="24"/>
          <w:szCs w:val="24"/>
        </w:rPr>
      </w:pPr>
    </w:p>
    <w:p w14:paraId="0BBD116A" w14:textId="785155E8" w:rsidR="003B03EE" w:rsidRDefault="00E84AEE" w:rsidP="003B03EE">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Sept 2020: Continued pattern; general trips rose some, HF trips rose a in a lot of places</w:t>
      </w:r>
    </w:p>
    <w:p w14:paraId="438B6ACA" w14:textId="6F91D74D" w:rsidR="00E84AEE" w:rsidRPr="00E84AEE" w:rsidRDefault="00E84AEE" w:rsidP="00E84AEE">
      <w:pPr>
        <w:spacing w:line="360" w:lineRule="auto"/>
        <w:jc w:val="both"/>
        <w:rPr>
          <w:rFonts w:ascii="Times New Roman" w:hAnsi="Times New Roman" w:cs="Times New Roman"/>
          <w:sz w:val="24"/>
          <w:szCs w:val="24"/>
        </w:rPr>
      </w:pPr>
      <w:r w:rsidRPr="00E84AEE">
        <w:rPr>
          <w:rFonts w:ascii="Times New Roman" w:hAnsi="Times New Roman" w:cs="Times New Roman"/>
          <w:noProof/>
          <w:sz w:val="24"/>
          <w:szCs w:val="24"/>
        </w:rPr>
        <w:drawing>
          <wp:inline distT="0" distB="0" distL="0" distR="0" wp14:anchorId="13A53268" wp14:editId="63599572">
            <wp:extent cx="5943600" cy="3302000"/>
            <wp:effectExtent l="0" t="0" r="0" b="0"/>
            <wp:docPr id="524728803" name="Picture 8"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28803" name="Picture 8" descr="A screenshot of a map&#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302000"/>
                    </a:xfrm>
                    <a:prstGeom prst="rect">
                      <a:avLst/>
                    </a:prstGeom>
                    <a:noFill/>
                    <a:ln>
                      <a:noFill/>
                    </a:ln>
                  </pic:spPr>
                </pic:pic>
              </a:graphicData>
            </a:graphic>
          </wp:inline>
        </w:drawing>
      </w:r>
    </w:p>
    <w:p w14:paraId="5C3F442C" w14:textId="255754FF" w:rsidR="00E84AEE" w:rsidRDefault="00F02356" w:rsidP="003B03EE">
      <w:pPr>
        <w:spacing w:line="360" w:lineRule="auto"/>
        <w:jc w:val="both"/>
        <w:rPr>
          <w:rFonts w:ascii="Times New Roman" w:hAnsi="Times New Roman" w:cs="Times New Roman"/>
          <w:sz w:val="24"/>
          <w:szCs w:val="24"/>
        </w:rPr>
      </w:pPr>
      <w:r>
        <w:rPr>
          <w:rFonts w:ascii="Times New Roman" w:hAnsi="Times New Roman" w:cs="Times New Roman"/>
          <w:sz w:val="24"/>
          <w:szCs w:val="24"/>
        </w:rPr>
        <w:t>Regression results:</w:t>
      </w:r>
    </w:p>
    <w:p w14:paraId="05E911C8" w14:textId="2D105FB6" w:rsidR="00F02356" w:rsidRDefault="00F02356" w:rsidP="003B03EE">
      <w:pPr>
        <w:spacing w:line="360" w:lineRule="auto"/>
        <w:jc w:val="both"/>
        <w:rPr>
          <w:rFonts w:ascii="Times New Roman" w:hAnsi="Times New Roman" w:cs="Times New Roman"/>
          <w:sz w:val="24"/>
          <w:szCs w:val="24"/>
        </w:rPr>
      </w:pPr>
      <w:r w:rsidRPr="00F02356">
        <w:rPr>
          <w:rFonts w:ascii="Times New Roman" w:hAnsi="Times New Roman" w:cs="Times New Roman"/>
          <w:noProof/>
          <w:sz w:val="24"/>
          <w:szCs w:val="24"/>
        </w:rPr>
        <w:drawing>
          <wp:inline distT="0" distB="0" distL="0" distR="0" wp14:anchorId="6834A44E" wp14:editId="695920DD">
            <wp:extent cx="5943600" cy="2354580"/>
            <wp:effectExtent l="0" t="0" r="0" b="7620"/>
            <wp:docPr id="1123078546" name="Picture 1" descr="A computer screen shot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78546" name="Picture 1" descr="A computer screen shot of a number&#10;&#10;AI-generated content may be incorrect."/>
                    <pic:cNvPicPr/>
                  </pic:nvPicPr>
                  <pic:blipFill>
                    <a:blip r:embed="rId8"/>
                    <a:stretch>
                      <a:fillRect/>
                    </a:stretch>
                  </pic:blipFill>
                  <pic:spPr>
                    <a:xfrm>
                      <a:off x="0" y="0"/>
                      <a:ext cx="5943600" cy="2354580"/>
                    </a:xfrm>
                    <a:prstGeom prst="rect">
                      <a:avLst/>
                    </a:prstGeom>
                  </pic:spPr>
                </pic:pic>
              </a:graphicData>
            </a:graphic>
          </wp:inline>
        </w:drawing>
      </w:r>
    </w:p>
    <w:p w14:paraId="23254F1F" w14:textId="2E906E94" w:rsidR="00F02356" w:rsidRPr="003B03EE" w:rsidRDefault="00F02356" w:rsidP="003B03EE">
      <w:pPr>
        <w:spacing w:line="360" w:lineRule="auto"/>
        <w:jc w:val="both"/>
        <w:rPr>
          <w:rFonts w:ascii="Times New Roman" w:hAnsi="Times New Roman" w:cs="Times New Roman"/>
          <w:sz w:val="24"/>
          <w:szCs w:val="24"/>
        </w:rPr>
      </w:pPr>
      <w:r>
        <w:rPr>
          <w:rFonts w:ascii="Times New Roman" w:hAnsi="Times New Roman" w:cs="Times New Roman"/>
          <w:sz w:val="24"/>
          <w:szCs w:val="24"/>
        </w:rPr>
        <w:t>For healthcare facility trips, trips reduced in more urban areas</w:t>
      </w:r>
    </w:p>
    <w:p w14:paraId="3097D95D" w14:textId="66F32006" w:rsidR="003B03EE" w:rsidRDefault="00F02356">
      <w:r w:rsidRPr="00F02356">
        <w:rPr>
          <w:noProof/>
        </w:rPr>
        <w:lastRenderedPageBreak/>
        <w:drawing>
          <wp:inline distT="0" distB="0" distL="0" distR="0" wp14:anchorId="1820741A" wp14:editId="0D558201">
            <wp:extent cx="5943600" cy="2389505"/>
            <wp:effectExtent l="0" t="0" r="0" b="0"/>
            <wp:docPr id="87161188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11889" name="Picture 1" descr="A computer screen shot of a black screen&#10;&#10;AI-generated content may be incorrect."/>
                    <pic:cNvPicPr/>
                  </pic:nvPicPr>
                  <pic:blipFill>
                    <a:blip r:embed="rId9"/>
                    <a:stretch>
                      <a:fillRect/>
                    </a:stretch>
                  </pic:blipFill>
                  <pic:spPr>
                    <a:xfrm>
                      <a:off x="0" y="0"/>
                      <a:ext cx="5943600" cy="2389505"/>
                    </a:xfrm>
                    <a:prstGeom prst="rect">
                      <a:avLst/>
                    </a:prstGeom>
                  </pic:spPr>
                </pic:pic>
              </a:graphicData>
            </a:graphic>
          </wp:inline>
        </w:drawing>
      </w:r>
    </w:p>
    <w:p w14:paraId="6CB54196" w14:textId="2E470B12" w:rsidR="00F02356" w:rsidRDefault="00F02356">
      <w:r>
        <w:t>Meanwhile, for all trips, trips increased in more urban areas.</w:t>
      </w:r>
    </w:p>
    <w:p w14:paraId="06AE4377" w14:textId="23B85294" w:rsidR="00F02356" w:rsidRDefault="006148B0">
      <w:pPr>
        <w:rPr>
          <w:b/>
          <w:bCs/>
        </w:rPr>
      </w:pPr>
      <w:r>
        <w:rPr>
          <w:rFonts w:ascii="Arial" w:hAnsi="Arial" w:cs="Arial"/>
          <w:noProof/>
          <w:color w:val="000000"/>
          <w:bdr w:val="none" w:sz="0" w:space="0" w:color="auto" w:frame="1"/>
        </w:rPr>
        <w:drawing>
          <wp:inline distT="0" distB="0" distL="0" distR="0" wp14:anchorId="7144BB6C" wp14:editId="5404837F">
            <wp:extent cx="5734050" cy="4238625"/>
            <wp:effectExtent l="0" t="0" r="0" b="9525"/>
            <wp:docPr id="2"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graph of different colored line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4050" cy="4238625"/>
                    </a:xfrm>
                    <a:prstGeom prst="rect">
                      <a:avLst/>
                    </a:prstGeom>
                    <a:noFill/>
                    <a:ln>
                      <a:noFill/>
                    </a:ln>
                  </pic:spPr>
                </pic:pic>
              </a:graphicData>
            </a:graphic>
          </wp:inline>
        </w:drawing>
      </w:r>
    </w:p>
    <w:p w14:paraId="62F83468" w14:textId="71005557" w:rsidR="006148B0" w:rsidRDefault="006148B0">
      <w:pPr>
        <w:rPr>
          <w:b/>
          <w:bCs/>
        </w:rPr>
      </w:pPr>
      <w:r>
        <w:rPr>
          <w:b/>
          <w:bCs/>
        </w:rPr>
        <w:t>Here’s how healthcare trips varied with other trip types.</w:t>
      </w:r>
    </w:p>
    <w:p w14:paraId="2F888C29" w14:textId="000E4E29" w:rsidR="006148B0" w:rsidRDefault="006148B0">
      <w:pPr>
        <w:rPr>
          <w:b/>
          <w:bCs/>
        </w:rPr>
      </w:pPr>
      <w:r>
        <w:rPr>
          <w:rFonts w:ascii="Arial" w:hAnsi="Arial" w:cs="Arial"/>
          <w:noProof/>
          <w:color w:val="000000"/>
          <w:bdr w:val="none" w:sz="0" w:space="0" w:color="auto" w:frame="1"/>
        </w:rPr>
        <w:lastRenderedPageBreak/>
        <w:drawing>
          <wp:inline distT="0" distB="0" distL="0" distR="0" wp14:anchorId="7FFB7D48" wp14:editId="468A7F4E">
            <wp:extent cx="5734050" cy="3019425"/>
            <wp:effectExtent l="0" t="0" r="0" b="9525"/>
            <wp:docPr id="307742301" name="Picture 1" descr="A graph showing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42301" name="Picture 1" descr="A graph showing a number of different colored line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4050" cy="3019425"/>
                    </a:xfrm>
                    <a:prstGeom prst="rect">
                      <a:avLst/>
                    </a:prstGeom>
                    <a:noFill/>
                    <a:ln>
                      <a:noFill/>
                    </a:ln>
                  </pic:spPr>
                </pic:pic>
              </a:graphicData>
            </a:graphic>
          </wp:inline>
        </w:drawing>
      </w:r>
    </w:p>
    <w:p w14:paraId="236D538C" w14:textId="044C72D3" w:rsidR="006148B0" w:rsidRDefault="006148B0">
      <w:pPr>
        <w:rPr>
          <w:b/>
          <w:bCs/>
        </w:rPr>
      </w:pPr>
      <w:r>
        <w:rPr>
          <w:rFonts w:ascii="Arial" w:hAnsi="Arial" w:cs="Arial"/>
          <w:b/>
          <w:bCs/>
          <w:noProof/>
          <w:color w:val="000000"/>
          <w:bdr w:val="none" w:sz="0" w:space="0" w:color="auto" w:frame="1"/>
        </w:rPr>
        <w:drawing>
          <wp:inline distT="0" distB="0" distL="0" distR="0" wp14:anchorId="11C3BF0A" wp14:editId="455770AD">
            <wp:extent cx="5734050" cy="3019425"/>
            <wp:effectExtent l="0" t="0" r="0" b="9525"/>
            <wp:docPr id="734363062" name="Picture 2"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63062" name="Picture 2" descr="A graph showing different colored line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4050" cy="3019425"/>
                    </a:xfrm>
                    <a:prstGeom prst="rect">
                      <a:avLst/>
                    </a:prstGeom>
                    <a:noFill/>
                    <a:ln>
                      <a:noFill/>
                    </a:ln>
                  </pic:spPr>
                </pic:pic>
              </a:graphicData>
            </a:graphic>
          </wp:inline>
        </w:drawing>
      </w:r>
    </w:p>
    <w:p w14:paraId="6C30D38A" w14:textId="79296B5E" w:rsidR="006148B0" w:rsidRDefault="006148B0">
      <w:pPr>
        <w:rPr>
          <w:b/>
          <w:bCs/>
        </w:rPr>
      </w:pPr>
      <w:r>
        <w:rPr>
          <w:b/>
          <w:bCs/>
        </w:rPr>
        <w:t xml:space="preserve">Finally, a comparison of trips to healthcare facilities </w:t>
      </w:r>
      <w:r w:rsidR="002B38D7">
        <w:rPr>
          <w:b/>
          <w:bCs/>
        </w:rPr>
        <w:t>and all trips over time, stratified by urbanization. Notably, the healthcare trips didn’t vary much based on urbanization, but all trips did.</w:t>
      </w:r>
    </w:p>
    <w:p w14:paraId="5E1FD4D7" w14:textId="6839843E" w:rsidR="003B03EE" w:rsidRDefault="003B03EE" w:rsidP="00AE1F97">
      <w:pPr>
        <w:spacing w:line="276" w:lineRule="auto"/>
        <w:rPr>
          <w:rFonts w:ascii="Times New Roman" w:hAnsi="Times New Roman" w:cs="Times New Roman"/>
        </w:rPr>
      </w:pPr>
    </w:p>
    <w:p w14:paraId="01932ED8" w14:textId="0678D2AA" w:rsidR="00AE1F97" w:rsidRDefault="00AE1F97" w:rsidP="00AE1F97">
      <w:pPr>
        <w:spacing w:line="276" w:lineRule="auto"/>
        <w:rPr>
          <w:rFonts w:ascii="Times New Roman" w:hAnsi="Times New Roman" w:cs="Times New Roman"/>
        </w:rPr>
      </w:pPr>
    </w:p>
    <w:p w14:paraId="64366E17" w14:textId="172A65BF" w:rsidR="00AE1F97" w:rsidRDefault="00AE1F97" w:rsidP="00AE1F97">
      <w:pPr>
        <w:spacing w:line="276" w:lineRule="auto"/>
        <w:rPr>
          <w:rFonts w:ascii="Times New Roman" w:hAnsi="Times New Roman" w:cs="Times New Roman"/>
        </w:rPr>
      </w:pPr>
    </w:p>
    <w:p w14:paraId="3957F46D" w14:textId="039742B9" w:rsidR="00356348" w:rsidRDefault="00356348" w:rsidP="00356348">
      <w:pPr>
        <w:spacing w:line="276" w:lineRule="auto"/>
        <w:rPr>
          <w:rFonts w:ascii="Times New Roman" w:hAnsi="Times New Roman" w:cs="Times New Roman"/>
        </w:rPr>
      </w:pPr>
    </w:p>
    <w:p w14:paraId="323EB18F" w14:textId="77777777" w:rsidR="00356348" w:rsidRPr="00516203" w:rsidRDefault="00356348" w:rsidP="00356348">
      <w:pPr>
        <w:pStyle w:val="IntenseQuote"/>
        <w:rPr>
          <w:rFonts w:ascii="Times New Roman" w:hAnsi="Times New Roman" w:cs="Times New Roman"/>
          <w:color w:val="auto"/>
          <w:sz w:val="32"/>
          <w:szCs w:val="32"/>
        </w:rPr>
      </w:pPr>
      <w:r w:rsidRPr="003B03EE">
        <w:rPr>
          <w:color w:val="auto"/>
          <w:sz w:val="32"/>
          <w:szCs w:val="32"/>
        </w:rPr>
        <w:lastRenderedPageBreak/>
        <w:t xml:space="preserve">Mapping healthcare accessibility across communities in Central Appalachia, including Virginia’s New River Valley, throughout the </w:t>
      </w:r>
      <w:r>
        <w:rPr>
          <w:color w:val="auto"/>
          <w:sz w:val="32"/>
          <w:szCs w:val="32"/>
        </w:rPr>
        <w:t xml:space="preserve">Covid 19 </w:t>
      </w:r>
      <w:r w:rsidRPr="003B03EE">
        <w:rPr>
          <w:color w:val="auto"/>
          <w:sz w:val="32"/>
          <w:szCs w:val="32"/>
        </w:rPr>
        <w:t>pandemic.</w:t>
      </w:r>
    </w:p>
    <w:p w14:paraId="48F42ECE" w14:textId="77777777" w:rsidR="00356348" w:rsidRPr="00367137" w:rsidRDefault="00356348" w:rsidP="00356348">
      <w:pPr>
        <w:spacing w:line="276" w:lineRule="auto"/>
        <w:jc w:val="both"/>
        <w:rPr>
          <w:rFonts w:ascii="Times New Roman" w:hAnsi="Times New Roman" w:cs="Times New Roman"/>
          <w:b/>
          <w:bCs/>
          <w:sz w:val="24"/>
          <w:szCs w:val="24"/>
        </w:rPr>
      </w:pPr>
      <w:r w:rsidRPr="00367137">
        <w:rPr>
          <w:rFonts w:ascii="Times New Roman" w:hAnsi="Times New Roman" w:cs="Times New Roman"/>
          <w:b/>
          <w:bCs/>
          <w:sz w:val="24"/>
          <w:szCs w:val="24"/>
        </w:rPr>
        <w:t>Abstract</w:t>
      </w:r>
    </w:p>
    <w:p w14:paraId="5AB4805B"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 xml:space="preserve">Healthcare accessibility plays a crucial role in shaping public health outcomes, particularly in rural regions where healthcare resources are scarce and mobility barriers are prevalent. The COVID-19 pandemic further complicated healthcare delivery, restricting physical access and altering utilization patterns. This study investigates how healthcare accessibility changed before and during the pandemic across Central Appalachia, with a specific focus on Virginia’s New River Valley (NRV). Using </w:t>
      </w:r>
      <w:proofErr w:type="spellStart"/>
      <w:r w:rsidRPr="00367137">
        <w:rPr>
          <w:rFonts w:ascii="Times New Roman" w:hAnsi="Times New Roman" w:cs="Times New Roman"/>
          <w:sz w:val="24"/>
          <w:szCs w:val="24"/>
        </w:rPr>
        <w:t>SafeGraph</w:t>
      </w:r>
      <w:proofErr w:type="spellEnd"/>
      <w:r w:rsidRPr="00367137">
        <w:rPr>
          <w:rFonts w:ascii="Times New Roman" w:hAnsi="Times New Roman" w:cs="Times New Roman"/>
          <w:sz w:val="24"/>
          <w:szCs w:val="24"/>
        </w:rPr>
        <w:t xml:space="preserve"> mobility data, spatial analyses were conducted to compare healthcare-related travel with general mobility patterns from August 2019 to May 2020. Metrics such as visit frequency, travel distance, and urban–rural variation were examined. The analysis reveals substantial temporal fluctuations in healthcare visits during the pandemic’s early months, with the sharpest declines occurring in April 2020, followed by partial recovery in May. Regression analyses show that healthcare trips decreased most significantly in urban areas, whereas general trips increased, indicating a decoupling of essential and non-essential mobility behaviors. These findings demonstrate that proximity to healthcare facilities did not guarantee access during the pandemic and highlight the interplay between geographic, socioeconomic, and behavioral determinants of healthcare-seeking behavior. Results contribute to understanding spatial inequities in healthcare access during crises and provide evidence to support data-driven interventions that enhance rural health system resilience.</w:t>
      </w:r>
    </w:p>
    <w:p w14:paraId="59AD15FF" w14:textId="77777777" w:rsidR="00356348" w:rsidRPr="00367137" w:rsidRDefault="00356348" w:rsidP="00356348">
      <w:pPr>
        <w:spacing w:line="276" w:lineRule="auto"/>
        <w:jc w:val="both"/>
        <w:rPr>
          <w:rFonts w:ascii="Times New Roman" w:hAnsi="Times New Roman" w:cs="Times New Roman"/>
          <w:sz w:val="24"/>
          <w:szCs w:val="24"/>
        </w:rPr>
      </w:pPr>
    </w:p>
    <w:p w14:paraId="6031C9E7" w14:textId="77777777" w:rsidR="00356348" w:rsidRPr="00367137" w:rsidRDefault="00356348" w:rsidP="00356348">
      <w:pPr>
        <w:spacing w:line="276" w:lineRule="auto"/>
        <w:jc w:val="both"/>
        <w:rPr>
          <w:rFonts w:ascii="Times New Roman" w:hAnsi="Times New Roman" w:cs="Times New Roman"/>
          <w:b/>
          <w:bCs/>
          <w:sz w:val="24"/>
          <w:szCs w:val="24"/>
        </w:rPr>
      </w:pPr>
      <w:r w:rsidRPr="00367137">
        <w:rPr>
          <w:rFonts w:ascii="Times New Roman" w:hAnsi="Times New Roman" w:cs="Times New Roman"/>
          <w:b/>
          <w:bCs/>
          <w:sz w:val="24"/>
          <w:szCs w:val="24"/>
        </w:rPr>
        <w:t>Introduction</w:t>
      </w:r>
    </w:p>
    <w:p w14:paraId="711B7CD4" w14:textId="2E460D3A"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Healthcare accessibility is a cornerstone of health equity and population well-being, shaping not only individual health outcomes but also the resilience of communities. It encompasses the physical availability of services as well as the ability of individuals to reach, afford, and effectively use them.</w:t>
      </w:r>
      <w:r>
        <w:rPr>
          <w:rFonts w:ascii="Times New Roman" w:hAnsi="Times New Roman" w:cs="Times New Roman"/>
          <w:sz w:val="24"/>
          <w:szCs w:val="24"/>
        </w:rPr>
        <w:t xml:space="preserve"> </w:t>
      </w:r>
      <w:r w:rsidRPr="00367137">
        <w:rPr>
          <w:rFonts w:ascii="Times New Roman" w:hAnsi="Times New Roman" w:cs="Times New Roman"/>
          <w:sz w:val="24"/>
          <w:szCs w:val="24"/>
        </w:rPr>
        <w:t>Accessibility has been conceptualized across five dimensions</w:t>
      </w:r>
      <w:ins w:id="0" w:author="Ruktanonchai, Nick" w:date="2025-11-17T21:19:00Z" w16du:dateUtc="2025-11-18T02:19:00Z">
        <w:r w:rsidR="004C0BA8">
          <w:rPr>
            <w:rFonts w:ascii="Times New Roman" w:hAnsi="Times New Roman" w:cs="Times New Roman"/>
            <w:sz w:val="24"/>
            <w:szCs w:val="24"/>
          </w:rPr>
          <w:t>:</w:t>
        </w:r>
      </w:ins>
      <w:r w:rsidRPr="00367137">
        <w:rPr>
          <w:rFonts w:ascii="Times New Roman" w:hAnsi="Times New Roman" w:cs="Times New Roman"/>
          <w:sz w:val="24"/>
          <w:szCs w:val="24"/>
        </w:rPr>
        <w:t xml:space="preserve"> approachability, acceptability, availability/accommodation, affordability, and appropriateness</w:t>
      </w:r>
      <w:ins w:id="1" w:author="Ruktanonchai, Nick" w:date="2025-11-17T21:19:00Z" w16du:dateUtc="2025-11-18T02:19:00Z">
        <w:r w:rsidR="004C0BA8">
          <w:rPr>
            <w:rFonts w:ascii="Times New Roman" w:hAnsi="Times New Roman" w:cs="Times New Roman"/>
            <w:sz w:val="24"/>
            <w:szCs w:val="24"/>
          </w:rPr>
          <w:t xml:space="preserve">, and is </w:t>
        </w:r>
      </w:ins>
      <w:del w:id="2" w:author="Ruktanonchai, Nick" w:date="2025-11-17T21:19:00Z" w16du:dateUtc="2025-11-18T02:19:00Z">
        <w:r w:rsidRPr="00367137" w:rsidDel="004C0BA8">
          <w:rPr>
            <w:rFonts w:ascii="Times New Roman" w:hAnsi="Times New Roman" w:cs="Times New Roman"/>
            <w:sz w:val="24"/>
            <w:szCs w:val="24"/>
          </w:rPr>
          <w:delText xml:space="preserve"> and </w:delText>
        </w:r>
      </w:del>
      <w:r w:rsidRPr="00367137">
        <w:rPr>
          <w:rFonts w:ascii="Times New Roman" w:hAnsi="Times New Roman" w:cs="Times New Roman"/>
          <w:sz w:val="24"/>
          <w:szCs w:val="24"/>
        </w:rPr>
        <w:t>shaped by individuals’ corresponding abilities to perceive, seek, reach, pay, and engage with care (</w:t>
      </w:r>
      <w:proofErr w:type="spellStart"/>
      <w:r w:rsidRPr="00367137">
        <w:rPr>
          <w:rFonts w:ascii="Times New Roman" w:hAnsi="Times New Roman" w:cs="Times New Roman"/>
          <w:sz w:val="24"/>
          <w:szCs w:val="24"/>
        </w:rPr>
        <w:t>Leveseque</w:t>
      </w:r>
      <w:proofErr w:type="spellEnd"/>
      <w:r w:rsidRPr="00367137">
        <w:rPr>
          <w:rFonts w:ascii="Times New Roman" w:hAnsi="Times New Roman" w:cs="Times New Roman"/>
          <w:sz w:val="24"/>
          <w:szCs w:val="24"/>
        </w:rPr>
        <w:t xml:space="preserve"> et al., 2013). Disparities in healthcare access are evident across the United States, but they are particularly pronounced in the Appalachian region. According to the Appalachian Regional Commission, Appalachia performed worse than the national average in 33 of 41 key health indicators, underscoring long-standing inequities in both health outcomes and healthcare delivery (Marshall et al., 2017). Central Appalachia—spanning parts of West Virginia, Eastern Kentucky, Southwest Virginia, East Tennessee, and Western North Carolina—covers 29,773 square miles </w:t>
      </w:r>
      <w:r w:rsidRPr="00367137">
        <w:rPr>
          <w:rFonts w:ascii="Times New Roman" w:hAnsi="Times New Roman" w:cs="Times New Roman"/>
          <w:sz w:val="24"/>
          <w:szCs w:val="24"/>
        </w:rPr>
        <w:lastRenderedPageBreak/>
        <w:t>and is home to approximately 2 million residents (The Stay Project, n.d.). This region is defined by rugged terrain, dispersed populations, and entrenched socioeconomic challenges, all of which contribute to persistent barriers to care. Studies consistently show that residents of Appalachian counties experience higher prevalence of chronic diseases and mental health conditions compared to non-Appalachian populations, emphasizing the urgency of addressing these disparities (Morrone et al., 2021).</w:t>
      </w:r>
    </w:p>
    <w:p w14:paraId="4690D005"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 xml:space="preserve">Healthcare access is shaped by a complex interplay of system-level characteristics, population demographics, and individual-level resources. Andersen’s Behavioral Model of Health Services Use highlights the role of predisposing factors (e.g., age, gender, race), enabling factors (e.g., income, insurance status, education, employment), and need-based factors (e.g., illness severity) in determining utilization (Andersen et al., 2002). Geographic inequalities in healthcare access are well documented and linked to negative health outcomes across disease conditions while longer travel times to healthcare facilities discourage healthcare-seeking behavior and lead to delays in diagnosis and treatment (Zipfel et al., 2021 and </w:t>
      </w:r>
      <w:proofErr w:type="spellStart"/>
      <w:r w:rsidRPr="00367137">
        <w:rPr>
          <w:rFonts w:ascii="Times New Roman" w:hAnsi="Times New Roman" w:cs="Times New Roman"/>
          <w:sz w:val="24"/>
          <w:szCs w:val="24"/>
        </w:rPr>
        <w:t>Alegana</w:t>
      </w:r>
      <w:proofErr w:type="spellEnd"/>
      <w:r w:rsidRPr="00367137">
        <w:rPr>
          <w:rFonts w:ascii="Times New Roman" w:hAnsi="Times New Roman" w:cs="Times New Roman"/>
          <w:sz w:val="24"/>
          <w:szCs w:val="24"/>
        </w:rPr>
        <w:t xml:space="preserve"> et al., 2018).</w:t>
      </w:r>
      <w:r>
        <w:rPr>
          <w:rFonts w:ascii="Times New Roman" w:hAnsi="Times New Roman" w:cs="Times New Roman"/>
          <w:sz w:val="24"/>
          <w:szCs w:val="24"/>
        </w:rPr>
        <w:t xml:space="preserve"> </w:t>
      </w:r>
      <w:r w:rsidRPr="00367137">
        <w:rPr>
          <w:rFonts w:ascii="Times New Roman" w:hAnsi="Times New Roman" w:cs="Times New Roman"/>
          <w:sz w:val="24"/>
          <w:szCs w:val="24"/>
        </w:rPr>
        <w:t>In rural Appalachia, enabling factors such as limited insurance coverage, scarce transportation infrastructure, and shortages of healthcare providers present persistent obstacles. Even small disruptions, such as temporary clinic closures or lack of public transit, can significantly alter healthcare-seeking behavior and delay care. These conditions have made Appalachian communities disproportionately vulnerable to unmet health needs and adverse outcomes.</w:t>
      </w:r>
    </w:p>
    <w:p w14:paraId="3C892529" w14:textId="77777777" w:rsidR="00356348" w:rsidDel="00942D9F" w:rsidRDefault="00356348" w:rsidP="00356348">
      <w:pPr>
        <w:spacing w:line="276" w:lineRule="auto"/>
        <w:jc w:val="both"/>
        <w:rPr>
          <w:del w:id="3" w:author="Ruktanonchai, Nick" w:date="2025-11-17T22:07:00Z" w16du:dateUtc="2025-11-18T03:07:00Z"/>
          <w:rFonts w:ascii="Times New Roman" w:hAnsi="Times New Roman" w:cs="Times New Roman"/>
          <w:sz w:val="24"/>
          <w:szCs w:val="24"/>
        </w:rPr>
      </w:pPr>
      <w:r w:rsidRPr="00367137">
        <w:rPr>
          <w:rFonts w:ascii="Times New Roman" w:hAnsi="Times New Roman" w:cs="Times New Roman"/>
          <w:sz w:val="24"/>
          <w:szCs w:val="24"/>
        </w:rPr>
        <w:t>The COVID-19 pandemic introduced a profound disruption to healthcare access globally, altering patterns of healthcare delivery and utilization. Beginning in early 2020, restrictions on mobility, reallocation of healthcare resources to emergency care, and fear of viral transmission reshaped how individuals sought and received medical services. For regions like Central Appalachia, where healthcare access was already fragile, the pandemic further amplified existing inequities. Healthcare trips differ from other forms of mobility because they are less discretionary and often urgent, meaning that delays or avoidance can have serious downstream effects. This raises critical questions: How did healthcare utilization change before and during the pandemic in Central Appalachia? Did travel distances to healthcare facilities shift? Which geographic and socioeconomic groups were most affected? And how did these patterns differ from general travel to other destinations such as retail or workplaces?</w:t>
      </w:r>
    </w:p>
    <w:p w14:paraId="3E014BB7" w14:textId="22146DB7" w:rsidR="00942D9F" w:rsidRDefault="00942D9F" w:rsidP="00356348">
      <w:pPr>
        <w:spacing w:line="276" w:lineRule="auto"/>
        <w:jc w:val="both"/>
        <w:rPr>
          <w:ins w:id="4" w:author="Ruktanonchai, Nick" w:date="2025-11-17T22:07:00Z" w16du:dateUtc="2025-11-18T03:07:00Z"/>
          <w:rFonts w:ascii="Times New Roman" w:hAnsi="Times New Roman" w:cs="Times New Roman"/>
          <w:sz w:val="24"/>
          <w:szCs w:val="24"/>
        </w:rPr>
      </w:pPr>
    </w:p>
    <w:p w14:paraId="74636B76" w14:textId="61F17E61" w:rsidR="00356348" w:rsidRPr="00367137" w:rsidRDefault="00942D9F" w:rsidP="00356348">
      <w:pPr>
        <w:spacing w:line="276" w:lineRule="auto"/>
        <w:jc w:val="both"/>
        <w:rPr>
          <w:rFonts w:ascii="Times New Roman" w:hAnsi="Times New Roman" w:cs="Times New Roman"/>
          <w:sz w:val="24"/>
          <w:szCs w:val="24"/>
        </w:rPr>
      </w:pPr>
      <w:ins w:id="5" w:author="Ruktanonchai, Nick" w:date="2025-11-17T22:07:00Z" w16du:dateUtc="2025-11-18T03:07:00Z">
        <w:r>
          <w:rPr>
            <w:rFonts w:ascii="Times New Roman" w:hAnsi="Times New Roman" w:cs="Times New Roman"/>
            <w:sz w:val="24"/>
            <w:szCs w:val="24"/>
          </w:rPr>
          <w:t xml:space="preserve">Understanding how healthcare accessibility changes during major events is a </w:t>
        </w:r>
      </w:ins>
      <w:ins w:id="6" w:author="Ruktanonchai, Nick" w:date="2025-11-17T22:08:00Z" w16du:dateUtc="2025-11-18T03:08:00Z">
        <w:r>
          <w:rPr>
            <w:rFonts w:ascii="Times New Roman" w:hAnsi="Times New Roman" w:cs="Times New Roman"/>
            <w:sz w:val="24"/>
            <w:szCs w:val="24"/>
          </w:rPr>
          <w:t>critical question</w:t>
        </w:r>
      </w:ins>
      <w:ins w:id="7" w:author="Ruktanonchai, Nick" w:date="2025-11-17T22:07:00Z" w16du:dateUtc="2025-11-18T03:07:00Z">
        <w:r>
          <w:rPr>
            <w:rFonts w:ascii="Times New Roman" w:hAnsi="Times New Roman" w:cs="Times New Roman"/>
            <w:sz w:val="24"/>
            <w:szCs w:val="24"/>
          </w:rPr>
          <w:t xml:space="preserve"> </w:t>
        </w:r>
      </w:ins>
      <w:ins w:id="8" w:author="Ruktanonchai, Nick" w:date="2025-11-17T22:08:00Z" w16du:dateUtc="2025-11-18T03:08:00Z">
        <w:r>
          <w:rPr>
            <w:rFonts w:ascii="Times New Roman" w:hAnsi="Times New Roman" w:cs="Times New Roman"/>
            <w:sz w:val="24"/>
            <w:szCs w:val="24"/>
          </w:rPr>
          <w:t>in public health</w:t>
        </w:r>
      </w:ins>
      <w:ins w:id="9" w:author="Ruktanonchai, Nick" w:date="2025-11-17T21:30:00Z" w16du:dateUtc="2025-11-18T02:30:00Z">
        <w:r w:rsidR="003027CC">
          <w:rPr>
            <w:rFonts w:ascii="Times New Roman" w:hAnsi="Times New Roman" w:cs="Times New Roman"/>
            <w:sz w:val="24"/>
            <w:szCs w:val="24"/>
          </w:rPr>
          <w:t>, beyond global pandemics. Any d</w:t>
        </w:r>
      </w:ins>
      <w:del w:id="10" w:author="Ruktanonchai, Nick" w:date="2025-11-17T21:30:00Z" w16du:dateUtc="2025-11-18T02:30:00Z">
        <w:r w:rsidR="00356348" w:rsidRPr="00367137" w:rsidDel="003027CC">
          <w:rPr>
            <w:rFonts w:ascii="Times New Roman" w:hAnsi="Times New Roman" w:cs="Times New Roman"/>
            <w:sz w:val="24"/>
            <w:szCs w:val="24"/>
          </w:rPr>
          <w:delText>D</w:delText>
        </w:r>
      </w:del>
      <w:r w:rsidR="00356348" w:rsidRPr="00367137">
        <w:rPr>
          <w:rFonts w:ascii="Times New Roman" w:hAnsi="Times New Roman" w:cs="Times New Roman"/>
          <w:sz w:val="24"/>
          <w:szCs w:val="24"/>
        </w:rPr>
        <w:t>isruptive events, including pandemics, hurricanes, and earthquakes, can severely impact healthcare access by interrupting essential services, limiting healthcare delivery, and exacerbating inequities, particularly in vulnerable or resource-poor communities</w:t>
      </w:r>
      <w:r w:rsidR="00356348">
        <w:rPr>
          <w:rFonts w:ascii="Times New Roman" w:hAnsi="Times New Roman" w:cs="Times New Roman"/>
          <w:sz w:val="24"/>
          <w:szCs w:val="24"/>
        </w:rPr>
        <w:t>.</w:t>
      </w:r>
      <w:r w:rsidR="00356348" w:rsidRPr="00367137">
        <w:rPr>
          <w:rFonts w:ascii="Times New Roman" w:hAnsi="Times New Roman" w:cs="Times New Roman"/>
          <w:sz w:val="24"/>
          <w:szCs w:val="24"/>
        </w:rPr>
        <w:t xml:space="preserve"> (S</w:t>
      </w:r>
      <w:r w:rsidR="00356348">
        <w:rPr>
          <w:rFonts w:ascii="Times New Roman" w:hAnsi="Times New Roman" w:cs="Times New Roman"/>
          <w:sz w:val="24"/>
          <w:szCs w:val="24"/>
        </w:rPr>
        <w:t>ingh</w:t>
      </w:r>
      <w:r w:rsidR="00356348" w:rsidRPr="00367137">
        <w:rPr>
          <w:rFonts w:ascii="Times New Roman" w:hAnsi="Times New Roman" w:cs="Times New Roman"/>
          <w:sz w:val="24"/>
          <w:szCs w:val="24"/>
        </w:rPr>
        <w:t xml:space="preserve"> et al., 2021) These events can damage healthcare infrastructure, disrupt transportation networks, and displace populations, creating both immediate and long-term barriers to care</w:t>
      </w:r>
      <w:ins w:id="11" w:author="Ruktanonchai, Nick" w:date="2025-11-17T21:31:00Z" w16du:dateUtc="2025-11-18T02:31:00Z">
        <w:r w:rsidR="003027CC">
          <w:rPr>
            <w:rFonts w:ascii="Times New Roman" w:hAnsi="Times New Roman" w:cs="Times New Roman"/>
            <w:sz w:val="24"/>
            <w:szCs w:val="24"/>
          </w:rPr>
          <w:t xml:space="preserve">. </w:t>
        </w:r>
      </w:ins>
      <w:ins w:id="12" w:author="Ruktanonchai, Nick" w:date="2025-11-17T22:02:00Z" w16du:dateUtc="2025-11-18T03:02:00Z">
        <w:r>
          <w:rPr>
            <w:rFonts w:ascii="Times New Roman" w:hAnsi="Times New Roman" w:cs="Times New Roman"/>
            <w:sz w:val="24"/>
            <w:szCs w:val="24"/>
          </w:rPr>
          <w:t>As human health becomes increasingly globalized due to increased tr</w:t>
        </w:r>
      </w:ins>
      <w:ins w:id="13" w:author="Ruktanonchai, Nick" w:date="2025-11-17T22:03:00Z" w16du:dateUtc="2025-11-18T03:03:00Z">
        <w:r>
          <w:rPr>
            <w:rFonts w:ascii="Times New Roman" w:hAnsi="Times New Roman" w:cs="Times New Roman"/>
            <w:sz w:val="24"/>
            <w:szCs w:val="24"/>
          </w:rPr>
          <w:t xml:space="preserve">avel, </w:t>
        </w:r>
      </w:ins>
      <w:del w:id="14" w:author="Ruktanonchai, Nick" w:date="2025-11-17T21:31:00Z" w16du:dateUtc="2025-11-18T02:31:00Z">
        <w:r w:rsidR="00356348" w:rsidRPr="00367137" w:rsidDel="003027CC">
          <w:rPr>
            <w:rFonts w:ascii="Times New Roman" w:hAnsi="Times New Roman" w:cs="Times New Roman"/>
            <w:sz w:val="24"/>
            <w:szCs w:val="24"/>
          </w:rPr>
          <w:delText xml:space="preserve">. For instance, hospital closures, road blockages, and power outages during hurricanes or earthquakes can prevent patients from reaching essential services, while emergency response efforts may temporarily redirect healthcare resources away from routine care. Similar to pandemic conditions, the urgency of healthcare needs means that delays or interruptions can result in exacerbation of chronic conditions, increased morbidity, and higher mortality, particularly among vulnerable populations. </w:delText>
        </w:r>
      </w:del>
      <w:del w:id="15" w:author="Ruktanonchai, Nick" w:date="2025-11-17T22:03:00Z" w16du:dateUtc="2025-11-18T03:03:00Z">
        <w:r w:rsidR="00356348" w:rsidRPr="00367137" w:rsidDel="00942D9F">
          <w:rPr>
            <w:rFonts w:ascii="Times New Roman" w:hAnsi="Times New Roman" w:cs="Times New Roman"/>
            <w:sz w:val="24"/>
            <w:szCs w:val="24"/>
          </w:rPr>
          <w:delText>Understanding</w:delText>
        </w:r>
      </w:del>
      <w:ins w:id="16" w:author="Ruktanonchai, Nick" w:date="2025-11-17T22:03:00Z" w16du:dateUtc="2025-11-18T03:03:00Z">
        <w:r>
          <w:rPr>
            <w:rFonts w:ascii="Times New Roman" w:hAnsi="Times New Roman" w:cs="Times New Roman"/>
            <w:sz w:val="24"/>
            <w:szCs w:val="24"/>
          </w:rPr>
          <w:t>understanding</w:t>
        </w:r>
      </w:ins>
      <w:r w:rsidR="00356348" w:rsidRPr="00367137">
        <w:rPr>
          <w:rFonts w:ascii="Times New Roman" w:hAnsi="Times New Roman" w:cs="Times New Roman"/>
          <w:sz w:val="24"/>
          <w:szCs w:val="24"/>
        </w:rPr>
        <w:t xml:space="preserve"> how healthcare access changes across different types of crises </w:t>
      </w:r>
      <w:del w:id="17" w:author="Ruktanonchai, Nick" w:date="2025-11-17T22:03:00Z" w16du:dateUtc="2025-11-18T03:03:00Z">
        <w:r w:rsidR="00356348" w:rsidRPr="00367137" w:rsidDel="00942D9F">
          <w:rPr>
            <w:rFonts w:ascii="Times New Roman" w:hAnsi="Times New Roman" w:cs="Times New Roman"/>
            <w:sz w:val="24"/>
            <w:szCs w:val="24"/>
          </w:rPr>
          <w:delText xml:space="preserve">allows </w:delText>
        </w:r>
      </w:del>
      <w:ins w:id="18" w:author="Ruktanonchai, Nick" w:date="2025-11-17T22:03:00Z" w16du:dateUtc="2025-11-18T03:03:00Z">
        <w:r>
          <w:rPr>
            <w:rFonts w:ascii="Times New Roman" w:hAnsi="Times New Roman" w:cs="Times New Roman"/>
            <w:sz w:val="24"/>
            <w:szCs w:val="24"/>
          </w:rPr>
          <w:t>will be necessary to better equip</w:t>
        </w:r>
        <w:r w:rsidRPr="00367137">
          <w:rPr>
            <w:rFonts w:ascii="Times New Roman" w:hAnsi="Times New Roman" w:cs="Times New Roman"/>
            <w:sz w:val="24"/>
            <w:szCs w:val="24"/>
          </w:rPr>
          <w:t xml:space="preserve"> </w:t>
        </w:r>
      </w:ins>
      <w:r w:rsidR="00356348" w:rsidRPr="00367137">
        <w:rPr>
          <w:rFonts w:ascii="Times New Roman" w:hAnsi="Times New Roman" w:cs="Times New Roman"/>
          <w:sz w:val="24"/>
          <w:szCs w:val="24"/>
        </w:rPr>
        <w:lastRenderedPageBreak/>
        <w:t xml:space="preserve">policymakers and public health practitioners </w:t>
      </w:r>
      <w:del w:id="19" w:author="Ruktanonchai, Nick" w:date="2025-11-17T22:03:00Z" w16du:dateUtc="2025-11-18T03:03:00Z">
        <w:r w:rsidR="00356348" w:rsidRPr="00367137" w:rsidDel="00942D9F">
          <w:rPr>
            <w:rFonts w:ascii="Times New Roman" w:hAnsi="Times New Roman" w:cs="Times New Roman"/>
            <w:sz w:val="24"/>
            <w:szCs w:val="24"/>
          </w:rPr>
          <w:delText xml:space="preserve">to develop </w:delText>
        </w:r>
      </w:del>
      <w:ins w:id="20" w:author="Ruktanonchai, Nick" w:date="2025-11-17T22:03:00Z" w16du:dateUtc="2025-11-18T03:03:00Z">
        <w:r>
          <w:rPr>
            <w:rFonts w:ascii="Times New Roman" w:hAnsi="Times New Roman" w:cs="Times New Roman"/>
            <w:sz w:val="24"/>
            <w:szCs w:val="24"/>
          </w:rPr>
          <w:t xml:space="preserve">with </w:t>
        </w:r>
      </w:ins>
      <w:r w:rsidR="00356348" w:rsidRPr="00367137">
        <w:rPr>
          <w:rFonts w:ascii="Times New Roman" w:hAnsi="Times New Roman" w:cs="Times New Roman"/>
          <w:sz w:val="24"/>
          <w:szCs w:val="24"/>
        </w:rPr>
        <w:t>adaptive strategies that ensure continuity of care, improve system resilience, and mitigate the disproportionate impact on at-risk communities.</w:t>
      </w:r>
    </w:p>
    <w:p w14:paraId="251E7858" w14:textId="75AC295E" w:rsidR="00356348" w:rsidRPr="00942D9F" w:rsidDel="00942D9F" w:rsidRDefault="00942D9F" w:rsidP="00356348">
      <w:pPr>
        <w:spacing w:line="276" w:lineRule="auto"/>
        <w:jc w:val="both"/>
        <w:rPr>
          <w:moveFrom w:id="21" w:author="Ruktanonchai, Nick" w:date="2025-11-17T22:03:00Z" w16du:dateUtc="2025-11-18T03:03:00Z"/>
          <w:rFonts w:ascii="Times New Roman" w:hAnsi="Times New Roman" w:cs="Times New Roman"/>
          <w:sz w:val="24"/>
          <w:szCs w:val="24"/>
        </w:rPr>
      </w:pPr>
      <w:ins w:id="22" w:author="Ruktanonchai, Nick" w:date="2025-11-17T22:08:00Z" w16du:dateUtc="2025-11-18T03:08:00Z">
        <w:r w:rsidRPr="00942D9F">
          <w:rPr>
            <w:rFonts w:ascii="Times New Roman" w:hAnsi="Times New Roman" w:cs="Times New Roman"/>
            <w:sz w:val="24"/>
            <w:szCs w:val="24"/>
            <w:rPrChange w:id="23" w:author="Ruktanonchai, Nick" w:date="2025-11-17T22:08:00Z" w16du:dateUtc="2025-11-18T03:08:00Z">
              <w:rPr/>
            </w:rPrChange>
          </w:rPr>
          <w:t>Despite extensive evidence of structural barriers to care in Appalachia, few studies have quantified how healthcare-seeking mobility changed during the COVID-19 pandemic in rural U.S. settings, or contrasted healthcare trips with other types of travel using high-resolution mobility data.</w:t>
        </w:r>
        <w:r>
          <w:rPr>
            <w:rFonts w:ascii="Times New Roman" w:hAnsi="Times New Roman" w:cs="Times New Roman"/>
            <w:sz w:val="24"/>
            <w:szCs w:val="24"/>
          </w:rPr>
          <w:t xml:space="preserve"> </w:t>
        </w:r>
      </w:ins>
      <w:moveFromRangeStart w:id="24" w:author="Ruktanonchai, Nick" w:date="2025-11-17T22:03:00Z" w:name="move214309447"/>
      <w:moveFrom w:id="25" w:author="Ruktanonchai, Nick" w:date="2025-11-17T22:03:00Z" w16du:dateUtc="2025-11-18T03:03:00Z">
        <w:r w:rsidR="00356348" w:rsidRPr="00942D9F" w:rsidDel="00942D9F">
          <w:rPr>
            <w:rFonts w:ascii="Times New Roman" w:hAnsi="Times New Roman" w:cs="Times New Roman"/>
            <w:sz w:val="24"/>
            <w:szCs w:val="24"/>
          </w:rPr>
          <w:t>The consequences of reduced healthcare access extend well beyond immediate health outcomes. When individuals delay or forgo care, conditions that are otherwise preventable may progress to advanced stages, leading to costly hospitalizations, avoidable complications, and higher mortality rates. Economically, untreated or poorly managed health problems contribute to rising healthcare expenditures, reduced workforce productivity, and significant strain on families already facing financial hardship. During the pandemic, mobility analyses revealed that while general travel increased in urban areas, healthcare trips declined sharply in those same areas. This paradox illustrates that proximity to healthcare facilities does not guarantee access; rather, access is shaped by a combination of geographic, socioeconomic, and behavioral factors. These findings underscore how crises like the COVID-19 pandemic create compounding cycles of medical, economic, and social disadvantage, particularly for rural and underserved populations.</w:t>
        </w:r>
      </w:moveFrom>
    </w:p>
    <w:moveFromRangeEnd w:id="24"/>
    <w:p w14:paraId="1CFB7FCB" w14:textId="3C51E759" w:rsidR="00356348" w:rsidRPr="00942D9F" w:rsidDel="004C0BA8" w:rsidRDefault="00356348" w:rsidP="00356348">
      <w:pPr>
        <w:spacing w:line="276" w:lineRule="auto"/>
        <w:jc w:val="both"/>
        <w:rPr>
          <w:del w:id="26" w:author="Ruktanonchai, Nick" w:date="2025-11-17T21:20:00Z" w16du:dateUtc="2025-11-18T02:20:00Z"/>
          <w:rFonts w:ascii="Times New Roman" w:hAnsi="Times New Roman" w:cs="Times New Roman"/>
          <w:sz w:val="24"/>
          <w:szCs w:val="24"/>
        </w:rPr>
      </w:pPr>
      <w:del w:id="27" w:author="Ruktanonchai, Nick" w:date="2025-11-17T21:20:00Z" w16du:dateUtc="2025-11-18T02:20:00Z">
        <w:r w:rsidRPr="00942D9F" w:rsidDel="004C0BA8">
          <w:rPr>
            <w:rFonts w:ascii="Times New Roman" w:hAnsi="Times New Roman" w:cs="Times New Roman"/>
            <w:sz w:val="24"/>
            <w:szCs w:val="24"/>
          </w:rPr>
          <w:delText>National public health priorities, including those outlined in Healthy People 2030, emphasize the importance of equitable access to care through expanded insurance coverage, increased use of preventive services, and strengthened primary care capacity. For rural regions such as Central Appalachia, ensuring continuity of care during public health emergencies is not only consistent with these goals but also essential for reducing inequities. By examining healthcare accessibility in this context, researchers and policymakers can derive valuable lessons for building healthcare systems that are more resilient, adaptable, and equitable.</w:delText>
        </w:r>
      </w:del>
    </w:p>
    <w:p w14:paraId="5FF058AB" w14:textId="0784F472" w:rsidR="00942D9F" w:rsidRPr="00942D9F" w:rsidDel="00942D9F" w:rsidRDefault="00356348" w:rsidP="00942D9F">
      <w:pPr>
        <w:spacing w:line="276" w:lineRule="auto"/>
        <w:jc w:val="both"/>
        <w:rPr>
          <w:del w:id="28" w:author="Ruktanonchai, Nick" w:date="2025-11-17T22:04:00Z" w16du:dateUtc="2025-11-18T03:04:00Z"/>
          <w:moveTo w:id="29" w:author="Ruktanonchai, Nick" w:date="2025-11-17T22:03:00Z" w16du:dateUtc="2025-11-18T03:03:00Z"/>
          <w:rFonts w:ascii="Times New Roman" w:hAnsi="Times New Roman" w:cs="Times New Roman"/>
          <w:sz w:val="24"/>
          <w:szCs w:val="24"/>
        </w:rPr>
      </w:pPr>
      <w:r w:rsidRPr="00942D9F">
        <w:rPr>
          <w:rFonts w:ascii="Times New Roman" w:hAnsi="Times New Roman" w:cs="Times New Roman"/>
          <w:sz w:val="24"/>
          <w:szCs w:val="24"/>
        </w:rPr>
        <w:t xml:space="preserve">This study investigates </w:t>
      </w:r>
      <w:proofErr w:type="spellStart"/>
      <w:r w:rsidRPr="00942D9F">
        <w:rPr>
          <w:rFonts w:ascii="Times New Roman" w:hAnsi="Times New Roman" w:cs="Times New Roman"/>
          <w:sz w:val="24"/>
          <w:szCs w:val="24"/>
        </w:rPr>
        <w:t>spatio</w:t>
      </w:r>
      <w:proofErr w:type="spellEnd"/>
      <w:r w:rsidRPr="00942D9F">
        <w:rPr>
          <w:rFonts w:ascii="Times New Roman" w:hAnsi="Times New Roman" w:cs="Times New Roman"/>
          <w:sz w:val="24"/>
          <w:szCs w:val="24"/>
        </w:rPr>
        <w:t xml:space="preserve">-temporal patterns of healthcare accessibility in Virginia’s New River Valley (NRV) during the COVID-19 pandemic. Using </w:t>
      </w:r>
      <w:proofErr w:type="spellStart"/>
      <w:r w:rsidRPr="00942D9F">
        <w:rPr>
          <w:rFonts w:ascii="Times New Roman" w:hAnsi="Times New Roman" w:cs="Times New Roman"/>
          <w:sz w:val="24"/>
          <w:szCs w:val="24"/>
        </w:rPr>
        <w:t>SafeGraph</w:t>
      </w:r>
      <w:proofErr w:type="spellEnd"/>
      <w:r w:rsidRPr="00942D9F">
        <w:rPr>
          <w:rFonts w:ascii="Times New Roman" w:hAnsi="Times New Roman" w:cs="Times New Roman"/>
          <w:sz w:val="24"/>
          <w:szCs w:val="24"/>
        </w:rPr>
        <w:t xml:space="preserve"> mobility data combined with geospatial analysis, </w:t>
      </w:r>
      <w:del w:id="30" w:author="Ruktanonchai, Nick" w:date="2025-11-17T21:20:00Z" w16du:dateUtc="2025-11-18T02:20:00Z">
        <w:r w:rsidRPr="00942D9F" w:rsidDel="004C0BA8">
          <w:rPr>
            <w:rFonts w:ascii="Times New Roman" w:hAnsi="Times New Roman" w:cs="Times New Roman"/>
            <w:sz w:val="24"/>
            <w:szCs w:val="24"/>
          </w:rPr>
          <w:delText xml:space="preserve">it </w:delText>
        </w:r>
      </w:del>
      <w:ins w:id="31" w:author="Ruktanonchai, Nick" w:date="2025-11-17T21:20:00Z" w16du:dateUtc="2025-11-18T02:20:00Z">
        <w:r w:rsidR="004C0BA8" w:rsidRPr="00942D9F">
          <w:rPr>
            <w:rFonts w:ascii="Times New Roman" w:hAnsi="Times New Roman" w:cs="Times New Roman"/>
            <w:sz w:val="24"/>
            <w:szCs w:val="24"/>
          </w:rPr>
          <w:t>we</w:t>
        </w:r>
        <w:r w:rsidR="004C0BA8" w:rsidRPr="00942D9F">
          <w:rPr>
            <w:rFonts w:ascii="Times New Roman" w:hAnsi="Times New Roman" w:cs="Times New Roman"/>
            <w:sz w:val="24"/>
            <w:szCs w:val="24"/>
          </w:rPr>
          <w:t xml:space="preserve"> </w:t>
        </w:r>
      </w:ins>
      <w:r w:rsidRPr="00942D9F">
        <w:rPr>
          <w:rFonts w:ascii="Times New Roman" w:hAnsi="Times New Roman" w:cs="Times New Roman"/>
          <w:sz w:val="24"/>
          <w:szCs w:val="24"/>
        </w:rPr>
        <w:t>examine</w:t>
      </w:r>
      <w:del w:id="32" w:author="Ruktanonchai, Nick" w:date="2025-11-17T21:20:00Z" w16du:dateUtc="2025-11-18T02:20:00Z">
        <w:r w:rsidRPr="00942D9F" w:rsidDel="004C0BA8">
          <w:rPr>
            <w:rFonts w:ascii="Times New Roman" w:hAnsi="Times New Roman" w:cs="Times New Roman"/>
            <w:sz w:val="24"/>
            <w:szCs w:val="24"/>
          </w:rPr>
          <w:delText>s</w:delText>
        </w:r>
      </w:del>
      <w:r w:rsidRPr="00942D9F">
        <w:rPr>
          <w:rFonts w:ascii="Times New Roman" w:hAnsi="Times New Roman" w:cs="Times New Roman"/>
          <w:sz w:val="24"/>
          <w:szCs w:val="24"/>
        </w:rPr>
        <w:t xml:space="preserve"> changes in healthcare utilization relative to general mobility patterns, identifies geographic and socioeconomic characteristics of the populations most affected, and highlights disparities in travel burdens and access across rural and urban communities. </w:t>
      </w:r>
      <w:moveToRangeStart w:id="33" w:author="Ruktanonchai, Nick" w:date="2025-11-17T22:03:00Z" w:name="move214309447"/>
      <w:moveTo w:id="34" w:author="Ruktanonchai, Nick" w:date="2025-11-17T22:03:00Z" w16du:dateUtc="2025-11-18T03:03:00Z">
        <w:del w:id="35" w:author="Ruktanonchai, Nick" w:date="2025-11-17T22:04:00Z" w16du:dateUtc="2025-11-18T03:04:00Z">
          <w:r w:rsidR="00942D9F" w:rsidRPr="00942D9F" w:rsidDel="00942D9F">
            <w:rPr>
              <w:rFonts w:ascii="Times New Roman" w:hAnsi="Times New Roman" w:cs="Times New Roman"/>
              <w:sz w:val="24"/>
              <w:szCs w:val="24"/>
            </w:rPr>
            <w:delText>The consequences of reduced healthcare access extend well beyond immediate health outcomes. When individuals delay or forgo care, conditions that are otherwise preventable may progress to advanced stages, leading to costly hospitalizations, avoidable complications, and higher mortality rates. Economically, untreated or poorly managed health problems contribute to rising healthcare expenditures, reduced workforce productivity, and significant strain on families already facing financial hardship. During the pandemic, mobility analyses revealed that while general travel increased in urban areas, healthcare trips declined sharply in those same areas. This paradox illustrates that proximity to healthcare facilities does not guarantee access; rather, access is shaped by a combination of geographic, socioeconomic, and behavioral factors. These findings underscore how crises like the COVID-19 pandemic create compounding cycles of medical, economic, and social disadvantage, particularly for rural and underserved populations.</w:delText>
          </w:r>
        </w:del>
      </w:moveTo>
    </w:p>
    <w:moveToRangeEnd w:id="33"/>
    <w:p w14:paraId="77624E95" w14:textId="228680CC" w:rsidR="00356348" w:rsidRPr="00942D9F" w:rsidRDefault="00356348" w:rsidP="00356348">
      <w:pPr>
        <w:spacing w:line="276" w:lineRule="auto"/>
        <w:jc w:val="both"/>
        <w:rPr>
          <w:rFonts w:ascii="Times New Roman" w:hAnsi="Times New Roman" w:cs="Times New Roman"/>
          <w:sz w:val="24"/>
          <w:szCs w:val="24"/>
        </w:rPr>
      </w:pPr>
      <w:del w:id="36" w:author="Ruktanonchai, Nick" w:date="2025-11-17T21:20:00Z" w16du:dateUtc="2025-11-18T02:20:00Z">
        <w:r w:rsidRPr="00942D9F" w:rsidDel="004C0BA8">
          <w:rPr>
            <w:rFonts w:ascii="Times New Roman" w:hAnsi="Times New Roman" w:cs="Times New Roman"/>
            <w:sz w:val="24"/>
            <w:szCs w:val="24"/>
          </w:rPr>
          <w:delText>By situating these findings within Andersen’s Behavioral Model and the Health Belief Model, the study links structural determinants of healthcare access with individual perceptions of risk, benefits, and barriers.</w:delText>
        </w:r>
      </w:del>
    </w:p>
    <w:p w14:paraId="0FC28803" w14:textId="614FBE0C"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The significance of this research lies in its ability to provide both conceptual and practical insights. Conceptually, it extends global literature on spatial inequities in healthcare by documenting how accessibility fluctuates under crisis conditions in rural U.S. contexts. Practically, it generates evidence that can inform targeted interventions such as expanded telehealth, transportation support, and resource allocation to high-burden communities. More broadly, the findings can guide preparedness planning for future crises, contributing to national efforts to achieve health equity and strengthen healthcare system resilience. Ultimately, this research demonstrates that understanding healthcare access requires not only examining how it varies under routine conditions but also how it shifts in response to extraordinary events, offering critical lessons for promoting equity in underserved regions.</w:t>
      </w:r>
    </w:p>
    <w:p w14:paraId="34E88F8A" w14:textId="77777777" w:rsidR="00356348" w:rsidRDefault="00356348" w:rsidP="00356348">
      <w:pPr>
        <w:spacing w:line="276" w:lineRule="auto"/>
        <w:jc w:val="both"/>
        <w:rPr>
          <w:rFonts w:ascii="Times New Roman" w:hAnsi="Times New Roman" w:cs="Times New Roman"/>
          <w:sz w:val="24"/>
          <w:szCs w:val="24"/>
        </w:rPr>
      </w:pPr>
    </w:p>
    <w:p w14:paraId="58D780AA" w14:textId="77777777" w:rsidR="00356348" w:rsidRDefault="00356348" w:rsidP="00356348">
      <w:pPr>
        <w:spacing w:line="276" w:lineRule="auto"/>
        <w:jc w:val="both"/>
        <w:rPr>
          <w:ins w:id="37" w:author="Ruktanonchai, Nick" w:date="2025-11-23T21:37:00Z" w16du:dateUtc="2025-11-24T02:37:00Z"/>
          <w:rFonts w:ascii="Times New Roman" w:hAnsi="Times New Roman" w:cs="Times New Roman"/>
          <w:b/>
          <w:bCs/>
          <w:sz w:val="24"/>
          <w:szCs w:val="24"/>
        </w:rPr>
      </w:pPr>
      <w:r w:rsidRPr="00367137">
        <w:rPr>
          <w:rFonts w:ascii="Times New Roman" w:hAnsi="Times New Roman" w:cs="Times New Roman"/>
          <w:b/>
          <w:bCs/>
          <w:sz w:val="24"/>
          <w:szCs w:val="24"/>
        </w:rPr>
        <w:t>Methods</w:t>
      </w:r>
    </w:p>
    <w:p w14:paraId="7D5D2015" w14:textId="266CD6ED" w:rsidR="00F860E8" w:rsidRPr="00F860E8" w:rsidRDefault="00F860E8" w:rsidP="00356348">
      <w:pPr>
        <w:spacing w:line="276" w:lineRule="auto"/>
        <w:jc w:val="both"/>
        <w:rPr>
          <w:rFonts w:ascii="Times New Roman" w:hAnsi="Times New Roman" w:cs="Times New Roman"/>
          <w:sz w:val="24"/>
          <w:szCs w:val="24"/>
          <w:rPrChange w:id="38" w:author="Ruktanonchai, Nick" w:date="2025-11-23T21:37:00Z" w16du:dateUtc="2025-11-24T02:37:00Z">
            <w:rPr>
              <w:rFonts w:ascii="Times New Roman" w:hAnsi="Times New Roman" w:cs="Times New Roman"/>
              <w:b/>
              <w:bCs/>
              <w:sz w:val="24"/>
              <w:szCs w:val="24"/>
            </w:rPr>
          </w:rPrChange>
        </w:rPr>
      </w:pPr>
      <w:ins w:id="39" w:author="Ruktanonchai, Nick" w:date="2025-11-23T21:37:00Z" w16du:dateUtc="2025-11-24T02:37:00Z">
        <w:r>
          <w:rPr>
            <w:rFonts w:ascii="Times New Roman" w:hAnsi="Times New Roman" w:cs="Times New Roman"/>
            <w:sz w:val="24"/>
            <w:szCs w:val="24"/>
          </w:rPr>
          <w:t>To examine how healthcare accessibility changed through space and time, we analy</w:t>
        </w:r>
      </w:ins>
      <w:ins w:id="40" w:author="Ruktanonchai, Nick" w:date="2025-11-23T21:38:00Z" w16du:dateUtc="2025-11-24T02:38:00Z">
        <w:r>
          <w:rPr>
            <w:rFonts w:ascii="Times New Roman" w:hAnsi="Times New Roman" w:cs="Times New Roman"/>
            <w:sz w:val="24"/>
            <w:szCs w:val="24"/>
          </w:rPr>
          <w:t>zed spatiotemporal patterns of healthcare clinic utilization from various census block groups</w:t>
        </w:r>
      </w:ins>
      <w:ins w:id="41" w:author="Ruktanonchai, Nick" w:date="2025-11-23T21:46:00Z" w16du:dateUtc="2025-11-24T02:46:00Z">
        <w:r w:rsidR="00D20D32">
          <w:rPr>
            <w:rFonts w:ascii="Times New Roman" w:hAnsi="Times New Roman" w:cs="Times New Roman"/>
            <w:sz w:val="24"/>
            <w:szCs w:val="24"/>
          </w:rPr>
          <w:t>. We determined the periods that were linked with increased or decreased healthcare access, and the block groups that exhibited the most change.</w:t>
        </w:r>
      </w:ins>
    </w:p>
    <w:p w14:paraId="5E6FEA4C"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Study Area</w:t>
      </w:r>
    </w:p>
    <w:p w14:paraId="3A4F1EAF" w14:textId="77777777" w:rsidR="003B0E80" w:rsidRDefault="003B0E80" w:rsidP="003B0E80">
      <w:pPr>
        <w:pStyle w:val="NormalWeb"/>
        <w:rPr>
          <w:ins w:id="42" w:author="Ruktanonchai, Nick" w:date="2025-11-23T22:11:00Z" w16du:dateUtc="2025-11-24T03:11:00Z"/>
        </w:rPr>
      </w:pPr>
      <w:ins w:id="43" w:author="Ruktanonchai, Nick" w:date="2025-11-23T22:11:00Z" w16du:dateUtc="2025-11-24T03:11:00Z">
        <w:r>
          <w:t>This study was conducted in Virginia’s New River Valley (NRV), a subregion of Central Appalachia comprising four counties (Montgomery, Pulaski, Giles, and Floyd) and one independent city (Radford). The NRV is characterized by a mixed rural–urban landscape with substantial variation in healthcare infrastructure, socioeconomic conditions, and population density. Montgomery County includes the urban hub of Blacksburg and adjacent suburban neighborhoods, whereas the remaining jurisdictions are predominantly rural with lower population density and more limited healthcare facility coverage. This rural–urban gradient provides an opportunity to examine how changes in healthcare utilization and mobility during the early COVID-19 pandemic differed across communities with varying levels of healthcare resources and rurality.</w:t>
        </w:r>
      </w:ins>
    </w:p>
    <w:p w14:paraId="692F5890" w14:textId="77777777" w:rsidR="003B0E80" w:rsidRDefault="003B0E80" w:rsidP="00356348">
      <w:pPr>
        <w:spacing w:line="276" w:lineRule="auto"/>
        <w:jc w:val="both"/>
        <w:rPr>
          <w:ins w:id="44" w:author="Ruktanonchai, Nick" w:date="2025-11-23T22:11:00Z" w16du:dateUtc="2025-11-24T03:11:00Z"/>
          <w:rFonts w:ascii="Times New Roman" w:hAnsi="Times New Roman" w:cs="Times New Roman"/>
          <w:sz w:val="24"/>
          <w:szCs w:val="24"/>
        </w:rPr>
      </w:pPr>
    </w:p>
    <w:p w14:paraId="067C5F12" w14:textId="256E4DB9" w:rsidR="00356348" w:rsidRPr="00367137" w:rsidDel="003B0E80" w:rsidRDefault="00356348" w:rsidP="00356348">
      <w:pPr>
        <w:spacing w:line="276" w:lineRule="auto"/>
        <w:jc w:val="both"/>
        <w:rPr>
          <w:del w:id="45" w:author="Ruktanonchai, Nick" w:date="2025-11-23T22:11:00Z" w16du:dateUtc="2025-11-24T03:11:00Z"/>
          <w:rFonts w:ascii="Times New Roman" w:hAnsi="Times New Roman" w:cs="Times New Roman"/>
          <w:sz w:val="24"/>
          <w:szCs w:val="24"/>
        </w:rPr>
      </w:pPr>
      <w:del w:id="46" w:author="Ruktanonchai, Nick" w:date="2025-11-23T22:11:00Z" w16du:dateUtc="2025-11-24T03:11:00Z">
        <w:r w:rsidRPr="00367137" w:rsidDel="003B0E80">
          <w:rPr>
            <w:rFonts w:ascii="Times New Roman" w:hAnsi="Times New Roman" w:cs="Times New Roman"/>
            <w:sz w:val="24"/>
            <w:szCs w:val="24"/>
          </w:rPr>
          <w:delText>This study focuses on Virginia’s New River Valley (NRV), a subregion of Central Appalachia composed of five counties: Montgomery, Pulaski, Giles, Floyd, and the City of Radford. The NRV represents a mixed rural</w:delText>
        </w:r>
        <w:r w:rsidDel="003B0E80">
          <w:rPr>
            <w:rFonts w:ascii="Times New Roman" w:hAnsi="Times New Roman" w:cs="Times New Roman"/>
            <w:sz w:val="24"/>
            <w:szCs w:val="24"/>
          </w:rPr>
          <w:delText xml:space="preserve"> </w:delText>
        </w:r>
        <w:r w:rsidRPr="00367137" w:rsidDel="003B0E80">
          <w:rPr>
            <w:rFonts w:ascii="Times New Roman" w:hAnsi="Times New Roman" w:cs="Times New Roman"/>
            <w:sz w:val="24"/>
            <w:szCs w:val="24"/>
          </w:rPr>
          <w:delText>urban landscape with varying degrees of healthcare infrastructure, socioeconomic resources, and population density. Montgomery County includes the urban hub of Blacksburg and surrounding suburban neighborhoods, while other counties exhibit low population density and limited healthcare facility coverage. The geographic diversity of this region makes it an ideal case study for exploring disparities in healthcare accessibility and mobility during the COVID-19 pandemic.</w:delText>
        </w:r>
      </w:del>
    </w:p>
    <w:p w14:paraId="6C57F9DF"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Data Sources</w:t>
      </w:r>
    </w:p>
    <w:p w14:paraId="64298B9D" w14:textId="77777777" w:rsidR="003B0E80" w:rsidRDefault="003B0E80" w:rsidP="003B0E80">
      <w:pPr>
        <w:pStyle w:val="NormalWeb"/>
        <w:rPr>
          <w:ins w:id="47" w:author="Ruktanonchai, Nick" w:date="2025-11-23T22:11:00Z" w16du:dateUtc="2025-11-24T03:11:00Z"/>
        </w:rPr>
      </w:pPr>
      <w:ins w:id="48" w:author="Ruktanonchai, Nick" w:date="2025-11-23T22:11:00Z" w16du:dateUtc="2025-11-24T03:11:00Z">
        <w:r>
          <w:t xml:space="preserve">The primary data source was mobility data obtained from </w:t>
        </w:r>
        <w:proofErr w:type="spellStart"/>
        <w:r>
          <w:t>SafeGraph</w:t>
        </w:r>
        <w:proofErr w:type="spellEnd"/>
        <w:r>
          <w:t xml:space="preserve">, a commercial provider of anonymized and aggregated location information derived from smartphone devices. </w:t>
        </w:r>
        <w:proofErr w:type="spellStart"/>
        <w:r>
          <w:t>SafeGraph’s</w:t>
        </w:r>
        <w:proofErr w:type="spellEnd"/>
        <w:r>
          <w:t xml:space="preserve"> Patterns dataset provides monthly counts of visits to points of interest (POIs), including healthcare facilities, along with associated attributes such as the median distance traveled and the home census block group of visitors. These data enable analysis of both spatial patterns and temporal changes in visit behavior at the census block group level.</w:t>
        </w:r>
      </w:ins>
    </w:p>
    <w:p w14:paraId="17EFE053" w14:textId="548DEF7E" w:rsidR="00D20D32" w:rsidRPr="00367137" w:rsidRDefault="00356348" w:rsidP="00356348">
      <w:pPr>
        <w:spacing w:line="276" w:lineRule="auto"/>
        <w:jc w:val="both"/>
        <w:rPr>
          <w:rFonts w:ascii="Times New Roman" w:hAnsi="Times New Roman" w:cs="Times New Roman"/>
          <w:sz w:val="24"/>
          <w:szCs w:val="24"/>
        </w:rPr>
      </w:pPr>
      <w:del w:id="49" w:author="Ruktanonchai, Nick" w:date="2025-11-23T22:11:00Z" w16du:dateUtc="2025-11-24T03:11:00Z">
        <w:r w:rsidRPr="00367137" w:rsidDel="003B0E80">
          <w:rPr>
            <w:rFonts w:ascii="Times New Roman" w:hAnsi="Times New Roman" w:cs="Times New Roman"/>
            <w:sz w:val="24"/>
            <w:szCs w:val="24"/>
          </w:rPr>
          <w:delText>The primary data source for this analysis was SafeGraph mobility data, a comprehensive dataset derived from anonymized, aggregated cell phone location information. SafeGraph’s “Places Patterns” dataset provides monthly counts of visits to points of interest (POIs), including healthcare facilities, across U.S. census block groups. Each record includes the number of visits, median travel distance, and visitor home census block group, enabling both spatial and temporal analysis of mobility behavior.</w:delText>
        </w:r>
      </w:del>
      <w:ins w:id="50" w:author="Ruktanonchai, Nick" w:date="2025-11-23T21:48:00Z" w16du:dateUtc="2025-11-24T02:48:00Z">
        <w:r w:rsidR="00D20D32">
          <w:rPr>
            <w:rFonts w:ascii="Times New Roman" w:hAnsi="Times New Roman" w:cs="Times New Roman"/>
            <w:sz w:val="24"/>
            <w:szCs w:val="24"/>
          </w:rPr>
          <w:t xml:space="preserve">[add </w:t>
        </w:r>
        <w:proofErr w:type="spellStart"/>
        <w:r w:rsidR="00D20D32">
          <w:rPr>
            <w:rFonts w:ascii="Times New Roman" w:hAnsi="Times New Roman" w:cs="Times New Roman"/>
            <w:sz w:val="24"/>
            <w:szCs w:val="24"/>
          </w:rPr>
          <w:t>safegraph</w:t>
        </w:r>
        <w:proofErr w:type="spellEnd"/>
        <w:r w:rsidR="00D20D32">
          <w:rPr>
            <w:rFonts w:ascii="Times New Roman" w:hAnsi="Times New Roman" w:cs="Times New Roman"/>
            <w:sz w:val="24"/>
            <w:szCs w:val="24"/>
          </w:rPr>
          <w:t xml:space="preserve"> text here]</w:t>
        </w:r>
      </w:ins>
    </w:p>
    <w:p w14:paraId="7728D49F" w14:textId="77777777" w:rsidR="003B0E80" w:rsidRDefault="003B0E80" w:rsidP="003B0E80">
      <w:pPr>
        <w:pStyle w:val="NormalWeb"/>
        <w:rPr>
          <w:ins w:id="51" w:author="Ruktanonchai, Nick" w:date="2025-11-23T22:11:00Z" w16du:dateUtc="2025-11-24T03:11:00Z"/>
        </w:rPr>
      </w:pPr>
      <w:ins w:id="52" w:author="Ruktanonchai, Nick" w:date="2025-11-23T22:11:00Z" w16du:dateUtc="2025-11-24T03:11:00Z">
        <w:r>
          <w:t>Healthcare facilities were identified using North American Industry Classification System (NAICS) codes corresponding to hospitals, outpatient care centers, physician offices, and urgent care facilities. We constructed a healthcare POI subset based on these NAICS codes and distinguished it from a comparison group of non-healthcare POIs, including retail, food, and recreation venues. Aggregated visit patterns to non-healthcare POIs were used to contextualize changes in healthcare-related mobility relative to overall mobility behavior.</w:t>
        </w:r>
      </w:ins>
    </w:p>
    <w:p w14:paraId="7471CCF2" w14:textId="77777777" w:rsidR="003B0E80" w:rsidRDefault="003B0E80" w:rsidP="003B0E80">
      <w:pPr>
        <w:pStyle w:val="NormalWeb"/>
        <w:rPr>
          <w:ins w:id="53" w:author="Ruktanonchai, Nick" w:date="2025-11-23T22:11:00Z" w16du:dateUtc="2025-11-24T03:11:00Z"/>
        </w:rPr>
      </w:pPr>
      <w:ins w:id="54" w:author="Ruktanonchai, Nick" w:date="2025-11-23T22:11:00Z" w16du:dateUtc="2025-11-24T03:11:00Z">
        <w:r>
          <w:t>Population and sociodemographic characteristics at the census block group level were obtained from the 2019 American Community Survey (ACS) 5-year estimates. Variables included median household income, vehicle availability, health insurance coverage, and urban–rural classification. Urban–rural status was defined using ACS- and Census-derived indicators of urbanized areas and rural tracts, and was used to operationalize rurality within the NRV.</w:t>
        </w:r>
      </w:ins>
    </w:p>
    <w:p w14:paraId="27C1867E" w14:textId="2BB5C3E4" w:rsidR="00356348" w:rsidRPr="00367137" w:rsidDel="003B0E80" w:rsidRDefault="00356348" w:rsidP="00356348">
      <w:pPr>
        <w:spacing w:line="276" w:lineRule="auto"/>
        <w:jc w:val="both"/>
        <w:rPr>
          <w:del w:id="55" w:author="Ruktanonchai, Nick" w:date="2025-11-23T22:11:00Z" w16du:dateUtc="2025-11-24T03:11:00Z"/>
          <w:rFonts w:ascii="Times New Roman" w:hAnsi="Times New Roman" w:cs="Times New Roman"/>
          <w:sz w:val="24"/>
          <w:szCs w:val="24"/>
        </w:rPr>
      </w:pPr>
      <w:del w:id="56" w:author="Ruktanonchai, Nick" w:date="2025-11-23T22:11:00Z" w16du:dateUtc="2025-11-24T03:11:00Z">
        <w:r w:rsidRPr="00367137" w:rsidDel="003B0E80">
          <w:rPr>
            <w:rFonts w:ascii="Times New Roman" w:hAnsi="Times New Roman" w:cs="Times New Roman"/>
            <w:sz w:val="24"/>
            <w:szCs w:val="24"/>
          </w:rPr>
          <w:delText>Healthcare facilities were identified using North American Industry Classification System (NAICS) codes corresponding to hospitals, outpatient care centers, physician offices, and urgent care facilities. These data were compared to mobility trends for all trips</w:delText>
        </w:r>
        <w:r w:rsidDel="003B0E80">
          <w:rPr>
            <w:rFonts w:ascii="Times New Roman" w:hAnsi="Times New Roman" w:cs="Times New Roman"/>
            <w:sz w:val="24"/>
            <w:szCs w:val="24"/>
          </w:rPr>
          <w:delText xml:space="preserve"> </w:delText>
        </w:r>
        <w:r w:rsidRPr="00367137" w:rsidDel="003B0E80">
          <w:rPr>
            <w:rFonts w:ascii="Times New Roman" w:hAnsi="Times New Roman" w:cs="Times New Roman"/>
            <w:sz w:val="24"/>
            <w:szCs w:val="24"/>
          </w:rPr>
          <w:delText>aggregated across non-healthcare POIs such as retail, food, and recreation</w:delText>
        </w:r>
        <w:r w:rsidDel="003B0E80">
          <w:rPr>
            <w:rFonts w:ascii="Times New Roman" w:hAnsi="Times New Roman" w:cs="Times New Roman"/>
            <w:sz w:val="24"/>
            <w:szCs w:val="24"/>
          </w:rPr>
          <w:delText xml:space="preserve"> </w:delText>
        </w:r>
        <w:r w:rsidRPr="00367137" w:rsidDel="003B0E80">
          <w:rPr>
            <w:rFonts w:ascii="Times New Roman" w:hAnsi="Times New Roman" w:cs="Times New Roman"/>
            <w:sz w:val="24"/>
            <w:szCs w:val="24"/>
          </w:rPr>
          <w:delText>to contextualize healthcare-specific mobility patterns. Population and demographic data were obtained from the American Community Survey (ACS) 2019 5-year estimates, providing measures such as median income, vehicle ownership, insurance coverage, and urban</w:delText>
        </w:r>
        <w:r w:rsidDel="003B0E80">
          <w:rPr>
            <w:rFonts w:ascii="Times New Roman" w:hAnsi="Times New Roman" w:cs="Times New Roman"/>
            <w:sz w:val="24"/>
            <w:szCs w:val="24"/>
          </w:rPr>
          <w:delText xml:space="preserve"> </w:delText>
        </w:r>
        <w:r w:rsidRPr="00367137" w:rsidDel="003B0E80">
          <w:rPr>
            <w:rFonts w:ascii="Times New Roman" w:hAnsi="Times New Roman" w:cs="Times New Roman"/>
            <w:sz w:val="24"/>
            <w:szCs w:val="24"/>
          </w:rPr>
          <w:delText>rural classification.</w:delText>
        </w:r>
      </w:del>
    </w:p>
    <w:p w14:paraId="4651462C"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Temporal Scope</w:t>
      </w:r>
    </w:p>
    <w:p w14:paraId="000AE44F" w14:textId="77777777" w:rsidR="003B0E80" w:rsidRDefault="003B0E80" w:rsidP="003B0E80">
      <w:pPr>
        <w:pStyle w:val="NormalWeb"/>
        <w:rPr>
          <w:ins w:id="57" w:author="Ruktanonchai, Nick" w:date="2025-11-23T22:13:00Z" w16du:dateUtc="2025-11-24T03:13:00Z"/>
        </w:rPr>
      </w:pPr>
      <w:ins w:id="58" w:author="Ruktanonchai, Nick" w:date="2025-11-23T22:13:00Z" w16du:dateUtc="2025-11-24T03:13:00Z">
        <w:r>
          <w:t>We analyzed mobility data from August 2019 through May 2020 to capture visit patterns before and during the early months of the COVID-19 pandemic. February 2020 served as the primary baseline month, representing pre-pandemic conditions immediately prior to widespread lockdown measures in the United States and lacking major holidays that substantially alter routine mobility. For selected months—August 2019, December 2019, April 2020, and May 2020—we calculated ratios of visit rates relative to February 2020 to quantify temporal change.</w:t>
        </w:r>
      </w:ins>
    </w:p>
    <w:p w14:paraId="3CE55C3A" w14:textId="77777777" w:rsidR="003B0E80" w:rsidRDefault="003B0E80" w:rsidP="003B0E80">
      <w:pPr>
        <w:pStyle w:val="NormalWeb"/>
        <w:rPr>
          <w:ins w:id="59" w:author="Ruktanonchai, Nick" w:date="2025-11-23T22:13:00Z" w16du:dateUtc="2025-11-24T03:13:00Z"/>
        </w:rPr>
      </w:pPr>
      <w:ins w:id="60" w:author="Ruktanonchai, Nick" w:date="2025-11-23T22:13:00Z" w16du:dateUtc="2025-11-24T03:13:00Z">
        <w:r>
          <w:t>August and December 2019 represent pre-pandemic stability and seasonal variation prior to COVID-19, whereas April 2020 corresponds to the period of peak public health restrictions in Virginia, and May 2020 reflects an initial phase of policy relaxation and early recovery. As a sensitivity analysis, we also evaluated alternative baselines (February 2019 and the 2019 annual average) to assess the robustness of spatial patterns to baseline choice.</w:t>
        </w:r>
      </w:ins>
    </w:p>
    <w:p w14:paraId="36FDDAE1" w14:textId="2458DC5F" w:rsidR="00356348" w:rsidRPr="00367137" w:rsidDel="003B0E80" w:rsidRDefault="00356348" w:rsidP="00356348">
      <w:pPr>
        <w:spacing w:line="276" w:lineRule="auto"/>
        <w:jc w:val="both"/>
        <w:rPr>
          <w:del w:id="61" w:author="Ruktanonchai, Nick" w:date="2025-11-23T22:13:00Z" w16du:dateUtc="2025-11-24T03:13:00Z"/>
          <w:rFonts w:ascii="Times New Roman" w:hAnsi="Times New Roman" w:cs="Times New Roman"/>
          <w:sz w:val="24"/>
          <w:szCs w:val="24"/>
        </w:rPr>
      </w:pPr>
      <w:del w:id="62" w:author="Ruktanonchai, Nick" w:date="2025-11-23T22:13:00Z" w16du:dateUtc="2025-11-24T03:13:00Z">
        <w:r w:rsidRPr="00367137" w:rsidDel="003B0E80">
          <w:rPr>
            <w:rFonts w:ascii="Times New Roman" w:hAnsi="Times New Roman" w:cs="Times New Roman"/>
            <w:sz w:val="24"/>
            <w:szCs w:val="24"/>
          </w:rPr>
          <w:delText>The analysis covered the period from August 2019 through May 2020, capturing mobility patterns before and during the early months of the COVID-19 pandemic. February 2020 served as the baseline month, representing pre-pandemic mobility levels. Ratios of healthcare-related visits were calculated for selected months relative to February 2020 to measure temporal shifts. The months chosen</w:delText>
        </w:r>
        <w:r w:rsidDel="003B0E80">
          <w:rPr>
            <w:rFonts w:ascii="Times New Roman" w:hAnsi="Times New Roman" w:cs="Times New Roman"/>
            <w:sz w:val="24"/>
            <w:szCs w:val="24"/>
          </w:rPr>
          <w:delText xml:space="preserve"> </w:delText>
        </w:r>
        <w:r w:rsidRPr="00367137" w:rsidDel="003B0E80">
          <w:rPr>
            <w:rFonts w:ascii="Times New Roman" w:hAnsi="Times New Roman" w:cs="Times New Roman"/>
            <w:sz w:val="24"/>
            <w:szCs w:val="24"/>
          </w:rPr>
          <w:delText>August 2019, December 2019, April 2020, and May 2020</w:delText>
        </w:r>
        <w:r w:rsidDel="003B0E80">
          <w:rPr>
            <w:rFonts w:ascii="Times New Roman" w:hAnsi="Times New Roman" w:cs="Times New Roman"/>
            <w:sz w:val="24"/>
            <w:szCs w:val="24"/>
          </w:rPr>
          <w:delText xml:space="preserve"> </w:delText>
        </w:r>
        <w:r w:rsidRPr="00367137" w:rsidDel="003B0E80">
          <w:rPr>
            <w:rFonts w:ascii="Times New Roman" w:hAnsi="Times New Roman" w:cs="Times New Roman"/>
            <w:sz w:val="24"/>
            <w:szCs w:val="24"/>
          </w:rPr>
          <w:delText>represent key points in pre-pandemic stability, onset of the pandemic, peak restrictions, and initial recovery, respectively.</w:delText>
        </w:r>
      </w:del>
    </w:p>
    <w:p w14:paraId="43C2BBDC"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Data Preprocessing</w:t>
      </w:r>
    </w:p>
    <w:p w14:paraId="7763C360" w14:textId="77777777" w:rsidR="003B0E80" w:rsidRDefault="003B0E80" w:rsidP="003B0E80">
      <w:pPr>
        <w:pStyle w:val="NormalWeb"/>
        <w:rPr>
          <w:ins w:id="63" w:author="Ruktanonchai, Nick" w:date="2025-11-23T22:13:00Z" w16du:dateUtc="2025-11-24T03:13:00Z"/>
        </w:rPr>
      </w:pPr>
      <w:ins w:id="64" w:author="Ruktanonchai, Nick" w:date="2025-11-23T22:13:00Z" w16du:dateUtc="2025-11-24T03:13:00Z">
        <w:r>
          <w:t xml:space="preserve">All </w:t>
        </w:r>
        <w:proofErr w:type="spellStart"/>
        <w:r>
          <w:t>SafeGraph</w:t>
        </w:r>
        <w:proofErr w:type="spellEnd"/>
        <w:r>
          <w:t xml:space="preserve"> data processing was conducted in Python, and spatial operations were carried out in ArcGIS Pro (Esri, Redlands, CA). We first restricted the dataset to POIs located within the NRV study area and linked each POI to its corresponding census block group using spatial joins. </w:t>
        </w:r>
        <w:r>
          <w:lastRenderedPageBreak/>
          <w:t xml:space="preserve">For each block group and month, we computed total visits to healthcare POIs and to non-healthcare POIs separately, along with the median distance traveled for healthcare visits based on </w:t>
        </w:r>
        <w:proofErr w:type="spellStart"/>
        <w:r>
          <w:t>SafeGraph’s</w:t>
        </w:r>
        <w:proofErr w:type="spellEnd"/>
        <w:r>
          <w:t xml:space="preserve"> reported visitor home locations.</w:t>
        </w:r>
      </w:ins>
    </w:p>
    <w:p w14:paraId="494B33EF" w14:textId="77777777" w:rsidR="003B0E80" w:rsidRDefault="003B0E80" w:rsidP="003B0E80">
      <w:pPr>
        <w:pStyle w:val="NormalWeb"/>
        <w:rPr>
          <w:ins w:id="65" w:author="Ruktanonchai, Nick" w:date="2025-11-23T22:13:00Z" w16du:dateUtc="2025-11-24T03:13:00Z"/>
        </w:rPr>
      </w:pPr>
      <w:ins w:id="66" w:author="Ruktanonchai, Nick" w:date="2025-11-23T22:13:00Z" w16du:dateUtc="2025-11-24T03:13:00Z">
        <w:r>
          <w:t>Monthly visit counts were normalized by the resident population of each census block group, derived from ACS, to yield per-capita visit rates (visits per 1,000 residents). To reduce instability due to very small sample sizes, block groups with fewer than 50 total visits across the entire study period (summing healthcare visits across all months) were excluded from analysis.</w:t>
        </w:r>
      </w:ins>
    </w:p>
    <w:p w14:paraId="20ADC3C3" w14:textId="1C800C47" w:rsidR="00356348" w:rsidRPr="00367137" w:rsidDel="003B0E80" w:rsidRDefault="00356348" w:rsidP="00356348">
      <w:pPr>
        <w:spacing w:line="276" w:lineRule="auto"/>
        <w:jc w:val="both"/>
        <w:rPr>
          <w:del w:id="67" w:author="Ruktanonchai, Nick" w:date="2025-11-23T22:13:00Z" w16du:dateUtc="2025-11-24T03:13:00Z"/>
          <w:rFonts w:ascii="Times New Roman" w:hAnsi="Times New Roman" w:cs="Times New Roman"/>
          <w:sz w:val="24"/>
          <w:szCs w:val="24"/>
        </w:rPr>
      </w:pPr>
      <w:del w:id="68" w:author="Ruktanonchai, Nick" w:date="2025-11-23T22:13:00Z" w16du:dateUtc="2025-11-24T03:13:00Z">
        <w:r w:rsidRPr="00367137" w:rsidDel="003B0E80">
          <w:rPr>
            <w:rFonts w:ascii="Times New Roman" w:hAnsi="Times New Roman" w:cs="Times New Roman"/>
            <w:sz w:val="24"/>
            <w:szCs w:val="24"/>
          </w:rPr>
          <w:delText>All SafeGraph data were processed in Python and ArcGIS Pro. Monthly visit counts were normalized by population at the census block group level to ensure comparability across areas of differing population sizes. The analysis employed spatial joins to link SafeGraph POI data to block group boundaries and calculate average travel distances and visit frequencies for healthcare facilities. To reduce potential bias from low-sample block groups, any unit with fewer than 50 monthly visits across the study period was excluded.</w:delText>
        </w:r>
      </w:del>
    </w:p>
    <w:p w14:paraId="0C33441D" w14:textId="77777777" w:rsidR="003B0E80" w:rsidRDefault="003B0E80" w:rsidP="003B0E80">
      <w:pPr>
        <w:pStyle w:val="NormalWeb"/>
        <w:rPr>
          <w:ins w:id="69" w:author="Ruktanonchai, Nick" w:date="2025-11-23T22:13:00Z" w16du:dateUtc="2025-11-24T03:13:00Z"/>
        </w:rPr>
      </w:pPr>
      <w:ins w:id="70" w:author="Ruktanonchai, Nick" w:date="2025-11-23T22:13:00Z" w16du:dateUtc="2025-11-24T03:13:00Z">
        <w:r>
          <w:t>To quantify temporal change, we expressed healthcare visits as ratios of per-capita visit rates in each selected month relative to February 2020, and then converted these ratios to percentage change. Parallel measures were computed for all-trip (non-healthcare) mobility. The use of February 2020 as a baseline allowed comparison of pre- and early-pandemic shifts in visit behavior across block groups with differing levels of rurality and healthcare infrastructure. Sensitivity analyses using February 2019 and the 2019 annual average as alternative baselines were conducted to evaluate whether the choice of baseline materially affected spatial patterns of change.</w:t>
        </w:r>
      </w:ins>
    </w:p>
    <w:p w14:paraId="453BC557" w14:textId="445BAE1C" w:rsidR="00356348" w:rsidDel="003B0E80" w:rsidRDefault="00356348" w:rsidP="00356348">
      <w:pPr>
        <w:spacing w:line="276" w:lineRule="auto"/>
        <w:jc w:val="both"/>
        <w:rPr>
          <w:del w:id="71" w:author="Ruktanonchai, Nick" w:date="2025-11-23T22:13:00Z" w16du:dateUtc="2025-11-24T03:13:00Z"/>
          <w:rFonts w:ascii="Times New Roman" w:hAnsi="Times New Roman" w:cs="Times New Roman"/>
          <w:sz w:val="24"/>
          <w:szCs w:val="24"/>
        </w:rPr>
      </w:pPr>
      <w:del w:id="72" w:author="Ruktanonchai, Nick" w:date="2025-11-23T22:13:00Z" w16du:dateUtc="2025-11-24T03:13:00Z">
        <w:r w:rsidRPr="00367137" w:rsidDel="003B0E80">
          <w:rPr>
            <w:rFonts w:ascii="Times New Roman" w:hAnsi="Times New Roman" w:cs="Times New Roman"/>
            <w:sz w:val="24"/>
            <w:szCs w:val="24"/>
          </w:rPr>
          <w:delText>Healthcare visits were aggregated and expressed as ratios of visits per capita relative to February 2020, enabling visualization of percentage change in healthcare accessibility over time. Similar ratios were computed for all-trip mobility to compare pandemic-related changes across activity types.</w:delText>
        </w:r>
      </w:del>
    </w:p>
    <w:p w14:paraId="210E689C"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Spatial Analysis</w:t>
      </w:r>
    </w:p>
    <w:p w14:paraId="7089922B" w14:textId="77777777" w:rsidR="003B0E80" w:rsidRDefault="003B0E80" w:rsidP="003B0E80">
      <w:pPr>
        <w:pStyle w:val="NormalWeb"/>
        <w:rPr>
          <w:ins w:id="73" w:author="Ruktanonchai, Nick" w:date="2025-11-23T22:13:00Z" w16du:dateUtc="2025-11-24T03:13:00Z"/>
        </w:rPr>
      </w:pPr>
      <w:ins w:id="74" w:author="Ruktanonchai, Nick" w:date="2025-11-23T22:13:00Z" w16du:dateUtc="2025-11-24T03:13:00Z">
        <w:r>
          <w:t>We used spatial analysis to visualize and quantify geographic variation in changes in healthcare visit rates. Choropleth maps of block-group–level percentage change in healthcare visits were created for each selected month relative to February 2020 (August 2019 vs February 2020; December 2019 vs February 2020; April 2020 vs February 2020; and May 2020 vs February 2020). These maps highlight locations with large declines or recoveries in healthcare utilization. For comparison, analogous maps were generated for non-healthcare visit rates.</w:t>
        </w:r>
      </w:ins>
    </w:p>
    <w:p w14:paraId="40CFDF85" w14:textId="6E31334A" w:rsidR="00356348" w:rsidRPr="00367137" w:rsidDel="003B0E80" w:rsidRDefault="00356348" w:rsidP="00356348">
      <w:pPr>
        <w:spacing w:line="276" w:lineRule="auto"/>
        <w:jc w:val="both"/>
        <w:rPr>
          <w:del w:id="75" w:author="Ruktanonchai, Nick" w:date="2025-11-23T22:13:00Z" w16du:dateUtc="2025-11-24T03:13:00Z"/>
          <w:rFonts w:ascii="Times New Roman" w:hAnsi="Times New Roman" w:cs="Times New Roman"/>
          <w:sz w:val="24"/>
          <w:szCs w:val="24"/>
        </w:rPr>
      </w:pPr>
      <w:del w:id="76" w:author="Ruktanonchai, Nick" w:date="2025-11-23T22:13:00Z" w16du:dateUtc="2025-11-24T03:13:00Z">
        <w:r w:rsidRPr="00367137" w:rsidDel="003B0E80">
          <w:rPr>
            <w:rFonts w:ascii="Times New Roman" w:hAnsi="Times New Roman" w:cs="Times New Roman"/>
            <w:sz w:val="24"/>
            <w:szCs w:val="24"/>
          </w:rPr>
          <w:delText>Spatial analyses were conducted to visualize and quantify changes in healthcare accessibility. Choropleth maps were created for each time ratio (August 2019:</w:delText>
        </w:r>
        <w:r w:rsidDel="003B0E80">
          <w:rPr>
            <w:rFonts w:ascii="Times New Roman" w:hAnsi="Times New Roman" w:cs="Times New Roman"/>
            <w:sz w:val="24"/>
            <w:szCs w:val="24"/>
          </w:rPr>
          <w:delText xml:space="preserve"> </w:delText>
        </w:r>
        <w:r w:rsidRPr="00367137" w:rsidDel="003B0E80">
          <w:rPr>
            <w:rFonts w:ascii="Times New Roman" w:hAnsi="Times New Roman" w:cs="Times New Roman"/>
            <w:sz w:val="24"/>
            <w:szCs w:val="24"/>
          </w:rPr>
          <w:delText>February 2020, December 2019:</w:delText>
        </w:r>
        <w:r w:rsidDel="003B0E80">
          <w:rPr>
            <w:rFonts w:ascii="Times New Roman" w:hAnsi="Times New Roman" w:cs="Times New Roman"/>
            <w:sz w:val="24"/>
            <w:szCs w:val="24"/>
          </w:rPr>
          <w:delText xml:space="preserve"> </w:delText>
        </w:r>
        <w:r w:rsidRPr="00367137" w:rsidDel="003B0E80">
          <w:rPr>
            <w:rFonts w:ascii="Times New Roman" w:hAnsi="Times New Roman" w:cs="Times New Roman"/>
            <w:sz w:val="24"/>
            <w:szCs w:val="24"/>
          </w:rPr>
          <w:delText>February 2020, April 2020:</w:delText>
        </w:r>
        <w:r w:rsidDel="003B0E80">
          <w:rPr>
            <w:rFonts w:ascii="Times New Roman" w:hAnsi="Times New Roman" w:cs="Times New Roman"/>
            <w:sz w:val="24"/>
            <w:szCs w:val="24"/>
          </w:rPr>
          <w:delText xml:space="preserve"> </w:delText>
        </w:r>
        <w:r w:rsidRPr="00367137" w:rsidDel="003B0E80">
          <w:rPr>
            <w:rFonts w:ascii="Times New Roman" w:hAnsi="Times New Roman" w:cs="Times New Roman"/>
            <w:sz w:val="24"/>
            <w:szCs w:val="24"/>
          </w:rPr>
          <w:delText>February 2020, and May 2020:</w:delText>
        </w:r>
        <w:r w:rsidDel="003B0E80">
          <w:rPr>
            <w:rFonts w:ascii="Times New Roman" w:hAnsi="Times New Roman" w:cs="Times New Roman"/>
            <w:sz w:val="24"/>
            <w:szCs w:val="24"/>
          </w:rPr>
          <w:delText xml:space="preserve"> </w:delText>
        </w:r>
        <w:r w:rsidRPr="00367137" w:rsidDel="003B0E80">
          <w:rPr>
            <w:rFonts w:ascii="Times New Roman" w:hAnsi="Times New Roman" w:cs="Times New Roman"/>
            <w:sz w:val="24"/>
            <w:szCs w:val="24"/>
          </w:rPr>
          <w:delText>February 2020) to display shifts in healthcare facility visit intensity. These maps highlight areas with the greatest declines or recoveries in healthcare visits, providing a visual representation of geographic disparities in healthcare access.</w:delText>
        </w:r>
      </w:del>
    </w:p>
    <w:p w14:paraId="3F72077E" w14:textId="77777777" w:rsidR="003B0E80" w:rsidRDefault="003B0E80" w:rsidP="003B0E80">
      <w:pPr>
        <w:pStyle w:val="NormalWeb"/>
        <w:rPr>
          <w:ins w:id="77" w:author="Ruktanonchai, Nick" w:date="2025-11-23T22:13:00Z" w16du:dateUtc="2025-11-24T03:13:00Z"/>
        </w:rPr>
      </w:pPr>
      <w:ins w:id="78" w:author="Ruktanonchai, Nick" w:date="2025-11-23T22:13:00Z" w16du:dateUtc="2025-11-24T03:13:00Z">
        <w:r>
          <w:t>To assess spatial clustering, we computed Global Moran’s I statistics for the percentage change in healthcare visits at the block group level. Spatial weights were defined using first-order contiguity based on shared boundaries between block groups. Statistical significance of Moran’s I was evaluated using permutation tests with a fixed number of random permutations. Positive and statistically significant Moran’s I values were interpreted as evidence of spatial clustering of similar changes (e.g., clusters of large declines in rural areas), whereas non-significant values suggested spatial randomness in the pattern of change.</w:t>
        </w:r>
      </w:ins>
    </w:p>
    <w:p w14:paraId="7CD1C172" w14:textId="68592875" w:rsidR="00DC15BB" w:rsidRPr="00367137" w:rsidDel="003B0E80" w:rsidRDefault="00356348" w:rsidP="00356348">
      <w:pPr>
        <w:spacing w:line="276" w:lineRule="auto"/>
        <w:jc w:val="both"/>
        <w:rPr>
          <w:del w:id="79" w:author="Ruktanonchai, Nick" w:date="2025-11-23T22:13:00Z" w16du:dateUtc="2025-11-24T03:13:00Z"/>
          <w:rFonts w:ascii="Times New Roman" w:hAnsi="Times New Roman" w:cs="Times New Roman"/>
          <w:sz w:val="24"/>
          <w:szCs w:val="24"/>
        </w:rPr>
      </w:pPr>
      <w:del w:id="80" w:author="Ruktanonchai, Nick" w:date="2025-11-23T22:13:00Z" w16du:dateUtc="2025-11-24T03:13:00Z">
        <w:r w:rsidRPr="00367137" w:rsidDel="003B0E80">
          <w:rPr>
            <w:rFonts w:ascii="Times New Roman" w:hAnsi="Times New Roman" w:cs="Times New Roman"/>
            <w:sz w:val="24"/>
            <w:szCs w:val="24"/>
          </w:rPr>
          <w:delText>Spatial autocorrelation was assessed using Global Moran’s I, which tests whether changes in healthcare visits exhibited spatial clustering or randomness. A positive Moran’s I value would indicate spatial concentration of accessibility changes</w:delText>
        </w:r>
        <w:r w:rsidDel="003B0E80">
          <w:rPr>
            <w:rFonts w:ascii="Times New Roman" w:hAnsi="Times New Roman" w:cs="Times New Roman"/>
            <w:sz w:val="24"/>
            <w:szCs w:val="24"/>
          </w:rPr>
          <w:delText xml:space="preserve"> </w:delText>
        </w:r>
        <w:r w:rsidRPr="00367137" w:rsidDel="003B0E80">
          <w:rPr>
            <w:rFonts w:ascii="Times New Roman" w:hAnsi="Times New Roman" w:cs="Times New Roman"/>
            <w:sz w:val="24"/>
            <w:szCs w:val="24"/>
          </w:rPr>
          <w:delText>such as clusters of reduced visits in rural zones</w:delText>
        </w:r>
        <w:r w:rsidDel="003B0E80">
          <w:rPr>
            <w:rFonts w:ascii="Times New Roman" w:hAnsi="Times New Roman" w:cs="Times New Roman"/>
            <w:sz w:val="24"/>
            <w:szCs w:val="24"/>
          </w:rPr>
          <w:delText xml:space="preserve"> </w:delText>
        </w:r>
        <w:r w:rsidRPr="00367137" w:rsidDel="003B0E80">
          <w:rPr>
            <w:rFonts w:ascii="Times New Roman" w:hAnsi="Times New Roman" w:cs="Times New Roman"/>
            <w:sz w:val="24"/>
            <w:szCs w:val="24"/>
          </w:rPr>
          <w:delText>whereas a negative value would suggest spatial dispersion.</w:delText>
        </w:r>
      </w:del>
    </w:p>
    <w:p w14:paraId="0F4B11CB"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Statistical Analysis</w:t>
      </w:r>
    </w:p>
    <w:p w14:paraId="06825F51" w14:textId="77777777" w:rsidR="003B0E80" w:rsidRDefault="003B0E80" w:rsidP="003B0E80">
      <w:pPr>
        <w:pStyle w:val="NormalWeb"/>
        <w:rPr>
          <w:ins w:id="81" w:author="Ruktanonchai, Nick" w:date="2025-11-23T22:14:00Z" w16du:dateUtc="2025-11-24T03:14:00Z"/>
        </w:rPr>
      </w:pPr>
      <w:ins w:id="82" w:author="Ruktanonchai, Nick" w:date="2025-11-23T22:14:00Z" w16du:dateUtc="2025-11-24T03:14:00Z">
        <w:r>
          <w:t>To identify community-level determinants of changes in healthcare-related mobility, we estimated multivariable regression models with the percentage change in per-capita healthcare visits as the dependent variable. Separate cross-sectional models were fit for April 2020 and May 2020 to capture determinants of change at the height of restrictions and during early recovery. The primary independent variables included measures of urbanization/rurality, median household income, percentage of uninsured residents, vehicle availability, and baseline median distance traveled for healthcare visits.</w:t>
        </w:r>
      </w:ins>
    </w:p>
    <w:p w14:paraId="528F4871" w14:textId="77777777" w:rsidR="003B0E80" w:rsidRDefault="003B0E80" w:rsidP="003B0E80">
      <w:pPr>
        <w:pStyle w:val="NormalWeb"/>
        <w:rPr>
          <w:ins w:id="83" w:author="Ruktanonchai, Nick" w:date="2025-11-23T22:14:00Z" w16du:dateUtc="2025-11-24T03:14:00Z"/>
        </w:rPr>
      </w:pPr>
      <w:ins w:id="84" w:author="Ruktanonchai, Nick" w:date="2025-11-23T22:14:00Z" w16du:dateUtc="2025-11-24T03:14:00Z">
        <w:r>
          <w:lastRenderedPageBreak/>
          <w:t>In parallel, we estimated analogous models using percentage change in non-healthcare visits to examine whether determinants of mobility change differed between healthcare-related and general mobility. All continuous covariates were inspected for skewness and, where appropriate, transformed or standardized to facilitate interpretation and reduce the influence of outliers.</w:t>
        </w:r>
      </w:ins>
    </w:p>
    <w:p w14:paraId="5DDB02B9" w14:textId="77777777" w:rsidR="003B0E80" w:rsidRDefault="003B0E80" w:rsidP="003B0E80">
      <w:pPr>
        <w:pStyle w:val="NormalWeb"/>
        <w:rPr>
          <w:ins w:id="85" w:author="Ruktanonchai, Nick" w:date="2025-11-23T22:14:00Z" w16du:dateUtc="2025-11-24T03:14:00Z"/>
        </w:rPr>
      </w:pPr>
      <w:ins w:id="86" w:author="Ruktanonchai, Nick" w:date="2025-11-23T22:14:00Z" w16du:dateUtc="2025-11-24T03:14:00Z">
        <w:r>
          <w:t>We assessed multicollinearity using variance inflation factors (VIFs) and excluded or combined variables with high collinearity. Spatial dependence in model residuals was evaluated using Moran’s I; where evidence of spatial autocorrelation was observed, we considered spatial error terms and robust standard errors in sensitivity analyses. Finally, to characterize the persistence of changes in healthcare utilization, we compared block-group–level percentage changes between April and May 2020 and summarized patterns across the rural–urban continuum.</w:t>
        </w:r>
      </w:ins>
    </w:p>
    <w:p w14:paraId="319FE1A2" w14:textId="77777777" w:rsidR="003B0E80" w:rsidRDefault="003B0E80" w:rsidP="003B0E80">
      <w:pPr>
        <w:pStyle w:val="NormalWeb"/>
        <w:rPr>
          <w:ins w:id="87" w:author="Ruktanonchai, Nick" w:date="2025-11-23T22:14:00Z" w16du:dateUtc="2025-11-24T03:14:00Z"/>
        </w:rPr>
      </w:pPr>
      <w:ins w:id="88" w:author="Ruktanonchai, Nick" w:date="2025-11-23T22:14:00Z" w16du:dateUtc="2025-11-24T03:14:00Z">
        <w:r>
          <w:t xml:space="preserve">All data analyzed were aggregated at the POI or census block group level. Demographic data from the ACS are publicly available, and </w:t>
        </w:r>
        <w:proofErr w:type="spellStart"/>
        <w:r>
          <w:t>SafeGraph</w:t>
        </w:r>
        <w:proofErr w:type="spellEnd"/>
        <w:r>
          <w:t xml:space="preserve"> mobility data are anonymized and derived from opt-in smartphone location records. No identifiable personal information was accessible to the research team. All analyses complied with institutional ethical guidelines and applicable regulations for the use of deidentified, aggregate data.</w:t>
        </w:r>
      </w:ins>
    </w:p>
    <w:p w14:paraId="217F3296" w14:textId="77777777" w:rsidR="003B0E80" w:rsidRDefault="003B0E80" w:rsidP="003B0E80">
      <w:pPr>
        <w:pStyle w:val="NormalWeb"/>
        <w:rPr>
          <w:ins w:id="89" w:author="Ruktanonchai, Nick" w:date="2025-11-23T22:14:00Z" w16du:dateUtc="2025-11-24T03:14:00Z"/>
        </w:rPr>
      </w:pPr>
    </w:p>
    <w:p w14:paraId="4DF65178" w14:textId="19802287" w:rsidR="00356348" w:rsidRPr="00367137" w:rsidDel="003B0E80" w:rsidRDefault="00356348" w:rsidP="00356348">
      <w:pPr>
        <w:spacing w:line="276" w:lineRule="auto"/>
        <w:jc w:val="both"/>
        <w:rPr>
          <w:del w:id="90" w:author="Ruktanonchai, Nick" w:date="2025-11-23T22:14:00Z" w16du:dateUtc="2025-11-24T03:14:00Z"/>
          <w:rFonts w:ascii="Times New Roman" w:hAnsi="Times New Roman" w:cs="Times New Roman"/>
          <w:sz w:val="24"/>
          <w:szCs w:val="24"/>
        </w:rPr>
      </w:pPr>
      <w:del w:id="91" w:author="Ruktanonchai, Nick" w:date="2025-11-23T22:14:00Z" w16du:dateUtc="2025-11-24T03:14:00Z">
        <w:r w:rsidRPr="00367137" w:rsidDel="003B0E80">
          <w:rPr>
            <w:rFonts w:ascii="Times New Roman" w:hAnsi="Times New Roman" w:cs="Times New Roman"/>
            <w:sz w:val="24"/>
            <w:szCs w:val="24"/>
          </w:rPr>
          <w:delText xml:space="preserve">To </w:delText>
        </w:r>
      </w:del>
      <w:del w:id="92" w:author="Ruktanonchai, Nick" w:date="2025-11-23T21:59:00Z" w16du:dateUtc="2025-11-24T02:59:00Z">
        <w:r w:rsidRPr="00367137" w:rsidDel="00DC15BB">
          <w:rPr>
            <w:rFonts w:ascii="Times New Roman" w:hAnsi="Times New Roman" w:cs="Times New Roman"/>
            <w:sz w:val="24"/>
            <w:szCs w:val="24"/>
          </w:rPr>
          <w:delText>identify the determinants of healthcare mobility</w:delText>
        </w:r>
      </w:del>
      <w:del w:id="93" w:author="Ruktanonchai, Nick" w:date="2025-11-23T22:14:00Z" w16du:dateUtc="2025-11-24T03:14:00Z">
        <w:r w:rsidRPr="00367137" w:rsidDel="003B0E80">
          <w:rPr>
            <w:rFonts w:ascii="Times New Roman" w:hAnsi="Times New Roman" w:cs="Times New Roman"/>
            <w:sz w:val="24"/>
            <w:szCs w:val="24"/>
          </w:rPr>
          <w:delText>, multivariate regression analyses were conducted. The dependent variable represented the percentage change in healthcare visits from February to subsequent months (April and May 2020). Independent variables included measures of urbanization, median income, percentage of uninsured population, vehicle ownership rate, and median distance traveled.</w:delText>
        </w:r>
      </w:del>
    </w:p>
    <w:p w14:paraId="7DA04653" w14:textId="56B84122" w:rsidR="00356348" w:rsidRPr="00367137" w:rsidDel="003B0E80" w:rsidRDefault="00356348" w:rsidP="00356348">
      <w:pPr>
        <w:spacing w:line="276" w:lineRule="auto"/>
        <w:jc w:val="both"/>
        <w:rPr>
          <w:del w:id="94" w:author="Ruktanonchai, Nick" w:date="2025-11-23T22:14:00Z" w16du:dateUtc="2025-11-24T03:14:00Z"/>
          <w:rFonts w:ascii="Times New Roman" w:hAnsi="Times New Roman" w:cs="Times New Roman"/>
          <w:sz w:val="24"/>
          <w:szCs w:val="24"/>
        </w:rPr>
      </w:pPr>
      <w:del w:id="95" w:author="Ruktanonchai, Nick" w:date="2025-11-23T22:14:00Z" w16du:dateUtc="2025-11-24T03:14:00Z">
        <w:r w:rsidRPr="00367137" w:rsidDel="003B0E80">
          <w:rPr>
            <w:rFonts w:ascii="Times New Roman" w:hAnsi="Times New Roman" w:cs="Times New Roman"/>
            <w:sz w:val="24"/>
            <w:szCs w:val="24"/>
          </w:rPr>
          <w:delText>Separate models were estimated for healthcare-related trips and all trips to assess whether pandemic-related mobility changes differed across trip types. Regression diagnostics were performed to test for spatial dependence, and multicollinearity.</w:delText>
        </w:r>
      </w:del>
    </w:p>
    <w:p w14:paraId="08B6E746" w14:textId="39DF28F2" w:rsidR="00356348" w:rsidRPr="00367137" w:rsidDel="003B0E80" w:rsidRDefault="00356348" w:rsidP="00356348">
      <w:pPr>
        <w:spacing w:line="276" w:lineRule="auto"/>
        <w:jc w:val="both"/>
        <w:rPr>
          <w:del w:id="96" w:author="Ruktanonchai, Nick" w:date="2025-11-23T22:14:00Z" w16du:dateUtc="2025-11-24T03:14:00Z"/>
          <w:rFonts w:ascii="Times New Roman" w:hAnsi="Times New Roman" w:cs="Times New Roman"/>
          <w:sz w:val="24"/>
          <w:szCs w:val="24"/>
        </w:rPr>
      </w:pPr>
      <w:del w:id="97" w:author="Ruktanonchai, Nick" w:date="2025-11-23T22:14:00Z" w16du:dateUtc="2025-11-24T03:14:00Z">
        <w:r w:rsidRPr="00367137" w:rsidDel="003B0E80">
          <w:rPr>
            <w:rFonts w:ascii="Times New Roman" w:hAnsi="Times New Roman" w:cs="Times New Roman"/>
            <w:sz w:val="24"/>
            <w:szCs w:val="24"/>
          </w:rPr>
          <w:delText>Preliminary results indicated that healthcare trips decreased more sharply in urbanized areas, while total trips increased in those same areas, suggesting distinct behavioral responses for essential versus non-essential mobility. These regression findings help explain the observed decoupling of healthcare access and general mobility patterns.</w:delText>
        </w:r>
      </w:del>
    </w:p>
    <w:p w14:paraId="6BD32B7D" w14:textId="4DBA7E0C" w:rsidR="00356348" w:rsidDel="003B0E80" w:rsidRDefault="00356348" w:rsidP="00356348">
      <w:pPr>
        <w:spacing w:line="276" w:lineRule="auto"/>
        <w:jc w:val="both"/>
        <w:rPr>
          <w:del w:id="98" w:author="Ruktanonchai, Nick" w:date="2025-11-23T22:14:00Z" w16du:dateUtc="2025-11-24T03:14:00Z"/>
          <w:rFonts w:ascii="Times New Roman" w:hAnsi="Times New Roman" w:cs="Times New Roman"/>
          <w:sz w:val="24"/>
          <w:szCs w:val="24"/>
        </w:rPr>
      </w:pPr>
      <w:del w:id="99" w:author="Ruktanonchai, Nick" w:date="2025-11-23T22:14:00Z" w16du:dateUtc="2025-11-24T03:14:00Z">
        <w:r w:rsidRPr="00367137" w:rsidDel="003B0E80">
          <w:rPr>
            <w:rFonts w:ascii="Times New Roman" w:hAnsi="Times New Roman" w:cs="Times New Roman"/>
            <w:sz w:val="24"/>
            <w:szCs w:val="24"/>
          </w:rPr>
          <w:delText>All data used in this study were publicly available, aggregated, and anonymized, ensuring compliance with institutional ethical guidelines and privacy standards. The analysis did not involve identifiable personal data.</w:delText>
        </w:r>
      </w:del>
    </w:p>
    <w:p w14:paraId="1F384A0E" w14:textId="77777777" w:rsidR="00356348" w:rsidRPr="00367137" w:rsidRDefault="00356348" w:rsidP="00356348">
      <w:pPr>
        <w:spacing w:line="276" w:lineRule="auto"/>
        <w:jc w:val="both"/>
        <w:rPr>
          <w:rFonts w:ascii="Times New Roman" w:hAnsi="Times New Roman" w:cs="Times New Roman"/>
          <w:b/>
          <w:bCs/>
          <w:sz w:val="24"/>
          <w:szCs w:val="24"/>
        </w:rPr>
      </w:pPr>
    </w:p>
    <w:p w14:paraId="4D7DC770" w14:textId="77777777" w:rsidR="00356348" w:rsidRPr="00367137" w:rsidRDefault="00356348" w:rsidP="00356348">
      <w:pPr>
        <w:spacing w:line="276" w:lineRule="auto"/>
        <w:jc w:val="both"/>
        <w:rPr>
          <w:rFonts w:ascii="Times New Roman" w:hAnsi="Times New Roman" w:cs="Times New Roman"/>
          <w:b/>
          <w:bCs/>
          <w:sz w:val="24"/>
          <w:szCs w:val="24"/>
        </w:rPr>
      </w:pPr>
      <w:r w:rsidRPr="00367137">
        <w:rPr>
          <w:rFonts w:ascii="Times New Roman" w:hAnsi="Times New Roman" w:cs="Times New Roman"/>
          <w:b/>
          <w:bCs/>
          <w:sz w:val="24"/>
          <w:szCs w:val="24"/>
        </w:rPr>
        <w:t>Results</w:t>
      </w:r>
    </w:p>
    <w:p w14:paraId="6D58F10C"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 xml:space="preserve">Analysis of </w:t>
      </w:r>
      <w:proofErr w:type="spellStart"/>
      <w:r w:rsidRPr="00367137">
        <w:rPr>
          <w:rFonts w:ascii="Times New Roman" w:hAnsi="Times New Roman" w:cs="Times New Roman"/>
          <w:sz w:val="24"/>
          <w:szCs w:val="24"/>
        </w:rPr>
        <w:t>SafeGraph</w:t>
      </w:r>
      <w:proofErr w:type="spellEnd"/>
      <w:r w:rsidRPr="00367137">
        <w:rPr>
          <w:rFonts w:ascii="Times New Roman" w:hAnsi="Times New Roman" w:cs="Times New Roman"/>
          <w:sz w:val="24"/>
          <w:szCs w:val="24"/>
        </w:rPr>
        <w:t xml:space="preserve"> mobility data revealed substantial temporal fluctuations in healthcare visits across the New River Valley (NRV) during the early months of the COVID-19 pandemic. In April 2020, immediately following the onset of the pandemic, overall mobility declined sharply, with visits to healthcare facilities showing pronounced reductions across most census block groups. </w:t>
      </w:r>
      <w:r w:rsidRPr="00E84AEE">
        <w:rPr>
          <w:rFonts w:ascii="Times New Roman" w:hAnsi="Times New Roman" w:cs="Times New Roman"/>
          <w:noProof/>
          <w:color w:val="000000" w:themeColor="text1"/>
          <w:sz w:val="24"/>
          <w:szCs w:val="24"/>
        </w:rPr>
        <w:drawing>
          <wp:inline distT="0" distB="0" distL="0" distR="0" wp14:anchorId="464856C2" wp14:editId="60352465">
            <wp:extent cx="5943600" cy="3302000"/>
            <wp:effectExtent l="0" t="0" r="0" b="0"/>
            <wp:docPr id="3" name="Picture 4"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99410" name="Picture 4" descr="A screenshot of a computer screen&#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302000"/>
                    </a:xfrm>
                    <a:prstGeom prst="rect">
                      <a:avLst/>
                    </a:prstGeom>
                    <a:noFill/>
                    <a:ln>
                      <a:noFill/>
                    </a:ln>
                  </pic:spPr>
                </pic:pic>
              </a:graphicData>
            </a:graphic>
          </wp:inline>
        </w:drawing>
      </w:r>
    </w:p>
    <w:p w14:paraId="08243FA4"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lastRenderedPageBreak/>
        <w:t>This decline reflected the combined effects of public health restrictions, temporary clinic closures, and heightened concerns about viral exposure. By May 2020, healthcare visits exhibited partial recovery in several areas, while general mobility to non-healthcare destinations declined slightly, suggesting that individuals prioritized essential healthcare visits while limiting discretionary</w:t>
      </w:r>
      <w:r>
        <w:rPr>
          <w:rFonts w:ascii="Times New Roman" w:hAnsi="Times New Roman" w:cs="Times New Roman"/>
          <w:sz w:val="24"/>
          <w:szCs w:val="24"/>
        </w:rPr>
        <w:t xml:space="preserve"> </w:t>
      </w:r>
      <w:r w:rsidRPr="00367137">
        <w:rPr>
          <w:rFonts w:ascii="Times New Roman" w:hAnsi="Times New Roman" w:cs="Times New Roman"/>
          <w:sz w:val="24"/>
          <w:szCs w:val="24"/>
        </w:rPr>
        <w:t>travel</w:t>
      </w:r>
      <w:r>
        <w:rPr>
          <w:rFonts w:ascii="Times New Roman" w:hAnsi="Times New Roman" w:cs="Times New Roman"/>
          <w:sz w:val="24"/>
          <w:szCs w:val="24"/>
        </w:rPr>
        <w:t>.</w:t>
      </w:r>
      <w:r w:rsidRPr="00E84AEE">
        <w:rPr>
          <w:rFonts w:ascii="Times New Roman" w:hAnsi="Times New Roman" w:cs="Times New Roman"/>
          <w:noProof/>
          <w:color w:val="000000" w:themeColor="text1"/>
          <w:sz w:val="24"/>
          <w:szCs w:val="24"/>
        </w:rPr>
        <w:drawing>
          <wp:inline distT="0" distB="0" distL="0" distR="0" wp14:anchorId="71C22150" wp14:editId="3F84E61C">
            <wp:extent cx="5943600" cy="3302000"/>
            <wp:effectExtent l="0" t="0" r="0" b="0"/>
            <wp:docPr id="4" name="Picture 6" descr="A screenshot of a computer gener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5823" name="Picture 6" descr="A screenshot of a computer generated image&#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302000"/>
                    </a:xfrm>
                    <a:prstGeom prst="rect">
                      <a:avLst/>
                    </a:prstGeom>
                    <a:noFill/>
                    <a:ln>
                      <a:noFill/>
                    </a:ln>
                  </pic:spPr>
                </pic:pic>
              </a:graphicData>
            </a:graphic>
          </wp:inline>
        </w:drawing>
      </w:r>
    </w:p>
    <w:p w14:paraId="71AA27CE"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By September 2020, healthcare visits had increased in many regions, accompanied by modest rises in general trips, indicating gradual normalization of mobility patterns as communities adapted to pandemic</w:t>
      </w:r>
      <w:r>
        <w:rPr>
          <w:rFonts w:ascii="Times New Roman" w:hAnsi="Times New Roman" w:cs="Times New Roman"/>
          <w:sz w:val="24"/>
          <w:szCs w:val="24"/>
        </w:rPr>
        <w:t xml:space="preserve"> </w:t>
      </w:r>
      <w:r w:rsidRPr="00367137">
        <w:rPr>
          <w:rFonts w:ascii="Times New Roman" w:hAnsi="Times New Roman" w:cs="Times New Roman"/>
          <w:sz w:val="24"/>
          <w:szCs w:val="24"/>
        </w:rPr>
        <w:t xml:space="preserve">conditions </w:t>
      </w:r>
    </w:p>
    <w:p w14:paraId="27C5F0A4" w14:textId="77777777" w:rsidR="00356348" w:rsidRPr="00367137" w:rsidRDefault="00356348" w:rsidP="00356348">
      <w:pPr>
        <w:spacing w:line="276" w:lineRule="auto"/>
        <w:jc w:val="both"/>
        <w:rPr>
          <w:rFonts w:ascii="Times New Roman" w:hAnsi="Times New Roman" w:cs="Times New Roman"/>
          <w:sz w:val="24"/>
          <w:szCs w:val="24"/>
        </w:rPr>
      </w:pPr>
      <w:r w:rsidRPr="00E84AEE">
        <w:rPr>
          <w:rFonts w:ascii="Times New Roman" w:hAnsi="Times New Roman" w:cs="Times New Roman"/>
          <w:noProof/>
          <w:sz w:val="24"/>
          <w:szCs w:val="24"/>
        </w:rPr>
        <w:lastRenderedPageBreak/>
        <w:drawing>
          <wp:inline distT="0" distB="0" distL="0" distR="0" wp14:anchorId="687C9750" wp14:editId="0EC5BB6C">
            <wp:extent cx="5943600" cy="3302000"/>
            <wp:effectExtent l="0" t="0" r="0" b="0"/>
            <wp:docPr id="5" name="Picture 8"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28803" name="Picture 8" descr="A screenshot of a map&#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302000"/>
                    </a:xfrm>
                    <a:prstGeom prst="rect">
                      <a:avLst/>
                    </a:prstGeom>
                    <a:noFill/>
                    <a:ln>
                      <a:noFill/>
                    </a:ln>
                  </pic:spPr>
                </pic:pic>
              </a:graphicData>
            </a:graphic>
          </wp:inline>
        </w:drawing>
      </w:r>
    </w:p>
    <w:p w14:paraId="6FAD7F25"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Spatial and regression analyses further elucidated differences between healthcare-specific and general mobility. Multivariate regression revealed that trips to healthcare facilities decreased most substantially in urbanized areas, whereas overall trips to non-healthcare destinations increased in the same regions.</w:t>
      </w:r>
      <w:r>
        <w:rPr>
          <w:rFonts w:ascii="Times New Roman" w:hAnsi="Times New Roman" w:cs="Times New Roman"/>
          <w:sz w:val="24"/>
          <w:szCs w:val="24"/>
        </w:rPr>
        <w:t xml:space="preserve"> </w:t>
      </w:r>
    </w:p>
    <w:p w14:paraId="6DF397CA" w14:textId="77777777" w:rsidR="00356348" w:rsidRDefault="00356348" w:rsidP="00356348">
      <w:pPr>
        <w:spacing w:line="276" w:lineRule="auto"/>
        <w:jc w:val="both"/>
        <w:rPr>
          <w:rFonts w:ascii="Times New Roman" w:hAnsi="Times New Roman" w:cs="Times New Roman"/>
          <w:sz w:val="24"/>
          <w:szCs w:val="24"/>
        </w:rPr>
      </w:pPr>
      <w:r>
        <w:rPr>
          <w:rFonts w:ascii="Arial" w:hAnsi="Arial" w:cs="Arial"/>
          <w:noProof/>
          <w:color w:val="000000"/>
          <w:bdr w:val="none" w:sz="0" w:space="0" w:color="auto" w:frame="1"/>
        </w:rPr>
        <w:lastRenderedPageBreak/>
        <w:drawing>
          <wp:inline distT="0" distB="0" distL="0" distR="0" wp14:anchorId="52B3CC2A" wp14:editId="56AC4E5C">
            <wp:extent cx="5734050" cy="4238625"/>
            <wp:effectExtent l="0" t="0" r="0" b="9525"/>
            <wp:docPr id="6"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graph of different colored line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4050" cy="4238625"/>
                    </a:xfrm>
                    <a:prstGeom prst="rect">
                      <a:avLst/>
                    </a:prstGeom>
                    <a:noFill/>
                    <a:ln>
                      <a:noFill/>
                    </a:ln>
                  </pic:spPr>
                </pic:pic>
              </a:graphicData>
            </a:graphic>
          </wp:inline>
        </w:drawing>
      </w:r>
      <w:r w:rsidRPr="00367137">
        <w:rPr>
          <w:rFonts w:ascii="Times New Roman" w:hAnsi="Times New Roman" w:cs="Times New Roman"/>
          <w:sz w:val="24"/>
          <w:szCs w:val="24"/>
        </w:rPr>
        <w:t xml:space="preserve"> This divergence indicates that essential and non-essential mobility responded differently to pandemic conditions. A longitudinal comparison of healthcare and general trips, stratified by urbanization, demonstrated that healthcare visits remained relatively stable across urban and rural areas, while general trips varied considerably depending on urban</w:t>
      </w:r>
      <w:r>
        <w:rPr>
          <w:rFonts w:ascii="Times New Roman" w:hAnsi="Times New Roman" w:cs="Times New Roman"/>
          <w:sz w:val="24"/>
          <w:szCs w:val="24"/>
        </w:rPr>
        <w:t xml:space="preserve"> </w:t>
      </w:r>
      <w:r w:rsidRPr="00367137">
        <w:rPr>
          <w:rFonts w:ascii="Times New Roman" w:hAnsi="Times New Roman" w:cs="Times New Roman"/>
          <w:sz w:val="24"/>
          <w:szCs w:val="24"/>
        </w:rPr>
        <w:t xml:space="preserve">density. </w:t>
      </w:r>
      <w:r>
        <w:rPr>
          <w:rFonts w:ascii="Arial" w:hAnsi="Arial" w:cs="Arial"/>
          <w:noProof/>
          <w:color w:val="000000"/>
          <w:bdr w:val="none" w:sz="0" w:space="0" w:color="auto" w:frame="1"/>
        </w:rPr>
        <w:drawing>
          <wp:inline distT="0" distB="0" distL="0" distR="0" wp14:anchorId="2B46F6DD" wp14:editId="5C795526">
            <wp:extent cx="5734050" cy="3019425"/>
            <wp:effectExtent l="0" t="0" r="0" b="9525"/>
            <wp:docPr id="7" name="Picture 1" descr="A graph showing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42301" name="Picture 1" descr="A graph showing a number of different colored line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4050" cy="3019425"/>
                    </a:xfrm>
                    <a:prstGeom prst="rect">
                      <a:avLst/>
                    </a:prstGeom>
                    <a:noFill/>
                    <a:ln>
                      <a:noFill/>
                    </a:ln>
                  </pic:spPr>
                </pic:pic>
              </a:graphicData>
            </a:graphic>
          </wp:inline>
        </w:drawing>
      </w:r>
      <w:r>
        <w:rPr>
          <w:rFonts w:ascii="Times New Roman" w:hAnsi="Times New Roman" w:cs="Times New Roman"/>
          <w:noProof/>
          <w:sz w:val="24"/>
          <w:szCs w:val="24"/>
        </w:rPr>
        <w:lastRenderedPageBreak/>
        <w:drawing>
          <wp:inline distT="0" distB="0" distL="0" distR="0" wp14:anchorId="35C47CFB" wp14:editId="4DFB6B6B">
            <wp:extent cx="5736590" cy="30175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6590" cy="3017520"/>
                    </a:xfrm>
                    <a:prstGeom prst="rect">
                      <a:avLst/>
                    </a:prstGeom>
                    <a:noFill/>
                  </pic:spPr>
                </pic:pic>
              </a:graphicData>
            </a:graphic>
          </wp:inline>
        </w:drawing>
      </w:r>
      <w:r w:rsidRPr="00367137">
        <w:rPr>
          <w:rFonts w:ascii="Times New Roman" w:hAnsi="Times New Roman" w:cs="Times New Roman"/>
          <w:sz w:val="24"/>
          <w:szCs w:val="24"/>
        </w:rPr>
        <w:t>Collectively, these findings highlight that proximity to healthcare facilities alone did not guarantee access during the pandemic; behavioral responses and structural limitations both played critical roles.</w:t>
      </w:r>
    </w:p>
    <w:p w14:paraId="35130935" w14:textId="77777777" w:rsidR="00356348" w:rsidRPr="00367137" w:rsidRDefault="00356348" w:rsidP="00356348">
      <w:pPr>
        <w:spacing w:line="276" w:lineRule="auto"/>
        <w:jc w:val="both"/>
        <w:rPr>
          <w:rFonts w:ascii="Times New Roman" w:hAnsi="Times New Roman" w:cs="Times New Roman"/>
          <w:b/>
          <w:bCs/>
          <w:sz w:val="24"/>
          <w:szCs w:val="24"/>
        </w:rPr>
      </w:pPr>
    </w:p>
    <w:p w14:paraId="36551497" w14:textId="77777777" w:rsidR="00356348" w:rsidRPr="00367137" w:rsidRDefault="00356348" w:rsidP="00356348">
      <w:pPr>
        <w:spacing w:line="276" w:lineRule="auto"/>
        <w:jc w:val="both"/>
        <w:rPr>
          <w:rFonts w:ascii="Times New Roman" w:hAnsi="Times New Roman" w:cs="Times New Roman"/>
          <w:b/>
          <w:bCs/>
          <w:sz w:val="24"/>
          <w:szCs w:val="24"/>
        </w:rPr>
      </w:pPr>
      <w:r w:rsidRPr="00367137">
        <w:rPr>
          <w:rFonts w:ascii="Times New Roman" w:hAnsi="Times New Roman" w:cs="Times New Roman"/>
          <w:b/>
          <w:bCs/>
          <w:sz w:val="24"/>
          <w:szCs w:val="24"/>
        </w:rPr>
        <w:t>Discussion</w:t>
      </w:r>
    </w:p>
    <w:p w14:paraId="7903B2A1"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The results of this study indicate that the COVID-19 pandemic disrupted healthcare accessibility across the NRV in significant and spatially heterogeneous ways. The marked reductions in healthcare visits observed in April 2020 underscore the vulnerability of both urban and rural communities to mobility restrictions and perceived infection risk. By May 2020, partial recovery in healthcare visits suggests that individuals adapted their behavior, resuming essential care while continuing to limit discretionary travel, a pattern that persisted through September 2020</w:t>
      </w:r>
      <w:r>
        <w:rPr>
          <w:rFonts w:ascii="Times New Roman" w:hAnsi="Times New Roman" w:cs="Times New Roman"/>
          <w:sz w:val="24"/>
          <w:szCs w:val="24"/>
        </w:rPr>
        <w:t>.</w:t>
      </w:r>
    </w:p>
    <w:p w14:paraId="1DE8B929"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Regression analyses provide further insight into the determinants of mobility patterns. Healthcare trips decreased most sharply in urban areas, while overall trips increased in the same regions (Figure 4), revealing a decoupling of essential and non-essential mobility behaviors. This pattern is consistent with Andersen’s Behavioral Model, highlighting the role of enabling factors, such as transportation availability and socioeconomic resources, alongside perceived risk in shaping</w:t>
      </w:r>
    </w:p>
    <w:p w14:paraId="04141850"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healthcare-seeking behavior. Comparison of healthcare trips to general trips over time, stratified by urbanization, reinforces the conclusion that essential healthcare utilization remained relatively stable across urban and rural areas, whereas general mobility was highly sensitive to urbanization and local pandemic conditions.</w:t>
      </w:r>
    </w:p>
    <w:p w14:paraId="11F5744E"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 xml:space="preserve">These findings have important implications for understanding spatial inequities in healthcare access. While urban areas experienced the largest relative declines, rural areas continued to face </w:t>
      </w:r>
      <w:r w:rsidRPr="00367137">
        <w:rPr>
          <w:rFonts w:ascii="Times New Roman" w:hAnsi="Times New Roman" w:cs="Times New Roman"/>
          <w:sz w:val="24"/>
          <w:szCs w:val="24"/>
        </w:rPr>
        <w:lastRenderedPageBreak/>
        <w:t>structural challenges, including limited facility density and longer travel distances. Together, these results suggest that interventions to support healthcare accessibility must account for both structural and behavioral barriers. Strategies such as targeted transportation support, telehealth expansion, and prioritization of resources for high-burden communities are essential to mitigate disparities during public health crises.</w:t>
      </w:r>
    </w:p>
    <w:p w14:paraId="107B9381" w14:textId="77777777" w:rsidR="00356348" w:rsidRPr="00367137" w:rsidRDefault="00356348" w:rsidP="00356348">
      <w:pPr>
        <w:spacing w:line="276" w:lineRule="auto"/>
        <w:jc w:val="both"/>
        <w:rPr>
          <w:rFonts w:ascii="Times New Roman" w:hAnsi="Times New Roman" w:cs="Times New Roman"/>
          <w:b/>
          <w:bCs/>
          <w:sz w:val="24"/>
          <w:szCs w:val="24"/>
        </w:rPr>
      </w:pPr>
    </w:p>
    <w:p w14:paraId="6FD6740F" w14:textId="77777777" w:rsidR="00356348" w:rsidRPr="00367137" w:rsidRDefault="00356348" w:rsidP="00356348">
      <w:pPr>
        <w:spacing w:line="276" w:lineRule="auto"/>
        <w:jc w:val="both"/>
        <w:rPr>
          <w:rFonts w:ascii="Times New Roman" w:hAnsi="Times New Roman" w:cs="Times New Roman"/>
          <w:b/>
          <w:bCs/>
          <w:sz w:val="24"/>
          <w:szCs w:val="24"/>
        </w:rPr>
      </w:pPr>
      <w:r w:rsidRPr="00367137">
        <w:rPr>
          <w:rFonts w:ascii="Times New Roman" w:hAnsi="Times New Roman" w:cs="Times New Roman"/>
          <w:b/>
          <w:bCs/>
          <w:sz w:val="24"/>
          <w:szCs w:val="24"/>
        </w:rPr>
        <w:t>Conclusion</w:t>
      </w:r>
    </w:p>
    <w:p w14:paraId="112F4622" w14:textId="77777777" w:rsidR="00356348" w:rsidRPr="00367137"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This study demonstrates that healthcare accessibility in the New River Valley was significantly affected by the COVID-19 pandemic, with the sharpest reductions occurring in April 2020, followed by partial recovery in subsequent months. The analysis highlights both temporal and spatial heterogeneity in mobility patterns, as well as a divergence between healthcare-specific trips and general mobility. Urban areas, despite higher facility density, experienced larger proportional declines in healthcare visits, whereas rural areas continued to encounter persistent access challenges. Socioeconomic factors, vehicle ownership, and travel distance further influenced healthcare utilization, illustrating the compounded effects of structural and behavioral determinants.</w:t>
      </w:r>
    </w:p>
    <w:p w14:paraId="5DA2425E" w14:textId="77777777" w:rsidR="00356348" w:rsidRDefault="00356348" w:rsidP="00356348">
      <w:pPr>
        <w:spacing w:line="276" w:lineRule="auto"/>
        <w:jc w:val="both"/>
        <w:rPr>
          <w:rFonts w:ascii="Times New Roman" w:hAnsi="Times New Roman" w:cs="Times New Roman"/>
          <w:sz w:val="24"/>
          <w:szCs w:val="24"/>
        </w:rPr>
      </w:pPr>
      <w:r w:rsidRPr="00367137">
        <w:rPr>
          <w:rFonts w:ascii="Times New Roman" w:hAnsi="Times New Roman" w:cs="Times New Roman"/>
          <w:sz w:val="24"/>
          <w:szCs w:val="24"/>
        </w:rPr>
        <w:t>These findings provide actionable guidance for public health planning and policy. Expanding telehealth services, providing targeted transportation support, and allocating resources to high-need communities are essential strategies to enhance healthcare accessibility and resilience during crises. By integrating spatial, behavioral, and socioeconomic perspectives, this research contributes to a more nuanced understanding of healthcare access in rural regions and underscores the importance of equity-focused interventions to maintain essential healthcare services during public health emergencies</w:t>
      </w:r>
    </w:p>
    <w:p w14:paraId="34D8FCF2" w14:textId="77777777" w:rsidR="00356348" w:rsidRDefault="00356348" w:rsidP="00356348">
      <w:pPr>
        <w:spacing w:line="276" w:lineRule="auto"/>
        <w:jc w:val="both"/>
        <w:rPr>
          <w:rFonts w:ascii="Times New Roman" w:hAnsi="Times New Roman" w:cs="Times New Roman"/>
          <w:sz w:val="24"/>
          <w:szCs w:val="24"/>
        </w:rPr>
      </w:pPr>
      <w:proofErr w:type="spellStart"/>
      <w:r>
        <w:rPr>
          <w:rFonts w:ascii="Times New Roman" w:hAnsi="Times New Roman" w:cs="Times New Roman"/>
          <w:sz w:val="24"/>
          <w:szCs w:val="24"/>
        </w:rPr>
        <w:t>Refrences</w:t>
      </w:r>
      <w:proofErr w:type="spellEnd"/>
      <w:r>
        <w:rPr>
          <w:rFonts w:ascii="Times New Roman" w:hAnsi="Times New Roman" w:cs="Times New Roman"/>
          <w:sz w:val="24"/>
          <w:szCs w:val="24"/>
        </w:rPr>
        <w:t>:</w:t>
      </w:r>
    </w:p>
    <w:p w14:paraId="036C9FDE" w14:textId="77777777" w:rsidR="00356348" w:rsidRPr="00367137" w:rsidRDefault="00356348" w:rsidP="00356348">
      <w:pPr>
        <w:pStyle w:val="NormalWeb"/>
        <w:numPr>
          <w:ilvl w:val="0"/>
          <w:numId w:val="8"/>
        </w:numPr>
        <w:spacing w:before="0" w:beforeAutospacing="0" w:after="0" w:afterAutospacing="0"/>
        <w:jc w:val="both"/>
        <w:textAlignment w:val="baseline"/>
        <w:rPr>
          <w:color w:val="222222"/>
          <w:sz w:val="22"/>
          <w:szCs w:val="22"/>
        </w:rPr>
      </w:pPr>
      <w:r>
        <w:rPr>
          <w:color w:val="222222"/>
          <w:sz w:val="22"/>
          <w:szCs w:val="22"/>
          <w:shd w:val="clear" w:color="auto" w:fill="FFFFFF"/>
        </w:rPr>
        <w:t xml:space="preserve">Singh, D. R., </w:t>
      </w:r>
      <w:proofErr w:type="spellStart"/>
      <w:r>
        <w:rPr>
          <w:color w:val="222222"/>
          <w:sz w:val="22"/>
          <w:szCs w:val="22"/>
          <w:shd w:val="clear" w:color="auto" w:fill="FFFFFF"/>
        </w:rPr>
        <w:t>Sunuwar</w:t>
      </w:r>
      <w:proofErr w:type="spellEnd"/>
      <w:r>
        <w:rPr>
          <w:color w:val="222222"/>
          <w:sz w:val="22"/>
          <w:szCs w:val="22"/>
          <w:shd w:val="clear" w:color="auto" w:fill="FFFFFF"/>
        </w:rPr>
        <w:t xml:space="preserve">, D. R., Shah, S. K., Karki, K., Sah, L. K., Adhikari, B., &amp; Sah, R. K. (2021). Impact of COVID-19 on health services utilization in Province-2 of Nepal: a qualitative study among community members and stakeholders. </w:t>
      </w:r>
      <w:r>
        <w:rPr>
          <w:i/>
          <w:iCs/>
          <w:color w:val="222222"/>
          <w:sz w:val="22"/>
          <w:szCs w:val="22"/>
          <w:shd w:val="clear" w:color="auto" w:fill="FFFFFF"/>
        </w:rPr>
        <w:t>BMC health services research</w:t>
      </w:r>
      <w:r>
        <w:rPr>
          <w:color w:val="222222"/>
          <w:sz w:val="22"/>
          <w:szCs w:val="22"/>
          <w:shd w:val="clear" w:color="auto" w:fill="FFFFFF"/>
        </w:rPr>
        <w:t xml:space="preserve">, </w:t>
      </w:r>
      <w:r>
        <w:rPr>
          <w:i/>
          <w:iCs/>
          <w:color w:val="222222"/>
          <w:sz w:val="22"/>
          <w:szCs w:val="22"/>
          <w:shd w:val="clear" w:color="auto" w:fill="FFFFFF"/>
        </w:rPr>
        <w:t>21</w:t>
      </w:r>
      <w:r>
        <w:rPr>
          <w:color w:val="222222"/>
          <w:sz w:val="22"/>
          <w:szCs w:val="22"/>
          <w:shd w:val="clear" w:color="auto" w:fill="FFFFFF"/>
        </w:rPr>
        <w:t>, 1-14.</w:t>
      </w:r>
    </w:p>
    <w:p w14:paraId="793DB3DA" w14:textId="77777777" w:rsidR="00356348" w:rsidRPr="00367137" w:rsidRDefault="00356348" w:rsidP="00356348">
      <w:pPr>
        <w:pStyle w:val="NormalWeb"/>
        <w:numPr>
          <w:ilvl w:val="0"/>
          <w:numId w:val="8"/>
        </w:numPr>
        <w:spacing w:before="0" w:beforeAutospacing="0" w:after="0" w:afterAutospacing="0"/>
        <w:jc w:val="both"/>
        <w:textAlignment w:val="baseline"/>
        <w:rPr>
          <w:color w:val="222222"/>
          <w:sz w:val="22"/>
          <w:szCs w:val="22"/>
        </w:rPr>
      </w:pPr>
      <w:r w:rsidRPr="00367137">
        <w:t>Levesque, J. F., Harris, M. F., &amp; Russell, G. (2013). Patient-</w:t>
      </w:r>
      <w:proofErr w:type="spellStart"/>
      <w:r w:rsidRPr="00367137">
        <w:t>centred</w:t>
      </w:r>
      <w:proofErr w:type="spellEnd"/>
      <w:r w:rsidRPr="00367137">
        <w:t xml:space="preserve"> access to health care: </w:t>
      </w:r>
      <w:proofErr w:type="spellStart"/>
      <w:r w:rsidRPr="00367137">
        <w:t>conceptualising</w:t>
      </w:r>
      <w:proofErr w:type="spellEnd"/>
      <w:r w:rsidRPr="00367137">
        <w:t xml:space="preserve"> access at the interface of health systems and populations. International Journal for Equity in Health, 12, 1-9. </w:t>
      </w:r>
    </w:p>
    <w:p w14:paraId="4F29B8D7" w14:textId="77777777" w:rsidR="00356348" w:rsidRPr="00367137" w:rsidRDefault="00356348" w:rsidP="00356348">
      <w:pPr>
        <w:pStyle w:val="NormalWeb"/>
        <w:numPr>
          <w:ilvl w:val="0"/>
          <w:numId w:val="8"/>
        </w:numPr>
        <w:spacing w:before="0" w:beforeAutospacing="0" w:after="0" w:afterAutospacing="0"/>
        <w:jc w:val="both"/>
        <w:textAlignment w:val="baseline"/>
        <w:rPr>
          <w:color w:val="222222"/>
          <w:sz w:val="22"/>
          <w:szCs w:val="22"/>
        </w:rPr>
      </w:pPr>
      <w:r w:rsidRPr="00367137">
        <w:t xml:space="preserve">Zipfel, C. M., </w:t>
      </w:r>
      <w:proofErr w:type="spellStart"/>
      <w:r w:rsidRPr="00367137">
        <w:t>Colizza</w:t>
      </w:r>
      <w:proofErr w:type="spellEnd"/>
      <w:r w:rsidRPr="00367137">
        <w:t xml:space="preserve">, V., &amp; Bansal, S. (2021). Health inequities in influenza transmission and surveillance. </w:t>
      </w:r>
      <w:proofErr w:type="spellStart"/>
      <w:r w:rsidRPr="00367137">
        <w:t>PLoS</w:t>
      </w:r>
      <w:proofErr w:type="spellEnd"/>
      <w:r w:rsidRPr="00367137">
        <w:t xml:space="preserve"> Computational Biology, 17(3), e1008642. </w:t>
      </w:r>
    </w:p>
    <w:p w14:paraId="0EA4F9AF" w14:textId="77777777" w:rsidR="00356348" w:rsidRPr="00367137" w:rsidRDefault="00356348" w:rsidP="00356348">
      <w:pPr>
        <w:pStyle w:val="NormalWeb"/>
        <w:numPr>
          <w:ilvl w:val="0"/>
          <w:numId w:val="8"/>
        </w:numPr>
        <w:spacing w:before="0" w:beforeAutospacing="0" w:after="0" w:afterAutospacing="0"/>
        <w:jc w:val="both"/>
        <w:textAlignment w:val="baseline"/>
        <w:rPr>
          <w:color w:val="222222"/>
          <w:sz w:val="22"/>
          <w:szCs w:val="22"/>
        </w:rPr>
      </w:pPr>
      <w:proofErr w:type="spellStart"/>
      <w:r w:rsidRPr="00367137">
        <w:t>Alegana</w:t>
      </w:r>
      <w:proofErr w:type="spellEnd"/>
      <w:r w:rsidRPr="00367137">
        <w:t xml:space="preserve">, V. A., Maina, J., Ouma, P. O., Macharia, P. M., Wright, J., Atkinson, P. M., ... &amp; Tatem, A. J. (2018). National and sub-national variation in patterns of febrile case management in sub-Saharan Africa. Nature Communications, 9(1), 4994. </w:t>
      </w:r>
    </w:p>
    <w:p w14:paraId="6A0B5F6D" w14:textId="77777777" w:rsidR="00356348" w:rsidRPr="00367137" w:rsidRDefault="00356348" w:rsidP="00356348">
      <w:pPr>
        <w:pStyle w:val="NormalWeb"/>
        <w:numPr>
          <w:ilvl w:val="0"/>
          <w:numId w:val="8"/>
        </w:numPr>
        <w:spacing w:after="0"/>
        <w:jc w:val="both"/>
        <w:textAlignment w:val="baseline"/>
        <w:rPr>
          <w:color w:val="222222"/>
          <w:sz w:val="22"/>
          <w:szCs w:val="22"/>
        </w:rPr>
      </w:pPr>
      <w:r w:rsidRPr="00367137">
        <w:rPr>
          <w:color w:val="222222"/>
          <w:sz w:val="22"/>
          <w:szCs w:val="22"/>
        </w:rPr>
        <w:t xml:space="preserve">Morrone, M., Cronin, C. E., Schuller, K., &amp; Nicks, S. E. (2021). Access to health care in Appalachia: perception and reality. Journal of Appalachian health, 3(4), 123. </w:t>
      </w:r>
    </w:p>
    <w:p w14:paraId="5158C2EC" w14:textId="77777777" w:rsidR="00356348" w:rsidRPr="00367137" w:rsidRDefault="00356348" w:rsidP="00356348">
      <w:pPr>
        <w:pStyle w:val="NormalWeb"/>
        <w:numPr>
          <w:ilvl w:val="0"/>
          <w:numId w:val="8"/>
        </w:numPr>
        <w:spacing w:after="0"/>
        <w:jc w:val="both"/>
        <w:textAlignment w:val="baseline"/>
        <w:rPr>
          <w:color w:val="222222"/>
          <w:sz w:val="22"/>
          <w:szCs w:val="22"/>
        </w:rPr>
      </w:pPr>
      <w:r w:rsidRPr="00367137">
        <w:rPr>
          <w:color w:val="222222"/>
          <w:sz w:val="22"/>
          <w:szCs w:val="22"/>
        </w:rPr>
        <w:t xml:space="preserve">Andersen, R. M., Yu, H., Wyn, R., Davidson, P. L., Brown, E. R., &amp; Teleki, S. (2002). Access to medical care for low-income persons: how do communities make a difference? Medical care research and review, 59(4), 384-411. </w:t>
      </w:r>
    </w:p>
    <w:p w14:paraId="5CE75898" w14:textId="286C28B3" w:rsidR="00356348" w:rsidRPr="00356348" w:rsidRDefault="00356348" w:rsidP="00356348">
      <w:pPr>
        <w:pStyle w:val="ListParagraph"/>
        <w:numPr>
          <w:ilvl w:val="0"/>
          <w:numId w:val="8"/>
        </w:numPr>
        <w:spacing w:line="276" w:lineRule="auto"/>
        <w:rPr>
          <w:rFonts w:ascii="Times New Roman" w:hAnsi="Times New Roman" w:cs="Times New Roman"/>
        </w:rPr>
      </w:pPr>
      <w:hyperlink r:id="rId14" w:history="1">
        <w:r w:rsidRPr="003B03EE">
          <w:rPr>
            <w:rStyle w:val="Hyperlink"/>
            <w:rFonts w:ascii="Times New Roman" w:hAnsi="Times New Roman" w:cs="Times New Roman"/>
          </w:rPr>
          <w:t>https://www.thestayproject.net/about-central-appalachia</w:t>
        </w:r>
      </w:hyperlink>
    </w:p>
    <w:p w14:paraId="01C568A4" w14:textId="77777777" w:rsidR="00B128CC" w:rsidRPr="00AE1F97" w:rsidRDefault="00B128CC" w:rsidP="00AE1F97">
      <w:pPr>
        <w:spacing w:line="276" w:lineRule="auto"/>
        <w:rPr>
          <w:rFonts w:ascii="Times New Roman" w:hAnsi="Times New Roman" w:cs="Times New Roman"/>
          <w:b/>
          <w:bCs/>
        </w:rPr>
      </w:pPr>
    </w:p>
    <w:sectPr w:rsidR="00B128CC" w:rsidRPr="00AE1F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15374"/>
    <w:multiLevelType w:val="multilevel"/>
    <w:tmpl w:val="8B32A2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861362"/>
    <w:multiLevelType w:val="multilevel"/>
    <w:tmpl w:val="A9C0C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7D5389"/>
    <w:multiLevelType w:val="hybridMultilevel"/>
    <w:tmpl w:val="5EA0B5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23A544B"/>
    <w:multiLevelType w:val="multilevel"/>
    <w:tmpl w:val="0C08D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14972620">
    <w:abstractNumId w:val="2"/>
  </w:num>
  <w:num w:numId="2" w16cid:durableId="156921474">
    <w:abstractNumId w:val="1"/>
  </w:num>
  <w:num w:numId="3" w16cid:durableId="1448623326">
    <w:abstractNumId w:val="1"/>
  </w:num>
  <w:num w:numId="4" w16cid:durableId="445580270">
    <w:abstractNumId w:val="1"/>
  </w:num>
  <w:num w:numId="5" w16cid:durableId="100497205">
    <w:abstractNumId w:val="1"/>
  </w:num>
  <w:num w:numId="6" w16cid:durableId="1835950673">
    <w:abstractNumId w:val="1"/>
  </w:num>
  <w:num w:numId="7" w16cid:durableId="1168718177">
    <w:abstractNumId w:val="0"/>
  </w:num>
  <w:num w:numId="8" w16cid:durableId="1083375838">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uktanonchai, Nick">
    <w15:presenceInfo w15:providerId="AD" w15:userId="S::nrukt00@vt.edu::72ac4699-81a0-498e-97a1-e19f78163ec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6203"/>
    <w:rsid w:val="00002FD6"/>
    <w:rsid w:val="000707C1"/>
    <w:rsid w:val="000807CD"/>
    <w:rsid w:val="002B38D7"/>
    <w:rsid w:val="003027CC"/>
    <w:rsid w:val="00356348"/>
    <w:rsid w:val="00386CA2"/>
    <w:rsid w:val="003B03EE"/>
    <w:rsid w:val="003B0E80"/>
    <w:rsid w:val="00432357"/>
    <w:rsid w:val="00451F4B"/>
    <w:rsid w:val="0049025E"/>
    <w:rsid w:val="004C0BA8"/>
    <w:rsid w:val="00516203"/>
    <w:rsid w:val="005F7B5D"/>
    <w:rsid w:val="006148B0"/>
    <w:rsid w:val="006D4B09"/>
    <w:rsid w:val="008D388F"/>
    <w:rsid w:val="009046CD"/>
    <w:rsid w:val="00907DE7"/>
    <w:rsid w:val="00942D9F"/>
    <w:rsid w:val="00AE1F97"/>
    <w:rsid w:val="00B128CC"/>
    <w:rsid w:val="00B2229C"/>
    <w:rsid w:val="00B31328"/>
    <w:rsid w:val="00D20D32"/>
    <w:rsid w:val="00D26AB6"/>
    <w:rsid w:val="00D26F49"/>
    <w:rsid w:val="00DC15BB"/>
    <w:rsid w:val="00E00811"/>
    <w:rsid w:val="00E84AEE"/>
    <w:rsid w:val="00E91278"/>
    <w:rsid w:val="00F02356"/>
    <w:rsid w:val="00F86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3B61F"/>
  <w15:chartTrackingRefBased/>
  <w15:docId w15:val="{371B2FAE-3B61-42CF-A872-B4AF6AA6DB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AE1F97"/>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link w:val="Heading3Char"/>
    <w:uiPriority w:val="9"/>
    <w:qFormat/>
    <w:rsid w:val="00AE1F9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IntenseQuote">
    <w:name w:val="Intense Quote"/>
    <w:basedOn w:val="Normal"/>
    <w:next w:val="Normal"/>
    <w:link w:val="IntenseQuoteChar"/>
    <w:uiPriority w:val="30"/>
    <w:qFormat/>
    <w:rsid w:val="00516203"/>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516203"/>
    <w:rPr>
      <w:i/>
      <w:iCs/>
      <w:color w:val="4472C4" w:themeColor="accent1"/>
    </w:rPr>
  </w:style>
  <w:style w:type="paragraph" w:styleId="ListParagraph">
    <w:name w:val="List Paragraph"/>
    <w:basedOn w:val="Normal"/>
    <w:uiPriority w:val="34"/>
    <w:qFormat/>
    <w:rsid w:val="00516203"/>
    <w:pPr>
      <w:ind w:left="720"/>
      <w:contextualSpacing/>
    </w:pPr>
  </w:style>
  <w:style w:type="character" w:styleId="Hyperlink">
    <w:name w:val="Hyperlink"/>
    <w:basedOn w:val="DefaultParagraphFont"/>
    <w:uiPriority w:val="99"/>
    <w:unhideWhenUsed/>
    <w:rsid w:val="00516203"/>
    <w:rPr>
      <w:color w:val="0563C1" w:themeColor="hyperlink"/>
      <w:u w:val="single"/>
    </w:rPr>
  </w:style>
  <w:style w:type="character" w:styleId="UnresolvedMention">
    <w:name w:val="Unresolved Mention"/>
    <w:basedOn w:val="DefaultParagraphFont"/>
    <w:uiPriority w:val="99"/>
    <w:semiHidden/>
    <w:unhideWhenUsed/>
    <w:rsid w:val="00516203"/>
    <w:rPr>
      <w:color w:val="605E5C"/>
      <w:shd w:val="clear" w:color="auto" w:fill="E1DFDD"/>
    </w:rPr>
  </w:style>
  <w:style w:type="paragraph" w:styleId="NormalWeb">
    <w:name w:val="Normal (Web)"/>
    <w:basedOn w:val="Normal"/>
    <w:uiPriority w:val="99"/>
    <w:unhideWhenUsed/>
    <w:rsid w:val="000707C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AE1F97"/>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AE1F97"/>
    <w:rPr>
      <w:rFonts w:ascii="Times New Roman" w:eastAsia="Times New Roman" w:hAnsi="Times New Roman" w:cs="Times New Roman"/>
      <w:b/>
      <w:bCs/>
      <w:sz w:val="27"/>
      <w:szCs w:val="27"/>
    </w:rPr>
  </w:style>
  <w:style w:type="character" w:styleId="Strong">
    <w:name w:val="Strong"/>
    <w:basedOn w:val="DefaultParagraphFont"/>
    <w:uiPriority w:val="22"/>
    <w:qFormat/>
    <w:rsid w:val="00AE1F97"/>
    <w:rPr>
      <w:b/>
      <w:bCs/>
    </w:rPr>
  </w:style>
  <w:style w:type="character" w:styleId="Emphasis">
    <w:name w:val="Emphasis"/>
    <w:basedOn w:val="DefaultParagraphFont"/>
    <w:uiPriority w:val="20"/>
    <w:qFormat/>
    <w:rsid w:val="00AE1F97"/>
    <w:rPr>
      <w:i/>
      <w:iCs/>
    </w:rPr>
  </w:style>
  <w:style w:type="paragraph" w:styleId="Revision">
    <w:name w:val="Revision"/>
    <w:hidden/>
    <w:uiPriority w:val="99"/>
    <w:semiHidden/>
    <w:rsid w:val="004C0BA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5582234">
      <w:bodyDiv w:val="1"/>
      <w:marLeft w:val="0"/>
      <w:marRight w:val="0"/>
      <w:marTop w:val="0"/>
      <w:marBottom w:val="0"/>
      <w:divBdr>
        <w:top w:val="none" w:sz="0" w:space="0" w:color="auto"/>
        <w:left w:val="none" w:sz="0" w:space="0" w:color="auto"/>
        <w:bottom w:val="none" w:sz="0" w:space="0" w:color="auto"/>
        <w:right w:val="none" w:sz="0" w:space="0" w:color="auto"/>
      </w:divBdr>
    </w:div>
    <w:div w:id="955064421">
      <w:bodyDiv w:val="1"/>
      <w:marLeft w:val="0"/>
      <w:marRight w:val="0"/>
      <w:marTop w:val="0"/>
      <w:marBottom w:val="0"/>
      <w:divBdr>
        <w:top w:val="none" w:sz="0" w:space="0" w:color="auto"/>
        <w:left w:val="none" w:sz="0" w:space="0" w:color="auto"/>
        <w:bottom w:val="none" w:sz="0" w:space="0" w:color="auto"/>
        <w:right w:val="none" w:sz="0" w:space="0" w:color="auto"/>
      </w:divBdr>
    </w:div>
    <w:div w:id="1230265723">
      <w:bodyDiv w:val="1"/>
      <w:marLeft w:val="0"/>
      <w:marRight w:val="0"/>
      <w:marTop w:val="0"/>
      <w:marBottom w:val="0"/>
      <w:divBdr>
        <w:top w:val="none" w:sz="0" w:space="0" w:color="auto"/>
        <w:left w:val="none" w:sz="0" w:space="0" w:color="auto"/>
        <w:bottom w:val="none" w:sz="0" w:space="0" w:color="auto"/>
        <w:right w:val="none" w:sz="0" w:space="0" w:color="auto"/>
      </w:divBdr>
    </w:div>
    <w:div w:id="2046755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thestayproject.net/about-central-appalach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8909</TotalTime>
  <Pages>17</Pages>
  <Words>5114</Words>
  <Characters>29154</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Fatema, Syeda Nahid</dc:creator>
  <cp:keywords/>
  <dc:description/>
  <cp:lastModifiedBy>Ruktanonchai, Nick</cp:lastModifiedBy>
  <cp:revision>11</cp:revision>
  <dcterms:created xsi:type="dcterms:W3CDTF">2024-10-09T01:55:00Z</dcterms:created>
  <dcterms:modified xsi:type="dcterms:W3CDTF">2025-11-24T18:31:00Z</dcterms:modified>
</cp:coreProperties>
</file>