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31EBB" w14:textId="55A1CA9D" w:rsidR="00516203" w:rsidRPr="00516203" w:rsidRDefault="003B03EE" w:rsidP="00516203">
      <w:pPr>
        <w:pStyle w:val="IntenseQuote"/>
        <w:rPr>
          <w:rFonts w:ascii="Times New Roman" w:hAnsi="Times New Roman" w:cs="Times New Roman"/>
          <w:color w:val="auto"/>
          <w:sz w:val="32"/>
          <w:szCs w:val="32"/>
        </w:rPr>
      </w:pPr>
      <w:bookmarkStart w:id="0" w:name="_Hlk176467373"/>
      <w:r w:rsidRPr="003B03EE">
        <w:rPr>
          <w:color w:val="auto"/>
          <w:sz w:val="32"/>
          <w:szCs w:val="32"/>
        </w:rPr>
        <w:t xml:space="preserve">Mapping healthcare accessibility across communities in Central Appalachia, including Virginia’s New River Valley, throughout the </w:t>
      </w:r>
      <w:r>
        <w:rPr>
          <w:color w:val="auto"/>
          <w:sz w:val="32"/>
          <w:szCs w:val="32"/>
        </w:rPr>
        <w:t xml:space="preserve">Covid 19 </w:t>
      </w:r>
      <w:r w:rsidRPr="003B03EE">
        <w:rPr>
          <w:color w:val="auto"/>
          <w:sz w:val="32"/>
          <w:szCs w:val="32"/>
        </w:rPr>
        <w:t>pandemic.</w:t>
      </w:r>
    </w:p>
    <w:bookmarkEnd w:id="0"/>
    <w:p w14:paraId="52F9A50F" w14:textId="59564B25" w:rsidR="000807CD" w:rsidRPr="003B03EE" w:rsidRDefault="00516203" w:rsidP="003B03EE">
      <w:pPr>
        <w:spacing w:line="360" w:lineRule="auto"/>
        <w:jc w:val="both"/>
        <w:rPr>
          <w:rFonts w:ascii="Times New Roman" w:hAnsi="Times New Roman" w:cs="Times New Roman"/>
          <w:b/>
          <w:bCs/>
          <w:sz w:val="24"/>
          <w:szCs w:val="24"/>
        </w:rPr>
      </w:pPr>
      <w:r w:rsidRPr="003B03EE">
        <w:rPr>
          <w:rFonts w:ascii="Times New Roman" w:hAnsi="Times New Roman" w:cs="Times New Roman"/>
          <w:b/>
          <w:bCs/>
          <w:sz w:val="24"/>
          <w:szCs w:val="24"/>
        </w:rPr>
        <w:t>Introduction:</w:t>
      </w:r>
    </w:p>
    <w:p w14:paraId="5E8DAEC5" w14:textId="6E90A57C" w:rsidR="00516203" w:rsidRPr="003B03EE" w:rsidRDefault="00516203" w:rsidP="003B03EE">
      <w:pPr>
        <w:spacing w:line="360" w:lineRule="auto"/>
        <w:jc w:val="both"/>
        <w:rPr>
          <w:rFonts w:ascii="Times New Roman" w:hAnsi="Times New Roman" w:cs="Times New Roman"/>
          <w:sz w:val="24"/>
          <w:szCs w:val="24"/>
        </w:rPr>
      </w:pPr>
      <w:r w:rsidRPr="003B03EE">
        <w:rPr>
          <w:rFonts w:ascii="Times New Roman" w:hAnsi="Times New Roman" w:cs="Times New Roman"/>
          <w:sz w:val="24"/>
          <w:szCs w:val="24"/>
        </w:rPr>
        <w:t>Healthcare accessibility is a critical determinant of overall well-being which influences not only individual health outcomes but also the broader public health landscape</w:t>
      </w:r>
      <w:r w:rsidRPr="003B03EE">
        <w:rPr>
          <w:rFonts w:ascii="Times New Roman" w:hAnsi="Times New Roman" w:cs="Times New Roman"/>
          <w:color w:val="4472C4" w:themeColor="accent1"/>
          <w:sz w:val="24"/>
          <w:szCs w:val="24"/>
        </w:rPr>
        <w:t xml:space="preserve">. According to the Appalachian Regional Commission it was found that Appalachia performed worse than the national average in 33 out of 41 health indicators </w:t>
      </w:r>
      <w:r w:rsidRPr="003B03EE">
        <w:rPr>
          <w:rFonts w:ascii="Times New Roman" w:hAnsi="Times New Roman" w:cs="Times New Roman"/>
          <w:b/>
          <w:bCs/>
          <w:color w:val="4472C4" w:themeColor="accent1"/>
          <w:sz w:val="24"/>
          <w:szCs w:val="24"/>
        </w:rPr>
        <w:t xml:space="preserve">(1). </w:t>
      </w:r>
      <w:r w:rsidRPr="003B03EE">
        <w:rPr>
          <w:rFonts w:ascii="Times New Roman" w:hAnsi="Times New Roman" w:cs="Times New Roman"/>
          <w:color w:val="4472C4" w:themeColor="accent1"/>
          <w:sz w:val="24"/>
          <w:szCs w:val="24"/>
        </w:rPr>
        <w:t xml:space="preserve">The Central Appalachia, encompassing parts of West Virginia, Eastern Kentucky, Southwest Virginia, East Tennessee, and Western North Carolina, covers 29,773 square miles and has about 2 million residents </w:t>
      </w:r>
      <w:r w:rsidRPr="003B03EE">
        <w:rPr>
          <w:rFonts w:ascii="Times New Roman" w:hAnsi="Times New Roman" w:cs="Times New Roman"/>
          <w:b/>
          <w:bCs/>
          <w:color w:val="4472C4" w:themeColor="accent1"/>
          <w:sz w:val="24"/>
          <w:szCs w:val="24"/>
        </w:rPr>
        <w:t xml:space="preserve">(2). </w:t>
      </w:r>
      <w:r w:rsidRPr="003B03EE">
        <w:rPr>
          <w:rFonts w:ascii="Times New Roman" w:hAnsi="Times New Roman" w:cs="Times New Roman"/>
          <w:sz w:val="24"/>
          <w:szCs w:val="24"/>
        </w:rPr>
        <w:t xml:space="preserve">In regions like Central Appalachia, where economic challenges and geographic barriers are prevalent, ensuring equitable access to healthcare is particularly vital. This area, characterized by its rural terrain and dispersed population, faces unique challenges in providing timely and adequate healthcare services to all residents. </w:t>
      </w:r>
      <w:r w:rsidRPr="003B03EE">
        <w:rPr>
          <w:rFonts w:ascii="Times New Roman" w:hAnsi="Times New Roman" w:cs="Times New Roman"/>
          <w:color w:val="4472C4" w:themeColor="accent1"/>
          <w:sz w:val="24"/>
          <w:szCs w:val="24"/>
        </w:rPr>
        <w:t xml:space="preserve">Multiple studies have compared health status within the 420 Appalachian counties to areas outside its federally defined boundaries, by examining indicators like depressive disorders and physical conditions such as diabetes </w:t>
      </w:r>
      <w:r w:rsidRPr="003B03EE">
        <w:rPr>
          <w:rFonts w:ascii="Times New Roman" w:hAnsi="Times New Roman" w:cs="Times New Roman"/>
          <w:b/>
          <w:bCs/>
          <w:color w:val="4472C4" w:themeColor="accent1"/>
          <w:sz w:val="24"/>
          <w:szCs w:val="24"/>
        </w:rPr>
        <w:t>(3).</w:t>
      </w:r>
      <w:r w:rsidRPr="003B03EE">
        <w:rPr>
          <w:rFonts w:ascii="Times New Roman" w:hAnsi="Times New Roman" w:cs="Times New Roman"/>
          <w:color w:val="4472C4" w:themeColor="accent1"/>
          <w:sz w:val="24"/>
          <w:szCs w:val="24"/>
        </w:rPr>
        <w:t xml:space="preserve"> </w:t>
      </w:r>
      <w:r w:rsidR="003B03EE" w:rsidRPr="00FE57F0">
        <w:rPr>
          <w:rFonts w:ascii="Times New Roman" w:eastAsia="Times New Roman" w:hAnsi="Times New Roman" w:cs="Times New Roman"/>
          <w:sz w:val="24"/>
          <w:szCs w:val="24"/>
        </w:rPr>
        <w:t xml:space="preserve">These challenges make the study of healthcare accessibility in such regions not only </w:t>
      </w:r>
      <w:r w:rsidR="003B03EE">
        <w:rPr>
          <w:rFonts w:ascii="Times New Roman" w:eastAsia="Times New Roman" w:hAnsi="Times New Roman" w:cs="Times New Roman"/>
          <w:sz w:val="24"/>
          <w:szCs w:val="24"/>
        </w:rPr>
        <w:t>significant</w:t>
      </w:r>
      <w:r w:rsidR="003B03EE" w:rsidRPr="00FE57F0">
        <w:rPr>
          <w:rFonts w:ascii="Times New Roman" w:eastAsia="Times New Roman" w:hAnsi="Times New Roman" w:cs="Times New Roman"/>
          <w:sz w:val="24"/>
          <w:szCs w:val="24"/>
        </w:rPr>
        <w:t xml:space="preserve"> but also urgent, as disparities can have far-reaching consequences for population health</w:t>
      </w:r>
    </w:p>
    <w:p w14:paraId="08DA73A0" w14:textId="7ED77A5A" w:rsidR="003B03EE" w:rsidRPr="003B03EE" w:rsidRDefault="003B03EE" w:rsidP="003B03EE">
      <w:pPr>
        <w:spacing w:line="360" w:lineRule="auto"/>
        <w:jc w:val="both"/>
        <w:rPr>
          <w:rFonts w:ascii="Times New Roman" w:hAnsi="Times New Roman" w:cs="Times New Roman"/>
          <w:sz w:val="24"/>
          <w:szCs w:val="24"/>
        </w:rPr>
      </w:pPr>
      <w:r w:rsidRPr="003B03EE">
        <w:rPr>
          <w:rFonts w:ascii="Times New Roman" w:hAnsi="Times New Roman" w:cs="Times New Roman"/>
          <w:color w:val="4472C4" w:themeColor="accent1"/>
          <w:sz w:val="24"/>
          <w:szCs w:val="24"/>
        </w:rPr>
        <w:t xml:space="preserve">Healthcare access is </w:t>
      </w:r>
      <w:r>
        <w:rPr>
          <w:rFonts w:ascii="Times New Roman" w:hAnsi="Times New Roman" w:cs="Times New Roman"/>
          <w:color w:val="4472C4" w:themeColor="accent1"/>
          <w:sz w:val="24"/>
          <w:szCs w:val="24"/>
        </w:rPr>
        <w:t xml:space="preserve">a </w:t>
      </w:r>
      <w:r w:rsidRPr="003B03EE">
        <w:rPr>
          <w:rFonts w:ascii="Times New Roman" w:hAnsi="Times New Roman" w:cs="Times New Roman"/>
          <w:color w:val="4472C4" w:themeColor="accent1"/>
          <w:sz w:val="24"/>
          <w:szCs w:val="24"/>
        </w:rPr>
        <w:t>complex</w:t>
      </w:r>
      <w:r>
        <w:rPr>
          <w:rFonts w:ascii="Times New Roman" w:hAnsi="Times New Roman" w:cs="Times New Roman"/>
          <w:color w:val="4472C4" w:themeColor="accent1"/>
          <w:sz w:val="24"/>
          <w:szCs w:val="24"/>
        </w:rPr>
        <w:t xml:space="preserve"> term</w:t>
      </w:r>
      <w:r w:rsidRPr="003B03EE">
        <w:rPr>
          <w:rFonts w:ascii="Times New Roman" w:hAnsi="Times New Roman" w:cs="Times New Roman"/>
          <w:color w:val="4472C4" w:themeColor="accent1"/>
          <w:sz w:val="24"/>
          <w:szCs w:val="24"/>
        </w:rPr>
        <w:t xml:space="preserve">, involving the health system, population characteristics, and service use and satisfaction, and is influenced by individual and community factors </w:t>
      </w:r>
      <w:r w:rsidRPr="003B03EE">
        <w:rPr>
          <w:rFonts w:ascii="Times New Roman" w:hAnsi="Times New Roman" w:cs="Times New Roman"/>
          <w:b/>
          <w:bCs/>
          <w:color w:val="4472C4" w:themeColor="accent1"/>
          <w:sz w:val="24"/>
          <w:szCs w:val="24"/>
        </w:rPr>
        <w:t>(4).</w:t>
      </w:r>
      <w:r w:rsidRPr="003B03EE">
        <w:rPr>
          <w:rFonts w:ascii="Times New Roman" w:hAnsi="Times New Roman" w:cs="Times New Roman"/>
          <w:color w:val="4472C4" w:themeColor="accent1"/>
          <w:sz w:val="24"/>
          <w:szCs w:val="24"/>
        </w:rPr>
        <w:t xml:space="preserve"> </w:t>
      </w:r>
      <w:r w:rsidRPr="003B03EE">
        <w:rPr>
          <w:rFonts w:ascii="Times New Roman" w:hAnsi="Times New Roman" w:cs="Times New Roman"/>
          <w:sz w:val="24"/>
          <w:szCs w:val="24"/>
        </w:rPr>
        <w:t>In rural areas like Central Appalachia, where healthcare facilities are often scarce, even slight changes in accessibility can significantly impact healthcare-seeking behaviors.</w:t>
      </w:r>
      <w:r>
        <w:rPr>
          <w:rFonts w:ascii="Times New Roman" w:hAnsi="Times New Roman" w:cs="Times New Roman"/>
          <w:sz w:val="24"/>
          <w:szCs w:val="24"/>
        </w:rPr>
        <w:t xml:space="preserve"> </w:t>
      </w:r>
      <w:r w:rsidR="0049025E" w:rsidRPr="0049025E">
        <w:rPr>
          <w:rFonts w:ascii="Times New Roman" w:hAnsi="Times New Roman" w:cs="Times New Roman"/>
          <w:color w:val="4472C4" w:themeColor="accent1"/>
          <w:sz w:val="24"/>
          <w:szCs w:val="24"/>
        </w:rPr>
        <w:t xml:space="preserve">According to Andersen et al., healthcare access is shaped by predisposing factors (e.g., age, race, disability) and enabling factors (e.g., income, insurance, employment, education), with the latter being more modifiable </w:t>
      </w:r>
      <w:r w:rsidR="0049025E" w:rsidRPr="0049025E">
        <w:rPr>
          <w:rFonts w:ascii="Times New Roman" w:hAnsi="Times New Roman" w:cs="Times New Roman"/>
          <w:b/>
          <w:bCs/>
          <w:color w:val="4472C4" w:themeColor="accent1"/>
          <w:sz w:val="24"/>
          <w:szCs w:val="24"/>
        </w:rPr>
        <w:t>(4).</w:t>
      </w:r>
      <w:r w:rsidRPr="0049025E">
        <w:rPr>
          <w:rFonts w:ascii="Times New Roman" w:hAnsi="Times New Roman" w:cs="Times New Roman"/>
          <w:color w:val="4472C4" w:themeColor="accent1"/>
          <w:sz w:val="24"/>
          <w:szCs w:val="24"/>
        </w:rPr>
        <w:t xml:space="preserve"> </w:t>
      </w:r>
      <w:r w:rsidRPr="003B03EE">
        <w:rPr>
          <w:rFonts w:ascii="Times New Roman" w:hAnsi="Times New Roman" w:cs="Times New Roman"/>
          <w:sz w:val="24"/>
          <w:szCs w:val="24"/>
        </w:rPr>
        <w:t>Populations in these areas are particularly vulnerable to disruptions in healthcare access, which leads to delays in seeking care and, consequently, worse health outcomes.</w:t>
      </w:r>
      <w:r>
        <w:rPr>
          <w:rFonts w:ascii="Times New Roman" w:hAnsi="Times New Roman" w:cs="Times New Roman"/>
          <w:sz w:val="24"/>
          <w:szCs w:val="24"/>
        </w:rPr>
        <w:t xml:space="preserve"> </w:t>
      </w:r>
    </w:p>
    <w:p w14:paraId="58C14FA8" w14:textId="0B19C1BE" w:rsidR="003B03EE" w:rsidRDefault="003B03EE" w:rsidP="003B03EE">
      <w:pPr>
        <w:spacing w:line="360" w:lineRule="auto"/>
        <w:jc w:val="both"/>
        <w:rPr>
          <w:rFonts w:ascii="Times New Roman" w:hAnsi="Times New Roman" w:cs="Times New Roman"/>
          <w:color w:val="4472C4" w:themeColor="accent1"/>
          <w:sz w:val="24"/>
          <w:szCs w:val="24"/>
        </w:rPr>
      </w:pPr>
    </w:p>
    <w:p w14:paraId="2974102E" w14:textId="77777777" w:rsidR="000707C1" w:rsidRPr="000707C1" w:rsidRDefault="000707C1" w:rsidP="000707C1">
      <w:pPr>
        <w:spacing w:after="0" w:line="240" w:lineRule="auto"/>
        <w:rPr>
          <w:rFonts w:ascii="Times New Roman" w:eastAsia="Times New Roman" w:hAnsi="Times New Roman" w:cs="Times New Roman"/>
          <w:sz w:val="24"/>
          <w:szCs w:val="24"/>
        </w:rPr>
      </w:pPr>
      <w:r w:rsidRPr="000707C1">
        <w:rPr>
          <w:rFonts w:ascii="Times New Roman" w:eastAsia="Times New Roman" w:hAnsi="Times New Roman" w:cs="Times New Roman"/>
          <w:sz w:val="24"/>
          <w:szCs w:val="24"/>
        </w:rPr>
        <w:lastRenderedPageBreak/>
        <w:br/>
      </w:r>
    </w:p>
    <w:p w14:paraId="649D7BBE" w14:textId="77777777" w:rsidR="000707C1" w:rsidRPr="000707C1" w:rsidRDefault="000707C1" w:rsidP="000707C1">
      <w:pPr>
        <w:numPr>
          <w:ilvl w:val="0"/>
          <w:numId w:val="2"/>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Healthcare accessibility varies across space and time, with critical downstream effects on detection of outbreaks, treatment of disease, and effort cost of visiting the doctor</w:t>
      </w:r>
    </w:p>
    <w:p w14:paraId="08A1095C" w14:textId="77777777" w:rsidR="000707C1" w:rsidRPr="000707C1" w:rsidRDefault="000707C1" w:rsidP="000707C1">
      <w:pPr>
        <w:numPr>
          <w:ilvl w:val="0"/>
          <w:numId w:val="2"/>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This becomes especially important in rural areas, where doctors can often be difficult to access, and where wages, public transportation, and insurance may make regular doctor visits challenging</w:t>
      </w:r>
    </w:p>
    <w:p w14:paraId="24F0C007" w14:textId="77777777" w:rsidR="000707C1" w:rsidRPr="000707C1" w:rsidRDefault="000707C1" w:rsidP="000707C1">
      <w:pPr>
        <w:numPr>
          <w:ilvl w:val="0"/>
          <w:numId w:val="2"/>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Healthcare accessibility can also change during major natural disasters and events such as the COVID-19 pandemic</w:t>
      </w:r>
    </w:p>
    <w:p w14:paraId="43038976" w14:textId="77777777" w:rsidR="000707C1" w:rsidRPr="000707C1" w:rsidRDefault="000707C1" w:rsidP="000707C1">
      <w:pPr>
        <w:numPr>
          <w:ilvl w:val="0"/>
          <w:numId w:val="2"/>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Previous studies have underscored both of these healthcare accessibility challenges</w:t>
      </w:r>
    </w:p>
    <w:p w14:paraId="3D6405CD" w14:textId="77777777" w:rsidR="000707C1" w:rsidRDefault="000707C1" w:rsidP="000707C1">
      <w:pPr>
        <w:numPr>
          <w:ilvl w:val="0"/>
          <w:numId w:val="2"/>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However, less is known about how these factors interact: What happens to healthcare accessibility patterns in rural areas during major events in the USA?</w:t>
      </w:r>
      <w:r>
        <w:rPr>
          <w:rFonts w:ascii="Arial" w:eastAsia="Times New Roman" w:hAnsi="Arial" w:cs="Arial"/>
          <w:color w:val="000000"/>
        </w:rPr>
        <w:t xml:space="preserve"> </w:t>
      </w:r>
    </w:p>
    <w:p w14:paraId="79BD4131" w14:textId="3EC2A441" w:rsidR="000707C1" w:rsidRPr="000707C1" w:rsidRDefault="000707C1" w:rsidP="000707C1">
      <w:pPr>
        <w:numPr>
          <w:ilvl w:val="0"/>
          <w:numId w:val="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It’s also important to note how healthcare trips vary from other types of trips. </w:t>
      </w:r>
      <w:proofErr w:type="spellStart"/>
      <w:r>
        <w:rPr>
          <w:rFonts w:ascii="Arial" w:eastAsia="Times New Roman" w:hAnsi="Arial" w:cs="Arial"/>
          <w:color w:val="000000"/>
        </w:rPr>
        <w:t>How</w:t>
      </w:r>
      <w:proofErr w:type="spellEnd"/>
      <w:r>
        <w:rPr>
          <w:rFonts w:ascii="Arial" w:eastAsia="Times New Roman" w:hAnsi="Arial" w:cs="Arial"/>
          <w:color w:val="000000"/>
        </w:rPr>
        <w:t xml:space="preserve"> did change </w:t>
      </w:r>
      <w:proofErr w:type="gramStart"/>
      <w:r>
        <w:rPr>
          <w:rFonts w:ascii="Arial" w:eastAsia="Times New Roman" w:hAnsi="Arial" w:cs="Arial"/>
          <w:color w:val="000000"/>
        </w:rPr>
        <w:t>in  healthcare</w:t>
      </w:r>
      <w:proofErr w:type="gramEnd"/>
      <w:r>
        <w:rPr>
          <w:rFonts w:ascii="Arial" w:eastAsia="Times New Roman" w:hAnsi="Arial" w:cs="Arial"/>
          <w:color w:val="000000"/>
        </w:rPr>
        <w:t xml:space="preserve"> accessibility patterns differ from overall travel patterns?</w:t>
      </w:r>
    </w:p>
    <w:p w14:paraId="6C7AE005" w14:textId="77777777" w:rsidR="000707C1" w:rsidRPr="000707C1" w:rsidRDefault="000707C1" w:rsidP="000707C1">
      <w:pPr>
        <w:numPr>
          <w:ilvl w:val="0"/>
          <w:numId w:val="2"/>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Here, we examine healthcare accessibility across southwest Virginia:</w:t>
      </w:r>
    </w:p>
    <w:p w14:paraId="40F11D52" w14:textId="77777777" w:rsidR="000707C1" w:rsidRPr="000707C1" w:rsidRDefault="000707C1" w:rsidP="000707C1">
      <w:pPr>
        <w:numPr>
          <w:ilvl w:val="1"/>
          <w:numId w:val="3"/>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How did overall healthcare utilization change from before and during the COVID-19 pandemic?</w:t>
      </w:r>
    </w:p>
    <w:p w14:paraId="7CFEB637" w14:textId="77777777" w:rsidR="000707C1" w:rsidRPr="000707C1" w:rsidRDefault="000707C1" w:rsidP="000707C1">
      <w:pPr>
        <w:numPr>
          <w:ilvl w:val="1"/>
          <w:numId w:val="4"/>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 xml:space="preserve">How did the healthcare utilization </w:t>
      </w:r>
      <w:proofErr w:type="gramStart"/>
      <w:r w:rsidRPr="000707C1">
        <w:rPr>
          <w:rFonts w:ascii="Arial" w:eastAsia="Times New Roman" w:hAnsi="Arial" w:cs="Arial"/>
          <w:color w:val="000000"/>
        </w:rPr>
        <w:t>patterns</w:t>
      </w:r>
      <w:proofErr w:type="gramEnd"/>
      <w:r w:rsidRPr="000707C1">
        <w:rPr>
          <w:rFonts w:ascii="Arial" w:eastAsia="Times New Roman" w:hAnsi="Arial" w:cs="Arial"/>
          <w:color w:val="000000"/>
        </w:rPr>
        <w:t xml:space="preserve"> themselves change (e.g. did distances traveled change?)</w:t>
      </w:r>
    </w:p>
    <w:p w14:paraId="52A15D9B" w14:textId="77777777" w:rsidR="000707C1" w:rsidRPr="000707C1" w:rsidRDefault="000707C1" w:rsidP="000707C1">
      <w:pPr>
        <w:numPr>
          <w:ilvl w:val="1"/>
          <w:numId w:val="5"/>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What characterized areas that were least likely to access healthcare?</w:t>
      </w:r>
    </w:p>
    <w:p w14:paraId="1390E64B" w14:textId="77777777" w:rsidR="000707C1" w:rsidRDefault="000707C1" w:rsidP="000707C1">
      <w:pPr>
        <w:numPr>
          <w:ilvl w:val="1"/>
          <w:numId w:val="6"/>
        </w:numPr>
        <w:spacing w:after="0" w:line="240" w:lineRule="auto"/>
        <w:jc w:val="both"/>
        <w:textAlignment w:val="baseline"/>
        <w:rPr>
          <w:rFonts w:ascii="Arial" w:eastAsia="Times New Roman" w:hAnsi="Arial" w:cs="Arial"/>
          <w:color w:val="000000"/>
        </w:rPr>
      </w:pPr>
      <w:r w:rsidRPr="000707C1">
        <w:rPr>
          <w:rFonts w:ascii="Arial" w:eastAsia="Times New Roman" w:hAnsi="Arial" w:cs="Arial"/>
          <w:color w:val="000000"/>
        </w:rPr>
        <w:t>What characterized areas that changed the most during the pandemic?</w:t>
      </w:r>
    </w:p>
    <w:p w14:paraId="249ADC2F" w14:textId="1AC4CD71" w:rsidR="000707C1" w:rsidRPr="000707C1" w:rsidRDefault="000707C1" w:rsidP="000707C1">
      <w:pPr>
        <w:numPr>
          <w:ilvl w:val="1"/>
          <w:numId w:val="6"/>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How did these changes differ from changes in travel to other types of locations?</w:t>
      </w:r>
    </w:p>
    <w:p w14:paraId="762A441A" w14:textId="4E838E7C" w:rsidR="003B03EE" w:rsidRDefault="003B03EE" w:rsidP="003B03EE">
      <w:pPr>
        <w:spacing w:line="360" w:lineRule="auto"/>
        <w:jc w:val="both"/>
        <w:rPr>
          <w:rFonts w:ascii="Times New Roman" w:hAnsi="Times New Roman" w:cs="Times New Roman"/>
          <w:color w:val="4472C4" w:themeColor="accent1"/>
          <w:sz w:val="24"/>
          <w:szCs w:val="24"/>
        </w:rPr>
      </w:pPr>
    </w:p>
    <w:p w14:paraId="27FDFA66" w14:textId="557BDC3E" w:rsidR="003B03EE" w:rsidRDefault="003B03EE" w:rsidP="003B03EE">
      <w:pPr>
        <w:spacing w:line="360" w:lineRule="auto"/>
        <w:jc w:val="both"/>
        <w:rPr>
          <w:rFonts w:ascii="Times New Roman" w:hAnsi="Times New Roman" w:cs="Times New Roman"/>
          <w:color w:val="4472C4" w:themeColor="accent1"/>
          <w:sz w:val="24"/>
          <w:szCs w:val="24"/>
        </w:rPr>
      </w:pPr>
    </w:p>
    <w:p w14:paraId="0BBD116A" w14:textId="77777777" w:rsidR="003B03EE" w:rsidRPr="003B03EE" w:rsidRDefault="003B03EE" w:rsidP="003B03EE">
      <w:pPr>
        <w:spacing w:line="360" w:lineRule="auto"/>
        <w:jc w:val="both"/>
        <w:rPr>
          <w:rFonts w:ascii="Times New Roman" w:hAnsi="Times New Roman" w:cs="Times New Roman"/>
          <w:sz w:val="24"/>
          <w:szCs w:val="24"/>
        </w:rPr>
      </w:pPr>
    </w:p>
    <w:p w14:paraId="3097D95D" w14:textId="77777777" w:rsidR="003B03EE" w:rsidRDefault="003B03EE"/>
    <w:p w14:paraId="4B7CC398" w14:textId="6F51CFA5" w:rsidR="00516203" w:rsidRPr="003B03EE" w:rsidRDefault="00516203">
      <w:pPr>
        <w:rPr>
          <w:b/>
          <w:bCs/>
        </w:rPr>
      </w:pPr>
      <w:r w:rsidRPr="003B03EE">
        <w:rPr>
          <w:b/>
          <w:bCs/>
        </w:rPr>
        <w:t>References:</w:t>
      </w:r>
    </w:p>
    <w:p w14:paraId="374E0B38" w14:textId="414B3C5E" w:rsidR="00516203" w:rsidRPr="003B03EE" w:rsidRDefault="00516203" w:rsidP="003B03EE">
      <w:pPr>
        <w:pStyle w:val="ListParagraph"/>
        <w:numPr>
          <w:ilvl w:val="0"/>
          <w:numId w:val="1"/>
        </w:numPr>
        <w:spacing w:line="276" w:lineRule="auto"/>
        <w:rPr>
          <w:rFonts w:ascii="Times New Roman" w:hAnsi="Times New Roman" w:cs="Times New Roman"/>
        </w:rPr>
      </w:pPr>
      <w:r w:rsidRPr="003B03EE">
        <w:rPr>
          <w:rFonts w:ascii="Times New Roman" w:hAnsi="Times New Roman" w:cs="Times New Roman"/>
        </w:rPr>
        <w:t xml:space="preserve">Marshall JF, Thomas L, Lane NM, et al. Health Disparities in Appalachia [Internet]. Appalachian Regional Commission; 2017. [cited 2021 July 7]. Available from: </w:t>
      </w:r>
      <w:hyperlink r:id="rId5" w:history="1">
        <w:r w:rsidRPr="003B03EE">
          <w:rPr>
            <w:rStyle w:val="Hyperlink"/>
            <w:rFonts w:ascii="Times New Roman" w:hAnsi="Times New Roman" w:cs="Times New Roman"/>
          </w:rPr>
          <w:t>https://www.arc.gov/report/health-disparities-inappalachia/</w:t>
        </w:r>
      </w:hyperlink>
    </w:p>
    <w:p w14:paraId="1637C6AC" w14:textId="05751E80" w:rsidR="00516203" w:rsidRPr="003B03EE" w:rsidRDefault="00516203" w:rsidP="003B03EE">
      <w:pPr>
        <w:pStyle w:val="ListParagraph"/>
        <w:numPr>
          <w:ilvl w:val="0"/>
          <w:numId w:val="1"/>
        </w:numPr>
        <w:spacing w:line="276" w:lineRule="auto"/>
        <w:rPr>
          <w:rFonts w:ascii="Times New Roman" w:hAnsi="Times New Roman" w:cs="Times New Roman"/>
        </w:rPr>
      </w:pPr>
      <w:hyperlink r:id="rId6" w:history="1">
        <w:r w:rsidRPr="003B03EE">
          <w:rPr>
            <w:rStyle w:val="Hyperlink"/>
            <w:rFonts w:ascii="Times New Roman" w:hAnsi="Times New Roman" w:cs="Times New Roman"/>
          </w:rPr>
          <w:t>https://www.thestayproject.net/about-central-appalachia</w:t>
        </w:r>
      </w:hyperlink>
    </w:p>
    <w:p w14:paraId="022342F0" w14:textId="77777777" w:rsidR="00516203" w:rsidRPr="003B03EE" w:rsidRDefault="00516203" w:rsidP="003B03EE">
      <w:pPr>
        <w:pStyle w:val="ListParagraph"/>
        <w:numPr>
          <w:ilvl w:val="0"/>
          <w:numId w:val="1"/>
        </w:numPr>
        <w:spacing w:line="276" w:lineRule="auto"/>
        <w:rPr>
          <w:rFonts w:ascii="Times New Roman" w:hAnsi="Times New Roman" w:cs="Times New Roman"/>
        </w:rPr>
      </w:pPr>
      <w:r w:rsidRPr="003B03EE">
        <w:rPr>
          <w:rFonts w:ascii="Times New Roman" w:hAnsi="Times New Roman" w:cs="Times New Roman"/>
          <w:color w:val="222222"/>
          <w:shd w:val="clear" w:color="auto" w:fill="FFFFFF"/>
        </w:rPr>
        <w:t>Morrone, M., Cronin, C. E., Schuller, K., &amp; Nicks, S. E. (2021). Access to health care in Appalachia: perception and reality. </w:t>
      </w:r>
      <w:r w:rsidRPr="003B03EE">
        <w:rPr>
          <w:rFonts w:ascii="Times New Roman" w:hAnsi="Times New Roman" w:cs="Times New Roman"/>
          <w:i/>
          <w:iCs/>
          <w:color w:val="222222"/>
          <w:shd w:val="clear" w:color="auto" w:fill="FFFFFF"/>
        </w:rPr>
        <w:t>Journal of Appalachian health</w:t>
      </w:r>
      <w:r w:rsidRPr="003B03EE">
        <w:rPr>
          <w:rFonts w:ascii="Times New Roman" w:hAnsi="Times New Roman" w:cs="Times New Roman"/>
          <w:color w:val="222222"/>
          <w:shd w:val="clear" w:color="auto" w:fill="FFFFFF"/>
        </w:rPr>
        <w:t>, </w:t>
      </w:r>
      <w:r w:rsidRPr="003B03EE">
        <w:rPr>
          <w:rFonts w:ascii="Times New Roman" w:hAnsi="Times New Roman" w:cs="Times New Roman"/>
          <w:i/>
          <w:iCs/>
          <w:color w:val="222222"/>
          <w:shd w:val="clear" w:color="auto" w:fill="FFFFFF"/>
        </w:rPr>
        <w:t>3</w:t>
      </w:r>
      <w:r w:rsidRPr="003B03EE">
        <w:rPr>
          <w:rFonts w:ascii="Times New Roman" w:hAnsi="Times New Roman" w:cs="Times New Roman"/>
          <w:color w:val="222222"/>
          <w:shd w:val="clear" w:color="auto" w:fill="FFFFFF"/>
        </w:rPr>
        <w:t>(4), 123.</w:t>
      </w:r>
    </w:p>
    <w:p w14:paraId="587E3E79" w14:textId="17283E2E" w:rsidR="00516203" w:rsidRPr="003B03EE" w:rsidRDefault="003B03EE" w:rsidP="003B03EE">
      <w:pPr>
        <w:pStyle w:val="ListParagraph"/>
        <w:numPr>
          <w:ilvl w:val="0"/>
          <w:numId w:val="1"/>
        </w:numPr>
        <w:spacing w:line="276" w:lineRule="auto"/>
        <w:rPr>
          <w:rFonts w:ascii="Times New Roman" w:hAnsi="Times New Roman" w:cs="Times New Roman"/>
        </w:rPr>
      </w:pPr>
      <w:r w:rsidRPr="003B03EE">
        <w:rPr>
          <w:rFonts w:ascii="Times New Roman" w:hAnsi="Times New Roman" w:cs="Times New Roman"/>
          <w:color w:val="222222"/>
          <w:shd w:val="clear" w:color="auto" w:fill="FFFFFF"/>
        </w:rPr>
        <w:t>Andersen, R. M., Yu, H., Wyn, R., Davidson, P. L., Brown, E. R., &amp; Teleki, S. (2002). Access to medical care for low-income persons: how do communities make a difference? </w:t>
      </w:r>
      <w:r w:rsidRPr="003B03EE">
        <w:rPr>
          <w:rFonts w:ascii="Times New Roman" w:hAnsi="Times New Roman" w:cs="Times New Roman"/>
          <w:i/>
          <w:iCs/>
          <w:color w:val="222222"/>
          <w:shd w:val="clear" w:color="auto" w:fill="FFFFFF"/>
        </w:rPr>
        <w:t>Medical care research and review</w:t>
      </w:r>
      <w:r w:rsidRPr="003B03EE">
        <w:rPr>
          <w:rFonts w:ascii="Times New Roman" w:hAnsi="Times New Roman" w:cs="Times New Roman"/>
          <w:color w:val="222222"/>
          <w:shd w:val="clear" w:color="auto" w:fill="FFFFFF"/>
        </w:rPr>
        <w:t>, </w:t>
      </w:r>
      <w:r w:rsidRPr="003B03EE">
        <w:rPr>
          <w:rFonts w:ascii="Times New Roman" w:hAnsi="Times New Roman" w:cs="Times New Roman"/>
          <w:i/>
          <w:iCs/>
          <w:color w:val="222222"/>
          <w:shd w:val="clear" w:color="auto" w:fill="FFFFFF"/>
        </w:rPr>
        <w:t>59</w:t>
      </w:r>
      <w:r w:rsidRPr="003B03EE">
        <w:rPr>
          <w:rFonts w:ascii="Times New Roman" w:hAnsi="Times New Roman" w:cs="Times New Roman"/>
          <w:color w:val="222222"/>
          <w:shd w:val="clear" w:color="auto" w:fill="FFFFFF"/>
        </w:rPr>
        <w:t>(4), 384-411.</w:t>
      </w:r>
    </w:p>
    <w:p w14:paraId="5E1FD4D7" w14:textId="77777777" w:rsidR="003B03EE" w:rsidRPr="003B03EE" w:rsidRDefault="003B03EE" w:rsidP="003B03EE">
      <w:pPr>
        <w:pStyle w:val="ListParagraph"/>
        <w:numPr>
          <w:ilvl w:val="0"/>
          <w:numId w:val="1"/>
        </w:numPr>
        <w:spacing w:line="276" w:lineRule="auto"/>
        <w:rPr>
          <w:rFonts w:ascii="Times New Roman" w:hAnsi="Times New Roman" w:cs="Times New Roman"/>
        </w:rPr>
      </w:pPr>
    </w:p>
    <w:sectPr w:rsidR="003B03EE" w:rsidRPr="003B0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61362"/>
    <w:multiLevelType w:val="multilevel"/>
    <w:tmpl w:val="A9C0C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D5389"/>
    <w:multiLevelType w:val="hybridMultilevel"/>
    <w:tmpl w:val="5EA0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067334">
    <w:abstractNumId w:val="1"/>
  </w:num>
  <w:num w:numId="2" w16cid:durableId="400056135">
    <w:abstractNumId w:val="0"/>
  </w:num>
  <w:num w:numId="3" w16cid:durableId="1175606230">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662389335">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3638221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96719818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03"/>
    <w:rsid w:val="000707C1"/>
    <w:rsid w:val="000807CD"/>
    <w:rsid w:val="003B03EE"/>
    <w:rsid w:val="00451F4B"/>
    <w:rsid w:val="0049025E"/>
    <w:rsid w:val="00516203"/>
    <w:rsid w:val="008D388F"/>
    <w:rsid w:val="00B2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B61F"/>
  <w15:chartTrackingRefBased/>
  <w15:docId w15:val="{349A15F0-C62B-479C-A911-3F47376A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162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6203"/>
    <w:rPr>
      <w:i/>
      <w:iCs/>
      <w:color w:val="4472C4" w:themeColor="accent1"/>
    </w:rPr>
  </w:style>
  <w:style w:type="paragraph" w:styleId="ListParagraph">
    <w:name w:val="List Paragraph"/>
    <w:basedOn w:val="Normal"/>
    <w:uiPriority w:val="34"/>
    <w:qFormat/>
    <w:rsid w:val="00516203"/>
    <w:pPr>
      <w:ind w:left="720"/>
      <w:contextualSpacing/>
    </w:pPr>
  </w:style>
  <w:style w:type="character" w:styleId="Hyperlink">
    <w:name w:val="Hyperlink"/>
    <w:basedOn w:val="DefaultParagraphFont"/>
    <w:uiPriority w:val="99"/>
    <w:unhideWhenUsed/>
    <w:rsid w:val="00516203"/>
    <w:rPr>
      <w:color w:val="0563C1" w:themeColor="hyperlink"/>
      <w:u w:val="single"/>
    </w:rPr>
  </w:style>
  <w:style w:type="character" w:styleId="UnresolvedMention">
    <w:name w:val="Unresolved Mention"/>
    <w:basedOn w:val="DefaultParagraphFont"/>
    <w:uiPriority w:val="99"/>
    <w:semiHidden/>
    <w:unhideWhenUsed/>
    <w:rsid w:val="00516203"/>
    <w:rPr>
      <w:color w:val="605E5C"/>
      <w:shd w:val="clear" w:color="auto" w:fill="E1DFDD"/>
    </w:rPr>
  </w:style>
  <w:style w:type="paragraph" w:styleId="NormalWeb">
    <w:name w:val="Normal (Web)"/>
    <w:basedOn w:val="Normal"/>
    <w:uiPriority w:val="99"/>
    <w:semiHidden/>
    <w:unhideWhenUsed/>
    <w:rsid w:val="000707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064421">
      <w:bodyDiv w:val="1"/>
      <w:marLeft w:val="0"/>
      <w:marRight w:val="0"/>
      <w:marTop w:val="0"/>
      <w:marBottom w:val="0"/>
      <w:divBdr>
        <w:top w:val="none" w:sz="0" w:space="0" w:color="auto"/>
        <w:left w:val="none" w:sz="0" w:space="0" w:color="auto"/>
        <w:bottom w:val="none" w:sz="0" w:space="0" w:color="auto"/>
        <w:right w:val="none" w:sz="0" w:space="0" w:color="auto"/>
      </w:divBdr>
    </w:div>
    <w:div w:id="12302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tayproject.net/about-central-appalachia" TargetMode="External"/><Relationship Id="rId5" Type="http://schemas.openxmlformats.org/officeDocument/2006/relationships/hyperlink" Target="https://www.arc.gov/report/health-disparities-inappalach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Syeda Nahid</dc:creator>
  <cp:keywords/>
  <dc:description/>
  <cp:lastModifiedBy>Ruktanonchai, Nick</cp:lastModifiedBy>
  <cp:revision>4</cp:revision>
  <dcterms:created xsi:type="dcterms:W3CDTF">2024-10-09T01:55:00Z</dcterms:created>
  <dcterms:modified xsi:type="dcterms:W3CDTF">2025-09-09T14:49:00Z</dcterms:modified>
</cp:coreProperties>
</file>