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ower-purchase-agreement"/>
    <w:p>
      <w:pPr>
        <w:pStyle w:val="Heading1"/>
      </w:pPr>
      <w:r>
        <w:t xml:space="preserve">POWER PURCHASE AGREEMENT</w:t>
      </w:r>
    </w:p>
    <w:p>
      <w:pPr>
        <w:pStyle w:val="FirstParagraph"/>
      </w:pPr>
      <w:r>
        <w:rPr>
          <w:b/>
          <w:bCs/>
        </w:rPr>
        <w:t xml:space="preserve">THIS POWER PURCHASE AGREEMENT</w:t>
      </w:r>
      <w:r>
        <w:t xml:space="preserve"> </w:t>
      </w:r>
      <w:r>
        <w:t xml:space="preserve">is made and executed on this the</w:t>
      </w:r>
      <w:r>
        <w:t xml:space="preserve"> </w:t>
      </w:r>
      <w:r>
        <w:rPr>
          <w:b/>
          <w:bCs/>
        </w:rPr>
        <w:t xml:space="preserve">[___] day of [___________], [______]</w:t>
      </w:r>
      <w:r>
        <w:t xml:space="preserve">, at Hyderabad, Telangana, India.</w:t>
      </w:r>
    </w:p>
    <w:bookmarkStart w:id="9" w:name="by-and-between"/>
    <w:p>
      <w:pPr>
        <w:pStyle w:val="Heading2"/>
      </w:pPr>
      <w:r>
        <w:t xml:space="preserve">BY AND BETWEEN:</w:t>
      </w:r>
    </w:p>
    <w:p>
      <w:pPr>
        <w:pStyle w:val="Compact"/>
        <w:numPr>
          <w:ilvl w:val="0"/>
          <w:numId w:val="1001"/>
        </w:numPr>
      </w:pPr>
      <w:r>
        <w:rPr>
          <w:b/>
          <w:bCs/>
        </w:rPr>
        <w:t xml:space="preserve">M/s. BRIGHT ROOF POWER SYSTEMS</w:t>
      </w:r>
      <w:r>
        <w:t xml:space="preserve">, a partnership firm constituted under the Indian Partnership Act, 1932, having its principal place of business at Door No. 7-2-1813/5/A/1/5038, Rolin Arcade, Street No. 1, Czech Colony, Sanathnagar, Hyderabad, Telangana – 500018, represented by its authorised Partner</w:t>
      </w:r>
      <w:r>
        <w:t xml:space="preserve"> </w:t>
      </w:r>
      <w:r>
        <w:rPr>
          <w:b/>
          <w:bCs/>
        </w:rPr>
        <w:t xml:space="preserve">[_________________________]</w:t>
      </w:r>
      <w:r>
        <w:t xml:space="preserve"> </w:t>
      </w:r>
      <w:r>
        <w:t xml:space="preserve">(hereinafter referred to as the</w:t>
      </w:r>
      <w:r>
        <w:t xml:space="preserve"> </w:t>
      </w:r>
      <w:r>
        <w:rPr>
          <w:b/>
          <w:bCs/>
        </w:rPr>
        <w:t xml:space="preserve">“Company”</w:t>
      </w:r>
      <w:r>
        <w:t xml:space="preserve">, which expression shall, unless repugnant to the context or meaning thereof, include its successors and permitted assigns) of the</w:t>
      </w:r>
      <w:r>
        <w:t xml:space="preserve"> </w:t>
      </w:r>
      <w:r>
        <w:rPr>
          <w:b/>
          <w:bCs/>
        </w:rPr>
        <w:t xml:space="preserve">ONE PART</w:t>
      </w:r>
      <w:r>
        <w:t xml:space="preserve">;</w:t>
      </w:r>
    </w:p>
    <w:bookmarkEnd w:id="9"/>
    <w:bookmarkStart w:id="10" w:name="and"/>
    <w:p>
      <w:pPr>
        <w:pStyle w:val="Heading2"/>
      </w:pPr>
      <w:r>
        <w:t xml:space="preserve">AND</w:t>
      </w:r>
    </w:p>
    <w:p>
      <w:pPr>
        <w:pStyle w:val="Compact"/>
        <w:numPr>
          <w:ilvl w:val="0"/>
          <w:numId w:val="1002"/>
        </w:numPr>
      </w:pPr>
      <w:r>
        <w:rPr>
          <w:b/>
          <w:bCs/>
        </w:rPr>
        <w:t xml:space="preserve">[_____________________________________________]</w:t>
      </w:r>
      <w:r>
        <w:t xml:space="preserve">, an association of apartment owners / residents duly registered under the [Telangana Societies Registration Act, 2001 / Telangana Apartments (Promotion of Construction and Ownership) Act], vide Registration No. </w:t>
      </w:r>
      <w:r>
        <w:rPr>
          <w:b/>
          <w:bCs/>
        </w:rPr>
        <w:t xml:space="preserve">[______________]</w:t>
      </w:r>
      <w:r>
        <w:t xml:space="preserve"> </w:t>
      </w:r>
      <w:r>
        <w:t xml:space="preserve">dated</w:t>
      </w:r>
      <w:r>
        <w:t xml:space="preserve"> </w:t>
      </w:r>
      <w:r>
        <w:rPr>
          <w:b/>
          <w:bCs/>
        </w:rPr>
        <w:t xml:space="preserve">[______________]</w:t>
      </w:r>
      <w:r>
        <w:t xml:space="preserve">, having its registered office at</w:t>
      </w:r>
      <w:r>
        <w:t xml:space="preserve"> </w:t>
      </w:r>
      <w:r>
        <w:rPr>
          <w:b/>
          <w:bCs/>
        </w:rPr>
        <w:t xml:space="preserve">[_____________________________________________]</w:t>
      </w:r>
      <w:r>
        <w:t xml:space="preserve">, represented by its authorised signatory</w:t>
      </w:r>
      <w:r>
        <w:t xml:space="preserve"> </w:t>
      </w:r>
      <w:r>
        <w:rPr>
          <w:b/>
          <w:bCs/>
        </w:rPr>
        <w:t xml:space="preserve">[_________________________]</w:t>
      </w:r>
      <w:r>
        <w:t xml:space="preserve">, [Designation] (hereinafter referred to as the</w:t>
      </w:r>
      <w:r>
        <w:t xml:space="preserve"> </w:t>
      </w:r>
      <w:r>
        <w:rPr>
          <w:b/>
          <w:bCs/>
        </w:rPr>
        <w:t xml:space="preserve">“Consumer”</w:t>
      </w:r>
      <w:r>
        <w:t xml:space="preserve">, which expression shall, unless repugnant to the context or meaning thereof, include its successors, lawful office-bearers and permitted assigns) of the</w:t>
      </w:r>
      <w:r>
        <w:t xml:space="preserve"> </w:t>
      </w:r>
      <w:r>
        <w:rPr>
          <w:b/>
          <w:bCs/>
        </w:rPr>
        <w:t xml:space="preserve">OTHER PART</w:t>
      </w:r>
      <w:r>
        <w:t xml:space="preserve">.</w:t>
      </w:r>
    </w:p>
    <w:p>
      <w:pPr>
        <w:pStyle w:val="FirstParagraph"/>
      </w:pPr>
      <w:r>
        <w:t xml:space="preserve">The Company and the Consumer are hereinafter collectively referred to as the</w:t>
      </w:r>
      <w:r>
        <w:t xml:space="preserve"> </w:t>
      </w:r>
      <w:r>
        <w:rPr>
          <w:b/>
          <w:bCs/>
        </w:rPr>
        <w:t xml:space="preserve">“Parties”</w:t>
      </w:r>
      <w:r>
        <w:t xml:space="preserve"> </w:t>
      </w:r>
      <w:r>
        <w:t xml:space="preserve">and individually as a</w:t>
      </w:r>
      <w:r>
        <w:t xml:space="preserve"> </w:t>
      </w:r>
      <w:r>
        <w:rPr>
          <w:b/>
          <w:bCs/>
        </w:rPr>
        <w:t xml:space="preserve">“Party”</w:t>
      </w:r>
      <w:r>
        <w:t xml:space="preserve">.</w:t>
      </w:r>
    </w:p>
    <w:p>
      <w:r>
        <w:pict>
          <v:rect style="width:0;height:1.5pt" o:hralign="center" o:hrstd="t" o:hr="t"/>
        </w:pict>
      </w:r>
    </w:p>
    <w:bookmarkEnd w:id="10"/>
    <w:bookmarkStart w:id="11" w:name="whereas"/>
    <w:p>
      <w:pPr>
        <w:pStyle w:val="Heading2"/>
      </w:pPr>
      <w:r>
        <w:t xml:space="preserve">WHEREAS:</w:t>
      </w:r>
    </w:p>
    <w:p>
      <w:pPr>
        <w:pStyle w:val="FirstParagraph"/>
      </w:pPr>
      <w:r>
        <w:t xml:space="preserve">A. The Consumer is a duly registered association representing the apartment owners / residents of the residential complex known as</w:t>
      </w:r>
      <w:r>
        <w:t xml:space="preserve"> </w:t>
      </w:r>
      <w:r>
        <w:rPr>
          <w:b/>
          <w:bCs/>
        </w:rPr>
        <w:t xml:space="preserve">[_____________________________________________]</w:t>
      </w:r>
      <w:r>
        <w:t xml:space="preserve"> </w:t>
      </w:r>
      <w:r>
        <w:t xml:space="preserve">situated at</w:t>
      </w:r>
      <w:r>
        <w:t xml:space="preserve"> </w:t>
      </w:r>
      <w:r>
        <w:rPr>
          <w:b/>
          <w:bCs/>
        </w:rPr>
        <w:t xml:space="preserve">[_____________________________________________]</w:t>
      </w:r>
      <w:r>
        <w:t xml:space="preserve"> </w:t>
      </w:r>
      <w:r>
        <w:t xml:space="preserve">(the</w:t>
      </w:r>
      <w:r>
        <w:t xml:space="preserve"> </w:t>
      </w:r>
      <w:r>
        <w:rPr>
          <w:b/>
          <w:bCs/>
        </w:rPr>
        <w:t xml:space="preserve">“Premises”</w:t>
      </w:r>
      <w:r>
        <w:t xml:space="preserve">), and is authorised under its bye-laws and applicable law to enter into this Agreement for and on behalf of its members.</w:t>
      </w:r>
    </w:p>
    <w:p>
      <w:pPr>
        <w:pStyle w:val="BodyText"/>
      </w:pPr>
      <w:r>
        <w:t xml:space="preserve">B. The Company is engaged in the business of design, financing, installation, ownership, operation and maintenance of grid-connected rooftop solar photovoltaic power generation systems, and the supply of electricity generated therefrom to consumers under long-term power purchase arrangements.</w:t>
      </w:r>
    </w:p>
    <w:p>
      <w:pPr>
        <w:pStyle w:val="BodyText"/>
      </w:pPr>
      <w:r>
        <w:t xml:space="preserve">C. The Consumer desires to procure solar electricity generated on the rooftop of the Premises, and has accordingly invited the Company to install, own, operate and maintain a grid-connected rooftop solar photovoltaic power system on the Premises, and to supply the electricity generated therefrom exclusively to the Consumer on the terms set out herein.</w:t>
      </w:r>
    </w:p>
    <w:p>
      <w:pPr>
        <w:pStyle w:val="BodyText"/>
      </w:pPr>
      <w:r>
        <w:t xml:space="preserve">D. The Company, having inspected the Premises and examined the Consumer’s sanctioned electrical load and historical consumption, has agreed to install, own, operate and maintain the said System at its own cost and risk, and to supply the electricity generated thereby to the Consumer on the terms and conditions hereinafter contained.</w:t>
      </w:r>
    </w:p>
    <w:p>
      <w:pPr>
        <w:pStyle w:val="BodyText"/>
      </w:pPr>
      <w:r>
        <w:rPr>
          <w:b/>
          <w:bCs/>
        </w:rPr>
        <w:t xml:space="preserve">NOW THIS AGREEMENT WITNESSETH</w:t>
      </w:r>
      <w:r>
        <w:t xml:space="preserve"> </w:t>
      </w:r>
      <w:r>
        <w:t xml:space="preserve">and the Parties hereby mutually agree as follows:</w:t>
      </w:r>
    </w:p>
    <w:p>
      <w:r>
        <w:pict>
          <v:rect style="width:0;height:1.5pt" o:hralign="center" o:hrstd="t" o:hr="t"/>
        </w:pict>
      </w:r>
    </w:p>
    <w:bookmarkEnd w:id="11"/>
    <w:bookmarkStart w:id="12" w:name="definitions"/>
    <w:p>
      <w:pPr>
        <w:pStyle w:val="Heading2"/>
      </w:pPr>
      <w:r>
        <w:t xml:space="preserve">1. DEFINITIONS</w:t>
      </w:r>
    </w:p>
    <w:p>
      <w:pPr>
        <w:pStyle w:val="FirstParagraph"/>
      </w:pPr>
      <w:r>
        <w:t xml:space="preserve">In this Agreement, unless the context otherwise requires:</w:t>
      </w:r>
    </w:p>
    <w:p>
      <w:pPr>
        <w:pStyle w:val="BodyText"/>
      </w:pPr>
      <w:r>
        <w:rPr>
          <w:b/>
          <w:bCs/>
        </w:rPr>
        <w:t xml:space="preserve">“Agreement”</w:t>
      </w:r>
      <w:r>
        <w:t xml:space="preserve"> </w:t>
      </w:r>
      <w:r>
        <w:t xml:space="preserve">means this Power Purchase Agreement together with its Schedules, as amended from time to time in accordance with Clause 24.</w:t>
      </w:r>
    </w:p>
    <w:p>
      <w:pPr>
        <w:pStyle w:val="BodyText"/>
      </w:pPr>
      <w:r>
        <w:rPr>
          <w:b/>
          <w:bCs/>
        </w:rPr>
        <w:t xml:space="preserve">“Applicable Law”</w:t>
      </w:r>
      <w:r>
        <w:t xml:space="preserve"> </w:t>
      </w:r>
      <w:r>
        <w:t xml:space="preserve">means all laws, rules, regulations, notifications and orders in force in India from time to time and applicable to this Agreement, including the Electricity Act, 2003, the regulations of the Telangana State Electricity Regulatory Commission, the net-metering rules of the Telangana State Southern Power Distribution Company Limited (</w:t>
      </w:r>
      <w:r>
        <w:rPr>
          <w:b/>
          <w:bCs/>
        </w:rPr>
        <w:t xml:space="preserve">“TSSPDCL”</w:t>
      </w:r>
      <w:r>
        <w:t xml:space="preserve">), and the guidelines of the Ministry of New and Renewable Energy.</w:t>
      </w:r>
    </w:p>
    <w:p>
      <w:pPr>
        <w:pStyle w:val="BodyText"/>
      </w:pPr>
      <w:r>
        <w:rPr>
          <w:b/>
          <w:bCs/>
        </w:rPr>
        <w:t xml:space="preserve">“Billing Period”</w:t>
      </w:r>
      <w:r>
        <w:t xml:space="preserve"> </w:t>
      </w:r>
      <w:r>
        <w:t xml:space="preserve">means a calendar month.</w:t>
      </w:r>
    </w:p>
    <w:p>
      <w:pPr>
        <w:pStyle w:val="BodyText"/>
      </w:pPr>
      <w:r>
        <w:rPr>
          <w:b/>
          <w:bCs/>
        </w:rPr>
        <w:t xml:space="preserve">“Commercial Operation Date”</w:t>
      </w:r>
      <w:r>
        <w:t xml:space="preserve"> </w:t>
      </w:r>
      <w:r>
        <w:t xml:space="preserve">or</w:t>
      </w:r>
      <w:r>
        <w:t xml:space="preserve"> </w:t>
      </w:r>
      <w:r>
        <w:rPr>
          <w:b/>
          <w:bCs/>
        </w:rPr>
        <w:t xml:space="preserve">“COD”</w:t>
      </w:r>
      <w:r>
        <w:t xml:space="preserve"> </w:t>
      </w:r>
      <w:r>
        <w:t xml:space="preserve">means the date on which the System is successfully commissioned, synchronised with the TSSPDCL grid and begins supplying metered solar energy to the Consumer, as jointly certified by the Parties.</w:t>
      </w:r>
    </w:p>
    <w:p>
      <w:pPr>
        <w:pStyle w:val="BodyText"/>
      </w:pPr>
      <w:r>
        <w:rPr>
          <w:b/>
          <w:bCs/>
        </w:rPr>
        <w:t xml:space="preserve">“Contracted Capacity”</w:t>
      </w:r>
      <w:r>
        <w:t xml:space="preserve"> </w:t>
      </w:r>
      <w:r>
        <w:t xml:space="preserve">means</w:t>
      </w:r>
      <w:r>
        <w:t xml:space="preserve"> </w:t>
      </w:r>
      <w:r>
        <w:rPr>
          <w:b/>
          <w:bCs/>
        </w:rPr>
        <w:t xml:space="preserve">[___] kWp</w:t>
      </w:r>
      <w:r>
        <w:t xml:space="preserve"> </w:t>
      </w:r>
      <w:r>
        <w:t xml:space="preserve">of solar photovoltaic generation capacity installed under this Agreement, as described in Schedule 1.</w:t>
      </w:r>
    </w:p>
    <w:p>
      <w:pPr>
        <w:pStyle w:val="BodyText"/>
      </w:pPr>
      <w:r>
        <w:rPr>
          <w:b/>
          <w:bCs/>
        </w:rPr>
        <w:t xml:space="preserve">“Delivery Point”</w:t>
      </w:r>
      <w:r>
        <w:t xml:space="preserve"> </w:t>
      </w:r>
      <w:r>
        <w:t xml:space="preserve">means the point at which the AC output of the System is connected to the Consumer’s internal electrical network, as described in Schedule 1.</w:t>
      </w:r>
    </w:p>
    <w:p>
      <w:pPr>
        <w:pStyle w:val="BodyText"/>
      </w:pPr>
      <w:r>
        <w:rPr>
          <w:b/>
          <w:bCs/>
        </w:rPr>
        <w:t xml:space="preserve">“Effective Date”</w:t>
      </w:r>
      <w:r>
        <w:t xml:space="preserve"> </w:t>
      </w:r>
      <w:r>
        <w:t xml:space="preserve">means the date of execution of this Agreement first written above.</w:t>
      </w:r>
    </w:p>
    <w:p>
      <w:pPr>
        <w:pStyle w:val="BodyText"/>
      </w:pPr>
      <w:r>
        <w:rPr>
          <w:b/>
          <w:bCs/>
        </w:rPr>
        <w:t xml:space="preserve">“Force Majeure”</w:t>
      </w:r>
      <w:r>
        <w:t xml:space="preserve"> </w:t>
      </w:r>
      <w:r>
        <w:t xml:space="preserve">has the meaning given in Clause 16.</w:t>
      </w:r>
    </w:p>
    <w:p>
      <w:pPr>
        <w:pStyle w:val="BodyText"/>
      </w:pPr>
      <w:r>
        <w:rPr>
          <w:b/>
          <w:bCs/>
        </w:rPr>
        <w:t xml:space="preserve">“Net Metering Agreement”</w:t>
      </w:r>
      <w:r>
        <w:t xml:space="preserve"> </w:t>
      </w:r>
      <w:r>
        <w:t xml:space="preserve">means the agreement executed between the Consumer and TSSPDCL for grid connection and net-metering of the System, in the standard form prescribed by TSSPDCL.</w:t>
      </w:r>
    </w:p>
    <w:p>
      <w:pPr>
        <w:pStyle w:val="BodyText"/>
      </w:pPr>
      <w:r>
        <w:rPr>
          <w:b/>
          <w:bCs/>
        </w:rPr>
        <w:t xml:space="preserve">“Premises”</w:t>
      </w:r>
      <w:r>
        <w:t xml:space="preserve"> </w:t>
      </w:r>
      <w:r>
        <w:t xml:space="preserve">has the meaning given in Recital A, and includes the rooftop, cable routes, inverter room, metering cabinet and ancillary areas made available by the Consumer for the installation and operation of the System.</w:t>
      </w:r>
    </w:p>
    <w:p>
      <w:pPr>
        <w:pStyle w:val="BodyText"/>
      </w:pPr>
      <w:r>
        <w:rPr>
          <w:b/>
          <w:bCs/>
        </w:rPr>
        <w:t xml:space="preserve">“Scheduled COD”</w:t>
      </w:r>
      <w:r>
        <w:t xml:space="preserve"> </w:t>
      </w:r>
      <w:r>
        <w:t xml:space="preserve">means</w:t>
      </w:r>
      <w:r>
        <w:t xml:space="preserve"> </w:t>
      </w:r>
      <w:r>
        <w:rPr>
          <w:b/>
          <w:bCs/>
        </w:rPr>
        <w:t xml:space="preserve">[______________]</w:t>
      </w:r>
      <w:r>
        <w:t xml:space="preserve">, being the date on or before which the Company shall use reasonable endeavours to commission the System.</w:t>
      </w:r>
    </w:p>
    <w:p>
      <w:pPr>
        <w:pStyle w:val="BodyText"/>
      </w:pPr>
      <w:r>
        <w:rPr>
          <w:b/>
          <w:bCs/>
        </w:rPr>
        <w:t xml:space="preserve">“System”</w:t>
      </w:r>
      <w:r>
        <w:t xml:space="preserve"> </w:t>
      </w:r>
      <w:r>
        <w:t xml:space="preserve">means the grid-connected rooftop solar photovoltaic power generation system of the Contracted Capacity, including photovoltaic modules, inverters, mounting structures, DC and AC cabling, junction boxes, earthing, protection devices, metering, monitoring hardware and software, and all balance-of-system components, as described in Schedule 2.</w:t>
      </w:r>
    </w:p>
    <w:p>
      <w:pPr>
        <w:pStyle w:val="BodyText"/>
      </w:pPr>
      <w:r>
        <w:rPr>
          <w:b/>
          <w:bCs/>
        </w:rPr>
        <w:t xml:space="preserve">“Tariff”</w:t>
      </w:r>
      <w:r>
        <w:t xml:space="preserve"> </w:t>
      </w:r>
      <w:r>
        <w:t xml:space="preserve">means the per-kWh rate payable by the Consumer to the Company for solar energy supplied under this Agreement, as set out in Clause 10 and Schedule 3.</w:t>
      </w:r>
    </w:p>
    <w:p>
      <w:pPr>
        <w:pStyle w:val="BodyText"/>
      </w:pPr>
      <w:r>
        <w:rPr>
          <w:b/>
          <w:bCs/>
        </w:rPr>
        <w:t xml:space="preserve">“Term”</w:t>
      </w:r>
      <w:r>
        <w:t xml:space="preserve"> </w:t>
      </w:r>
      <w:r>
        <w:t xml:space="preserve">has the meaning given in Clause 5.</w:t>
      </w:r>
    </w:p>
    <w:p>
      <w:pPr>
        <w:pStyle w:val="BodyText"/>
      </w:pPr>
      <w:r>
        <w:t xml:space="preserve">In this Agreement, references to</w:t>
      </w:r>
      <w:r>
        <w:t xml:space="preserve"> </w:t>
      </w:r>
      <w:r>
        <w:t xml:space="preserve">“Rs.”</w:t>
      </w:r>
      <w:r>
        <w:t xml:space="preserve">,</w:t>
      </w:r>
      <w:r>
        <w:t xml:space="preserve"> </w:t>
      </w:r>
      <w:r>
        <w:t xml:space="preserve">“Rupees”</w:t>
      </w:r>
      <w:r>
        <w:t xml:space="preserve"> </w:t>
      </w:r>
      <w:r>
        <w:t xml:space="preserve">and</w:t>
      </w:r>
      <w:r>
        <w:t xml:space="preserve"> </w:t>
      </w:r>
      <w:r>
        <w:t xml:space="preserve">“INR”</w:t>
      </w:r>
      <w:r>
        <w:t xml:space="preserve"> </w:t>
      </w:r>
      <w:r>
        <w:t xml:space="preserve">are to Indian Rupees; the singular includes the plural and vice versa; and references to any statute include the rules and regulations made thereunder and any amendment or re-enactment thereof.</w:t>
      </w:r>
    </w:p>
    <w:p>
      <w:r>
        <w:pict>
          <v:rect style="width:0;height:1.5pt" o:hralign="center" o:hrstd="t" o:hr="t"/>
        </w:pict>
      </w:r>
    </w:p>
    <w:bookmarkEnd w:id="12"/>
    <w:bookmarkStart w:id="13" w:name="scope"/>
    <w:p>
      <w:pPr>
        <w:pStyle w:val="Heading2"/>
      </w:pPr>
      <w:r>
        <w:t xml:space="preserve">2. SCOPE</w:t>
      </w:r>
    </w:p>
    <w:p>
      <w:pPr>
        <w:pStyle w:val="FirstParagraph"/>
      </w:pPr>
      <w:r>
        <w:t xml:space="preserve">2.1 The Company shall, at its own cost and risk, design, procure, install, test, commission, own, operate and maintain the System on the Premises for the Term of this Agreement.</w:t>
      </w:r>
    </w:p>
    <w:p>
      <w:pPr>
        <w:pStyle w:val="BodyText"/>
      </w:pPr>
      <w:r>
        <w:t xml:space="preserve">2.2 The Company shall sell, and the Consumer shall purchase, all solar energy generated by the System and delivered at the Delivery Point during the Term, on an as-generated basis, at the Tariff and on the terms set out in this Agreement.</w:t>
      </w:r>
    </w:p>
    <w:p>
      <w:pPr>
        <w:pStyle w:val="BodyText"/>
      </w:pPr>
      <w:r>
        <w:t xml:space="preserve">2.3 The Consumer shall continue to maintain its existing grid connection with TSSPDCL for the balance of its electricity requirement. Nothing in this Agreement shall oblige the Consumer to purchase any minimum quantity of solar energy, except to the extent of energy actually generated by the System and delivered at the Delivery Point.</w:t>
      </w:r>
    </w:p>
    <w:p>
      <w:r>
        <w:pict>
          <v:rect style="width:0;height:1.5pt" o:hralign="center" o:hrstd="t" o:hr="t"/>
        </w:pict>
      </w:r>
    </w:p>
    <w:bookmarkEnd w:id="13"/>
    <w:bookmarkStart w:id="14" w:name="licence-of-rooftop"/>
    <w:p>
      <w:pPr>
        <w:pStyle w:val="Heading2"/>
      </w:pPr>
      <w:r>
        <w:t xml:space="preserve">3. LICENCE OF ROOFTOP</w:t>
      </w:r>
    </w:p>
    <w:p>
      <w:pPr>
        <w:pStyle w:val="FirstParagraph"/>
      </w:pPr>
      <w:r>
        <w:t xml:space="preserve">3.1 The Consumer hereby grants to the Company, for the entire Term, an exclusive, irrevocable and royalty-free licence to use the rooftop area of the Premises described in Schedule 1 (the</w:t>
      </w:r>
      <w:r>
        <w:t xml:space="preserve"> </w:t>
      </w:r>
      <w:r>
        <w:rPr>
          <w:b/>
          <w:bCs/>
        </w:rPr>
        <w:t xml:space="preserve">“Licensed Area”</w:t>
      </w:r>
      <w:r>
        <w:t xml:space="preserve">) for the purposes of installing, owning, operating, maintaining, repairing, upgrading and ultimately removing the System.</w:t>
      </w:r>
    </w:p>
    <w:p>
      <w:pPr>
        <w:pStyle w:val="BodyText"/>
      </w:pPr>
      <w:r>
        <w:t xml:space="preserve">3.2 The licence under Clause 3.1 shall be exclusive in respect of solar photovoltaic generation. The Consumer shall not, during the Term, permit any third party or itself to install any competing solar generation capacity on the rooftop that would cause shading of, reduce generation from, or interfere with the System.</w:t>
      </w:r>
    </w:p>
    <w:p>
      <w:pPr>
        <w:pStyle w:val="BodyText"/>
      </w:pPr>
      <w:r>
        <w:t xml:space="preserve">3.3 The Consumer shall provide the Company, its personnel, contractors and agents with reasonable access to the Licensed Area, cable routes, inverter room and metering points at all reasonable times upon prior intimation, and at all times without prior intimation in the event of an emergency affecting the safety of persons or property.</w:t>
      </w:r>
    </w:p>
    <w:p>
      <w:pPr>
        <w:pStyle w:val="BodyText"/>
      </w:pPr>
      <w:r>
        <w:t xml:space="preserve">3.4 The licence granted under this Clause 3 is a bare licence to enable the Company to operate the System, and does not create any lease, tenancy, easement or other proprietary interest in the Premises in favour of the Company.</w:t>
      </w:r>
    </w:p>
    <w:p>
      <w:r>
        <w:pict>
          <v:rect style="width:0;height:1.5pt" o:hralign="center" o:hrstd="t" o:hr="t"/>
        </w:pict>
      </w:r>
    </w:p>
    <w:bookmarkEnd w:id="14"/>
    <w:bookmarkStart w:id="15" w:name="ownership-of-the-system"/>
    <w:p>
      <w:pPr>
        <w:pStyle w:val="Heading2"/>
      </w:pPr>
      <w:r>
        <w:t xml:space="preserve">4. OWNERSHIP OF THE SYSTEM</w:t>
      </w:r>
    </w:p>
    <w:p>
      <w:pPr>
        <w:pStyle w:val="FirstParagraph"/>
      </w:pPr>
      <w:r>
        <w:t xml:space="preserve">4.1 The System is, and shall at all times during and after the Term remain, the sole and exclusive property of the Company. The Parties acknowledge that the System is not a fixture, attachment or improvement to the Premises, and that notwithstanding the physical affixation of any component to the Premises, title to all components of the System shall vest solely in the Company.</w:t>
      </w:r>
    </w:p>
    <w:p>
      <w:pPr>
        <w:pStyle w:val="BodyText"/>
      </w:pPr>
      <w:r>
        <w:t xml:space="preserve">4.2 The Consumer shall not, and shall procure that no member or occupant of the Premises shall, tamper with, modify, sell, charge, mortgage, encumber or otherwise deal with the System or any component thereof.</w:t>
      </w:r>
    </w:p>
    <w:p>
      <w:pPr>
        <w:pStyle w:val="BodyText"/>
      </w:pPr>
      <w:r>
        <w:t xml:space="preserve">4.3 For the avoidance of doubt, there shall be no automatic transfer of the System to the Consumer upon expiry or earlier termination of this Agreement. End-of-term arrangements are governed exclusively by Clause 19.</w:t>
      </w:r>
    </w:p>
    <w:p>
      <w:r>
        <w:pict>
          <v:rect style="width:0;height:1.5pt" o:hralign="center" o:hrstd="t" o:hr="t"/>
        </w:pict>
      </w:r>
    </w:p>
    <w:bookmarkEnd w:id="15"/>
    <w:bookmarkStart w:id="16" w:name="term"/>
    <w:p>
      <w:pPr>
        <w:pStyle w:val="Heading2"/>
      </w:pPr>
      <w:r>
        <w:t xml:space="preserve">5. TERM</w:t>
      </w:r>
    </w:p>
    <w:p>
      <w:pPr>
        <w:pStyle w:val="FirstParagraph"/>
      </w:pPr>
      <w:r>
        <w:t xml:space="preserve">5.1 This Agreement shall come into force on the Effective Date and shall remain in force for a period of</w:t>
      </w:r>
      <w:r>
        <w:t xml:space="preserve"> </w:t>
      </w:r>
      <w:r>
        <w:rPr>
          <w:b/>
          <w:bCs/>
        </w:rPr>
        <w:t xml:space="preserve">[___] years from the COD</w:t>
      </w:r>
      <w:r>
        <w:t xml:space="preserve"> </w:t>
      </w:r>
      <w:r>
        <w:t xml:space="preserve">(the</w:t>
      </w:r>
      <w:r>
        <w:t xml:space="preserve"> </w:t>
      </w:r>
      <w:r>
        <w:rPr>
          <w:b/>
          <w:bCs/>
        </w:rPr>
        <w:t xml:space="preserve">“Initial Term”</w:t>
      </w:r>
      <w:r>
        <w:t xml:space="preserve">), unless terminated earlier in accordance with its terms.</w:t>
      </w:r>
    </w:p>
    <w:p>
      <w:pPr>
        <w:pStyle w:val="BodyText"/>
      </w:pPr>
      <w:r>
        <w:t xml:space="preserve">5.2 The Initial Term shall automatically extend for successive periods of five (5) years each (each a</w:t>
      </w:r>
      <w:r>
        <w:t xml:space="preserve"> </w:t>
      </w:r>
      <w:r>
        <w:rPr>
          <w:b/>
          <w:bCs/>
        </w:rPr>
        <w:t xml:space="preserve">“Renewal Term”</w:t>
      </w:r>
      <w:r>
        <w:t xml:space="preserve">, and together with the Initial Term, the</w:t>
      </w:r>
      <w:r>
        <w:t xml:space="preserve"> </w:t>
      </w:r>
      <w:r>
        <w:rPr>
          <w:b/>
          <w:bCs/>
        </w:rPr>
        <w:t xml:space="preserve">“Term”</w:t>
      </w:r>
      <w:r>
        <w:t xml:space="preserve">), unless either Party gives the other Party written notice of non-renewal at least twelve (12) months before the end of the Initial Term or the then-current Renewal Term.</w:t>
      </w:r>
    </w:p>
    <w:p>
      <w:pPr>
        <w:pStyle w:val="BodyText"/>
      </w:pPr>
      <w:r>
        <w:t xml:space="preserve">5.3 The Tariff applicable during any Renewal Term shall be mutually agreed in writing by the Parties not later than six (6) months before the commencement of such Renewal Term.</w:t>
      </w:r>
    </w:p>
    <w:p>
      <w:r>
        <w:pict>
          <v:rect style="width:0;height:1.5pt" o:hralign="center" o:hrstd="t" o:hr="t"/>
        </w:pict>
      </w:r>
    </w:p>
    <w:bookmarkEnd w:id="16"/>
    <w:bookmarkStart w:id="17" w:name="design-installation-and-commissioning"/>
    <w:p>
      <w:pPr>
        <w:pStyle w:val="Heading2"/>
      </w:pPr>
      <w:r>
        <w:t xml:space="preserve">6. DESIGN, INSTALLATION AND COMMISSIONING</w:t>
      </w:r>
    </w:p>
    <w:p>
      <w:pPr>
        <w:pStyle w:val="FirstParagraph"/>
      </w:pPr>
      <w:r>
        <w:t xml:space="preserve">6.1 The Company shall complete the design, installation, testing and commissioning of the System on or before the Scheduled COD, subject to Force Majeure and delays caused by the Consumer or any Governmental Authority.</w:t>
      </w:r>
    </w:p>
    <w:p>
      <w:pPr>
        <w:pStyle w:val="BodyText"/>
      </w:pPr>
      <w:r>
        <w:t xml:space="preserve">6.2 The Company shall, at its own cost:</w:t>
      </w:r>
    </w:p>
    <w:p>
      <w:pPr>
        <w:numPr>
          <w:ilvl w:val="0"/>
          <w:numId w:val="1003"/>
        </w:numPr>
      </w:pPr>
      <w:r>
        <w:t xml:space="preserve">prepare and submit all drawings, applications and approvals required from TSSPDCL, the Chief Electrical Inspectorate, and any other authority;</w:t>
      </w:r>
    </w:p>
    <w:p>
      <w:pPr>
        <w:numPr>
          <w:ilvl w:val="0"/>
          <w:numId w:val="1003"/>
        </w:numPr>
      </w:pPr>
      <w:r>
        <w:t xml:space="preserve">procure all equipment in accordance with Schedule 2;</w:t>
      </w:r>
    </w:p>
    <w:p>
      <w:pPr>
        <w:numPr>
          <w:ilvl w:val="0"/>
          <w:numId w:val="1003"/>
        </w:numPr>
      </w:pPr>
      <w:r>
        <w:t xml:space="preserve">carry out civil, electrical and structural works in accordance with Applicable Law and prudent industry practice; and</w:t>
      </w:r>
    </w:p>
    <w:p>
      <w:pPr>
        <w:numPr>
          <w:ilvl w:val="0"/>
          <w:numId w:val="1003"/>
        </w:numPr>
      </w:pPr>
      <w:r>
        <w:t xml:space="preserve">install revenue-grade metering as required under the Net Metering Agreement, together with a sub-meter at the Delivery Point (the</w:t>
      </w:r>
      <w:r>
        <w:t xml:space="preserve"> </w:t>
      </w:r>
      <w:r>
        <w:rPr>
          <w:b/>
          <w:bCs/>
        </w:rPr>
        <w:t xml:space="preserve">“Solar Meter”</w:t>
      </w:r>
      <w:r>
        <w:t xml:space="preserve">) of accuracy class 1.0 or better.</w:t>
      </w:r>
    </w:p>
    <w:p>
      <w:pPr>
        <w:pStyle w:val="FirstParagraph"/>
      </w:pPr>
      <w:r>
        <w:t xml:space="preserve">6.3 The Consumer shall, at its own cost:</w:t>
      </w:r>
    </w:p>
    <w:p>
      <w:pPr>
        <w:numPr>
          <w:ilvl w:val="0"/>
          <w:numId w:val="1004"/>
        </w:numPr>
      </w:pPr>
      <w:r>
        <w:t xml:space="preserve">provide clear, dry and structurally sound access to the Licensed Area;</w:t>
      </w:r>
    </w:p>
    <w:p>
      <w:pPr>
        <w:numPr>
          <w:ilvl w:val="0"/>
          <w:numId w:val="1004"/>
        </w:numPr>
      </w:pPr>
      <w:r>
        <w:t xml:space="preserve">execute and maintain the Net Metering Agreement with TSSPDCL in its own name;</w:t>
      </w:r>
    </w:p>
    <w:p>
      <w:pPr>
        <w:numPr>
          <w:ilvl w:val="0"/>
          <w:numId w:val="1004"/>
        </w:numPr>
      </w:pPr>
      <w:r>
        <w:t xml:space="preserve">obtain all internal approvals required under its bye-laws for this Agreement and the works contemplated herein; and</w:t>
      </w:r>
    </w:p>
    <w:p>
      <w:pPr>
        <w:numPr>
          <w:ilvl w:val="0"/>
          <w:numId w:val="1004"/>
        </w:numPr>
      </w:pPr>
      <w:r>
        <w:t xml:space="preserve">provide temporary electricity and water at actual cost during the installation period.</w:t>
      </w:r>
    </w:p>
    <w:p>
      <w:r>
        <w:pict>
          <v:rect style="width:0;height:1.5pt" o:hralign="center" o:hrstd="t" o:hr="t"/>
        </w:pict>
      </w:r>
    </w:p>
    <w:bookmarkEnd w:id="17"/>
    <w:bookmarkStart w:id="18" w:name="operation-and-maintenance"/>
    <w:p>
      <w:pPr>
        <w:pStyle w:val="Heading2"/>
      </w:pPr>
      <w:r>
        <w:t xml:space="preserve">7. OPERATION AND MAINTENANCE</w:t>
      </w:r>
    </w:p>
    <w:p>
      <w:pPr>
        <w:pStyle w:val="FirstParagraph"/>
      </w:pPr>
      <w:r>
        <w:t xml:space="preserve">7.1 Throughout the Term, the Company shall, at its own cost, operate and maintain the System in accordance with prudent industry practice, including scheduled preventive maintenance, module cleaning, remote performance monitoring and prompt repair of faults.</w:t>
      </w:r>
    </w:p>
    <w:p>
      <w:pPr>
        <w:pStyle w:val="BodyText"/>
      </w:pPr>
      <w:r>
        <w:t xml:space="preserve">7.2 The Company shall acknowledge any fault notified by the Consumer within four (4) hours of such notification, and shall use reasonable endeavours to restore normal operation within forty-eight (48) hours for software or inverter faults, and within seven (7) days for faults requiring equipment replacement.</w:t>
      </w:r>
    </w:p>
    <w:p>
      <w:pPr>
        <w:pStyle w:val="BodyText"/>
      </w:pPr>
      <w:r>
        <w:t xml:space="preserve">7.3 The Company shall provide the Consumer with read-only access to a monitoring dashboard displaying real-time and historical generation data.</w:t>
      </w:r>
    </w:p>
    <w:p>
      <w:pPr>
        <w:pStyle w:val="BodyText"/>
      </w:pPr>
      <w:r>
        <w:t xml:space="preserve">7.4 The Company warrants that the System shall deliver a minimum annual Performance Ratio of</w:t>
      </w:r>
      <w:r>
        <w:t xml:space="preserve"> </w:t>
      </w:r>
      <w:r>
        <w:rPr>
          <w:b/>
          <w:bCs/>
        </w:rPr>
        <w:t xml:space="preserve">[___]%</w:t>
      </w:r>
      <w:r>
        <w:t xml:space="preserve"> </w:t>
      </w:r>
      <w:r>
        <w:t xml:space="preserve">in the first Contract Year, degrading by no more than</w:t>
      </w:r>
      <w:r>
        <w:t xml:space="preserve"> </w:t>
      </w:r>
      <w:r>
        <w:rPr>
          <w:b/>
          <w:bCs/>
        </w:rPr>
        <w:t xml:space="preserve">[___]%</w:t>
      </w:r>
      <w:r>
        <w:t xml:space="preserve"> </w:t>
      </w:r>
      <w:r>
        <w:t xml:space="preserve">per annum thereafter, measured in accordance with IEC 61724. If the measured Performance Ratio in any Contract Year falls below the warranted value (after excluding periods of Force Majeure, grid unavailability and Consumer-caused downtime), the Company shall credit the Consumer, in the succeeding Billing Period, with an amount equal to the shortfall in units multiplied by the prevailing Tariff.</w:t>
      </w:r>
    </w:p>
    <w:p>
      <w:r>
        <w:pict>
          <v:rect style="width:0;height:1.5pt" o:hralign="center" o:hrstd="t" o:hr="t"/>
        </w:pict>
      </w:r>
    </w:p>
    <w:bookmarkEnd w:id="18"/>
    <w:bookmarkStart w:id="19" w:name="sale-and-purchase-of-solar-energy"/>
    <w:p>
      <w:pPr>
        <w:pStyle w:val="Heading2"/>
      </w:pPr>
      <w:r>
        <w:t xml:space="preserve">8. SALE AND PURCHASE OF SOLAR ENERGY</w:t>
      </w:r>
    </w:p>
    <w:p>
      <w:pPr>
        <w:pStyle w:val="FirstParagraph"/>
      </w:pPr>
      <w:r>
        <w:t xml:space="preserve">8.1 Subject to the terms of this Agreement, the Company shall sell and deliver, and the Consumer shall purchase and take delivery of, all solar energy generated by the System and delivered at the Delivery Point during the Term.</w:t>
      </w:r>
    </w:p>
    <w:p>
      <w:pPr>
        <w:pStyle w:val="BodyText"/>
      </w:pPr>
      <w:r>
        <w:t xml:space="preserve">8.2 Title to and risk in the solar energy shall pass from the Company to the Consumer at the Delivery Point.</w:t>
      </w:r>
    </w:p>
    <w:p>
      <w:pPr>
        <w:pStyle w:val="BodyText"/>
      </w:pPr>
      <w:r>
        <w:t xml:space="preserve">8.3 Any financial benefit accruing on account of solar energy exported to the TSSPDCL grid under the Net Metering Agreement shall be dealt with as set out in Schedule 3.</w:t>
      </w:r>
    </w:p>
    <w:p>
      <w:pPr>
        <w:pStyle w:val="BodyText"/>
      </w:pPr>
      <w:r>
        <w:t xml:space="preserve">8.4 The Consumer shall not resell or redirect the solar energy supplied under this Agreement to any third party without the prior written consent of the Company.</w:t>
      </w:r>
    </w:p>
    <w:p>
      <w:r>
        <w:pict>
          <v:rect style="width:0;height:1.5pt" o:hralign="center" o:hrstd="t" o:hr="t"/>
        </w:pict>
      </w:r>
    </w:p>
    <w:bookmarkEnd w:id="19"/>
    <w:bookmarkStart w:id="20" w:name="metering"/>
    <w:p>
      <w:pPr>
        <w:pStyle w:val="Heading2"/>
      </w:pPr>
      <w:r>
        <w:t xml:space="preserve">9. METERING</w:t>
      </w:r>
    </w:p>
    <w:p>
      <w:pPr>
        <w:pStyle w:val="FirstParagraph"/>
      </w:pPr>
      <w:r>
        <w:t xml:space="preserve">9.1 The Solar Meter installed at the Delivery Point shall be the primary meter for the purposes of billing under this Agreement.</w:t>
      </w:r>
    </w:p>
    <w:p>
      <w:pPr>
        <w:pStyle w:val="BodyText"/>
      </w:pPr>
      <w:r>
        <w:t xml:space="preserve">9.2 The Solar Meter shall be read on a monthly basis, at a date and time notified by the Company in advance. Where the Solar Meter supports remote data acquisition, readings may be taken remotely, and a downloadable report shall be shared with the Consumer along with each invoice.</w:t>
      </w:r>
    </w:p>
    <w:p>
      <w:pPr>
        <w:pStyle w:val="BodyText"/>
      </w:pPr>
      <w:r>
        <w:t xml:space="preserve">9.3 The Solar Meter shall be tested and calibrated at the cost of the Company once every five (5) years, or earlier on the written request of the Consumer, in which case the cost shall be borne by the Consumer if the meter is found to be within tolerance, and by the Company if it is found to be outside tolerance.</w:t>
      </w:r>
    </w:p>
    <w:p>
      <w:pPr>
        <w:pStyle w:val="BodyText"/>
      </w:pPr>
      <w:r>
        <w:t xml:space="preserve">9.4 In the event of meter failure, readings for the affected period shall be estimated on the basis of the average daily generation of the preceding three (3) months, as recorded by the monitoring system.</w:t>
      </w:r>
    </w:p>
    <w:p>
      <w:r>
        <w:pict>
          <v:rect style="width:0;height:1.5pt" o:hralign="center" o:hrstd="t" o:hr="t"/>
        </w:pict>
      </w:r>
    </w:p>
    <w:bookmarkEnd w:id="20"/>
    <w:bookmarkStart w:id="21" w:name="tariff-and-billing"/>
    <w:p>
      <w:pPr>
        <w:pStyle w:val="Heading2"/>
      </w:pPr>
      <w:r>
        <w:t xml:space="preserve">10. TARIFF AND BILLING</w:t>
      </w:r>
    </w:p>
    <w:p>
      <w:pPr>
        <w:pStyle w:val="FirstParagraph"/>
      </w:pPr>
      <w:r>
        <w:t xml:space="preserve">10.1 The Consumer shall pay the Company for all solar energy delivered at the Delivery Point at a base Tariff of</w:t>
      </w:r>
      <w:r>
        <w:t xml:space="preserve"> </w:t>
      </w:r>
      <w:r>
        <w:rPr>
          <w:b/>
          <w:bCs/>
        </w:rPr>
        <w:t xml:space="preserve">Rs. [___] per kWh</w:t>
      </w:r>
      <w:r>
        <w:t xml:space="preserve"> </w:t>
      </w:r>
      <w:r>
        <w:t xml:space="preserve">(exclusive of applicable taxes) for the first Contract Year, subject to escalation as set out in Schedule 3.</w:t>
      </w:r>
    </w:p>
    <w:p>
      <w:pPr>
        <w:pStyle w:val="BodyText"/>
      </w:pPr>
      <w:r>
        <w:t xml:space="preserve">10.2 All amounts payable under this Agreement are exclusive of Goods and Services Tax and any other taxes, cesses or duties, which shall be borne by the Consumer at the applicable statutory rate. The Company shall issue a tax invoice for each Billing Period.</w:t>
      </w:r>
    </w:p>
    <w:p>
      <w:pPr>
        <w:pStyle w:val="BodyText"/>
      </w:pPr>
      <w:r>
        <w:t xml:space="preserve">10.3 Within seven (7) days after the end of each Billing Period, the Company shall issue an invoice to the Consumer setting out the opening and closing Solar Meter readings, the units of solar energy supplied, the applicable Tariff, any credits or adjustments, the taxes payable and the net amount due.</w:t>
      </w:r>
    </w:p>
    <w:p>
      <w:pPr>
        <w:pStyle w:val="BodyText"/>
      </w:pPr>
      <w:r>
        <w:t xml:space="preserve">10.4 Each invoice shall be payable within</w:t>
      </w:r>
      <w:r>
        <w:t xml:space="preserve"> </w:t>
      </w:r>
      <w:r>
        <w:rPr>
          <w:b/>
          <w:bCs/>
        </w:rPr>
        <w:t xml:space="preserve">[fifteen (15) / thirty (30)]</w:t>
      </w:r>
      <w:r>
        <w:t xml:space="preserve"> </w:t>
      </w:r>
      <w:r>
        <w:t xml:space="preserve">days of the invoice date (the</w:t>
      </w:r>
      <w:r>
        <w:t xml:space="preserve"> </w:t>
      </w:r>
      <w:r>
        <w:rPr>
          <w:b/>
          <w:bCs/>
        </w:rPr>
        <w:t xml:space="preserve">“Due Date”</w:t>
      </w:r>
      <w:r>
        <w:t xml:space="preserve">). Amounts remaining unpaid after the Due Date shall bear simple interest at the rate of</w:t>
      </w:r>
      <w:r>
        <w:t xml:space="preserve"> </w:t>
      </w:r>
      <w:r>
        <w:rPr>
          <w:b/>
          <w:bCs/>
        </w:rPr>
        <w:t xml:space="preserve">1.25% per month</w:t>
      </w:r>
      <w:r>
        <w:t xml:space="preserve"> </w:t>
      </w:r>
      <w:r>
        <w:t xml:space="preserve">from the Due Date until payment in full.</w:t>
      </w:r>
    </w:p>
    <w:p>
      <w:pPr>
        <w:pStyle w:val="BodyText"/>
      </w:pPr>
      <w:r>
        <w:t xml:space="preserve">10.5 Payments shall be made by NACH direct debit pursuant to the mandate set out in Schedule 5, or by NEFT / RTGS / IMPS to the Company’s bank account as notified from time to time. No cash payments shall be accepted.</w:t>
      </w:r>
    </w:p>
    <w:p>
      <w:pPr>
        <w:pStyle w:val="BodyText"/>
      </w:pPr>
      <w:r>
        <w:t xml:space="preserve">10.6 The Consumer shall pay all undisputed portions of any invoice by the Due Date. The Consumer shall notify the Company of any disputed portion, with reasonable particulars, within ten (10) days of receipt of the invoice. Disputed amounts shall be resolved in accordance with Clause 23.</w:t>
      </w:r>
    </w:p>
    <w:p>
      <w:r>
        <w:pict>
          <v:rect style="width:0;height:1.5pt" o:hralign="center" o:hrstd="t" o:hr="t"/>
        </w:pict>
      </w:r>
    </w:p>
    <w:bookmarkEnd w:id="21"/>
    <w:bookmarkStart w:id="22" w:name="payment-security"/>
    <w:p>
      <w:pPr>
        <w:pStyle w:val="Heading2"/>
      </w:pPr>
      <w:r>
        <w:t xml:space="preserve">11. PAYMENT SECURITY</w:t>
      </w:r>
    </w:p>
    <w:p>
      <w:pPr>
        <w:pStyle w:val="FirstParagraph"/>
      </w:pPr>
      <w:r>
        <w:t xml:space="preserve">11.1 Prior to the COD, the Consumer shall deposit with the Company an interest-free refundable security deposit equal to</w:t>
      </w:r>
      <w:r>
        <w:t xml:space="preserve"> </w:t>
      </w:r>
      <w:r>
        <w:rPr>
          <w:b/>
          <w:bCs/>
        </w:rPr>
        <w:t xml:space="preserve">three (3) months’ estimated Tariff invoice</w:t>
      </w:r>
      <w:r>
        <w:t xml:space="preserve"> </w:t>
      </w:r>
      <w:r>
        <w:t xml:space="preserve">(the</w:t>
      </w:r>
      <w:r>
        <w:t xml:space="preserve"> </w:t>
      </w:r>
      <w:r>
        <w:rPr>
          <w:b/>
          <w:bCs/>
        </w:rPr>
        <w:t xml:space="preserve">“Security Deposit”</w:t>
      </w:r>
      <w:r>
        <w:t xml:space="preserve">). The Security Deposit may be applied by the Company against unpaid amounts, and shall be refunded to the Consumer within thirty (30) days after termination of this Agreement, after adjusting any outstanding dues.</w:t>
      </w:r>
    </w:p>
    <w:p>
      <w:pPr>
        <w:pStyle w:val="BodyText"/>
      </w:pPr>
      <w:r>
        <w:t xml:space="preserve">11.2 The Consumer shall execute and maintain throughout the Term a NACH debit mandate in favour of the Company in the form set out in Schedule 5.</w:t>
      </w:r>
    </w:p>
    <w:p>
      <w:pPr>
        <w:pStyle w:val="BodyText"/>
      </w:pPr>
      <w:r>
        <w:t xml:space="preserve">11.3 If the Consumer fails to pay any undisputed invoice by the date falling thirty (30) days after the Due Date, the Company shall be entitled, on seven (7) days’ prior written notice, to electrically isolate the System from the Consumer’s internal network. During such disconnection the Consumer shall draw electricity solely from the TSSPDCL grid, and no solar energy shall be supplied or billed. Upon payment in full of all outstanding amounts together with interest and a reconnection fee of Rs.</w:t>
      </w:r>
      <w:r>
        <w:t xml:space="preserve"> </w:t>
      </w:r>
      <w:r>
        <w:rPr>
          <w:b/>
          <w:bCs/>
        </w:rPr>
        <w:t xml:space="preserve">[___]</w:t>
      </w:r>
      <w:r>
        <w:t xml:space="preserve">, the Company shall restore supply within forty-eight (48) hours. The exercise of this right shall be without prejudice to the Company’s other remedies under this Agreement, including termination under Clause 18.</w:t>
      </w:r>
    </w:p>
    <w:p>
      <w:r>
        <w:pict>
          <v:rect style="width:0;height:1.5pt" o:hralign="center" o:hrstd="t" o:hr="t"/>
        </w:pict>
      </w:r>
    </w:p>
    <w:bookmarkEnd w:id="22"/>
    <w:bookmarkStart w:id="23" w:name="grid-connection-and-net-metering"/>
    <w:p>
      <w:pPr>
        <w:pStyle w:val="Heading2"/>
      </w:pPr>
      <w:r>
        <w:t xml:space="preserve">12. GRID CONNECTION AND NET METERING</w:t>
      </w:r>
    </w:p>
    <w:p>
      <w:pPr>
        <w:pStyle w:val="FirstParagraph"/>
      </w:pPr>
      <w:r>
        <w:t xml:space="preserve">12.1 The Consumer shall, at its own cost, execute and maintain the Net Metering Agreement with TSSPDCL throughout the Term, and shall not terminate, surrender or permit the lapse of the Net Metering Agreement without the prior written consent of the Company.</w:t>
      </w:r>
    </w:p>
    <w:p>
      <w:pPr>
        <w:pStyle w:val="BodyText"/>
      </w:pPr>
      <w:r>
        <w:t xml:space="preserve">12.2 The Parties shall co-operate in good faith to obtain and maintain all grid-connection approvals, net-metering sanctions and inspections required by TSSPDCL and the Chief Electrical Inspectorate.</w:t>
      </w:r>
    </w:p>
    <w:p>
      <w:pPr>
        <w:pStyle w:val="BodyText"/>
      </w:pPr>
      <w:r>
        <w:t xml:space="preserve">12.3 If TSSPDCL or any other authority modifies the net-metering framework in a manner that materially affects the economic basis of this Agreement, the provisions of Clause 17 (Change in Law) shall apply.</w:t>
      </w:r>
    </w:p>
    <w:p>
      <w:r>
        <w:pict>
          <v:rect style="width:0;height:1.5pt" o:hralign="center" o:hrstd="t" o:hr="t"/>
        </w:pict>
      </w:r>
    </w:p>
    <w:bookmarkEnd w:id="23"/>
    <w:bookmarkStart w:id="24" w:name="representations-and-warranties"/>
    <w:p>
      <w:pPr>
        <w:pStyle w:val="Heading2"/>
      </w:pPr>
      <w:r>
        <w:t xml:space="preserve">13. REPRESENTATIONS AND WARRANTIES</w:t>
      </w:r>
    </w:p>
    <w:p>
      <w:pPr>
        <w:pStyle w:val="FirstParagraph"/>
      </w:pPr>
      <w:r>
        <w:t xml:space="preserve">13.1 Each Party represents and warrants to the other that:</w:t>
      </w:r>
    </w:p>
    <w:p>
      <w:pPr>
        <w:numPr>
          <w:ilvl w:val="0"/>
          <w:numId w:val="1005"/>
        </w:numPr>
      </w:pPr>
      <w:r>
        <w:t xml:space="preserve">it is duly organised and validly existing under Applicable Law;</w:t>
      </w:r>
    </w:p>
    <w:p>
      <w:pPr>
        <w:numPr>
          <w:ilvl w:val="0"/>
          <w:numId w:val="1005"/>
        </w:numPr>
      </w:pPr>
      <w:r>
        <w:t xml:space="preserve">it has full power and authority to enter into and perform its obligations under this Agreement;</w:t>
      </w:r>
    </w:p>
    <w:p>
      <w:pPr>
        <w:numPr>
          <w:ilvl w:val="0"/>
          <w:numId w:val="1005"/>
        </w:numPr>
      </w:pPr>
      <w:r>
        <w:t xml:space="preserve">the execution and performance of this Agreement has been duly authorised by all necessary action; and</w:t>
      </w:r>
    </w:p>
    <w:p>
      <w:pPr>
        <w:numPr>
          <w:ilvl w:val="0"/>
          <w:numId w:val="1005"/>
        </w:numPr>
      </w:pPr>
      <w:r>
        <w:t xml:space="preserve">this Agreement constitutes a legal, valid and binding obligation enforceable against it in accordance with its terms.</w:t>
      </w:r>
    </w:p>
    <w:p>
      <w:pPr>
        <w:pStyle w:val="FirstParagraph"/>
      </w:pPr>
      <w:r>
        <w:t xml:space="preserve">13.2 The Consumer further represents and warrants that:</w:t>
      </w:r>
    </w:p>
    <w:p>
      <w:pPr>
        <w:numPr>
          <w:ilvl w:val="0"/>
          <w:numId w:val="1006"/>
        </w:numPr>
      </w:pPr>
      <w:r>
        <w:t xml:space="preserve">it is the lawful representative of the apartment owners / residents of the Premises, and has obtained all internal approvals required under its bye-laws to enter into this Agreement for the full Term;</w:t>
      </w:r>
    </w:p>
    <w:p>
      <w:pPr>
        <w:numPr>
          <w:ilvl w:val="0"/>
          <w:numId w:val="1006"/>
        </w:numPr>
      </w:pPr>
      <w:r>
        <w:t xml:space="preserve">the Premises are structurally sound and capable of supporting the System;</w:t>
      </w:r>
    </w:p>
    <w:p>
      <w:pPr>
        <w:numPr>
          <w:ilvl w:val="0"/>
          <w:numId w:val="1006"/>
        </w:numPr>
      </w:pPr>
      <w:r>
        <w:t xml:space="preserve">no third party has any right over the Licensed Area that would interfere with the System; and</w:t>
      </w:r>
    </w:p>
    <w:p>
      <w:pPr>
        <w:numPr>
          <w:ilvl w:val="0"/>
          <w:numId w:val="1006"/>
        </w:numPr>
      </w:pPr>
      <w:r>
        <w:t xml:space="preserve">all information relating to the sanctioned load, consumption history and tariff slabs disclosed to the Company is true and correct in all material respects.</w:t>
      </w:r>
    </w:p>
    <w:p>
      <w:pPr>
        <w:pStyle w:val="FirstParagraph"/>
      </w:pPr>
      <w:r>
        <w:t xml:space="preserve">13.3 The Company further represents and warrants that:</w:t>
      </w:r>
    </w:p>
    <w:p>
      <w:pPr>
        <w:numPr>
          <w:ilvl w:val="0"/>
          <w:numId w:val="1007"/>
        </w:numPr>
      </w:pPr>
      <w:r>
        <w:t xml:space="preserve">it has the technical capability, personnel and financial resources required to perform its obligations; and</w:t>
      </w:r>
    </w:p>
    <w:p>
      <w:pPr>
        <w:numPr>
          <w:ilvl w:val="0"/>
          <w:numId w:val="1007"/>
        </w:numPr>
      </w:pPr>
      <w:r>
        <w:t xml:space="preserve">all equipment supplied shall be new, of commercial quality and in conformity with Schedule 2 and Applicable Law.</w:t>
      </w:r>
    </w:p>
    <w:p>
      <w:r>
        <w:pict>
          <v:rect style="width:0;height:1.5pt" o:hralign="center" o:hrstd="t" o:hr="t"/>
        </w:pict>
      </w:r>
    </w:p>
    <w:bookmarkEnd w:id="24"/>
    <w:bookmarkStart w:id="25" w:name="insurance"/>
    <w:p>
      <w:pPr>
        <w:pStyle w:val="Heading2"/>
      </w:pPr>
      <w:r>
        <w:t xml:space="preserve">14. INSURANCE</w:t>
      </w:r>
    </w:p>
    <w:p>
      <w:pPr>
        <w:pStyle w:val="FirstParagraph"/>
      </w:pPr>
      <w:r>
        <w:t xml:space="preserve">14.1 The Company shall, at its own cost, throughout the Term, maintain:</w:t>
      </w:r>
    </w:p>
    <w:p>
      <w:pPr>
        <w:numPr>
          <w:ilvl w:val="0"/>
          <w:numId w:val="1008"/>
        </w:numPr>
      </w:pPr>
      <w:r>
        <w:t xml:space="preserve">all-risk property insurance covering the System for its full replacement value;</w:t>
      </w:r>
    </w:p>
    <w:p>
      <w:pPr>
        <w:numPr>
          <w:ilvl w:val="0"/>
          <w:numId w:val="1008"/>
        </w:numPr>
      </w:pPr>
      <w:r>
        <w:t xml:space="preserve">third-party liability insurance with a minimum cover of Rs.</w:t>
      </w:r>
      <w:r>
        <w:t xml:space="preserve"> </w:t>
      </w:r>
      <w:r>
        <w:rPr>
          <w:b/>
          <w:bCs/>
        </w:rPr>
        <w:t xml:space="preserve">[___]</w:t>
      </w:r>
      <w:r>
        <w:t xml:space="preserve"> </w:t>
      </w:r>
      <w:r>
        <w:t xml:space="preserve">per occurrence, covering bodily injury and property damage arising out of the installation, operation or maintenance of the System; and</w:t>
      </w:r>
    </w:p>
    <w:p>
      <w:pPr>
        <w:numPr>
          <w:ilvl w:val="0"/>
          <w:numId w:val="1008"/>
        </w:numPr>
      </w:pPr>
      <w:r>
        <w:t xml:space="preserve">workmen’s compensation insurance for its personnel and contractors.</w:t>
      </w:r>
    </w:p>
    <w:p>
      <w:pPr>
        <w:pStyle w:val="FirstParagraph"/>
      </w:pPr>
      <w:r>
        <w:t xml:space="preserve">14.2 The Consumer shall maintain its building insurance, with an endorsement acknowledging the presence of the System, but shall not be required to insure the System itself.</w:t>
      </w:r>
    </w:p>
    <w:p>
      <w:pPr>
        <w:pStyle w:val="BodyText"/>
      </w:pPr>
      <w:r>
        <w:t xml:space="preserve">14.3 Each Party shall, upon reasonable request, provide the other with certificates of insurance evidencing the cover maintained under this Clause 14.</w:t>
      </w:r>
    </w:p>
    <w:p>
      <w:r>
        <w:pict>
          <v:rect style="width:0;height:1.5pt" o:hralign="center" o:hrstd="t" o:hr="t"/>
        </w:pict>
      </w:r>
    </w:p>
    <w:bookmarkEnd w:id="25"/>
    <w:bookmarkStart w:id="26" w:name="liability-and-indemnity"/>
    <w:p>
      <w:pPr>
        <w:pStyle w:val="Heading2"/>
      </w:pPr>
      <w:r>
        <w:t xml:space="preserve">15. LIABILITY AND INDEMNITY</w:t>
      </w:r>
    </w:p>
    <w:p>
      <w:pPr>
        <w:pStyle w:val="FirstParagraph"/>
      </w:pPr>
      <w:r>
        <w:t xml:space="preserve">15.1 Save for (i) liability for death or personal injury caused by negligence, (ii) liability for fraud or wilful misconduct, (iii) indemnity obligations under Clauses 15.3 and 15.4, and (iv) unpaid Tariff, the aggregate liability of either Party to the other under this Agreement in any Contract Year shall not exceed the total Tariff invoiced in the twelve (12) months immediately preceding the claim.</w:t>
      </w:r>
    </w:p>
    <w:p>
      <w:pPr>
        <w:pStyle w:val="BodyText"/>
      </w:pPr>
      <w:r>
        <w:t xml:space="preserve">15.2 Neither Party shall be liable to the other for any indirect, consequential, special, punitive or exemplary damages, or for loss of profits, revenue or business opportunity, whether in contract, tort (including negligence) or otherwise.</w:t>
      </w:r>
    </w:p>
    <w:p>
      <w:pPr>
        <w:pStyle w:val="BodyText"/>
      </w:pPr>
      <w:r>
        <w:t xml:space="preserve">15.3 The Company shall indemnify the Consumer against losses directly arising from (a) damage to the Premises caused by the negligence or wilful misconduct of the Company during the installation or operation of the System; (b) bodily injury to any person caused by the System or the Company’s personnel; and (c) third-party claims of infringement of intellectual property rights in the System.</w:t>
      </w:r>
    </w:p>
    <w:p>
      <w:pPr>
        <w:pStyle w:val="BodyText"/>
      </w:pPr>
      <w:r>
        <w:t xml:space="preserve">15.4 The Consumer shall indemnify the Company against losses directly arising from (a) damage to the System caused by the Consumer or its members or occupants (other than through ordinary use of electricity); (b) loss of generation arising from the Consumer’s breach of Clause 3 or Clause 12; and (c) any unauthorised modification of, or tampering with, the System.</w:t>
      </w:r>
    </w:p>
    <w:p>
      <w:pPr>
        <w:pStyle w:val="BodyText"/>
      </w:pPr>
      <w:r>
        <w:t xml:space="preserve">15.5 Where penetrative mounting is used, the Company shall remain responsible for any water ingress directly caused by such penetrations for a period of five (5) years from the COD. Thereafter, any such remediation shall be shared equally between the Parties, unless caused by the acts or omissions of the Consumer.</w:t>
      </w:r>
    </w:p>
    <w:p>
      <w:r>
        <w:pict>
          <v:rect style="width:0;height:1.5pt" o:hralign="center" o:hrstd="t" o:hr="t"/>
        </w:pict>
      </w:r>
    </w:p>
    <w:bookmarkEnd w:id="26"/>
    <w:bookmarkStart w:id="27" w:name="force-majeure"/>
    <w:p>
      <w:pPr>
        <w:pStyle w:val="Heading2"/>
      </w:pPr>
      <w:r>
        <w:t xml:space="preserve">16. FORCE MAJEURE</w:t>
      </w:r>
    </w:p>
    <w:p>
      <w:pPr>
        <w:pStyle w:val="FirstParagraph"/>
      </w:pPr>
      <w:r>
        <w:t xml:space="preserve">16.1 A</w:t>
      </w:r>
      <w:r>
        <w:t xml:space="preserve"> </w:t>
      </w:r>
      <w:r>
        <w:rPr>
          <w:b/>
          <w:bCs/>
        </w:rPr>
        <w:t xml:space="preserve">“Force Majeure Event”</w:t>
      </w:r>
      <w:r>
        <w:t xml:space="preserve"> </w:t>
      </w:r>
      <w:r>
        <w:t xml:space="preserve">means any event or circumstance beyond the reasonable control of the affected Party which prevents or materially hinders performance of its obligations under this Agreement, including acts of God, earthquake, flood, cyclone, fire (not caused by the affected Party), war, riot, civil commotion, industry-wide strikes, epidemic or pandemic, acts of any Governmental Authority, and grid outages exceeding seventy-two (72) continuous hours not attributable to the affected Party.</w:t>
      </w:r>
    </w:p>
    <w:p>
      <w:pPr>
        <w:pStyle w:val="BodyText"/>
      </w:pPr>
      <w:r>
        <w:t xml:space="preserve">16.2 The affected Party shall notify the other Party in writing as soon as reasonably practicable of the occurrence of a Force Majeure Event and its expected duration. The obligations of the affected Party (other than obligations to pay amounts already accrued) shall be suspended for the duration of the Force Majeure Event, and the Term shall be extended by an equivalent period.</w:t>
      </w:r>
    </w:p>
    <w:p>
      <w:pPr>
        <w:pStyle w:val="BodyText"/>
      </w:pPr>
      <w:r>
        <w:t xml:space="preserve">16.3 If a Force Majeure Event continues for more than one hundred and eighty (180) continuous days, either Party may terminate this Agreement by written notice, with settlement in accordance with Clause 18.</w:t>
      </w:r>
    </w:p>
    <w:p>
      <w:r>
        <w:pict>
          <v:rect style="width:0;height:1.5pt" o:hralign="center" o:hrstd="t" o:hr="t"/>
        </w:pict>
      </w:r>
    </w:p>
    <w:bookmarkEnd w:id="27"/>
    <w:bookmarkStart w:id="28" w:name="change-in-law"/>
    <w:p>
      <w:pPr>
        <w:pStyle w:val="Heading2"/>
      </w:pPr>
      <w:r>
        <w:t xml:space="preserve">17. CHANGE IN LAW</w:t>
      </w:r>
    </w:p>
    <w:p>
      <w:pPr>
        <w:pStyle w:val="FirstParagraph"/>
      </w:pPr>
      <w:r>
        <w:t xml:space="preserve">17.1 If after the Effective Date any change in Applicable Law (including changes to net-metering regulations, tariff orders, taxes, cesses or import duties) has a material adverse effect on the cost or economics of performance by either Party under this Agreement, the Parties shall negotiate in good faith an equitable adjustment to the Tariff or other terms so as to restore the affected Party, so far as reasonably practicable, to the economic position it would have enjoyed had the change not occurred.</w:t>
      </w:r>
    </w:p>
    <w:p>
      <w:pPr>
        <w:pStyle w:val="BodyText"/>
      </w:pPr>
      <w:r>
        <w:t xml:space="preserve">17.2 If the Parties fail to agree on such adjustment within sixty (60) days of the request, the matter shall be referred to dispute resolution in accordance with Clause 23.</w:t>
      </w:r>
    </w:p>
    <w:p>
      <w:r>
        <w:pict>
          <v:rect style="width:0;height:1.5pt" o:hralign="center" o:hrstd="t" o:hr="t"/>
        </w:pict>
      </w:r>
    </w:p>
    <w:bookmarkEnd w:id="28"/>
    <w:bookmarkStart w:id="29" w:name="default-and-termination"/>
    <w:p>
      <w:pPr>
        <w:pStyle w:val="Heading2"/>
      </w:pPr>
      <w:r>
        <w:t xml:space="preserve">18. DEFAULT AND TERMINATION</w:t>
      </w:r>
    </w:p>
    <w:p>
      <w:pPr>
        <w:pStyle w:val="FirstParagraph"/>
      </w:pPr>
      <w:r>
        <w:t xml:space="preserve">18.1 Each of the following shall constitute a</w:t>
      </w:r>
      <w:r>
        <w:t xml:space="preserve"> </w:t>
      </w:r>
      <w:r>
        <w:rPr>
          <w:b/>
          <w:bCs/>
        </w:rPr>
        <w:t xml:space="preserve">“Consumer Default”</w:t>
      </w:r>
      <w:r>
        <w:t xml:space="preserve">:</w:t>
      </w:r>
    </w:p>
    <w:p>
      <w:pPr>
        <w:numPr>
          <w:ilvl w:val="0"/>
          <w:numId w:val="1009"/>
        </w:numPr>
      </w:pPr>
      <w:r>
        <w:t xml:space="preserve">failure to pay any undisputed amount within thirty (30) days after the Due Date;</w:t>
      </w:r>
    </w:p>
    <w:p>
      <w:pPr>
        <w:numPr>
          <w:ilvl w:val="0"/>
          <w:numId w:val="1009"/>
        </w:numPr>
      </w:pPr>
      <w:r>
        <w:t xml:space="preserve">failure to maintain the Net Metering Agreement or the Security Deposit;</w:t>
      </w:r>
    </w:p>
    <w:p>
      <w:pPr>
        <w:numPr>
          <w:ilvl w:val="0"/>
          <w:numId w:val="1009"/>
        </w:numPr>
      </w:pPr>
      <w:r>
        <w:t xml:space="preserve">breach of Clauses 3, 4 or 8.4;</w:t>
      </w:r>
    </w:p>
    <w:p>
      <w:pPr>
        <w:numPr>
          <w:ilvl w:val="0"/>
          <w:numId w:val="1009"/>
        </w:numPr>
      </w:pPr>
      <w:r>
        <w:t xml:space="preserve">any act, omission or direction of the Consumer that causes physical damage to the System (excluding fair wear and tear); or</w:t>
      </w:r>
    </w:p>
    <w:p>
      <w:pPr>
        <w:numPr>
          <w:ilvl w:val="0"/>
          <w:numId w:val="1009"/>
        </w:numPr>
      </w:pPr>
      <w:r>
        <w:t xml:space="preserve">insolvency, winding up or dissolution of the Consumer.</w:t>
      </w:r>
    </w:p>
    <w:p>
      <w:pPr>
        <w:pStyle w:val="FirstParagraph"/>
      </w:pPr>
      <w:r>
        <w:t xml:space="preserve">18.2 Each of the following shall constitute a</w:t>
      </w:r>
      <w:r>
        <w:t xml:space="preserve"> </w:t>
      </w:r>
      <w:r>
        <w:rPr>
          <w:b/>
          <w:bCs/>
        </w:rPr>
        <w:t xml:space="preserve">“Company Default”</w:t>
      </w:r>
      <w:r>
        <w:t xml:space="preserve">:</w:t>
      </w:r>
    </w:p>
    <w:p>
      <w:pPr>
        <w:numPr>
          <w:ilvl w:val="0"/>
          <w:numId w:val="1010"/>
        </w:numPr>
      </w:pPr>
      <w:r>
        <w:t xml:space="preserve">failure to achieve COD within one hundred and eighty (180) days of the Scheduled COD, other than by reason of Force Majeure or Consumer Default;</w:t>
      </w:r>
    </w:p>
    <w:p>
      <w:pPr>
        <w:numPr>
          <w:ilvl w:val="0"/>
          <w:numId w:val="1010"/>
        </w:numPr>
      </w:pPr>
      <w:r>
        <w:t xml:space="preserve">abandonment of operation of the System for more than sixty (60) continuous days, other than by reason of Force Majeure, Consumer Default or grid unavailability;</w:t>
      </w:r>
    </w:p>
    <w:p>
      <w:pPr>
        <w:numPr>
          <w:ilvl w:val="0"/>
          <w:numId w:val="1010"/>
        </w:numPr>
      </w:pPr>
      <w:r>
        <w:t xml:space="preserve">persistent failure (three or more occurrences in any twelve-month period) to meet the response times in Clause 7.2; or</w:t>
      </w:r>
    </w:p>
    <w:p>
      <w:pPr>
        <w:numPr>
          <w:ilvl w:val="0"/>
          <w:numId w:val="1010"/>
        </w:numPr>
      </w:pPr>
      <w:r>
        <w:t xml:space="preserve">insolvency, winding up or dissolution of the Company.</w:t>
      </w:r>
    </w:p>
    <w:p>
      <w:pPr>
        <w:pStyle w:val="FirstParagraph"/>
      </w:pPr>
      <w:r>
        <w:t xml:space="preserve">18.3 On the occurrence of a Default, the non-defaulting Party shall give the defaulting Party written notice specifying the Default. The defaulting Party shall have thirty (30) days (or, in the case of a payment Default, fifteen (15) days) from such notice to cure the Default.</w:t>
      </w:r>
    </w:p>
    <w:p>
      <w:pPr>
        <w:pStyle w:val="BodyText"/>
      </w:pPr>
      <w:r>
        <w:t xml:space="preserve">18.4 If the Default is not cured within the applicable cure period, the non-defaulting Party may terminate this Agreement by written notice with immediate effect.</w:t>
      </w:r>
    </w:p>
    <w:p>
      <w:pPr>
        <w:pStyle w:val="BodyText"/>
      </w:pPr>
      <w:r>
        <w:t xml:space="preserve">18.5 On termination for a Consumer Default, the Consumer shall pay the Company, as a genuine pre-estimate of loss and not as a penalty, a termination payment equal to:</w:t>
      </w:r>
    </w:p>
    <w:p>
      <w:pPr>
        <w:numPr>
          <w:ilvl w:val="0"/>
          <w:numId w:val="1011"/>
        </w:numPr>
      </w:pPr>
      <w:r>
        <w:t xml:space="preserve">all accrued and unpaid amounts together with interest thereon; and</w:t>
      </w:r>
    </w:p>
    <w:p>
      <w:pPr>
        <w:numPr>
          <w:ilvl w:val="0"/>
          <w:numId w:val="1011"/>
        </w:numPr>
      </w:pPr>
      <w:r>
        <w:t xml:space="preserve">the lower of (i) the present value of expected Tariff payments for the balance of the Initial Term, discounted at 10% per annum and net of avoided operating costs, or (ii) 1.3 times the depreciated book value of the System (straight-line over twenty (20) years, zero salvage); and</w:t>
      </w:r>
    </w:p>
    <w:p>
      <w:pPr>
        <w:numPr>
          <w:ilvl w:val="0"/>
          <w:numId w:val="1011"/>
        </w:numPr>
      </w:pPr>
      <w:r>
        <w:t xml:space="preserve">the cost of removal of the System and restoration of the Licensed Area, unless the Consumer exercises the option in Clause 18.6.</w:t>
      </w:r>
    </w:p>
    <w:p>
      <w:pPr>
        <w:pStyle w:val="FirstParagraph"/>
      </w:pPr>
      <w:r>
        <w:t xml:space="preserve">18.6 On termination for a Consumer Default, the Consumer shall have the option, exercisable by written notice within thirty (30) days of termination, to purchase the System from the Company at a price equal to 1.3 times its depreciated book value calculated as aforesaid. Payment shall be made within sixty (60) days of exercise, whereupon title shall pass free of encumbrances and the amount payable under Clause 18.5(b) shall not apply in addition to such purchase price.</w:t>
      </w:r>
    </w:p>
    <w:p>
      <w:pPr>
        <w:pStyle w:val="BodyText"/>
      </w:pPr>
      <w:r>
        <w:t xml:space="preserve">18.7 On termination for a Company Default, the Company shall, at the election of the Consumer, either (a) remove the System and restore the Licensed Area at its own cost within one hundred and twenty (120) days; or (b) transfer the System to the Consumer for zero consideration, free of encumbrances, together with the benefit of any subsisting manufacturer warranties. The Security Deposit and any amounts pre-paid shall be refunded by the Company.</w:t>
      </w:r>
    </w:p>
    <w:p>
      <w:pPr>
        <w:pStyle w:val="BodyText"/>
      </w:pPr>
      <w:r>
        <w:t xml:space="preserve">18.8 The Consumer may, at any time after the seventh (7th) anniversary of the COD and on not less than one hundred and eighty (180) days’ written notice, elect to purchase the System from the Company at a price equal to 1.3 times its then depreciated book value. On completion of such purchase, this Agreement shall terminate without further liability, and Clause 19 shall apply in respect of post-termination arrangements.</w:t>
      </w:r>
    </w:p>
    <w:p>
      <w:r>
        <w:pict>
          <v:rect style="width:0;height:1.5pt" o:hralign="center" o:hrstd="t" o:hr="t"/>
        </w:pict>
      </w:r>
    </w:p>
    <w:bookmarkEnd w:id="29"/>
    <w:bookmarkStart w:id="30" w:name="end-of-term"/>
    <w:p>
      <w:pPr>
        <w:pStyle w:val="Heading2"/>
      </w:pPr>
      <w:r>
        <w:t xml:space="preserve">19. END OF TERM</w:t>
      </w:r>
    </w:p>
    <w:p>
      <w:pPr>
        <w:pStyle w:val="FirstParagraph"/>
      </w:pPr>
      <w:r>
        <w:t xml:space="preserve">19.1 On expiry of the Term without renewal, the Company shall, by written notice to the Consumer given not less than thirty (30) days before expiry, elect to:</w:t>
      </w:r>
    </w:p>
    <w:p>
      <w:pPr>
        <w:numPr>
          <w:ilvl w:val="0"/>
          <w:numId w:val="1012"/>
        </w:numPr>
      </w:pPr>
      <w:r>
        <w:t xml:space="preserve">remove the System and restore the Licensed Area to substantially its pre-installation condition, at its own cost, within one hundred and twenty (120) days of expiry;</w:t>
      </w:r>
    </w:p>
    <w:p>
      <w:pPr>
        <w:numPr>
          <w:ilvl w:val="0"/>
          <w:numId w:val="1012"/>
        </w:numPr>
      </w:pPr>
      <w:r>
        <w:t xml:space="preserve">offer to sell the System to the Consumer on such terms as may be mutually agreed in writing; or</w:t>
      </w:r>
    </w:p>
    <w:p>
      <w:pPr>
        <w:numPr>
          <w:ilvl w:val="0"/>
          <w:numId w:val="1012"/>
        </w:numPr>
      </w:pPr>
      <w:r>
        <w:t xml:space="preserve">enter into a fresh arrangement with the Consumer on terms to be mutually agreed.</w:t>
      </w:r>
    </w:p>
    <w:p>
      <w:pPr>
        <w:pStyle w:val="FirstParagraph"/>
      </w:pPr>
      <w:r>
        <w:t xml:space="preserve">19.2 Until the Company’s election under Clause 19.1 has been implemented, the Consumer shall continue to permit access to the System and shall not interfere with it.</w:t>
      </w:r>
    </w:p>
    <w:p>
      <w:pPr>
        <w:pStyle w:val="BodyText"/>
      </w:pPr>
      <w:r>
        <w:t xml:space="preserve">19.3 There shall be no automatic transfer of the System to the Consumer on expiry of the Term. Any transfer shall be effected only under a separate written instrument for consideration.</w:t>
      </w:r>
    </w:p>
    <w:p>
      <w:r>
        <w:pict>
          <v:rect style="width:0;height:1.5pt" o:hralign="center" o:hrstd="t" o:hr="t"/>
        </w:pict>
      </w:r>
    </w:p>
    <w:bookmarkEnd w:id="30"/>
    <w:bookmarkStart w:id="31" w:name="assignment"/>
    <w:p>
      <w:pPr>
        <w:pStyle w:val="Heading2"/>
      </w:pPr>
      <w:r>
        <w:t xml:space="preserve">20. ASSIGNMENT</w:t>
      </w:r>
    </w:p>
    <w:p>
      <w:pPr>
        <w:pStyle w:val="FirstParagraph"/>
      </w:pPr>
      <w:r>
        <w:t xml:space="preserve">20.1 Neither Party may assign or transfer its rights or obligations under this Agreement without the prior written consent of the other Party (such consent not to be unreasonably withheld), save that:</w:t>
      </w:r>
    </w:p>
    <w:p>
      <w:pPr>
        <w:numPr>
          <w:ilvl w:val="0"/>
          <w:numId w:val="1013"/>
        </w:numPr>
      </w:pPr>
      <w:r>
        <w:t xml:space="preserve">the Company may assign its rights (including receivables) to a financier or lender by way of security, and to any affiliate or successor entity on a restructuring or conversion of its legal form, in each case on prior written notice to the Consumer; and</w:t>
      </w:r>
    </w:p>
    <w:p>
      <w:pPr>
        <w:numPr>
          <w:ilvl w:val="0"/>
          <w:numId w:val="1013"/>
        </w:numPr>
      </w:pPr>
      <w:r>
        <w:t xml:space="preserve">a change in the composition of the Consumer’s managing committee or office-bearers shall not constitute an assignment, and this Agreement shall remain binding on the Consumer notwithstanding any such change.</w:t>
      </w:r>
    </w:p>
    <w:p>
      <w:r>
        <w:pict>
          <v:rect style="width:0;height:1.5pt" o:hralign="center" o:hrstd="t" o:hr="t"/>
        </w:pict>
      </w:r>
    </w:p>
    <w:bookmarkEnd w:id="31"/>
    <w:bookmarkStart w:id="32" w:name="confidentiality"/>
    <w:p>
      <w:pPr>
        <w:pStyle w:val="Heading2"/>
      </w:pPr>
      <w:r>
        <w:t xml:space="preserve">21. CONFIDENTIALITY</w:t>
      </w:r>
    </w:p>
    <w:p>
      <w:pPr>
        <w:pStyle w:val="FirstParagraph"/>
      </w:pPr>
      <w:r>
        <w:t xml:space="preserve">21.1 Each Party shall keep confidential the commercial and technical terms of this Agreement, and any non-public information obtained from the other in the course of performance, and shall not disclose the same to any third party, except (a) to its professional advisers on a need-to-know basis and under confidentiality obligations; (b) as required by Applicable Law; (c) to lenders or investors under confidentiality obligations; and (d) to the extent the information becomes public through no fault of the disclosing Party.</w:t>
      </w:r>
    </w:p>
    <w:p>
      <w:r>
        <w:pict>
          <v:rect style="width:0;height:1.5pt" o:hralign="center" o:hrstd="t" o:hr="t"/>
        </w:pict>
      </w:r>
    </w:p>
    <w:bookmarkEnd w:id="32"/>
    <w:bookmarkStart w:id="33" w:name="notices"/>
    <w:p>
      <w:pPr>
        <w:pStyle w:val="Heading2"/>
      </w:pPr>
      <w:r>
        <w:t xml:space="preserve">22. NOTICES</w:t>
      </w:r>
    </w:p>
    <w:p>
      <w:pPr>
        <w:pStyle w:val="FirstParagraph"/>
      </w:pPr>
      <w:r>
        <w:t xml:space="preserve">22.1 All notices under this Agreement shall be in writing and shall be sent by registered post with acknowledgement due, by courier, or by email with delivery confirmation, to the address of the other Party set out below, or to such other address as may be notified in writing from time to time:</w:t>
      </w:r>
    </w:p>
    <w:p>
      <w:pPr>
        <w:pStyle w:val="BodyText"/>
      </w:pPr>
      <w:r>
        <w:rPr>
          <w:b/>
          <w:bCs/>
        </w:rPr>
        <w:t xml:space="preserve">To the Company:</w:t>
      </w:r>
    </w:p>
    <w:p>
      <w:pPr>
        <w:pStyle w:val="Compact"/>
        <w:numPr>
          <w:ilvl w:val="0"/>
          <w:numId w:val="1014"/>
        </w:numPr>
      </w:pPr>
      <w:r>
        <w:t xml:space="preserve">Address:</w:t>
      </w:r>
      <w:r>
        <w:t xml:space="preserve"> </w:t>
      </w:r>
      <w:r>
        <w:rPr>
          <w:b/>
          <w:bCs/>
        </w:rPr>
        <w:t xml:space="preserve">[_____________________________________________]</w:t>
      </w:r>
    </w:p>
    <w:p>
      <w:pPr>
        <w:pStyle w:val="Compact"/>
        <w:numPr>
          <w:ilvl w:val="0"/>
          <w:numId w:val="1014"/>
        </w:numPr>
      </w:pPr>
      <w:r>
        <w:t xml:space="preserve">Attention:</w:t>
      </w:r>
      <w:r>
        <w:t xml:space="preserve"> </w:t>
      </w:r>
      <w:r>
        <w:rPr>
          <w:b/>
          <w:bCs/>
        </w:rPr>
        <w:t xml:space="preserve">[_________________________]</w:t>
      </w:r>
    </w:p>
    <w:p>
      <w:pPr>
        <w:pStyle w:val="Compact"/>
        <w:numPr>
          <w:ilvl w:val="0"/>
          <w:numId w:val="1014"/>
        </w:numPr>
      </w:pPr>
      <w:r>
        <w:t xml:space="preserve">Email:</w:t>
      </w:r>
      <w:r>
        <w:t xml:space="preserve"> </w:t>
      </w:r>
      <w:r>
        <w:rPr>
          <w:b/>
          <w:bCs/>
        </w:rPr>
        <w:t xml:space="preserve">[_________________________]</w:t>
      </w:r>
    </w:p>
    <w:p>
      <w:pPr>
        <w:pStyle w:val="FirstParagraph"/>
      </w:pPr>
      <w:r>
        <w:rPr>
          <w:b/>
          <w:bCs/>
        </w:rPr>
        <w:t xml:space="preserve">To the Consumer:</w:t>
      </w:r>
    </w:p>
    <w:p>
      <w:pPr>
        <w:pStyle w:val="Compact"/>
        <w:numPr>
          <w:ilvl w:val="0"/>
          <w:numId w:val="1015"/>
        </w:numPr>
      </w:pPr>
      <w:r>
        <w:t xml:space="preserve">Address:</w:t>
      </w:r>
      <w:r>
        <w:t xml:space="preserve"> </w:t>
      </w:r>
      <w:r>
        <w:rPr>
          <w:b/>
          <w:bCs/>
        </w:rPr>
        <w:t xml:space="preserve">[_____________________________________________]</w:t>
      </w:r>
    </w:p>
    <w:p>
      <w:pPr>
        <w:pStyle w:val="Compact"/>
        <w:numPr>
          <w:ilvl w:val="0"/>
          <w:numId w:val="1015"/>
        </w:numPr>
      </w:pPr>
      <w:r>
        <w:t xml:space="preserve">Attention:</w:t>
      </w:r>
      <w:r>
        <w:t xml:space="preserve"> </w:t>
      </w:r>
      <w:r>
        <w:rPr>
          <w:b/>
          <w:bCs/>
        </w:rPr>
        <w:t xml:space="preserve">[_________________________]</w:t>
      </w:r>
    </w:p>
    <w:p>
      <w:pPr>
        <w:pStyle w:val="Compact"/>
        <w:numPr>
          <w:ilvl w:val="0"/>
          <w:numId w:val="1015"/>
        </w:numPr>
      </w:pPr>
      <w:r>
        <w:t xml:space="preserve">Email:</w:t>
      </w:r>
      <w:r>
        <w:t xml:space="preserve"> </w:t>
      </w:r>
      <w:r>
        <w:rPr>
          <w:b/>
          <w:bCs/>
        </w:rPr>
        <w:t xml:space="preserve">[_________________________]</w:t>
      </w:r>
    </w:p>
    <w:p>
      <w:pPr>
        <w:pStyle w:val="FirstParagraph"/>
      </w:pPr>
      <w:r>
        <w:t xml:space="preserve">22.2 Notices shall be deemed delivered three (3) days after posting (if sent by registered post), on the date of delivery (if sent by courier), or on the day sent (if sent by email before 5.00 pm on a business day at the place of receipt, and otherwise on the next business day).</w:t>
      </w:r>
    </w:p>
    <w:p>
      <w:r>
        <w:pict>
          <v:rect style="width:0;height:1.5pt" o:hralign="center" o:hrstd="t" o:hr="t"/>
        </w:pict>
      </w:r>
    </w:p>
    <w:bookmarkEnd w:id="33"/>
    <w:bookmarkStart w:id="34" w:name="dispute-resolution"/>
    <w:p>
      <w:pPr>
        <w:pStyle w:val="Heading2"/>
      </w:pPr>
      <w:r>
        <w:t xml:space="preserve">23. DISPUTE RESOLUTION</w:t>
      </w:r>
    </w:p>
    <w:p>
      <w:pPr>
        <w:pStyle w:val="FirstParagraph"/>
      </w:pPr>
      <w:r>
        <w:t xml:space="preserve">23.1 In the event of any dispute or difference arising out of or in connection with this Agreement, the Parties shall first attempt to resolve the matter amicably through mediation at Hyderabad, within thirty (30) days of written notice of the dispute being given by one Party to the other.</w:t>
      </w:r>
    </w:p>
    <w:p>
      <w:pPr>
        <w:pStyle w:val="BodyText"/>
      </w:pPr>
      <w:r>
        <w:t xml:space="preserve">23.2 If mediation fails or is not concluded within thirty (30) days, the dispute shall be referred to arbitration by a sole arbitrator mutually appointed by the Parties or, failing agreement within fifteen (15) days, appointed in accordance with the Arbitration and Conciliation Act, 1996 (as amended).</w:t>
      </w:r>
    </w:p>
    <w:p>
      <w:pPr>
        <w:pStyle w:val="BodyText"/>
      </w:pPr>
      <w:r>
        <w:t xml:space="preserve">23.3 The seat and venue of arbitration shall be Hyderabad, Telangana. The language of the arbitration shall be English. The decision of the arbitrator shall be final and binding on the Parties.</w:t>
      </w:r>
    </w:p>
    <w:p>
      <w:pPr>
        <w:pStyle w:val="BodyText"/>
      </w:pPr>
      <w:r>
        <w:t xml:space="preserve">23.4 This Agreement shall be governed by and construed in accordance with the laws of India. Subject to Clauses 23.1 and 23.2, the courts at Hyderabad shall have exclusive jurisdiction.</w:t>
      </w:r>
    </w:p>
    <w:p>
      <w:r>
        <w:pict>
          <v:rect style="width:0;height:1.5pt" o:hralign="center" o:hrstd="t" o:hr="t"/>
        </w:pict>
      </w:r>
    </w:p>
    <w:bookmarkEnd w:id="34"/>
    <w:bookmarkStart w:id="35" w:name="miscellaneous"/>
    <w:p>
      <w:pPr>
        <w:pStyle w:val="Heading2"/>
      </w:pPr>
      <w:r>
        <w:t xml:space="preserve">24. MISCELLANEOUS</w:t>
      </w:r>
    </w:p>
    <w:p>
      <w:pPr>
        <w:pStyle w:val="FirstParagraph"/>
      </w:pPr>
      <w:r>
        <w:t xml:space="preserve">24.1 This Agreement, together with its Schedules, constitutes the entire agreement between the Parties in relation to its subject matter, and supersedes all prior discussions, correspondence and agreements.</w:t>
      </w:r>
    </w:p>
    <w:p>
      <w:pPr>
        <w:pStyle w:val="BodyText"/>
      </w:pPr>
      <w:r>
        <w:t xml:space="preserve">24.2 No amendment or modification of this Agreement shall be valid unless in writing and signed by both Parties.</w:t>
      </w:r>
    </w:p>
    <w:p>
      <w:pPr>
        <w:pStyle w:val="BodyText"/>
      </w:pPr>
      <w:r>
        <w:t xml:space="preserve">24.3 No waiver of any provision shall be effective unless in writing. The failure or delay of either Party in exercising any right shall not operate as a waiver thereof.</w:t>
      </w:r>
    </w:p>
    <w:p>
      <w:pPr>
        <w:pStyle w:val="BodyText"/>
      </w:pPr>
      <w:r>
        <w:t xml:space="preserve">24.4 If any provision of this Agreement is held invalid or unenforceable, the remaining provisions shall continue in full force, and the Parties shall negotiate in good faith a valid substitute provision reflecting their original intent.</w:t>
      </w:r>
    </w:p>
    <w:p>
      <w:pPr>
        <w:pStyle w:val="BodyText"/>
      </w:pPr>
      <w:r>
        <w:t xml:space="preserve">24.5 Clauses 4, 15, 18, 19, 21 and 23 shall survive the termination or expiry of this Agreement.</w:t>
      </w:r>
    </w:p>
    <w:p>
      <w:pPr>
        <w:pStyle w:val="BodyText"/>
      </w:pPr>
      <w:r>
        <w:t xml:space="preserve">24.6 This Agreement shall be executed on stamp paper of the value required under the Indian Stamp Act, 1899 as applicable in the State of Telangana. Stamp duty and registration charges, if any, shall be borne by the</w:t>
      </w:r>
      <w:r>
        <w:t xml:space="preserve"> </w:t>
      </w:r>
      <w:r>
        <w:rPr>
          <w:b/>
          <w:bCs/>
        </w:rPr>
        <w:t xml:space="preserve">[Consumer / Parties equally]</w:t>
      </w:r>
      <w:r>
        <w:t xml:space="preserve">.</w:t>
      </w:r>
    </w:p>
    <w:p>
      <w:pPr>
        <w:pStyle w:val="BodyText"/>
      </w:pPr>
      <w:r>
        <w:t xml:space="preserve">24.7 This Agreement may be executed in any number of counterparts, each of which, when executed and delivered, shall constitute an original, and all of which together shall constitute one and the same instrument.</w:t>
      </w:r>
    </w:p>
    <w:p>
      <w:r>
        <w:pict>
          <v:rect style="width:0;height:1.5pt" o:hralign="center" o:hrstd="t" o:hr="t"/>
        </w:pict>
      </w:r>
    </w:p>
    <w:bookmarkEnd w:id="35"/>
    <w:bookmarkStart w:id="36" w:name="in-witness-whereof"/>
    <w:p>
      <w:pPr>
        <w:pStyle w:val="Heading2"/>
      </w:pPr>
      <w:r>
        <w:t xml:space="preserve">IN WITNESS WHEREOF</w:t>
      </w:r>
    </w:p>
    <w:p>
      <w:pPr>
        <w:pStyle w:val="FirstParagraph"/>
      </w:pPr>
      <w:r>
        <w:t xml:space="preserve">the Parties have executed this Agreement on the day, month and year first above written.</w:t>
      </w:r>
    </w:p>
    <w:p>
      <w:pPr>
        <w:pStyle w:val="BodyText"/>
      </w:pPr>
      <w:r>
        <w:rPr>
          <w:b/>
          <w:bCs/>
        </w:rPr>
        <w:t xml:space="preserve">For and on behalf of M/s. BRIGHT ROOF POWER SYSTEMS:</w:t>
      </w:r>
    </w:p>
    <w:p>
      <w:pPr>
        <w:pStyle w:val="BodyText"/>
      </w:pPr>
      <w:r>
        <w:t xml:space="preserve">Name: __________________________</w:t>
      </w:r>
    </w:p>
    <w:p>
      <w:pPr>
        <w:pStyle w:val="BodyText"/>
      </w:pPr>
      <w:r>
        <w:t xml:space="preserve">Designation: Partner</w:t>
      </w:r>
    </w:p>
    <w:p>
      <w:pPr>
        <w:pStyle w:val="BodyText"/>
      </w:pPr>
      <w:r>
        <w:t xml:space="preserve">Signature: __________________________</w:t>
      </w:r>
    </w:p>
    <w:p>
      <w:pPr>
        <w:pStyle w:val="BodyText"/>
      </w:pPr>
      <w:r>
        <w:t xml:space="preserve">Date: __________________________</w:t>
      </w:r>
    </w:p>
    <w:p>
      <w:pPr>
        <w:pStyle w:val="BodyText"/>
      </w:pPr>
      <w:r>
        <w:rPr>
          <w:b/>
          <w:bCs/>
        </w:rPr>
        <w:t xml:space="preserve">For and on behalf of [_____________________________________________]:</w:t>
      </w:r>
    </w:p>
    <w:p>
      <w:pPr>
        <w:pStyle w:val="BodyText"/>
      </w:pPr>
      <w:r>
        <w:t xml:space="preserve">Name: __________________________</w:t>
      </w:r>
    </w:p>
    <w:p>
      <w:pPr>
        <w:pStyle w:val="BodyText"/>
      </w:pPr>
      <w:r>
        <w:t xml:space="preserve">Designation: __________________________</w:t>
      </w:r>
    </w:p>
    <w:p>
      <w:pPr>
        <w:pStyle w:val="BodyText"/>
      </w:pPr>
      <w:r>
        <w:t xml:space="preserve">Signature: __________________________</w:t>
      </w:r>
    </w:p>
    <w:p>
      <w:pPr>
        <w:pStyle w:val="BodyText"/>
      </w:pPr>
      <w:r>
        <w:t xml:space="preserve">Date: __________________________</w:t>
      </w:r>
    </w:p>
    <w:p>
      <w:pPr>
        <w:pStyle w:val="BodyText"/>
      </w:pPr>
      <w:r>
        <w:rPr>
          <w:b/>
          <w:bCs/>
        </w:rPr>
        <w:t xml:space="preserve">WITNESSES:</w:t>
      </w:r>
    </w:p>
    <w:p>
      <w:pPr>
        <w:numPr>
          <w:ilvl w:val="0"/>
          <w:numId w:val="1016"/>
        </w:numPr>
      </w:pPr>
      <w:r>
        <w:t xml:space="preserve">Name: ______________________</w:t>
      </w:r>
    </w:p>
    <w:p>
      <w:pPr>
        <w:numPr>
          <w:ilvl w:val="0"/>
          <w:numId w:val="1000"/>
        </w:numPr>
      </w:pPr>
      <w:r>
        <w:t xml:space="preserve">Address: ______________________</w:t>
      </w:r>
    </w:p>
    <w:p>
      <w:pPr>
        <w:numPr>
          <w:ilvl w:val="0"/>
          <w:numId w:val="1000"/>
        </w:numPr>
      </w:pPr>
      <w:r>
        <w:t xml:space="preserve">Signature: ______________________</w:t>
      </w:r>
    </w:p>
    <w:p>
      <w:pPr>
        <w:numPr>
          <w:ilvl w:val="0"/>
          <w:numId w:val="1016"/>
        </w:numPr>
      </w:pPr>
      <w:r>
        <w:t xml:space="preserve">Name: ______________________</w:t>
      </w:r>
    </w:p>
    <w:p>
      <w:pPr>
        <w:numPr>
          <w:ilvl w:val="0"/>
          <w:numId w:val="1000"/>
        </w:numPr>
      </w:pPr>
      <w:r>
        <w:t xml:space="preserve">Address: ______________________</w:t>
      </w:r>
    </w:p>
    <w:p>
      <w:pPr>
        <w:numPr>
          <w:ilvl w:val="0"/>
          <w:numId w:val="1000"/>
        </w:numPr>
      </w:pPr>
      <w:r>
        <w:t xml:space="preserve">Signature: ______________________</w:t>
      </w:r>
    </w:p>
    <w:p>
      <w:r>
        <w:pict>
          <v:rect style="width:0;height:1.5pt" o:hralign="center" o:hrstd="t" o:hr="t"/>
        </w:pict>
      </w:r>
    </w:p>
    <w:bookmarkEnd w:id="36"/>
    <w:bookmarkStart w:id="37" w:name="schedule-1-project-description"/>
    <w:p>
      <w:pPr>
        <w:pStyle w:val="Heading2"/>
      </w:pPr>
      <w:r>
        <w:t xml:space="preserve">SCHEDULE 1 — PROJECT DESCRIPTION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Name of the Premises</w:t>
            </w:r>
          </w:p>
        </w:tc>
        <w:tc>
          <w:tcPr/>
          <w:p>
            <w:pPr>
              <w:pStyle w:val="Compact"/>
            </w:pPr>
            <w:r>
              <w:rPr>
                <w:b/>
                <w:bCs/>
              </w:rPr>
              <w:t xml:space="preserve">[_____________________________________________]</w:t>
            </w:r>
          </w:p>
        </w:tc>
      </w:tr>
      <w:tr>
        <w:tc>
          <w:tcPr/>
          <w:p>
            <w:pPr>
              <w:pStyle w:val="Compact"/>
            </w:pPr>
            <w:r>
              <w:t xml:space="preserve">Address of the Premises</w:t>
            </w:r>
          </w:p>
        </w:tc>
        <w:tc>
          <w:tcPr/>
          <w:p>
            <w:pPr>
              <w:pStyle w:val="Compact"/>
            </w:pPr>
            <w:r>
              <w:rPr>
                <w:b/>
                <w:bCs/>
              </w:rPr>
              <w:t xml:space="preserve">[_____________________________________________]</w:t>
            </w:r>
          </w:p>
        </w:tc>
      </w:tr>
      <w:tr>
        <w:tc>
          <w:tcPr/>
          <w:p>
            <w:pPr>
              <w:pStyle w:val="Compact"/>
            </w:pPr>
            <w:r>
              <w:t xml:space="preserve">Consumer Service Number(s) (TSSPDCL)</w:t>
            </w:r>
          </w:p>
        </w:tc>
        <w:tc>
          <w:tcPr/>
          <w:p>
            <w:pPr>
              <w:pStyle w:val="Compact"/>
            </w:pPr>
            <w:r>
              <w:rPr>
                <w:b/>
                <w:bCs/>
              </w:rPr>
              <w:t xml:space="preserve">[_____________________________________________]</w:t>
            </w:r>
          </w:p>
        </w:tc>
      </w:tr>
      <w:tr>
        <w:tc>
          <w:tcPr/>
          <w:p>
            <w:pPr>
              <w:pStyle w:val="Compact"/>
            </w:pPr>
            <w:r>
              <w:t xml:space="preserve">Sanctioned load</w:t>
            </w:r>
          </w:p>
        </w:tc>
        <w:tc>
          <w:tcPr/>
          <w:p>
            <w:pPr>
              <w:pStyle w:val="Compact"/>
            </w:pPr>
            <w:r>
              <w:rPr>
                <w:b/>
                <w:bCs/>
              </w:rPr>
              <w:t xml:space="preserve">[___] kW</w:t>
            </w:r>
          </w:p>
        </w:tc>
      </w:tr>
      <w:tr>
        <w:tc>
          <w:tcPr/>
          <w:p>
            <w:pPr>
              <w:pStyle w:val="Compact"/>
            </w:pPr>
            <w:r>
              <w:t xml:space="preserve">Licensed Area (rooftop)</w:t>
            </w:r>
          </w:p>
        </w:tc>
        <w:tc>
          <w:tcPr/>
          <w:p>
            <w:pPr>
              <w:pStyle w:val="Compact"/>
            </w:pPr>
            <w:r>
              <w:rPr>
                <w:b/>
                <w:bCs/>
              </w:rPr>
              <w:t xml:space="preserve">[___] sq. m.</w:t>
            </w:r>
            <w:r>
              <w:t xml:space="preserve"> </w:t>
            </w:r>
            <w:r>
              <w:t xml:space="preserve">(rooftop plan attached as Annexure 1-A)</w:t>
            </w:r>
          </w:p>
        </w:tc>
      </w:tr>
      <w:tr>
        <w:tc>
          <w:tcPr/>
          <w:p>
            <w:pPr>
              <w:pStyle w:val="Compact"/>
            </w:pPr>
            <w:r>
              <w:t xml:space="preserve">Contracted Capacity</w:t>
            </w:r>
          </w:p>
        </w:tc>
        <w:tc>
          <w:tcPr/>
          <w:p>
            <w:pPr>
              <w:pStyle w:val="Compact"/>
            </w:pPr>
            <w:r>
              <w:rPr>
                <w:b/>
                <w:bCs/>
              </w:rPr>
              <w:t xml:space="preserve">[___] kWp</w:t>
            </w:r>
          </w:p>
        </w:tc>
      </w:tr>
      <w:tr>
        <w:tc>
          <w:tcPr/>
          <w:p>
            <w:pPr>
              <w:pStyle w:val="Compact"/>
            </w:pPr>
            <w:r>
              <w:t xml:space="preserve">Delivery Point</w:t>
            </w:r>
          </w:p>
        </w:tc>
        <w:tc>
          <w:tcPr/>
          <w:p>
            <w:pPr>
              <w:pStyle w:val="Compact"/>
            </w:pPr>
            <w:r>
              <w:rPr>
                <w:b/>
                <w:bCs/>
              </w:rPr>
              <w:t xml:space="preserve">[_____________________________________________]</w:t>
            </w:r>
          </w:p>
        </w:tc>
      </w:tr>
      <w:tr>
        <w:tc>
          <w:tcPr/>
          <w:p>
            <w:pPr>
              <w:pStyle w:val="Compact"/>
            </w:pPr>
            <w:r>
              <w:t xml:space="preserve">Scheduled COD</w:t>
            </w:r>
          </w:p>
        </w:tc>
        <w:tc>
          <w:tcPr/>
          <w:p>
            <w:pPr>
              <w:pStyle w:val="Compact"/>
            </w:pPr>
            <w:r>
              <w:rPr>
                <w:b/>
                <w:bCs/>
              </w:rPr>
              <w:t xml:space="preserve">[______________]</w:t>
            </w:r>
          </w:p>
        </w:tc>
      </w:tr>
    </w:tbl>
    <w:p>
      <w:r>
        <w:pict>
          <v:rect style="width:0;height:1.5pt" o:hralign="center" o:hrstd="t" o:hr="t"/>
        </w:pict>
      </w:r>
    </w:p>
    <w:bookmarkEnd w:id="37"/>
    <w:bookmarkStart w:id="38" w:name="schedule-2-technical-specifications"/>
    <w:p>
      <w:pPr>
        <w:pStyle w:val="Heading2"/>
      </w:pPr>
      <w:r>
        <w:t xml:space="preserve">SCHEDULE 2 — TECHNICAL SPECIFICATIONS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Make / Model</w:t>
            </w:r>
          </w:p>
        </w:tc>
        <w:tc>
          <w:tcPr/>
          <w:p>
            <w:pPr>
              <w:pStyle w:val="Compact"/>
            </w:pPr>
            <w:r>
              <w:t xml:space="preserve">Quantity</w:t>
            </w:r>
          </w:p>
        </w:tc>
        <w:tc>
          <w:tcPr/>
          <w:p>
            <w:pPr>
              <w:pStyle w:val="Compact"/>
            </w:pPr>
            <w:r>
              <w:t xml:space="preserve">Key ratings / standards</w:t>
            </w:r>
          </w:p>
        </w:tc>
      </w:tr>
      <w:tr>
        <w:tc>
          <w:tcPr/>
          <w:p>
            <w:pPr>
              <w:pStyle w:val="Compact"/>
            </w:pPr>
            <w:r>
              <w:t xml:space="preserve">Photovoltaic modules</w:t>
            </w:r>
          </w:p>
        </w:tc>
        <w:tc>
          <w:tcPr/>
          <w:p>
            <w:pPr>
              <w:pStyle w:val="Compact"/>
            </w:pPr>
            <w:r>
              <w:rPr>
                <w:b/>
                <w:bCs/>
              </w:rPr>
              <w:t xml:space="preserve">[______________]</w:t>
            </w:r>
          </w:p>
        </w:tc>
        <w:tc>
          <w:tcPr/>
          <w:p>
            <w:pPr>
              <w:pStyle w:val="Compact"/>
            </w:pPr>
            <w:r>
              <w:rPr>
                <w:b/>
                <w:bCs/>
              </w:rPr>
              <w:t xml:space="preserve">[___]</w:t>
            </w:r>
          </w:p>
        </w:tc>
        <w:tc>
          <w:tcPr/>
          <w:p>
            <w:pPr>
              <w:pStyle w:val="Compact"/>
            </w:pPr>
            <w:r>
              <w:t xml:space="preserve">IEC 61215, IEC 61730</w:t>
            </w:r>
          </w:p>
        </w:tc>
      </w:tr>
      <w:tr>
        <w:tc>
          <w:tcPr/>
          <w:p>
            <w:pPr>
              <w:pStyle w:val="Compact"/>
            </w:pPr>
            <w:r>
              <w:t xml:space="preserve">Inverter</w:t>
            </w:r>
          </w:p>
        </w:tc>
        <w:tc>
          <w:tcPr/>
          <w:p>
            <w:pPr>
              <w:pStyle w:val="Compact"/>
            </w:pPr>
            <w:r>
              <w:rPr>
                <w:b/>
                <w:bCs/>
              </w:rPr>
              <w:t xml:space="preserve">[______________]</w:t>
            </w:r>
          </w:p>
        </w:tc>
        <w:tc>
          <w:tcPr/>
          <w:p>
            <w:pPr>
              <w:pStyle w:val="Compact"/>
            </w:pPr>
            <w:r>
              <w:rPr>
                <w:b/>
                <w:bCs/>
              </w:rPr>
              <w:t xml:space="preserve">[___]</w:t>
            </w:r>
          </w:p>
        </w:tc>
        <w:tc>
          <w:tcPr/>
          <w:p>
            <w:pPr>
              <w:pStyle w:val="Compact"/>
            </w:pPr>
            <w:r>
              <w:t xml:space="preserve">IEC 62109</w:t>
            </w:r>
          </w:p>
        </w:tc>
      </w:tr>
      <w:tr>
        <w:tc>
          <w:tcPr/>
          <w:p>
            <w:pPr>
              <w:pStyle w:val="Compact"/>
            </w:pPr>
            <w:r>
              <w:t xml:space="preserve">Mounting structure</w:t>
            </w:r>
          </w:p>
        </w:tc>
        <w:tc>
          <w:tcPr/>
          <w:p>
            <w:pPr>
              <w:pStyle w:val="Compact"/>
            </w:pPr>
            <w:r>
              <w:t xml:space="preserve">Galvanised steel, IS 2062 / IS 875 wind-load compliant</w:t>
            </w:r>
          </w:p>
        </w:tc>
        <w:tc>
          <w:tcPr/>
          <w:p>
            <w:pPr>
              <w:pStyle w:val="Compact"/>
            </w:pPr>
            <w:r>
              <w:rPr>
                <w:b/>
                <w:bCs/>
              </w:rPr>
              <w:t xml:space="preserve">[___]</w:t>
            </w:r>
            <w:r>
              <w:t xml:space="preserve"> </w:t>
            </w:r>
            <w:r>
              <w:t xml:space="preserve">lot</w:t>
            </w:r>
          </w:p>
        </w:tc>
        <w:tc>
          <w:tcPr/>
          <w:p>
            <w:pPr>
              <w:pStyle w:val="Compact"/>
            </w:pPr>
            <w:r>
              <w:t xml:space="preserve">—</w:t>
            </w:r>
          </w:p>
        </w:tc>
      </w:tr>
      <w:tr>
        <w:tc>
          <w:tcPr/>
          <w:p>
            <w:pPr>
              <w:pStyle w:val="Compact"/>
            </w:pPr>
            <w:r>
              <w:t xml:space="preserve">DC cabling, connectors</w:t>
            </w:r>
          </w:p>
        </w:tc>
        <w:tc>
          <w:tcPr/>
          <w:p>
            <w:pPr>
              <w:pStyle w:val="Compact"/>
            </w:pPr>
            <w:r>
              <w:t xml:space="preserve">TUV-certified</w:t>
            </w:r>
          </w:p>
        </w:tc>
        <w:tc>
          <w:tcPr/>
          <w:p>
            <w:pPr>
              <w:pStyle w:val="Compact"/>
            </w:pPr>
            <w:r>
              <w:t xml:space="preserve">1 lot</w:t>
            </w:r>
          </w:p>
        </w:tc>
        <w:tc>
          <w:tcPr/>
          <w:p>
            <w:pPr>
              <w:pStyle w:val="Compact"/>
            </w:pPr>
            <w:r>
              <w:t xml:space="preserve">—</w:t>
            </w:r>
          </w:p>
        </w:tc>
      </w:tr>
      <w:tr>
        <w:tc>
          <w:tcPr/>
          <w:p>
            <w:pPr>
              <w:pStyle w:val="Compact"/>
            </w:pPr>
            <w:r>
              <w:t xml:space="preserve">AC cabling, protection, isolators</w:t>
            </w:r>
          </w:p>
        </w:tc>
        <w:tc>
          <w:tcPr/>
          <w:p>
            <w:pPr>
              <w:pStyle w:val="Compact"/>
            </w:pPr>
            <w:r>
              <w:t xml:space="preserve">As per CEA regulations</w:t>
            </w:r>
          </w:p>
        </w:tc>
        <w:tc>
          <w:tcPr/>
          <w:p>
            <w:pPr>
              <w:pStyle w:val="Compact"/>
            </w:pPr>
            <w:r>
              <w:t xml:space="preserve">1 lot</w:t>
            </w:r>
          </w:p>
        </w:tc>
        <w:tc>
          <w:tcPr/>
          <w:p>
            <w:pPr>
              <w:pStyle w:val="Compact"/>
            </w:pPr>
            <w:r>
              <w:t xml:space="preserve">—</w:t>
            </w:r>
          </w:p>
        </w:tc>
      </w:tr>
      <w:tr>
        <w:tc>
          <w:tcPr/>
          <w:p>
            <w:pPr>
              <w:pStyle w:val="Compact"/>
            </w:pPr>
            <w:r>
              <w:t xml:space="preserve">Earthing and lightning protection</w:t>
            </w:r>
          </w:p>
        </w:tc>
        <w:tc>
          <w:tcPr/>
          <w:p>
            <w:pPr>
              <w:pStyle w:val="Compact"/>
            </w:pPr>
            <w:r>
              <w:t xml:space="preserve">IEC 62561 / IS 3043</w:t>
            </w:r>
          </w:p>
        </w:tc>
        <w:tc>
          <w:tcPr/>
          <w:p>
            <w:pPr>
              <w:pStyle w:val="Compact"/>
            </w:pPr>
            <w:r>
              <w:t xml:space="preserve">1 lot</w:t>
            </w:r>
          </w:p>
        </w:tc>
        <w:tc>
          <w:tcPr/>
          <w:p>
            <w:pPr>
              <w:pStyle w:val="Compact"/>
            </w:pPr>
            <w:r>
              <w:t xml:space="preserve">—</w:t>
            </w:r>
          </w:p>
        </w:tc>
      </w:tr>
      <w:tr>
        <w:tc>
          <w:tcPr/>
          <w:p>
            <w:pPr>
              <w:pStyle w:val="Compact"/>
            </w:pPr>
            <w:r>
              <w:t xml:space="preserve">Bi-directional net-meter</w:t>
            </w:r>
          </w:p>
        </w:tc>
        <w:tc>
          <w:tcPr/>
          <w:p>
            <w:pPr>
              <w:pStyle w:val="Compact"/>
            </w:pPr>
            <w:r>
              <w:t xml:space="preserve">TSSPDCL-approved make</w:t>
            </w:r>
          </w:p>
        </w:tc>
        <w:tc>
          <w:tcPr/>
          <w:p>
            <w:pPr>
              <w:pStyle w:val="Compact"/>
            </w:pPr>
            <w:r>
              <w:t xml:space="preserve">1</w:t>
            </w:r>
          </w:p>
        </w:tc>
        <w:tc>
          <w:tcPr/>
          <w:p>
            <w:pPr>
              <w:pStyle w:val="Compact"/>
            </w:pPr>
            <w:r>
              <w:t xml:space="preserve">Class 1.0</w:t>
            </w:r>
          </w:p>
        </w:tc>
      </w:tr>
      <w:tr>
        <w:tc>
          <w:tcPr/>
          <w:p>
            <w:pPr>
              <w:pStyle w:val="Compact"/>
            </w:pPr>
            <w:r>
              <w:t xml:space="preserve">Solar sub-meter</w:t>
            </w:r>
          </w:p>
        </w:tc>
        <w:tc>
          <w:tcPr/>
          <w:p>
            <w:pPr>
              <w:pStyle w:val="Compact"/>
            </w:pPr>
            <w:r>
              <w:rPr>
                <w:b/>
                <w:bCs/>
              </w:rPr>
              <w:t xml:space="preserve">[______________]</w:t>
            </w:r>
          </w:p>
        </w:tc>
        <w:tc>
          <w:tcPr/>
          <w:p>
            <w:pPr>
              <w:pStyle w:val="Compact"/>
            </w:pPr>
            <w:r>
              <w:t xml:space="preserve">1</w:t>
            </w:r>
          </w:p>
        </w:tc>
        <w:tc>
          <w:tcPr/>
          <w:p>
            <w:pPr>
              <w:pStyle w:val="Compact"/>
            </w:pPr>
            <w:r>
              <w:t xml:space="preserve">Class 1.0</w:t>
            </w:r>
          </w:p>
        </w:tc>
      </w:tr>
      <w:tr>
        <w:tc>
          <w:tcPr/>
          <w:p>
            <w:pPr>
              <w:pStyle w:val="Compact"/>
            </w:pPr>
            <w:r>
              <w:t xml:space="preserve">Monitoring and dashboard</w:t>
            </w:r>
          </w:p>
        </w:tc>
        <w:tc>
          <w:tcPr/>
          <w:p>
            <w:pPr>
              <w:pStyle w:val="Compact"/>
            </w:pPr>
            <w:r>
              <w:rPr>
                <w:b/>
                <w:bCs/>
              </w:rPr>
              <w:t xml:space="preserve">[______________]</w:t>
            </w:r>
          </w:p>
        </w:tc>
        <w:tc>
          <w:tcPr/>
          <w:p>
            <w:pPr>
              <w:pStyle w:val="Compact"/>
            </w:pPr>
            <w:r>
              <w:t xml:space="preserve">1</w:t>
            </w:r>
          </w:p>
        </w:tc>
        <w:tc>
          <w:tcPr/>
          <w:p>
            <w:pPr>
              <w:pStyle w:val="Compact"/>
            </w:pPr>
            <w:r>
              <w:t xml:space="preserve">—</w:t>
            </w:r>
          </w:p>
        </w:tc>
      </w:tr>
    </w:tbl>
    <w:p>
      <w:pPr>
        <w:pStyle w:val="BodyText"/>
      </w:pPr>
      <w:r>
        <w:t xml:space="preserve">Detailed single-line diagram, structural drawings and cable schedules are attached as Annexure 2-A.</w:t>
      </w:r>
    </w:p>
    <w:p>
      <w:r>
        <w:pict>
          <v:rect style="width:0;height:1.5pt" o:hralign="center" o:hrstd="t" o:hr="t"/>
        </w:pict>
      </w:r>
    </w:p>
    <w:bookmarkEnd w:id="38"/>
    <w:bookmarkStart w:id="39" w:name="schedule-3-tariff-and-escalation"/>
    <w:p>
      <w:pPr>
        <w:pStyle w:val="Heading2"/>
      </w:pPr>
      <w:r>
        <w:t xml:space="preserve">SCHEDULE 3 — TARIFF AND ESCALATION</w:t>
      </w:r>
    </w:p>
    <w:p>
      <w:pPr>
        <w:pStyle w:val="FirstParagraph"/>
      </w:pPr>
      <w:r>
        <w:t xml:space="preserve">3.1 The base Tariff for the first Contract Year is</w:t>
      </w:r>
      <w:r>
        <w:t xml:space="preserve"> </w:t>
      </w:r>
      <w:r>
        <w:rPr>
          <w:b/>
          <w:bCs/>
        </w:rPr>
        <w:t xml:space="preserve">Rs. [___] per kWh</w:t>
      </w:r>
      <w:r>
        <w:t xml:space="preserve"> </w:t>
      </w:r>
      <w:r>
        <w:t xml:space="preserve">(exclusive of applicable taxes).</w:t>
      </w:r>
    </w:p>
    <w:p>
      <w:pPr>
        <w:pStyle w:val="BodyText"/>
      </w:pPr>
      <w:r>
        <w:t xml:space="preserve">3.2 The Tariff shall escalate on each anniversary of the COD in accordance with the following:</w:t>
      </w:r>
    </w:p>
    <w:p>
      <w:pPr>
        <w:pStyle w:val="BodyText"/>
      </w:pPr>
      <w:r>
        <w:rPr>
          <w:b/>
          <w:bCs/>
        </w:rPr>
        <w:t xml:space="preserve">[_____________________________________________]</w:t>
      </w:r>
    </w:p>
    <w:p>
      <w:pPr>
        <w:pStyle w:val="BodyText"/>
      </w:pPr>
      <w:r>
        <w:t xml:space="preserve">3.3 Treatment of energy exported to the TSSPDCL grid under the Net Metering Agreement:</w:t>
      </w:r>
    </w:p>
    <w:p>
      <w:pPr>
        <w:pStyle w:val="BodyText"/>
      </w:pPr>
      <w:r>
        <w:rPr>
          <w:b/>
          <w:bCs/>
        </w:rPr>
        <w:t xml:space="preserve">[_____________________________________________]</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Contract Year</w:t>
            </w:r>
          </w:p>
        </w:tc>
        <w:tc>
          <w:tcPr/>
          <w:p>
            <w:pPr>
              <w:pStyle w:val="Compact"/>
            </w:pPr>
            <w:r>
              <w:t xml:space="preserve">Tariff (Rs./kWh, excl. taxes)</w:t>
            </w:r>
          </w:p>
        </w:tc>
      </w:tr>
      <w:tr>
        <w:tc>
          <w:tcPr/>
          <w:p>
            <w:pPr>
              <w:pStyle w:val="Compact"/>
            </w:pPr>
            <w:r>
              <w:t xml:space="preserve">1</w:t>
            </w:r>
          </w:p>
        </w:tc>
        <w:tc>
          <w:tcPr/>
          <w:p>
            <w:pPr>
              <w:pStyle w:val="Compact"/>
            </w:pPr>
            <w:r>
              <w:rPr>
                <w:b/>
                <w:bCs/>
              </w:rPr>
              <w:t xml:space="preserve">[______]</w:t>
            </w:r>
          </w:p>
        </w:tc>
      </w:tr>
      <w:tr>
        <w:tc>
          <w:tcPr/>
          <w:p>
            <w:pPr>
              <w:pStyle w:val="Compact"/>
            </w:pPr>
            <w:r>
              <w:t xml:space="preserve">2</w:t>
            </w:r>
          </w:p>
        </w:tc>
        <w:tc>
          <w:tcPr/>
          <w:p>
            <w:pPr>
              <w:pStyle w:val="Compact"/>
            </w:pPr>
            <w:r>
              <w:rPr>
                <w:b/>
                <w:bCs/>
              </w:rPr>
              <w:t xml:space="preserve">[______]</w:t>
            </w:r>
          </w:p>
        </w:tc>
      </w:tr>
      <w:tr>
        <w:tc>
          <w:tcPr/>
          <w:p>
            <w:pPr>
              <w:pStyle w:val="Compact"/>
            </w:pPr>
            <w:r>
              <w:t xml:space="preserve">3</w:t>
            </w:r>
          </w:p>
        </w:tc>
        <w:tc>
          <w:tcPr/>
          <w:p>
            <w:pPr>
              <w:pStyle w:val="Compact"/>
            </w:pPr>
            <w:r>
              <w:rPr>
                <w:b/>
                <w:bCs/>
              </w:rPr>
              <w:t xml:space="preserve">[______]</w:t>
            </w:r>
          </w:p>
        </w:tc>
      </w:tr>
      <w:tr>
        <w:tc>
          <w:tcPr/>
          <w:p>
            <w:pPr>
              <w:pStyle w:val="Compact"/>
            </w:pPr>
            <w:r>
              <w:t xml:space="preserve">4</w:t>
            </w:r>
          </w:p>
        </w:tc>
        <w:tc>
          <w:tcPr/>
          <w:p>
            <w:pPr>
              <w:pStyle w:val="Compact"/>
            </w:pPr>
            <w:r>
              <w:rPr>
                <w:b/>
                <w:bCs/>
              </w:rPr>
              <w:t xml:space="preserve">[______]</w:t>
            </w:r>
          </w:p>
        </w:tc>
      </w:tr>
      <w:tr>
        <w:tc>
          <w:tcPr/>
          <w:p>
            <w:pPr>
              <w:pStyle w:val="Compact"/>
            </w:pPr>
            <w:r>
              <w:t xml:space="preserve">5</w:t>
            </w:r>
          </w:p>
        </w:tc>
        <w:tc>
          <w:tcPr/>
          <w:p>
            <w:pPr>
              <w:pStyle w:val="Compact"/>
            </w:pPr>
            <w:r>
              <w:rPr>
                <w:b/>
                <w:bCs/>
              </w:rPr>
              <w:t xml:space="preserve">[______]</w:t>
            </w:r>
          </w:p>
        </w:tc>
      </w:tr>
      <w:tr>
        <w:tc>
          <w:tcPr/>
          <w:p>
            <w:pPr>
              <w:pStyle w:val="Compact"/>
            </w:pPr>
            <w:r>
              <w:t xml:space="preserve">…</w:t>
            </w:r>
          </w:p>
        </w:tc>
        <w:tc>
          <w:tcPr/>
          <w:p>
            <w:pPr>
              <w:pStyle w:val="Compact"/>
            </w:pPr>
            <w:r>
              <w:t xml:space="preserve">…</w:t>
            </w:r>
          </w:p>
        </w:tc>
      </w:tr>
      <w:tr>
        <w:tc>
          <w:tcPr/>
          <w:p>
            <w:pPr>
              <w:pStyle w:val="Compact"/>
            </w:pPr>
            <w:r>
              <w:rPr>
                <w:b/>
                <w:bCs/>
              </w:rPr>
              <w:t xml:space="preserve">[___]</w:t>
            </w:r>
          </w:p>
        </w:tc>
        <w:tc>
          <w:tcPr/>
          <w:p>
            <w:pPr>
              <w:pStyle w:val="Compact"/>
            </w:pPr>
            <w:r>
              <w:rPr>
                <w:b/>
                <w:bCs/>
              </w:rPr>
              <w:t xml:space="preserve">[______]</w:t>
            </w:r>
          </w:p>
        </w:tc>
      </w:tr>
    </w:tbl>
    <w:p>
      <w:r>
        <w:pict>
          <v:rect style="width:0;height:1.5pt" o:hralign="center" o:hrstd="t" o:hr="t"/>
        </w:pict>
      </w:r>
    </w:p>
    <w:bookmarkEnd w:id="39"/>
    <w:bookmarkStart w:id="40" w:name="schedule-4-form-of-cod-certificate"/>
    <w:p>
      <w:pPr>
        <w:pStyle w:val="Heading2"/>
      </w:pPr>
      <w:r>
        <w:t xml:space="preserve">SCHEDULE 4 — FORM OF COD CERTIFICATE</w:t>
      </w:r>
    </w:p>
    <w:p>
      <w:pPr>
        <w:pStyle w:val="FirstParagraph"/>
      </w:pPr>
      <w:r>
        <w:rPr>
          <w:i/>
          <w:iCs/>
        </w:rPr>
        <w:t xml:space="preserve">[To be inserted prior to execution in the form mutually agreed between the Parties.]</w:t>
      </w:r>
    </w:p>
    <w:p>
      <w:r>
        <w:pict>
          <v:rect style="width:0;height:1.5pt" o:hralign="center" o:hrstd="t" o:hr="t"/>
        </w:pict>
      </w:r>
    </w:p>
    <w:bookmarkEnd w:id="40"/>
    <w:bookmarkStart w:id="41" w:name="schedule-5-bank-details-and-nach-mandate"/>
    <w:p>
      <w:pPr>
        <w:pStyle w:val="Heading2"/>
      </w:pPr>
      <w:r>
        <w:t xml:space="preserve">SCHEDULE 5 — BANK DETAILS AND NACH MANDATE</w:t>
      </w:r>
    </w:p>
    <w:p>
      <w:pPr>
        <w:pStyle w:val="FirstParagraph"/>
      </w:pPr>
      <w:r>
        <w:rPr>
          <w:b/>
          <w:bCs/>
        </w:rPr>
        <w:t xml:space="preserve">Company bank details:</w:t>
      </w:r>
    </w:p>
    <w:p>
      <w:pPr>
        <w:pStyle w:val="Compact"/>
        <w:numPr>
          <w:ilvl w:val="0"/>
          <w:numId w:val="1017"/>
        </w:numPr>
      </w:pPr>
      <w:r>
        <w:t xml:space="preserve">Account name: M/s. Bright Roof Power Systems</w:t>
      </w:r>
    </w:p>
    <w:p>
      <w:pPr>
        <w:pStyle w:val="Compact"/>
        <w:numPr>
          <w:ilvl w:val="0"/>
          <w:numId w:val="1017"/>
        </w:numPr>
      </w:pPr>
      <w:r>
        <w:t xml:space="preserve">Bank:</w:t>
      </w:r>
      <w:r>
        <w:t xml:space="preserve"> </w:t>
      </w:r>
      <w:r>
        <w:rPr>
          <w:b/>
          <w:bCs/>
        </w:rPr>
        <w:t xml:space="preserve">[______________]</w:t>
      </w:r>
    </w:p>
    <w:p>
      <w:pPr>
        <w:pStyle w:val="Compact"/>
        <w:numPr>
          <w:ilvl w:val="0"/>
          <w:numId w:val="1017"/>
        </w:numPr>
      </w:pPr>
      <w:r>
        <w:t xml:space="preserve">Branch:</w:t>
      </w:r>
      <w:r>
        <w:t xml:space="preserve"> </w:t>
      </w:r>
      <w:r>
        <w:rPr>
          <w:b/>
          <w:bCs/>
        </w:rPr>
        <w:t xml:space="preserve">[______________]</w:t>
      </w:r>
    </w:p>
    <w:p>
      <w:pPr>
        <w:pStyle w:val="Compact"/>
        <w:numPr>
          <w:ilvl w:val="0"/>
          <w:numId w:val="1017"/>
        </w:numPr>
      </w:pPr>
      <w:r>
        <w:t xml:space="preserve">Account number:</w:t>
      </w:r>
      <w:r>
        <w:t xml:space="preserve"> </w:t>
      </w:r>
      <w:r>
        <w:rPr>
          <w:b/>
          <w:bCs/>
        </w:rPr>
        <w:t xml:space="preserve">[______________]</w:t>
      </w:r>
    </w:p>
    <w:p>
      <w:pPr>
        <w:pStyle w:val="Compact"/>
        <w:numPr>
          <w:ilvl w:val="0"/>
          <w:numId w:val="1017"/>
        </w:numPr>
      </w:pPr>
      <w:r>
        <w:t xml:space="preserve">IFSC:</w:t>
      </w:r>
      <w:r>
        <w:t xml:space="preserve"> </w:t>
      </w:r>
      <w:r>
        <w:rPr>
          <w:b/>
          <w:bCs/>
        </w:rPr>
        <w:t xml:space="preserve">[______________]</w:t>
      </w:r>
    </w:p>
    <w:p>
      <w:pPr>
        <w:pStyle w:val="FirstParagraph"/>
      </w:pPr>
      <w:r>
        <w:t xml:space="preserve">The NACH debit mandate executed by the Consumer in favour of the Company is attached as Annexure 5-A.</w:t>
      </w:r>
    </w:p>
    <w:p>
      <w:r>
        <w:pict>
          <v:rect style="width:0;height:1.5pt" o:hralign="center" o:hrstd="t" o:hr="t"/>
        </w:pic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2026-04-22T16:03:23Z</dcterms:created>
  <dcterms:modified xsi:type="dcterms:W3CDTF">2026-04-22T16:03:23Z</dcterms:modified>
</cp:coreProperties>
</file>

<file path=docProps/custom.xml><?xml version="1.0" encoding="utf-8"?>
<Properties xmlns="http://schemas.openxmlformats.org/officeDocument/2006/custom-properties" xmlns:vt="http://schemas.openxmlformats.org/officeDocument/2006/docPropsVTypes"/>
</file>