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Cover Letter</w:t>
      </w:r>
    </w:p>
    <w:p>
      <w:pPr>
        <w:spacing w:after="200"/>
      </w:pPr>
      <w:r>
        <w:rPr>
          <w:rFonts w:ascii="Arial" w:hAnsi="Arial"/>
          <w:color w:val="6B7280"/>
          <w:sz w:val="20"/>
        </w:rPr>
        <w:t>Sri Tirumala Millennium - Rooftop Solar PPA document pack</w:t>
      </w:r>
    </w:p>
    <w:p>
      <w:r>
        <w:rPr>
          <w:color w:val="F5A524"/>
          <w:sz w:val="28"/>
        </w:rPr>
        <w:t>______</w:t>
      </w:r>
    </w:p>
    <w:p>
      <w:r>
        <w:t>To,</w:t>
        <w:br/>
        <w:t>The President / Secretary,</w:t>
        <w:br/>
        <w:t>Sri Tirumala Millennium Association,</w:t>
        <w:br/>
        <w:t>Nacharam, Hyderabad.</w:t>
        <w:br/>
      </w:r>
      <w:r>
        <w:br/>
        <w:t>Date: [insert date]</w:t>
        <w:br/>
      </w:r>
    </w:p>
    <w:p>
      <w:r>
        <w:t>Subject: Rooftop solar proposal under a Bright Roof Power Purchase Agreement</w:t>
      </w:r>
    </w:p>
    <w:p>
      <w:r>
        <w:t>Bright Roof Power Systems is pleased to share this document pack for the committee's review. The proposal is for a rooftop solar system to be installed, owned, operated, and maintained by Bright Roof on the society rooftop.</w:t>
      </w:r>
    </w:p>
    <w:p>
      <w:r>
        <w:t>The society does not pay the installation cost upfront. The society pays only for solar units consumed, at Rs. 2.00 per unit below the agreed grid-tariff benchmark. The existing TSSPDCL supply continues for balance electricity.</w:t>
      </w:r>
    </w:p>
    <w:p>
      <w:r>
        <w:t>This pack is intended to help the committee understand the commercial model, documents required, approval process, and next steps. The attached PPA draft is for review and data population only. It should not be treated as the final signing version until legal review and society details are completed.</w:t>
      </w:r>
    </w:p>
    <w:p>
      <w:pPr>
        <w:pStyle w:val="Heading1"/>
      </w:pPr>
      <w:r>
        <w:t>Documents included</w:t>
      </w:r>
    </w:p>
    <w:tbl>
      <w:tblPr>
        <w:tblStyle w:val="TableGrid"/>
        <w:tblW w:type="auto" w:w="0"/>
        <w:jc w:val="center"/>
        <w:tblLook w:firstColumn="1" w:firstRow="1" w:lastColumn="0" w:lastRow="0" w:noHBand="0" w:noVBand="1" w:val="04A0"/>
      </w:tblPr>
      <w:tblGrid>
        <w:gridCol w:w="5043"/>
        <w:gridCol w:w="5043"/>
      </w:tblGrid>
      <w:tr>
        <w:tc>
          <w:tcPr>
            <w:tcW w:type="dxa" w:w="3456"/>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Document</w:t>
            </w:r>
          </w:p>
        </w:tc>
        <w:tc>
          <w:tcPr>
            <w:tcW w:type="dxa" w:w="5760"/>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Purpose</w:t>
            </w:r>
          </w:p>
        </w:tc>
      </w:tr>
      <w:tr>
        <w:tc>
          <w:tcPr>
            <w:tcW w:type="dxa" w:w="345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01 - Cover Letter</w:t>
            </w:r>
          </w:p>
        </w:tc>
        <w:tc>
          <w:tcPr>
            <w:tcW w:type="dxa" w:w="576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Introduces the document pack and commercial position.</w:t>
            </w:r>
          </w:p>
        </w:tc>
      </w:tr>
      <w:tr>
        <w:tc>
          <w:tcPr>
            <w:tcW w:type="dxa" w:w="345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02 - Proposal Overview</w:t>
            </w:r>
          </w:p>
        </w:tc>
        <w:tc>
          <w:tcPr>
            <w:tcW w:type="dxa" w:w="5760"/>
            <w:tcBorders>
              <w:top w:val="single" w:sz="8" w:space="0" w:color="E8EBEF"/>
              <w:left w:val="single" w:sz="8" w:space="0" w:color="E8EBEF"/>
              <w:bottom w:val="single" w:sz="8" w:space="0" w:color="E8EBEF"/>
              <w:right w:val="single" w:sz="8" w:space="0" w:color="E8EBEF"/>
            </w:tcBorders>
            <w:vAlign w:val="top"/>
          </w:tcPr>
          <w:p>
            <w:pPr>
              <w:spacing w:after="0"/>
            </w:pPr>
            <w:r>
              <w:t>Explains the Bright Roof Bright Roof PPA model in committee-friendly language.</w:t>
            </w:r>
            <w:r>
              <w:rPr>
                <w:rFonts w:ascii="Arial" w:hAnsi="Arial"/>
                <w:b w:val="0"/>
                <w:color w:val="2C3444"/>
                <w:sz w:val="18"/>
              </w:rPr>
            </w:r>
          </w:p>
        </w:tc>
      </w:tr>
      <w:tr>
        <w:tc>
          <w:tcPr>
            <w:tcW w:type="dxa" w:w="345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03 - Document Request Checklist</w:t>
            </w:r>
          </w:p>
        </w:tc>
        <w:tc>
          <w:tcPr>
            <w:tcW w:type="dxa" w:w="576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Lists the information needed from the society.</w:t>
            </w:r>
          </w:p>
        </w:tc>
      </w:tr>
      <w:tr>
        <w:tc>
          <w:tcPr>
            <w:tcW w:type="dxa" w:w="345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04 - PPA Review Draft</w:t>
            </w:r>
          </w:p>
        </w:tc>
        <w:tc>
          <w:tcPr>
            <w:tcW w:type="dxa" w:w="576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Provides the draft agreement structure for review and legal discussion.</w:t>
            </w:r>
          </w:p>
        </w:tc>
      </w:tr>
      <w:tr>
        <w:tc>
          <w:tcPr>
            <w:tcW w:type="dxa" w:w="345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05 - Society Resolution and Consent Format</w:t>
            </w:r>
          </w:p>
        </w:tc>
        <w:tc>
          <w:tcPr>
            <w:tcW w:type="dxa" w:w="576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Template for authorising document sharing and site survey.</w:t>
            </w:r>
          </w:p>
        </w:tc>
      </w:tr>
      <w:tr>
        <w:tc>
          <w:tcPr>
            <w:tcW w:type="dxa" w:w="345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06 - Next Steps Roadmap</w:t>
            </w:r>
          </w:p>
        </w:tc>
        <w:tc>
          <w:tcPr>
            <w:tcW w:type="dxa" w:w="576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Shows what happens before and after written consent.</w:t>
            </w:r>
          </w:p>
        </w:tc>
      </w:tr>
    </w:tbl>
    <w:p/>
    <w:tbl>
      <w:tblPr>
        <w:tblW w:type="auto" w:w="0"/>
        <w:jc w:val="center"/>
        <w:tblLook w:firstColumn="1" w:firstRow="1" w:lastColumn="0" w:lastRow="0" w:noHBand="0" w:noVBand="1" w:val="04A0"/>
      </w:tblPr>
      <w:tblGrid>
        <w:gridCol w:w="10086"/>
      </w:tblGrid>
      <w:tr>
        <w:tc>
          <w:tcPr>
            <w:tcW w:type="dxa" w:w="10086"/>
            <w:shd w:fill="FAF6EE"/>
            <w:tcBorders>
              <w:top w:val="single" w:sz="8" w:space="0" w:color="E8EBEF"/>
              <w:left w:val="single" w:sz="8" w:space="0" w:color="E8EBEF"/>
              <w:bottom w:val="single" w:sz="8" w:space="0" w:color="E8EBEF"/>
              <w:right w:val="single" w:sz="8" w:space="0" w:color="E8EBEF"/>
            </w:tcBorders>
          </w:tcPr>
          <w:p>
            <w:pPr>
              <w:spacing w:after="0"/>
            </w:pPr>
            <w:r>
              <w:rPr>
                <w:b/>
                <w:color w:val="C75B3C"/>
                <w:sz w:val="18"/>
              </w:rPr>
              <w:t xml:space="preserve">Commercial position: </w:t>
            </w:r>
            <w:r>
              <w:rPr>
                <w:color w:val="2C3444"/>
                <w:sz w:val="18"/>
              </w:rPr>
              <w:t>No installer quotation, project capex, or Bright Roof internal economics are being presented to the society in this pack. The society-facing commercial term is the per-unit tariff discount.</w:t>
            </w:r>
          </w:p>
        </w:tc>
      </w:tr>
    </w:tbl>
    <w:p/>
    <w:p>
      <w:r>
        <w:t>Sincerely,</w:t>
      </w:r>
    </w:p>
    <w:p>
      <w:r>
        <w:t>For M/s. Bright Roof Power Systems</w:t>
        <w:br/>
        <w:t>[Authorised Partner]</w:t>
        <w:br/>
        <w:t>+91 93902 10407</w:t>
        <w:br/>
        <w:t>[Email]</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Cover Letter | Draft v0.1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3"/>
                  <a:stretch>
                    <a:fillRect/>
                  </a:stretch>
                </pic:blipFill>
                <pic:spPr>
                  <a:xfrm>
                    <a:off x="0" y="0"/>
                    <a:ext cx="1143000" cy="763463"/>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2"/>
                  <a:stretch>
                    <a:fillRect/>
                  </a:stretch>
                </pic:blipFill>
                <pic:spPr>
                  <a:xfrm>
                    <a:off x="0" y="0"/>
                    <a:ext cx="1143000" cy="763463"/>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2"/>
                  <a:stretch>
                    <a:fillRect/>
                  </a:stretch>
                </pic:blipFill>
                <pic:spPr>
                  <a:xfrm>
                    <a:off x="0" y="0"/>
                    <a:ext cx="1143000" cy="76346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C3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Georgia" w:hAnsi="Georgia"/>
      <w:b/>
      <w:bCs/>
      <w:color w:val="0E1E4D"/>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E1E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C75B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Georgia" w:hAnsi="Georgia"/>
      <w:color w:val="0E1E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