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Rooftop Solar Proposal</w:t>
      </w:r>
    </w:p>
    <w:p>
      <w:pPr>
        <w:spacing w:after="200"/>
      </w:pPr>
      <w:r>
        <w:rPr>
          <w:rFonts w:ascii="Arial" w:hAnsi="Arial"/>
          <w:color w:val="6B7280"/>
          <w:sz w:val="20"/>
        </w:rPr>
        <w:t>Sri Tirumala Millennium - Bright Roof Power Systems</w:t>
      </w:r>
    </w:p>
    <w:p>
      <w:r>
        <w:rPr>
          <w:color w:val="F5A524"/>
          <w:sz w:val="28"/>
        </w:rPr>
        <w:t>______</w:t>
      </w:r>
    </w:p>
    <w:p>
      <w:r>
        <w:t>Bright Roof installs and owns the rooftop solar system. The society pays only for solar units consumed, at a discount to its existing grid electricity benchmark.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shd w:fill="0E1E4D"/>
            <w:tcBorders>
              <w:top w:val="single" w:sz="8" w:space="0" w:color="0E1E4D"/>
              <w:left w:val="single" w:sz="8" w:space="0" w:color="0E1E4D"/>
              <w:bottom w:val="single" w:sz="8" w:space="0" w:color="0E1E4D"/>
              <w:right w:val="single" w:sz="8" w:space="0" w:color="0E1E4D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AF6EE"/>
                <w:sz w:val="18"/>
              </w:rPr>
              <w:t>Item</w:t>
            </w:r>
          </w:p>
        </w:tc>
        <w:tc>
          <w:tcPr>
            <w:tcW w:type="dxa" w:w="6336"/>
            <w:shd w:fill="0E1E4D"/>
            <w:tcBorders>
              <w:top w:val="single" w:sz="8" w:space="0" w:color="0E1E4D"/>
              <w:left w:val="single" w:sz="8" w:space="0" w:color="0E1E4D"/>
              <w:bottom w:val="single" w:sz="8" w:space="0" w:color="0E1E4D"/>
              <w:right w:val="single" w:sz="8" w:space="0" w:color="0E1E4D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AF6EE"/>
                <w:sz w:val="18"/>
              </w:rPr>
              <w:t>Position</w:t>
            </w:r>
          </w:p>
        </w:tc>
      </w:tr>
      <w:tr>
        <w:tc>
          <w:tcPr>
            <w:tcW w:type="dxa" w:w="288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Upfront installation cost</w:t>
            </w:r>
          </w:p>
        </w:tc>
        <w:tc>
          <w:tcPr>
            <w:tcW w:type="dxa" w:w="633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Nil. Bright Roof funds the installation.</w:t>
            </w:r>
          </w:p>
        </w:tc>
      </w:tr>
      <w:tr>
        <w:tc>
          <w:tcPr>
            <w:tcW w:type="dxa" w:w="288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Monthly payment</w:t>
            </w:r>
          </w:p>
        </w:tc>
        <w:tc>
          <w:tcPr>
            <w:tcW w:type="dxa" w:w="633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Only for solar units consumed.</w:t>
            </w:r>
          </w:p>
        </w:tc>
      </w:tr>
      <w:tr>
        <w:tc>
          <w:tcPr>
            <w:tcW w:type="dxa" w:w="288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Tariff</w:t>
            </w:r>
          </w:p>
        </w:tc>
        <w:tc>
          <w:tcPr>
            <w:tcW w:type="dxa" w:w="633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Rs. 2.00 per unit below the agreed grid-tariff benchmark.</w:t>
            </w:r>
          </w:p>
        </w:tc>
      </w:tr>
      <w:tr>
        <w:tc>
          <w:tcPr>
            <w:tcW w:type="dxa" w:w="288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Ownership</w:t>
            </w:r>
          </w:p>
        </w:tc>
        <w:tc>
          <w:tcPr>
            <w:tcW w:type="dxa" w:w="633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Bright Roof owns the system.</w:t>
            </w:r>
          </w:p>
        </w:tc>
      </w:tr>
      <w:tr>
        <w:tc>
          <w:tcPr>
            <w:tcW w:type="dxa" w:w="288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Maintenance</w:t>
            </w:r>
          </w:p>
        </w:tc>
        <w:tc>
          <w:tcPr>
            <w:tcW w:type="dxa" w:w="633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Bright Roof handles operation, maintenance, cleaning, monitoring, and repairs.</w:t>
            </w:r>
          </w:p>
        </w:tc>
      </w:tr>
      <w:tr>
        <w:tc>
          <w:tcPr>
            <w:tcW w:type="dxa" w:w="288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Grid supply</w:t>
            </w:r>
          </w:p>
        </w:tc>
        <w:tc>
          <w:tcPr>
            <w:tcW w:type="dxa" w:w="633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The existing TSSPDCL connection remains for balance electricity.</w:t>
            </w:r>
          </w:p>
        </w:tc>
      </w:tr>
      <w:tr>
        <w:tc>
          <w:tcPr>
            <w:tcW w:type="dxa" w:w="288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Net metering</w:t>
            </w:r>
          </w:p>
        </w:tc>
        <w:tc>
          <w:tcPr>
            <w:tcW w:type="dxa" w:w="633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To be handled through the applicable TSSPDCL process.</w:t>
            </w:r>
          </w:p>
        </w:tc>
      </w:tr>
      <w:tr>
        <w:tc>
          <w:tcPr>
            <w:tcW w:type="dxa" w:w="288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Handover</w:t>
            </w:r>
          </w:p>
        </w:tc>
        <w:tc>
          <w:tcPr>
            <w:tcW w:type="dxa" w:w="633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No automatic handover. Bright Roof remains responsible for the system.</w:t>
            </w:r>
          </w:p>
        </w:tc>
      </w:tr>
    </w:tbl>
    <w:p/>
    <w:p>
      <w:pPr>
        <w:pStyle w:val="Heading1"/>
      </w:pPr>
      <w:r>
        <w:t>Current project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68"/>
            <w:shd w:fill="0E1E4D"/>
            <w:tcBorders>
              <w:top w:val="single" w:sz="8" w:space="0" w:color="0E1E4D"/>
              <w:left w:val="single" w:sz="8" w:space="0" w:color="0E1E4D"/>
              <w:bottom w:val="single" w:sz="8" w:space="0" w:color="0E1E4D"/>
              <w:right w:val="single" w:sz="8" w:space="0" w:color="0E1E4D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AF6EE"/>
                <w:sz w:val="18"/>
              </w:rPr>
              <w:t>Item</w:t>
            </w:r>
          </w:p>
        </w:tc>
        <w:tc>
          <w:tcPr>
            <w:tcW w:type="dxa" w:w="6048"/>
            <w:shd w:fill="0E1E4D"/>
            <w:tcBorders>
              <w:top w:val="single" w:sz="8" w:space="0" w:color="0E1E4D"/>
              <w:left w:val="single" w:sz="8" w:space="0" w:color="0E1E4D"/>
              <w:bottom w:val="single" w:sz="8" w:space="0" w:color="0E1E4D"/>
              <w:right w:val="single" w:sz="8" w:space="0" w:color="0E1E4D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AF6EE"/>
                <w:sz w:val="18"/>
              </w:rPr>
              <w:t>Current working value</w:t>
            </w:r>
          </w:p>
        </w:tc>
      </w:tr>
      <w:tr>
        <w:tc>
          <w:tcPr>
            <w:tcW w:type="dxa" w:w="316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Building</w:t>
            </w:r>
          </w:p>
        </w:tc>
        <w:tc>
          <w:tcPr>
            <w:tcW w:type="dxa" w:w="604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Sri Tirumala Millennium, Nacharam, Hyderabad</w:t>
            </w:r>
          </w:p>
        </w:tc>
      </w:tr>
      <w:tr>
        <w:tc>
          <w:tcPr>
            <w:tcW w:type="dxa" w:w="316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Proposed system capacity</w:t>
            </w:r>
          </w:p>
        </w:tc>
        <w:tc>
          <w:tcPr>
            <w:tcW w:type="dxa" w:w="604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18 kWp, subject to site survey and DISCOM review</w:t>
            </w:r>
          </w:p>
        </w:tc>
      </w:tr>
      <w:tr>
        <w:tc>
          <w:tcPr>
            <w:tcW w:type="dxa" w:w="316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Sanctioned load</w:t>
            </w:r>
          </w:p>
        </w:tc>
        <w:tc>
          <w:tcPr>
            <w:tcW w:type="dxa" w:w="604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20 kW, to be verified from the TSSPDCL bill</w:t>
            </w:r>
          </w:p>
        </w:tc>
      </w:tr>
      <w:tr>
        <w:tc>
          <w:tcPr>
            <w:tcW w:type="dxa" w:w="316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Expected generation range</w:t>
            </w:r>
          </w:p>
        </w:tc>
        <w:tc>
          <w:tcPr>
            <w:tcW w:type="dxa" w:w="604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1,600-2,000 units per month, subject to final design and site conditions</w:t>
            </w:r>
          </w:p>
        </w:tc>
      </w:tr>
      <w:tr>
        <w:tc>
          <w:tcPr>
            <w:tcW w:type="dxa" w:w="316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Tariff basis</w:t>
            </w:r>
          </w:p>
        </w:tc>
        <w:tc>
          <w:tcPr>
            <w:tcW w:type="dxa" w:w="6048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Rs. 2.00 per unit below the agreed grid-tariff benchmark</w:t>
            </w:r>
          </w:p>
        </w:tc>
      </w:tr>
    </w:tbl>
    <w:p/>
    <w:p>
      <w:pPr>
        <w:pStyle w:val="Heading1"/>
      </w:pPr>
      <w:r>
        <w:t>What Bright Roof needs to review</w:t>
      </w:r>
    </w:p>
    <w:p>
      <w:pPr>
        <w:pStyle w:val="ListBullet"/>
        <w:spacing w:after="40"/>
      </w:pPr>
      <w:r>
        <w:t>Last 12 months of common-area electricity bills.</w:t>
      </w:r>
    </w:p>
    <w:p>
      <w:pPr>
        <w:pStyle w:val="ListBullet"/>
        <w:spacing w:after="40"/>
      </w:pPr>
      <w:r>
        <w:t>Consumer service number(s) and sanctioned load.</w:t>
      </w:r>
    </w:p>
    <w:p>
      <w:pPr>
        <w:pStyle w:val="ListBullet"/>
        <w:spacing w:after="40"/>
      </w:pPr>
      <w:r>
        <w:t>Society registration certificate and bye-laws.</w:t>
      </w:r>
    </w:p>
    <w:p>
      <w:pPr>
        <w:pStyle w:val="ListBullet"/>
        <w:spacing w:after="40"/>
      </w:pPr>
      <w:r>
        <w:t>Current committee office-bearer details.</w:t>
      </w:r>
    </w:p>
    <w:p>
      <w:pPr>
        <w:pStyle w:val="ListBullet"/>
        <w:spacing w:after="40"/>
      </w:pPr>
      <w:r>
        <w:t>Approval process for signing a long-term PPA.</w:t>
      </w:r>
    </w:p>
    <w:p>
      <w:pPr>
        <w:pStyle w:val="ListBullet"/>
        <w:spacing w:after="40"/>
      </w:pPr>
      <w:r>
        <w:t>Rooftop and electrical-room access for a technical survey.</w:t>
      </w:r>
    </w:p>
    <w:p>
      <w:pPr>
        <w:pStyle w:val="Heading1"/>
      </w:pPr>
      <w:r>
        <w:t>Immediate next step</w:t>
      </w:r>
    </w:p>
    <w:p>
      <w:pPr>
        <w:pStyle w:val="ListNumber"/>
        <w:spacing w:after="40"/>
      </w:pPr>
      <w:r>
        <w:t>Review electricity bills and confirm the tariff benchmark.</w:t>
      </w:r>
    </w:p>
    <w:p>
      <w:pPr>
        <w:pStyle w:val="ListNumber"/>
        <w:spacing w:after="40"/>
      </w:pPr>
      <w:r>
        <w:t>Inspect rooftop and electrical connection points.</w:t>
      </w:r>
    </w:p>
    <w:p>
      <w:pPr>
        <w:pStyle w:val="ListNumber"/>
        <w:spacing w:after="40"/>
      </w:pPr>
      <w:r>
        <w:t>Prepare final site details for the PPA.</w:t>
      </w:r>
    </w:p>
    <w:p>
      <w:pPr>
        <w:pStyle w:val="ListNumber"/>
        <w:spacing w:after="40"/>
      </w:pPr>
      <w:r>
        <w:t>Arrange installer technical survey and quotation after written consent.</w:t>
      </w:r>
    </w:p>
    <w:p>
      <w:pPr>
        <w:pStyle w:val="ListNumber"/>
        <w:spacing w:after="40"/>
      </w:pPr>
      <w:r>
        <w:t>Return with a legally reviewed PPA and implementation schedule.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AF6EE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</w:tcPr>
          <w:p>
            <w:pPr>
              <w:spacing w:after="0"/>
            </w:pPr>
            <w:r>
              <w:rPr>
                <w:b/>
                <w:color w:val="C75B3C"/>
                <w:sz w:val="18"/>
              </w:rPr>
              <w:t xml:space="preserve">Note: </w:t>
            </w:r>
            <w:r>
              <w:rPr>
                <w:color w:val="2C3444"/>
                <w:sz w:val="18"/>
              </w:rPr>
              <w:t>This is a commercial overview only. The binding terms will be in the signed Power Purchase Agreement.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Proposal Overview | Draft v0.1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C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0E1E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E1E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C75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Georgia" w:hAnsi="Georgia"/>
      <w:color w:val="0E1E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