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Next Steps Roadmap</w:t>
      </w:r>
    </w:p>
    <w:p>
      <w:pPr>
        <w:spacing w:after="200"/>
      </w:pPr>
      <w:r>
        <w:rPr>
          <w:rFonts w:ascii="Arial" w:hAnsi="Arial"/>
          <w:color w:val="6B7280"/>
          <w:sz w:val="20"/>
        </w:rPr>
        <w:t>Before and after written consent</w:t>
      </w:r>
    </w:p>
    <w:p>
      <w:r>
        <w:rPr>
          <w:color w:val="F5A524"/>
          <w:sz w:val="28"/>
        </w:rPr>
        <w:t>______</w:t>
      </w:r>
    </w:p>
    <w:p>
      <w:pPr>
        <w:pStyle w:val="Heading1"/>
      </w:pPr>
      <w:r>
        <w:t>Phase 1 - Document collection</w:t>
      </w:r>
    </w:p>
    <w:p>
      <w:pPr>
        <w:pStyle w:val="ListBullet"/>
        <w:spacing w:after="40"/>
      </w:pPr>
      <w:r>
        <w:t>Collect 12 months of common-area electricity bills.</w:t>
      </w:r>
    </w:p>
    <w:p>
      <w:pPr>
        <w:pStyle w:val="ListBullet"/>
        <w:spacing w:after="40"/>
      </w:pPr>
      <w:r>
        <w:t>Collect society registration, bye-laws, and committee details.</w:t>
      </w:r>
    </w:p>
    <w:p>
      <w:pPr>
        <w:pStyle w:val="ListBullet"/>
        <w:spacing w:after="40"/>
      </w:pPr>
      <w:r>
        <w:t>Confirm the exact registered legal name and full postal address.</w:t>
      </w:r>
    </w:p>
    <w:p>
      <w:pPr>
        <w:pStyle w:val="ListBullet"/>
        <w:spacing w:after="40"/>
      </w:pPr>
      <w:r>
        <w:t>Confirm consumer service number(s) and sanctioned load.</w:t>
      </w:r>
    </w:p>
    <w:p>
      <w:pPr>
        <w:pStyle w:val="Heading1"/>
      </w:pPr>
      <w:r>
        <w:t>Phase 2 - Tariff and site qualification</w:t>
      </w:r>
    </w:p>
    <w:p>
      <w:pPr>
        <w:pStyle w:val="ListBullet"/>
        <w:spacing w:after="40"/>
      </w:pPr>
      <w:r>
        <w:t>Calculate the benchmark grid tariff from TSSPDCL bills.</w:t>
      </w:r>
    </w:p>
    <w:p>
      <w:pPr>
        <w:pStyle w:val="ListBullet"/>
        <w:spacing w:after="40"/>
      </w:pPr>
      <w:r>
        <w:t>Decide whether benchmark means weighted average effective tariff or final applicable slab rate.</w:t>
      </w:r>
    </w:p>
    <w:p>
      <w:pPr>
        <w:pStyle w:val="ListBullet"/>
        <w:spacing w:after="40"/>
      </w:pPr>
      <w:r>
        <w:t>Confirm the Rs. 2.00 per unit discount mechanism.</w:t>
      </w:r>
    </w:p>
    <w:p>
      <w:pPr>
        <w:pStyle w:val="ListBullet"/>
        <w:spacing w:after="40"/>
      </w:pPr>
      <w:r>
        <w:t>Confirm whether 18 kWp remains the correct proposed system size.</w:t>
      </w:r>
    </w:p>
    <w:p>
      <w:pPr>
        <w:pStyle w:val="Heading1"/>
      </w:pPr>
      <w:r>
        <w:t>Phase 3 - Written consent and survey</w:t>
      </w:r>
    </w:p>
    <w:p>
      <w:pPr>
        <w:pStyle w:val="ListBullet"/>
        <w:spacing w:after="40"/>
      </w:pPr>
      <w:r>
        <w:t>Pass document-sharing and technical-survey resolution.</w:t>
      </w:r>
    </w:p>
    <w:p>
      <w:pPr>
        <w:pStyle w:val="ListBullet"/>
        <w:spacing w:after="40"/>
      </w:pPr>
      <w:r>
        <w:t>Inspect rooftop, electrical room, cable route, and meter location.</w:t>
      </w:r>
    </w:p>
    <w:p>
      <w:pPr>
        <w:pStyle w:val="ListBullet"/>
        <w:spacing w:after="40"/>
      </w:pPr>
      <w:r>
        <w:t>Prepare preliminary site survey report.</w:t>
      </w:r>
    </w:p>
    <w:p>
      <w:pPr>
        <w:pStyle w:val="ListBullet"/>
        <w:spacing w:after="40"/>
      </w:pPr>
      <w:r>
        <w:t>Populate PPA schedules using site and bill data.</w:t>
      </w:r>
    </w:p>
    <w:p>
      <w:pPr>
        <w:pStyle w:val="Heading1"/>
      </w:pPr>
      <w:r>
        <w:t>Phase 4 - After written consent</w:t>
      </w:r>
    </w:p>
    <w:p>
      <w:pPr>
        <w:pStyle w:val="ListBullet"/>
        <w:spacing w:after="40"/>
      </w:pPr>
      <w:r>
        <w:t>Installers inspect the site and provide technical quotation to Bright Roof.</w:t>
      </w:r>
    </w:p>
    <w:p>
      <w:pPr>
        <w:pStyle w:val="ListBullet"/>
        <w:spacing w:after="40"/>
      </w:pPr>
      <w:r>
        <w:t>Bright Roof reviews actual project cost internally.</w:t>
      </w:r>
    </w:p>
    <w:p>
      <w:pPr>
        <w:pStyle w:val="ListBullet"/>
        <w:spacing w:after="40"/>
      </w:pPr>
      <w:r>
        <w:t>Bright Roof finalises system design, implementation schedule, and safety plan.</w:t>
      </w:r>
    </w:p>
    <w:p>
      <w:pPr>
        <w:pStyle w:val="ListBullet"/>
        <w:spacing w:after="40"/>
      </w:pPr>
      <w:r>
        <w:t>The Association receives the final PPA, technical scope, metering plan, and implementation timeline.</w:t>
      </w:r>
    </w:p>
    <w:p>
      <w:pPr>
        <w:pStyle w:val="Heading1"/>
      </w:pPr>
      <w:r>
        <w:t>Phase 5 - Before final signature</w:t>
      </w:r>
    </w:p>
    <w:p>
      <w:pPr>
        <w:pStyle w:val="ListBullet"/>
        <w:spacing w:after="40"/>
      </w:pPr>
      <w:r>
        <w:t>Legal review of the PPA.</w:t>
      </w:r>
    </w:p>
    <w:p>
      <w:pPr>
        <w:pStyle w:val="ListBullet"/>
        <w:spacing w:after="40"/>
      </w:pPr>
      <w:r>
        <w:t>Final approval by the Association as per bye-laws.</w:t>
      </w:r>
    </w:p>
    <w:p>
      <w:pPr>
        <w:pStyle w:val="ListBullet"/>
        <w:spacing w:after="40"/>
      </w:pPr>
      <w:r>
        <w:t>Finalisation of tariff benchmark, payment mode, and contact points.</w:t>
      </w:r>
    </w:p>
    <w:p>
      <w:pPr>
        <w:pStyle w:val="ListBullet"/>
        <w:spacing w:after="40"/>
      </w:pPr>
      <w:r>
        <w:t>Execution of PPA and start of DISCOM / net-metering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AF6EE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</w:tcPr>
          <w:p>
            <w:pPr>
              <w:spacing w:after="0"/>
            </w:pPr>
            <w:r>
              <w:rPr>
                <w:b/>
                <w:color w:val="C75B3C"/>
                <w:sz w:val="18"/>
              </w:rPr>
              <w:t xml:space="preserve">Note: </w:t>
            </w:r>
            <w:r>
              <w:rPr>
                <w:color w:val="2C3444"/>
                <w:sz w:val="18"/>
              </w:rPr>
              <w:t>The Association is not being asked to pay project installation cost. Installer costs are handled by Bright Roof as part of its internal investment approval.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Next Steps Roadmap | Draft v0.1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C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E1E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E1E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C75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Georgia" w:hAnsi="Georgia"/>
      <w:color w:val="0E1E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