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60120" cy="64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-roof-final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Rooftop solar for apartment societies</w:t>
      </w:r>
    </w:p>
    <w:p>
      <w:pPr>
        <w:spacing w:after="160"/>
      </w:pPr>
      <w:r>
        <w:rPr>
          <w:color w:val="6B7280"/>
          <w:sz w:val="22"/>
        </w:rPr>
        <w:t>No upfront installation cost for the society.</w:t>
      </w:r>
    </w:p>
    <w:p>
      <w:pPr>
        <w:spacing w:after="200"/>
        <w:pBdr>
          <w:bottom w:val="single" w:sz="12" w:space="1" w:color="F5A524"/>
        </w:pBdr>
      </w:pPr>
      <w:r>
        <w:rPr>
          <w:color w:val="F5A524"/>
        </w:rPr>
        <w:t xml:space="preserve">              </w:t>
      </w:r>
    </w:p>
    <w:p>
      <w:r>
        <w:rPr>
          <w:b/>
        </w:rPr>
        <w:t xml:space="preserve">Bright Roof installs, owns, operates, and maintains rooftop solar systems for apartment societies in Hyderabad. </w:t>
      </w:r>
      <w:r>
        <w:t>Your society pays only for solar electricity consumed or offset under the signed agreement, with a starting proposal of 10% saving against the agreed electricity-tariff benchmark.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Item</w:t>
            </w:r>
          </w:p>
        </w:tc>
        <w:tc>
          <w:tcPr>
            <w:tcW w:type="dxa" w:w="5760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Bright Roof position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Upfront installation cost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Nil for the society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Ownership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 owns the system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Maintenance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 handles operation, cleaning, monitoring, and repairs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Monthly payment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Society pays for solar electricity under the agreement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Saving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Starting proposal of 10% against agreed electricity benchmark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Grid connection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Existing grid supply remains for balance electricity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Survey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Done only after society permission</w:t>
            </w:r>
          </w:p>
        </w:tc>
      </w:tr>
    </w:tbl>
    <w:p/>
    <w:p>
      <w:pPr>
        <w:pStyle w:val="Heading1"/>
      </w:pPr>
      <w:r>
        <w:t>Why societies consider this model</w:t>
      </w:r>
    </w:p>
    <w:p>
      <w:pPr>
        <w:pStyle w:val="ListBullet"/>
        <w:spacing w:after="60"/>
        <w:ind w:left="360" w:hanging="173"/>
      </w:pPr>
      <w:r>
        <w:t>No lakhs of rupees collected from residents for installation.</w:t>
      </w:r>
    </w:p>
    <w:p>
      <w:pPr>
        <w:pStyle w:val="ListBullet"/>
        <w:spacing w:after="60"/>
        <w:ind w:left="360" w:hanging="173"/>
      </w:pPr>
      <w:r>
        <w:t>No long-term maintenance burden on the committee.</w:t>
      </w:r>
    </w:p>
    <w:p>
      <w:pPr>
        <w:pStyle w:val="ListBullet"/>
        <w:spacing w:after="60"/>
        <w:ind w:left="360" w:hanging="173"/>
      </w:pPr>
      <w:r>
        <w:t>No automatic handover of operational risk after payback.</w:t>
      </w:r>
    </w:p>
    <w:p>
      <w:pPr>
        <w:pStyle w:val="ListBullet"/>
        <w:spacing w:after="60"/>
        <w:ind w:left="360" w:hanging="173"/>
      </w:pPr>
      <w:r>
        <w:t>Lower common-area electricity cost without changing normal grid supply.</w:t>
      </w:r>
    </w:p>
    <w:p>
      <w:pPr>
        <w:pStyle w:val="Heading1"/>
      </w:pPr>
      <w:r>
        <w:t>First step</w:t>
      </w:r>
    </w:p>
    <w:p>
      <w:pPr>
        <w:pStyle w:val="ListBullet"/>
        <w:spacing w:after="60"/>
        <w:ind w:left="360" w:hanging="173"/>
      </w:pPr>
      <w:r>
        <w:t>Share the last 12 months of common-area electricity bills.</w:t>
      </w:r>
    </w:p>
    <w:p>
      <w:pPr>
        <w:pStyle w:val="ListBullet"/>
        <w:spacing w:after="60"/>
        <w:ind w:left="360" w:hanging="173"/>
      </w:pPr>
      <w:r>
        <w:t>Confirm consumer service number and sanctioned load details.</w:t>
      </w:r>
    </w:p>
    <w:p>
      <w:pPr>
        <w:pStyle w:val="ListBullet"/>
        <w:spacing w:after="60"/>
        <w:ind w:left="360" w:hanging="173"/>
      </w:pPr>
      <w:r>
        <w:t>Allow rooftop and electrical-room access for a technical survey.</w:t>
      </w:r>
    </w:p>
    <w:p>
      <w:pPr>
        <w:pStyle w:val="ListBullet"/>
        <w:spacing w:after="60"/>
        <w:ind w:left="360" w:hanging="173"/>
      </w:pPr>
      <w:r>
        <w:t>Share society registration and authorized signatory process.</w:t>
      </w:r>
    </w:p>
    <w:p>
      <w:r>
        <w:t>Contact: support@brightroofpower.com | +91 93902 10407 | www.brightroofpower.com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www.brightroofpower.com  |  support@brightroofpower.com  |  +91 93902 10407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1E4D"/>
        <w:sz w:val="18"/>
      </w:rPr>
      <w:t>Bright Roof Power Systems</w:t>
    </w:r>
    <w:r>
      <w:rPr>
        <w:sz w:val="18"/>
      </w:rPr>
      <w:t xml:space="preserve">  |  Solar that stays.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C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E1E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1E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E1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