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0F071A" w14:textId="77777777" w:rsidR="00CF5D35" w:rsidRDefault="00CF5D35" w:rsidP="00CF5D35">
      <w:pPr>
        <w:pStyle w:val="Heading1"/>
      </w:pPr>
      <w:r>
        <w:t>Cost-Benefit Analysis &amp; ROI Calculation for Solar Power Plants</w:t>
      </w:r>
    </w:p>
    <w:p w14:paraId="79904BDB" w14:textId="77777777" w:rsidR="00CF5D35" w:rsidRDefault="00CF5D35" w:rsidP="00CF5D35">
      <w:pPr>
        <w:pStyle w:val="Heading2"/>
      </w:pPr>
      <w:r>
        <w:t>1. Introduction</w:t>
      </w:r>
    </w:p>
    <w:p w14:paraId="2FBB017A" w14:textId="77777777" w:rsidR="00CF5D35" w:rsidRDefault="00CF5D35" w:rsidP="00CF5D35">
      <w:r>
        <w:t>Cost-Benefit Analysis (CBA) and Return on Investment (ROI) calculations help assess the financial viability of solar power plants. This document provides a structured method for evaluating project costs, benefits, and expected returns.</w:t>
      </w:r>
    </w:p>
    <w:p w14:paraId="343474F8" w14:textId="77777777" w:rsidR="00CF5D35" w:rsidRDefault="00CF5D35" w:rsidP="00CF5D35">
      <w:pPr>
        <w:pStyle w:val="Heading2"/>
      </w:pPr>
      <w:r>
        <w:t>2. Capital Costs (CAPEX)</w:t>
      </w:r>
    </w:p>
    <w:p w14:paraId="5B782B27" w14:textId="77777777" w:rsidR="00CF5D35" w:rsidRDefault="00CF5D35" w:rsidP="00CF5D35">
      <w:r>
        <w:t>Capital expenditure (CAPEX) includes the upfront costs of purchasing and installing a solar power plant.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F5D35" w14:paraId="2A8733FD" w14:textId="77777777" w:rsidTr="009F4AF2">
        <w:tc>
          <w:tcPr>
            <w:tcW w:w="4320" w:type="dxa"/>
          </w:tcPr>
          <w:p w14:paraId="2C1C67F0" w14:textId="77777777" w:rsidR="00CF5D35" w:rsidRDefault="00CF5D35" w:rsidP="009F4AF2">
            <w:r>
              <w:t>Cost Component</w:t>
            </w:r>
          </w:p>
        </w:tc>
        <w:tc>
          <w:tcPr>
            <w:tcW w:w="4320" w:type="dxa"/>
          </w:tcPr>
          <w:p w14:paraId="58CC23D3" w14:textId="77777777" w:rsidR="00CF5D35" w:rsidRDefault="00CF5D35" w:rsidP="009F4AF2">
            <w:r>
              <w:t>Estimated Cost (INR or USD)</w:t>
            </w:r>
          </w:p>
        </w:tc>
      </w:tr>
      <w:tr w:rsidR="00CF5D35" w14:paraId="1AA8653B" w14:textId="77777777" w:rsidTr="009F4AF2">
        <w:tc>
          <w:tcPr>
            <w:tcW w:w="4320" w:type="dxa"/>
          </w:tcPr>
          <w:p w14:paraId="1FE23EB0" w14:textId="77777777" w:rsidR="00CF5D35" w:rsidRDefault="00CF5D35" w:rsidP="009F4AF2">
            <w:r>
              <w:t>Solar Panels</w:t>
            </w:r>
          </w:p>
        </w:tc>
        <w:tc>
          <w:tcPr>
            <w:tcW w:w="4320" w:type="dxa"/>
          </w:tcPr>
          <w:p w14:paraId="458BAE3E" w14:textId="77777777" w:rsidR="00CF5D35" w:rsidRDefault="00CF5D35" w:rsidP="009F4AF2"/>
        </w:tc>
      </w:tr>
      <w:tr w:rsidR="00CF5D35" w14:paraId="16F014D2" w14:textId="77777777" w:rsidTr="009F4AF2">
        <w:tc>
          <w:tcPr>
            <w:tcW w:w="4320" w:type="dxa"/>
          </w:tcPr>
          <w:p w14:paraId="494040B4" w14:textId="77777777" w:rsidR="00CF5D35" w:rsidRDefault="00CF5D35" w:rsidP="009F4AF2">
            <w:r>
              <w:t>Inverters</w:t>
            </w:r>
          </w:p>
        </w:tc>
        <w:tc>
          <w:tcPr>
            <w:tcW w:w="4320" w:type="dxa"/>
          </w:tcPr>
          <w:p w14:paraId="40FF230A" w14:textId="77777777" w:rsidR="00CF5D35" w:rsidRDefault="00CF5D35" w:rsidP="009F4AF2"/>
        </w:tc>
      </w:tr>
      <w:tr w:rsidR="00CF5D35" w14:paraId="54C141B9" w14:textId="77777777" w:rsidTr="009F4AF2">
        <w:tc>
          <w:tcPr>
            <w:tcW w:w="4320" w:type="dxa"/>
          </w:tcPr>
          <w:p w14:paraId="135B7C22" w14:textId="77777777" w:rsidR="00CF5D35" w:rsidRDefault="00CF5D35" w:rsidP="009F4AF2">
            <w:r>
              <w:t>Mounting Structures</w:t>
            </w:r>
          </w:p>
        </w:tc>
        <w:tc>
          <w:tcPr>
            <w:tcW w:w="4320" w:type="dxa"/>
          </w:tcPr>
          <w:p w14:paraId="37B5CE89" w14:textId="77777777" w:rsidR="00CF5D35" w:rsidRDefault="00CF5D35" w:rsidP="009F4AF2"/>
        </w:tc>
      </w:tr>
      <w:tr w:rsidR="00CF5D35" w14:paraId="54377D05" w14:textId="77777777" w:rsidTr="009F4AF2">
        <w:tc>
          <w:tcPr>
            <w:tcW w:w="4320" w:type="dxa"/>
          </w:tcPr>
          <w:p w14:paraId="15033BE3" w14:textId="77777777" w:rsidR="00CF5D35" w:rsidRDefault="00CF5D35" w:rsidP="009F4AF2">
            <w:r>
              <w:t>Battery Storage (if applicable)</w:t>
            </w:r>
          </w:p>
        </w:tc>
        <w:tc>
          <w:tcPr>
            <w:tcW w:w="4320" w:type="dxa"/>
          </w:tcPr>
          <w:p w14:paraId="381D3999" w14:textId="77777777" w:rsidR="00CF5D35" w:rsidRDefault="00CF5D35" w:rsidP="009F4AF2"/>
        </w:tc>
      </w:tr>
      <w:tr w:rsidR="00CF5D35" w14:paraId="0BDD8B69" w14:textId="77777777" w:rsidTr="009F4AF2">
        <w:tc>
          <w:tcPr>
            <w:tcW w:w="4320" w:type="dxa"/>
          </w:tcPr>
          <w:p w14:paraId="6FC40BDE" w14:textId="77777777" w:rsidR="00CF5D35" w:rsidRDefault="00CF5D35" w:rsidP="009F4AF2">
            <w:r>
              <w:t>Installation &amp; Labor Costs</w:t>
            </w:r>
          </w:p>
        </w:tc>
        <w:tc>
          <w:tcPr>
            <w:tcW w:w="4320" w:type="dxa"/>
          </w:tcPr>
          <w:p w14:paraId="4F0848CC" w14:textId="77777777" w:rsidR="00CF5D35" w:rsidRDefault="00CF5D35" w:rsidP="009F4AF2"/>
        </w:tc>
      </w:tr>
      <w:tr w:rsidR="00CF5D35" w14:paraId="0A64403C" w14:textId="77777777" w:rsidTr="009F4AF2">
        <w:tc>
          <w:tcPr>
            <w:tcW w:w="4320" w:type="dxa"/>
          </w:tcPr>
          <w:p w14:paraId="4D39F1B1" w14:textId="77777777" w:rsidR="00CF5D35" w:rsidRDefault="00CF5D35" w:rsidP="009F4AF2">
            <w:r>
              <w:t>Permits &amp; Miscellaneous</w:t>
            </w:r>
          </w:p>
        </w:tc>
        <w:tc>
          <w:tcPr>
            <w:tcW w:w="4320" w:type="dxa"/>
          </w:tcPr>
          <w:p w14:paraId="42F9F622" w14:textId="77777777" w:rsidR="00CF5D35" w:rsidRDefault="00CF5D35" w:rsidP="009F4AF2"/>
        </w:tc>
      </w:tr>
    </w:tbl>
    <w:p w14:paraId="4300F505" w14:textId="77777777" w:rsidR="00CF5D35" w:rsidRDefault="00CF5D35" w:rsidP="00CF5D35">
      <w:pPr>
        <w:pStyle w:val="Heading2"/>
      </w:pPr>
      <w:r>
        <w:t>3. Operating &amp; Maintenance Costs (OPEX)</w:t>
      </w:r>
    </w:p>
    <w:p w14:paraId="16C495A3" w14:textId="77777777" w:rsidR="00CF5D35" w:rsidRDefault="00CF5D35" w:rsidP="00CF5D35">
      <w:r>
        <w:t>Operating costs include annual maintenance, repairs, insurance, and other recurring expenses.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F5D35" w14:paraId="5C56834B" w14:textId="77777777" w:rsidTr="009F4AF2">
        <w:tc>
          <w:tcPr>
            <w:tcW w:w="4320" w:type="dxa"/>
          </w:tcPr>
          <w:p w14:paraId="0EAD595F" w14:textId="77777777" w:rsidR="00CF5D35" w:rsidRDefault="00CF5D35" w:rsidP="009F4AF2">
            <w:r>
              <w:t>Expense Type</w:t>
            </w:r>
          </w:p>
        </w:tc>
        <w:tc>
          <w:tcPr>
            <w:tcW w:w="4320" w:type="dxa"/>
          </w:tcPr>
          <w:p w14:paraId="2B4A4C1B" w14:textId="77777777" w:rsidR="00CF5D35" w:rsidRDefault="00CF5D35" w:rsidP="009F4AF2">
            <w:r>
              <w:t>Annual Cost (INR or USD)</w:t>
            </w:r>
          </w:p>
        </w:tc>
      </w:tr>
      <w:tr w:rsidR="00CF5D35" w14:paraId="25885861" w14:textId="77777777" w:rsidTr="009F4AF2">
        <w:tc>
          <w:tcPr>
            <w:tcW w:w="4320" w:type="dxa"/>
          </w:tcPr>
          <w:p w14:paraId="7DF7CC21" w14:textId="77777777" w:rsidR="00CF5D35" w:rsidRDefault="00CF5D35" w:rsidP="009F4AF2">
            <w:r>
              <w:t>Regular Maintenance</w:t>
            </w:r>
          </w:p>
        </w:tc>
        <w:tc>
          <w:tcPr>
            <w:tcW w:w="4320" w:type="dxa"/>
          </w:tcPr>
          <w:p w14:paraId="265EFFCE" w14:textId="77777777" w:rsidR="00CF5D35" w:rsidRDefault="00CF5D35" w:rsidP="009F4AF2"/>
        </w:tc>
      </w:tr>
      <w:tr w:rsidR="00CF5D35" w14:paraId="33EF6522" w14:textId="77777777" w:rsidTr="009F4AF2">
        <w:tc>
          <w:tcPr>
            <w:tcW w:w="4320" w:type="dxa"/>
          </w:tcPr>
          <w:p w14:paraId="7AB35335" w14:textId="77777777" w:rsidR="00CF5D35" w:rsidRDefault="00CF5D35" w:rsidP="009F4AF2">
            <w:r>
              <w:t>Insurance</w:t>
            </w:r>
          </w:p>
        </w:tc>
        <w:tc>
          <w:tcPr>
            <w:tcW w:w="4320" w:type="dxa"/>
          </w:tcPr>
          <w:p w14:paraId="4C8C0D84" w14:textId="77777777" w:rsidR="00CF5D35" w:rsidRDefault="00CF5D35" w:rsidP="009F4AF2"/>
        </w:tc>
      </w:tr>
      <w:tr w:rsidR="00CF5D35" w14:paraId="793CD58C" w14:textId="77777777" w:rsidTr="009F4AF2">
        <w:tc>
          <w:tcPr>
            <w:tcW w:w="4320" w:type="dxa"/>
          </w:tcPr>
          <w:p w14:paraId="02079D93" w14:textId="77777777" w:rsidR="00CF5D35" w:rsidRDefault="00CF5D35" w:rsidP="009F4AF2">
            <w:r>
              <w:t>Inverter Replacement (every 10-15 years)</w:t>
            </w:r>
          </w:p>
        </w:tc>
        <w:tc>
          <w:tcPr>
            <w:tcW w:w="4320" w:type="dxa"/>
          </w:tcPr>
          <w:p w14:paraId="7934CA2B" w14:textId="77777777" w:rsidR="00CF5D35" w:rsidRDefault="00CF5D35" w:rsidP="009F4AF2"/>
        </w:tc>
      </w:tr>
      <w:tr w:rsidR="00CF5D35" w14:paraId="2D58B195" w14:textId="77777777" w:rsidTr="009F4AF2">
        <w:tc>
          <w:tcPr>
            <w:tcW w:w="4320" w:type="dxa"/>
          </w:tcPr>
          <w:p w14:paraId="2DD94B6E" w14:textId="77777777" w:rsidR="00CF5D35" w:rsidRDefault="00CF5D35" w:rsidP="009F4AF2">
            <w:r>
              <w:t>Miscellaneous</w:t>
            </w:r>
          </w:p>
        </w:tc>
        <w:tc>
          <w:tcPr>
            <w:tcW w:w="4320" w:type="dxa"/>
          </w:tcPr>
          <w:p w14:paraId="042F8046" w14:textId="77777777" w:rsidR="00CF5D35" w:rsidRDefault="00CF5D35" w:rsidP="009F4AF2"/>
        </w:tc>
      </w:tr>
    </w:tbl>
    <w:p w14:paraId="3EA164CA" w14:textId="77777777" w:rsidR="00CF5D35" w:rsidRDefault="00CF5D35" w:rsidP="00CF5D35">
      <w:pPr>
        <w:pStyle w:val="Heading2"/>
      </w:pPr>
      <w:r>
        <w:t>4. Energy Generation &amp; Savings</w:t>
      </w:r>
    </w:p>
    <w:p w14:paraId="50A4740C" w14:textId="77777777" w:rsidR="00CF5D35" w:rsidRDefault="00CF5D35" w:rsidP="00CF5D35">
      <w:r>
        <w:t>Annual energy generation depends on system capacity, solar irradiance, and efficiency.</w:t>
      </w:r>
    </w:p>
    <w:p w14:paraId="5004C1F5" w14:textId="77777777" w:rsidR="00CF5D35" w:rsidRDefault="00CF5D35" w:rsidP="00CF5D35">
      <w:r>
        <w:t>Formula for Annual Energy Generation (kWh):</w:t>
      </w:r>
    </w:p>
    <w:p w14:paraId="6191A66C" w14:textId="77777777" w:rsidR="00CF5D35" w:rsidRDefault="00CF5D35" w:rsidP="00CF5D35">
      <w:r>
        <w:t>E = P × H × PR</w:t>
      </w:r>
    </w:p>
    <w:p w14:paraId="2BAA75F2" w14:textId="77777777" w:rsidR="00CF5D35" w:rsidRDefault="00CF5D35" w:rsidP="00CF5D35">
      <w:r>
        <w:t>Where:</w:t>
      </w:r>
    </w:p>
    <w:p w14:paraId="457B904B" w14:textId="77777777" w:rsidR="00CF5D35" w:rsidRDefault="00CF5D35" w:rsidP="00CF5D35">
      <w:r>
        <w:t>E = Energy generated annually (kWh)</w:t>
      </w:r>
    </w:p>
    <w:p w14:paraId="305B5CBF" w14:textId="77777777" w:rsidR="00CF5D35" w:rsidRDefault="00CF5D35" w:rsidP="00CF5D35">
      <w:r>
        <w:t>P = Installed capacity of the solar plant (kW)</w:t>
      </w:r>
    </w:p>
    <w:p w14:paraId="3C01DA83" w14:textId="77777777" w:rsidR="00CF5D35" w:rsidRDefault="00CF5D35" w:rsidP="00CF5D35">
      <w:r>
        <w:lastRenderedPageBreak/>
        <w:t>H = Annual average peak sunlight hours</w:t>
      </w:r>
    </w:p>
    <w:p w14:paraId="2E28A63D" w14:textId="77777777" w:rsidR="00CF5D35" w:rsidRDefault="00CF5D35" w:rsidP="00CF5D35">
      <w:r>
        <w:t>PR = Performance ratio (typically 0.75 - 0.85)</w:t>
      </w:r>
    </w:p>
    <w:p w14:paraId="687E330C" w14:textId="77777777" w:rsidR="00CF5D35" w:rsidRDefault="00CF5D35" w:rsidP="00CF5D35">
      <w:pPr>
        <w:pStyle w:val="Heading2"/>
      </w:pPr>
      <w:r>
        <w:t>5. Revenue &amp; Savings Calculation</w:t>
      </w:r>
    </w:p>
    <w:p w14:paraId="4C7938BD" w14:textId="77777777" w:rsidR="00CF5D35" w:rsidRDefault="00CF5D35" w:rsidP="00CF5D35">
      <w:r>
        <w:t>Annual savings and revenue depend on energy generation and electricity rates.</w:t>
      </w:r>
    </w:p>
    <w:p w14:paraId="61827B48" w14:textId="77777777" w:rsidR="00CF5D35" w:rsidRDefault="00CF5D35" w:rsidP="00CF5D35">
      <w:r>
        <w:t>Formula for Annual Savings:</w:t>
      </w:r>
    </w:p>
    <w:p w14:paraId="65C06414" w14:textId="77777777" w:rsidR="00CF5D35" w:rsidRDefault="00CF5D35" w:rsidP="00CF5D35">
      <w:r>
        <w:t>Savings = E × Tariff</w:t>
      </w:r>
    </w:p>
    <w:p w14:paraId="20CC34D3" w14:textId="77777777" w:rsidR="00CF5D35" w:rsidRDefault="00CF5D35" w:rsidP="00CF5D35">
      <w:r>
        <w:t>Where:</w:t>
      </w:r>
    </w:p>
    <w:p w14:paraId="55134929" w14:textId="77777777" w:rsidR="00CF5D35" w:rsidRDefault="00CF5D35" w:rsidP="00CF5D35">
      <w:r>
        <w:t>E = Annual energy generation (kWh)</w:t>
      </w:r>
    </w:p>
    <w:p w14:paraId="5FEA80CF" w14:textId="77777777" w:rsidR="00CF5D35" w:rsidRDefault="00CF5D35" w:rsidP="00CF5D35">
      <w:r>
        <w:t>Tariff = Electricity cost per kWh</w:t>
      </w:r>
    </w:p>
    <w:p w14:paraId="425C7A03" w14:textId="77777777" w:rsidR="00CF5D35" w:rsidRDefault="00CF5D35" w:rsidP="00CF5D35">
      <w:pPr>
        <w:pStyle w:val="Heading2"/>
      </w:pPr>
      <w:r>
        <w:t>6. Return on Investment (ROI) Calculation</w:t>
      </w:r>
    </w:p>
    <w:p w14:paraId="70C1A5BF" w14:textId="77777777" w:rsidR="00CF5D35" w:rsidRDefault="00CF5D35" w:rsidP="00CF5D35">
      <w:r>
        <w:t>Formula for ROI:</w:t>
      </w:r>
    </w:p>
    <w:p w14:paraId="5000765D" w14:textId="77777777" w:rsidR="00CF5D35" w:rsidRDefault="00CF5D35" w:rsidP="00CF5D35">
      <w:r>
        <w:t>ROI (%) = [(Total Savings - Total Costs) / Total Costs] × 100</w:t>
      </w:r>
    </w:p>
    <w:p w14:paraId="3CC9AFDE" w14:textId="77777777" w:rsidR="00CF5D35" w:rsidRDefault="00CF5D35" w:rsidP="00CF5D35">
      <w:r>
        <w:t>Formula for Payback Period:</w:t>
      </w:r>
    </w:p>
    <w:p w14:paraId="206CA893" w14:textId="77777777" w:rsidR="00CF5D35" w:rsidRDefault="00CF5D35" w:rsidP="00CF5D35">
      <w:r>
        <w:t>Payback Period = Total Investment / Annual Savings</w:t>
      </w:r>
    </w:p>
    <w:p w14:paraId="038BC97A" w14:textId="77777777" w:rsidR="00CF5D35" w:rsidRDefault="00CF5D35" w:rsidP="00CF5D35">
      <w:pPr>
        <w:pStyle w:val="Heading2"/>
      </w:pPr>
      <w:r>
        <w:t>7. Conclusion</w:t>
      </w:r>
    </w:p>
    <w:p w14:paraId="24BCF808" w14:textId="77777777" w:rsidR="00CF5D35" w:rsidRDefault="00CF5D35" w:rsidP="00CF5D35">
      <w:r>
        <w:t>This cost-benefit analysis helps in determining the financial feasibility of a solar power project by considering all capital and operational costs, energy savings, and expected returns.</w:t>
      </w:r>
    </w:p>
    <w:p w14:paraId="1695858D" w14:textId="60155664" w:rsidR="004D3555" w:rsidRPr="003C0605" w:rsidRDefault="004D3555" w:rsidP="003C0605"/>
    <w:sectPr w:rsidR="004D3555" w:rsidRPr="003C0605" w:rsidSect="005F3127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735FE9" w14:textId="77777777" w:rsidR="00EE05D5" w:rsidRDefault="00EE05D5" w:rsidP="00B3571C">
      <w:pPr>
        <w:spacing w:after="0"/>
      </w:pPr>
      <w:r>
        <w:separator/>
      </w:r>
    </w:p>
  </w:endnote>
  <w:endnote w:type="continuationSeparator" w:id="0">
    <w:p w14:paraId="0598D34A" w14:textId="77777777" w:rsidR="00EE05D5" w:rsidRDefault="00EE05D5" w:rsidP="00B3571C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B559A" w14:textId="77777777" w:rsidR="00B3571C" w:rsidRDefault="00B3571C">
    <w:pPr>
      <w:tabs>
        <w:tab w:val="center" w:pos="4550"/>
        <w:tab w:val="left" w:pos="5818"/>
      </w:tabs>
      <w:ind w:right="260"/>
      <w:jc w:val="right"/>
      <w:rPr>
        <w:color w:val="071320" w:themeColor="text2" w:themeShade="80"/>
      </w:rPr>
    </w:pPr>
    <w:r>
      <w:rPr>
        <w:color w:val="2C7FCE" w:themeColor="text2" w:themeTint="99"/>
        <w:spacing w:val="60"/>
      </w:rPr>
      <w:t>Page</w:t>
    </w:r>
    <w:r>
      <w:rPr>
        <w:color w:val="2C7FCE" w:themeColor="text2" w:themeTint="99"/>
      </w:rPr>
      <w:t xml:space="preserve"> </w:t>
    </w:r>
    <w:r>
      <w:rPr>
        <w:color w:val="0A1D30" w:themeColor="text2" w:themeShade="BF"/>
      </w:rPr>
      <w:fldChar w:fldCharType="begin"/>
    </w:r>
    <w:r>
      <w:rPr>
        <w:color w:val="0A1D30" w:themeColor="text2" w:themeShade="BF"/>
      </w:rPr>
      <w:instrText xml:space="preserve"> PAGE   \* MERGEFORMAT </w:instrText>
    </w:r>
    <w:r>
      <w:rPr>
        <w:color w:val="0A1D30" w:themeColor="text2" w:themeShade="BF"/>
      </w:rPr>
      <w:fldChar w:fldCharType="separate"/>
    </w:r>
    <w:r>
      <w:rPr>
        <w:noProof/>
        <w:color w:val="0A1D30" w:themeColor="text2" w:themeShade="BF"/>
      </w:rPr>
      <w:t>1</w:t>
    </w:r>
    <w:r>
      <w:rPr>
        <w:color w:val="0A1D30" w:themeColor="text2" w:themeShade="BF"/>
      </w:rPr>
      <w:fldChar w:fldCharType="end"/>
    </w:r>
    <w:r>
      <w:rPr>
        <w:color w:val="0A1D30" w:themeColor="text2" w:themeShade="BF"/>
      </w:rPr>
      <w:t xml:space="preserve"> | </w:t>
    </w:r>
    <w:r>
      <w:rPr>
        <w:color w:val="0A1D30" w:themeColor="text2" w:themeShade="BF"/>
      </w:rPr>
      <w:fldChar w:fldCharType="begin"/>
    </w:r>
    <w:r>
      <w:rPr>
        <w:color w:val="0A1D30" w:themeColor="text2" w:themeShade="BF"/>
      </w:rPr>
      <w:instrText xml:space="preserve"> NUMPAGES  \* Arabic  \* MERGEFORMAT </w:instrText>
    </w:r>
    <w:r>
      <w:rPr>
        <w:color w:val="0A1D30" w:themeColor="text2" w:themeShade="BF"/>
      </w:rPr>
      <w:fldChar w:fldCharType="separate"/>
    </w:r>
    <w:r>
      <w:rPr>
        <w:noProof/>
        <w:color w:val="0A1D30" w:themeColor="text2" w:themeShade="BF"/>
      </w:rPr>
      <w:t>1</w:t>
    </w:r>
    <w:r>
      <w:rPr>
        <w:color w:val="0A1D30" w:themeColor="text2" w:themeShade="BF"/>
      </w:rPr>
      <w:fldChar w:fldCharType="end"/>
    </w:r>
  </w:p>
  <w:p w14:paraId="372EA52D" w14:textId="77777777" w:rsidR="00B3571C" w:rsidRDefault="00B3571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0F6967" w14:textId="77777777" w:rsidR="00EE05D5" w:rsidRDefault="00EE05D5" w:rsidP="00B3571C">
      <w:pPr>
        <w:spacing w:after="0"/>
      </w:pPr>
      <w:r>
        <w:separator/>
      </w:r>
    </w:p>
  </w:footnote>
  <w:footnote w:type="continuationSeparator" w:id="0">
    <w:p w14:paraId="04A588AF" w14:textId="77777777" w:rsidR="00EE05D5" w:rsidRDefault="00EE05D5" w:rsidP="00B3571C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17CC86" w14:textId="0F705E8C" w:rsidR="00B3571C" w:rsidRDefault="0000553F" w:rsidP="00476E09">
    <w:pPr>
      <w:pStyle w:val="Header"/>
      <w:tabs>
        <w:tab w:val="clear" w:pos="4513"/>
        <w:tab w:val="clear" w:pos="9026"/>
        <w:tab w:val="left" w:pos="4452"/>
        <w:tab w:val="left" w:pos="8016"/>
      </w:tabs>
      <w:rPr>
        <w:lang w:val="en-IN"/>
      </w:rPr>
    </w:pPr>
    <w:r>
      <w:rPr>
        <w:noProof/>
        <w:lang w:val="en-IN"/>
      </w:rPr>
      <w:drawing>
        <wp:inline distT="0" distB="0" distL="0" distR="0" wp14:anchorId="29847F50" wp14:editId="5AA7A8CA">
          <wp:extent cx="1105644" cy="335280"/>
          <wp:effectExtent l="0" t="0" r="0" b="0"/>
          <wp:docPr id="82831258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28312587" name="Picture 828312587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15278" cy="33820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476E09">
      <w:rPr>
        <w:lang w:val="en-IN"/>
      </w:rPr>
      <w:t xml:space="preserve">                                       [Document </w:t>
    </w:r>
    <w:proofErr w:type="gramStart"/>
    <w:r w:rsidR="00476E09">
      <w:rPr>
        <w:lang w:val="en-IN"/>
      </w:rPr>
      <w:t xml:space="preserve">Title]   </w:t>
    </w:r>
    <w:proofErr w:type="gramEnd"/>
    <w:r w:rsidR="00476E09">
      <w:rPr>
        <w:lang w:val="en-IN"/>
      </w:rPr>
      <w:t xml:space="preserve">                  </w:t>
    </w:r>
    <w:hyperlink r:id="rId2" w:history="1">
      <w:r w:rsidR="00476E09" w:rsidRPr="000B6B04">
        <w:rPr>
          <w:rStyle w:val="Hyperlink"/>
          <w:lang w:val="en-IN"/>
        </w:rPr>
        <w:t>contact@flasysdesign.com</w:t>
      </w:r>
    </w:hyperlink>
  </w:p>
  <w:p w14:paraId="5B3A0268" w14:textId="77777777" w:rsidR="00476E09" w:rsidRPr="00B3571C" w:rsidRDefault="00476E09" w:rsidP="00476E09">
    <w:pPr>
      <w:pStyle w:val="Header"/>
      <w:tabs>
        <w:tab w:val="clear" w:pos="4513"/>
        <w:tab w:val="clear" w:pos="9026"/>
        <w:tab w:val="left" w:pos="4452"/>
        <w:tab w:val="left" w:pos="8016"/>
      </w:tabs>
      <w:rPr>
        <w:lang w:val="en-IN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1"/>
    <w:multiLevelType w:val="multilevel"/>
    <w:tmpl w:val="6846B71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695960683">
    <w:abstractNumId w:val="0"/>
  </w:num>
  <w:num w:numId="2" w16cid:durableId="211308088">
    <w:abstractNumId w:val="0"/>
  </w:num>
  <w:num w:numId="3" w16cid:durableId="1027175301">
    <w:abstractNumId w:val="0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8724" w:allStyles="0" w:customStyles="0" w:latentStyles="1" w:stylesInUse="0" w:headingStyles="1" w:numberingStyles="0" w:tableStyles="0" w:directFormattingOnRuns="1" w:directFormattingOnParagraphs="1" w:directFormattingOnNumbering="1" w:directFormattingOnTables="0" w:clearFormatting="0" w:top3HeadingStyles="0" w:visibleStyles="0" w:alternateStyleNames="1"/>
  <w:stylePaneSortMethod w:val="0002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41EE7"/>
    <w:rsid w:val="0000553F"/>
    <w:rsid w:val="000436E4"/>
    <w:rsid w:val="000A6B7E"/>
    <w:rsid w:val="001A7500"/>
    <w:rsid w:val="002069BA"/>
    <w:rsid w:val="002811B4"/>
    <w:rsid w:val="003C0605"/>
    <w:rsid w:val="003C778A"/>
    <w:rsid w:val="004505D5"/>
    <w:rsid w:val="00476E09"/>
    <w:rsid w:val="004D3555"/>
    <w:rsid w:val="005926EF"/>
    <w:rsid w:val="005A056E"/>
    <w:rsid w:val="005B6D48"/>
    <w:rsid w:val="005F3127"/>
    <w:rsid w:val="0061129A"/>
    <w:rsid w:val="00654138"/>
    <w:rsid w:val="007803D7"/>
    <w:rsid w:val="00801630"/>
    <w:rsid w:val="008245C2"/>
    <w:rsid w:val="008E4D7E"/>
    <w:rsid w:val="00907A90"/>
    <w:rsid w:val="009257D8"/>
    <w:rsid w:val="009E0377"/>
    <w:rsid w:val="00B3571C"/>
    <w:rsid w:val="00BD4EC2"/>
    <w:rsid w:val="00BF5158"/>
    <w:rsid w:val="00C41EE7"/>
    <w:rsid w:val="00C46DD1"/>
    <w:rsid w:val="00C53D2B"/>
    <w:rsid w:val="00C666BF"/>
    <w:rsid w:val="00CF5D35"/>
    <w:rsid w:val="00D80582"/>
    <w:rsid w:val="00DB7E3A"/>
    <w:rsid w:val="00E054EE"/>
    <w:rsid w:val="00E05716"/>
    <w:rsid w:val="00EB5976"/>
    <w:rsid w:val="00EE05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14EF7EF"/>
  <w15:docId w15:val="{D40FD2AD-2ACD-49E6-85CF-8FA9B9FE5C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er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uiPriority="99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5926EF"/>
  </w:style>
  <w:style w:type="paragraph" w:styleId="Heading1">
    <w:name w:val="heading 1"/>
    <w:basedOn w:val="Normal"/>
    <w:next w:val="BodyText"/>
    <w:link w:val="Heading1Char"/>
    <w:uiPriority w:val="9"/>
    <w:qFormat/>
    <w:rsid w:val="0061129A"/>
    <w:pPr>
      <w:keepNext/>
      <w:keepLines/>
      <w:spacing w:before="360" w:after="80"/>
      <w:outlineLvl w:val="0"/>
    </w:pPr>
    <w:rPr>
      <w:rFonts w:ascii="Times New Roman" w:eastAsiaTheme="majorEastAsia" w:hAnsi="Times New Roman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61129A"/>
    <w:pPr>
      <w:keepNext/>
      <w:keepLines/>
      <w:spacing w:before="160" w:after="80"/>
      <w:outlineLvl w:val="2"/>
    </w:pPr>
    <w:rPr>
      <w:rFonts w:ascii="Times New Roman" w:eastAsiaTheme="majorEastAsia" w:hAnsi="Times New Roman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61129A"/>
    <w:pPr>
      <w:keepNext/>
      <w:keepLines/>
      <w:spacing w:before="80" w:after="40"/>
      <w:outlineLvl w:val="3"/>
    </w:pPr>
    <w:rPr>
      <w:rFonts w:ascii="Times New Roman" w:eastAsiaTheme="majorEastAsia" w:hAnsi="Times New Roman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61129A"/>
    <w:pPr>
      <w:keepNext/>
      <w:keepLines/>
      <w:spacing w:before="80" w:after="40"/>
      <w:outlineLvl w:val="4"/>
    </w:pPr>
    <w:rPr>
      <w:rFonts w:ascii="Times New Roman" w:eastAsiaTheme="majorEastAsia" w:hAnsi="Times New Roman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61129A"/>
    <w:pPr>
      <w:keepNext/>
      <w:keepLines/>
      <w:spacing w:before="40" w:after="0"/>
      <w:outlineLvl w:val="5"/>
    </w:pPr>
    <w:rPr>
      <w:rFonts w:ascii="Times New Roman" w:eastAsiaTheme="majorEastAsia" w:hAnsi="Times New Roman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61129A"/>
    <w:pPr>
      <w:keepNext/>
      <w:keepLines/>
      <w:spacing w:before="40" w:after="0"/>
      <w:outlineLvl w:val="6"/>
    </w:pPr>
    <w:rPr>
      <w:rFonts w:ascii="Times New Roman" w:eastAsiaTheme="majorEastAsia" w:hAnsi="Times New Roman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61129A"/>
    <w:pPr>
      <w:keepNext/>
      <w:keepLines/>
      <w:spacing w:after="0"/>
      <w:outlineLvl w:val="7"/>
    </w:pPr>
    <w:rPr>
      <w:rFonts w:ascii="Times New Roman" w:eastAsiaTheme="majorEastAsia" w:hAnsi="Times New Roman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61129A"/>
    <w:pPr>
      <w:keepNext/>
      <w:keepLines/>
      <w:spacing w:after="0"/>
      <w:outlineLvl w:val="8"/>
    </w:pPr>
    <w:rPr>
      <w:rFonts w:ascii="Times New Roman" w:eastAsiaTheme="majorEastAsia" w:hAnsi="Times New Roman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rsid w:val="00D80582"/>
    <w:pPr>
      <w:spacing w:before="180" w:after="180"/>
    </w:pPr>
    <w:rPr>
      <w:rFonts w:ascii="Times New Roman" w:hAnsi="Times New Roman"/>
    </w:r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E054EE"/>
    <w:pPr>
      <w:spacing w:after="80"/>
      <w:contextualSpacing/>
      <w:jc w:val="center"/>
    </w:pPr>
    <w:rPr>
      <w:rFonts w:ascii="Times New Roman" w:eastAsiaTheme="majorEastAsia" w:hAnsi="Times New Roman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54EE"/>
    <w:rPr>
      <w:rFonts w:ascii="Times New Roman" w:eastAsiaTheme="majorEastAsia" w:hAnsi="Times New Roman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autoRedefine/>
    <w:qFormat/>
    <w:rsid w:val="00E05716"/>
    <w:pPr>
      <w:keepNext/>
      <w:keepLines/>
      <w:jc w:val="center"/>
    </w:pPr>
    <w:rPr>
      <w:rFonts w:ascii="Times New Roman" w:hAnsi="Times New Roman"/>
    </w:rPr>
  </w:style>
  <w:style w:type="paragraph" w:styleId="Date">
    <w:name w:val="Date"/>
    <w:next w:val="BodyText"/>
    <w:qFormat/>
    <w:rsid w:val="0061129A"/>
    <w:pPr>
      <w:keepNext/>
      <w:keepLines/>
      <w:jc w:val="center"/>
    </w:pPr>
    <w:rPr>
      <w:rFonts w:ascii="Times New Roman" w:hAnsi="Times New Roman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rsid w:val="0061129A"/>
    <w:pPr>
      <w:keepNext/>
      <w:keepLines/>
      <w:spacing w:before="100" w:after="300"/>
    </w:pPr>
    <w:rPr>
      <w:rFonts w:ascii="Times New Roman" w:hAnsi="Times New Roman"/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61129A"/>
    <w:rPr>
      <w:rFonts w:ascii="Times New Roman" w:eastAsiaTheme="majorEastAsia" w:hAnsi="Times New Roman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129A"/>
    <w:rPr>
      <w:rFonts w:ascii="Times New Roman" w:eastAsiaTheme="majorEastAsia" w:hAnsi="Times New Roman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129A"/>
    <w:rPr>
      <w:rFonts w:ascii="Times New Roman" w:eastAsiaTheme="majorEastAsia" w:hAnsi="Times New Roman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129A"/>
    <w:rPr>
      <w:rFonts w:ascii="Times New Roman" w:eastAsiaTheme="majorEastAsia" w:hAnsi="Times New Roman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129A"/>
    <w:rPr>
      <w:rFonts w:ascii="Times New Roman" w:eastAsiaTheme="majorEastAsia" w:hAnsi="Times New Roman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129A"/>
    <w:rPr>
      <w:rFonts w:ascii="Times New Roman" w:eastAsiaTheme="majorEastAsia" w:hAnsi="Times New Roman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129A"/>
    <w:rPr>
      <w:rFonts w:ascii="Times New Roman" w:eastAsiaTheme="majorEastAsia" w:hAnsi="Times New Roman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129A"/>
    <w:rPr>
      <w:rFonts w:ascii="Times New Roman" w:eastAsiaTheme="majorEastAsia" w:hAnsi="Times New Roman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  <w:rsid w:val="002069BA"/>
    <w:rPr>
      <w:rFonts w:ascii="Times New Roman" w:hAnsi="Times New Roman"/>
    </w:rPr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rsid w:val="00C46DD1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rsid w:val="002069BA"/>
    <w:pPr>
      <w:keepNext/>
      <w:keepLines/>
      <w:spacing w:after="0"/>
    </w:pPr>
    <w:rPr>
      <w:rFonts w:ascii="Times New Roman" w:hAnsi="Times New Roman"/>
      <w:b/>
    </w:rPr>
  </w:style>
  <w:style w:type="paragraph" w:customStyle="1" w:styleId="Definition">
    <w:name w:val="Definition"/>
    <w:basedOn w:val="Normal"/>
    <w:rsid w:val="002069BA"/>
    <w:rPr>
      <w:rFonts w:ascii="Times New Roman" w:hAnsi="Times New Roman"/>
    </w:rPr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  <w:rsid w:val="002069BA"/>
    <w:rPr>
      <w:rFonts w:ascii="Times New Roman" w:hAnsi="Times New Roman"/>
    </w:rPr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character" w:customStyle="1" w:styleId="BodyTextChar">
    <w:name w:val="Body Text Char"/>
    <w:basedOn w:val="DefaultParagraphFont"/>
    <w:link w:val="BodyText"/>
    <w:rsid w:val="005926EF"/>
    <w:rPr>
      <w:rFonts w:ascii="Times New Roman" w:hAnsi="Times New Roman"/>
    </w:rPr>
  </w:style>
  <w:style w:type="paragraph" w:customStyle="1" w:styleId="StyleHeading2TimesNewRoman">
    <w:name w:val="Style Heading 2 + Times New Roman"/>
    <w:basedOn w:val="Heading2"/>
    <w:rsid w:val="0061129A"/>
    <w:rPr>
      <w:rFonts w:ascii="Times New Roman" w:hAnsi="Times New Roman"/>
    </w:rPr>
  </w:style>
  <w:style w:type="paragraph" w:styleId="Header">
    <w:name w:val="header"/>
    <w:basedOn w:val="Normal"/>
    <w:link w:val="HeaderChar"/>
    <w:uiPriority w:val="99"/>
    <w:rsid w:val="00B3571C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B3571C"/>
  </w:style>
  <w:style w:type="paragraph" w:styleId="Footer">
    <w:name w:val="footer"/>
    <w:basedOn w:val="Normal"/>
    <w:link w:val="FooterChar"/>
    <w:rsid w:val="00B3571C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rsid w:val="00B3571C"/>
  </w:style>
  <w:style w:type="character" w:styleId="PlaceholderText">
    <w:name w:val="Placeholder Text"/>
    <w:basedOn w:val="DefaultParagraphFont"/>
    <w:uiPriority w:val="99"/>
    <w:rsid w:val="00B3571C"/>
    <w:rPr>
      <w:color w:val="808080"/>
    </w:rPr>
  </w:style>
  <w:style w:type="character" w:styleId="UnresolvedMention">
    <w:name w:val="Unresolved Mention"/>
    <w:basedOn w:val="DefaultParagraphFont"/>
    <w:uiPriority w:val="99"/>
    <w:semiHidden/>
    <w:unhideWhenUsed/>
    <w:rsid w:val="00476E09"/>
    <w:rPr>
      <w:color w:val="605E5C"/>
      <w:shd w:val="clear" w:color="auto" w:fill="E1DFDD"/>
    </w:rPr>
  </w:style>
  <w:style w:type="table" w:styleId="TableGrid">
    <w:name w:val="Table Grid"/>
    <w:basedOn w:val="TableNormal"/>
    <w:uiPriority w:val="59"/>
    <w:rsid w:val="00CF5D35"/>
    <w:pPr>
      <w:spacing w:after="0"/>
    </w:pPr>
    <w:rPr>
      <w:rFonts w:eastAsiaTheme="minorEastAsia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mailto:contact@flasysdesign.com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Pages>2</Pages>
  <Words>281</Words>
  <Characters>1603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Ankesh Mishra</cp:lastModifiedBy>
  <cp:revision>8</cp:revision>
  <dcterms:created xsi:type="dcterms:W3CDTF">1970-01-01T00:00:00Z</dcterms:created>
  <dcterms:modified xsi:type="dcterms:W3CDTF">2025-04-09T10:09:00Z</dcterms:modified>
</cp:coreProperties>
</file>