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672D" w14:textId="77777777" w:rsidR="00926DB2" w:rsidRDefault="00926DB2" w:rsidP="00926DB2">
      <w:pPr>
        <w:pStyle w:val="FirstParagraph"/>
      </w:pPr>
      <w:r>
        <w:rPr>
          <w:b/>
          <w:bCs/>
        </w:rPr>
        <w:t>Depth of Discharge (DoD) &amp; State of Charge (SoC) Calculation for Battery Systems</w:t>
      </w:r>
    </w:p>
    <w:p w14:paraId="5DED08F4" w14:textId="77777777" w:rsidR="00926DB2" w:rsidRDefault="00926DB2" w:rsidP="00926DB2">
      <w:pPr>
        <w:pStyle w:val="Heading1"/>
      </w:pPr>
      <w:bookmarkStart w:id="0" w:name="introduction"/>
      <w:r>
        <w:t>1. Introduction</w:t>
      </w:r>
    </w:p>
    <w:p w14:paraId="697D7026" w14:textId="77777777" w:rsidR="00926DB2" w:rsidRDefault="00926DB2" w:rsidP="00926DB2">
      <w:pPr>
        <w:pStyle w:val="FirstParagraph"/>
      </w:pPr>
      <w:r>
        <w:t>Depth of Discharge (DoD) and State of Charge (SoC) are crucial parameters in battery systems used in solar power plants. Proper calculation of these values ensures battery longevity, optimal performance, and efficient energy storage management.</w:t>
      </w:r>
    </w:p>
    <w:p w14:paraId="0C445725" w14:textId="77777777" w:rsidR="00926DB2" w:rsidRDefault="00926DB2" w:rsidP="00926DB2">
      <w:r>
        <w:pict w14:anchorId="68834ED4">
          <v:rect id="_x0000_i1025" style="width:0;height:1.5pt" o:hralign="center" o:hrstd="t" o:hr="t"/>
        </w:pict>
      </w:r>
    </w:p>
    <w:p w14:paraId="34CFEB27" w14:textId="77777777" w:rsidR="00926DB2" w:rsidRDefault="00926DB2" w:rsidP="00926DB2">
      <w:pPr>
        <w:pStyle w:val="Heading1"/>
      </w:pPr>
      <w:bookmarkStart w:id="1" w:name="definitions"/>
      <w:bookmarkEnd w:id="0"/>
      <w:r>
        <w:t>2. Definitions</w:t>
      </w:r>
    </w:p>
    <w:p w14:paraId="277D004D" w14:textId="77777777" w:rsidR="00926DB2" w:rsidRDefault="00926DB2" w:rsidP="00926DB2">
      <w:pPr>
        <w:numPr>
          <w:ilvl w:val="0"/>
          <w:numId w:val="1"/>
        </w:numPr>
      </w:pPr>
      <w:r>
        <w:rPr>
          <w:b/>
          <w:bCs/>
        </w:rPr>
        <w:t>Depth of Discharge (DoD):</w:t>
      </w:r>
      <w:r>
        <w:t xml:space="preserve"> The percentage of battery capacity that has been discharged relative to its total capacity. </w:t>
      </w:r>
      <m:oMath>
        <m:r>
          <m:rPr>
            <m:nor/>
          </m:rPr>
          <m:t>DoD</m:t>
        </m:r>
        <m:d>
          <m:dPr>
            <m:ctrlPr>
              <w:rPr>
                <w:rFonts w:ascii="Cambria Math" w:hAnsi="Cambria Math"/>
              </w:rPr>
            </m:ctrlPr>
          </m:dPr>
          <m:e>
            <m:r>
              <m:rPr>
                <m:sty m:val="p"/>
              </m:rPr>
              <w:rPr>
                <w:rFonts w:ascii="Cambria Math" w:hAnsi="Cambria Math"/>
              </w:rPr>
              <m:t>%</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m:rPr>
                    <m:nor/>
                  </m:rPr>
                  <m:t>Energy Discharged (Wh)</m:t>
                </m:r>
              </m:num>
              <m:den>
                <m:r>
                  <m:rPr>
                    <m:nor/>
                  </m:rPr>
                  <m:t>Battery Rated Capacity (</m:t>
                </m:r>
                <w:proofErr w:type="spellStart"/>
                <m:r>
                  <m:rPr>
                    <m:nor/>
                  </m:rPr>
                  <m:t>Wh</m:t>
                </m:r>
                <w:proofErr w:type="spellEnd"/>
                <m:r>
                  <m:rPr>
                    <m:nor/>
                  </m:rPr>
                  <m:t>)</m:t>
                </m:r>
              </m:den>
            </m:f>
          </m:e>
        </m:d>
        <m:r>
          <m:rPr>
            <m:sty m:val="p"/>
          </m:rPr>
          <w:rPr>
            <w:rFonts w:ascii="Cambria Math" w:hAnsi="Cambria Math"/>
          </w:rPr>
          <m:t>×</m:t>
        </m:r>
        <m:r>
          <w:rPr>
            <w:rFonts w:ascii="Cambria Math" w:hAnsi="Cambria Math"/>
          </w:rPr>
          <m:t>100</m:t>
        </m:r>
      </m:oMath>
    </w:p>
    <w:p w14:paraId="0181483E" w14:textId="77777777" w:rsidR="00926DB2" w:rsidRDefault="00926DB2" w:rsidP="00926DB2">
      <w:pPr>
        <w:numPr>
          <w:ilvl w:val="0"/>
          <w:numId w:val="1"/>
        </w:numPr>
      </w:pPr>
      <w:r>
        <w:rPr>
          <w:b/>
          <w:bCs/>
        </w:rPr>
        <w:t>State of Charge (SoC):</w:t>
      </w:r>
      <w:r>
        <w:t xml:space="preserve"> The remaining battery capacity expressed as a percentage of the total capacity. </w:t>
      </w:r>
      <m:oMath>
        <m:r>
          <m:rPr>
            <m:nor/>
          </m:rPr>
          <m:t>SoC</m:t>
        </m:r>
        <m:d>
          <m:dPr>
            <m:ctrlPr>
              <w:rPr>
                <w:rFonts w:ascii="Cambria Math" w:hAnsi="Cambria Math"/>
              </w:rPr>
            </m:ctrlPr>
          </m:dPr>
          <m:e>
            <m:r>
              <m:rPr>
                <m:sty m:val="p"/>
              </m:rPr>
              <w:rPr>
                <w:rFonts w:ascii="Cambria Math" w:hAnsi="Cambria Math"/>
              </w:rPr>
              <m:t>%</m:t>
            </m:r>
          </m:e>
        </m:d>
        <m:r>
          <m:rPr>
            <m:sty m:val="p"/>
          </m:rPr>
          <w:rPr>
            <w:rFonts w:ascii="Cambria Math" w:hAnsi="Cambria Math"/>
          </w:rPr>
          <m:t>=</m:t>
        </m:r>
        <m:r>
          <w:rPr>
            <w:rFonts w:ascii="Cambria Math" w:hAnsi="Cambria Math"/>
          </w:rPr>
          <m:t>100</m:t>
        </m:r>
        <m:r>
          <m:rPr>
            <m:sty m:val="p"/>
          </m:rPr>
          <w:rPr>
            <w:rFonts w:ascii="Cambria Math" w:hAnsi="Cambria Math"/>
          </w:rPr>
          <m:t>-</m:t>
        </m:r>
        <m:r>
          <m:rPr>
            <m:nor/>
          </m:rPr>
          <m:t>DoD</m:t>
        </m:r>
        <m:d>
          <m:dPr>
            <m:ctrlPr>
              <w:rPr>
                <w:rFonts w:ascii="Cambria Math" w:hAnsi="Cambria Math"/>
              </w:rPr>
            </m:ctrlPr>
          </m:dPr>
          <m:e>
            <m:r>
              <m:rPr>
                <m:sty m:val="p"/>
              </m:rPr>
              <w:rPr>
                <w:rFonts w:ascii="Cambria Math" w:hAnsi="Cambria Math"/>
              </w:rPr>
              <m:t>%</m:t>
            </m:r>
          </m:e>
        </m:d>
      </m:oMath>
    </w:p>
    <w:p w14:paraId="57BD23D3" w14:textId="77777777" w:rsidR="00926DB2" w:rsidRDefault="00926DB2" w:rsidP="00926DB2">
      <w:r>
        <w:pict w14:anchorId="1073FBE7">
          <v:rect id="_x0000_i1026" style="width:0;height:1.5pt" o:hralign="center" o:hrstd="t" o:hr="t"/>
        </w:pict>
      </w:r>
    </w:p>
    <w:p w14:paraId="0E14436D" w14:textId="77777777" w:rsidR="00926DB2" w:rsidRDefault="00926DB2" w:rsidP="00926DB2">
      <w:pPr>
        <w:pStyle w:val="Heading1"/>
      </w:pPr>
      <w:bookmarkStart w:id="2" w:name="calculation-parameters"/>
      <w:bookmarkEnd w:id="1"/>
      <w:r>
        <w:t>3. Calculation Parameters</w:t>
      </w:r>
    </w:p>
    <w:tbl>
      <w:tblPr>
        <w:tblStyle w:val="Table"/>
        <w:tblW w:w="0" w:type="auto"/>
        <w:tblLook w:val="0020" w:firstRow="1" w:lastRow="0" w:firstColumn="0" w:lastColumn="0" w:noHBand="0" w:noVBand="0"/>
      </w:tblPr>
      <w:tblGrid>
        <w:gridCol w:w="2456"/>
        <w:gridCol w:w="963"/>
        <w:gridCol w:w="1176"/>
      </w:tblGrid>
      <w:tr w:rsidR="00926DB2" w14:paraId="18667DBE" w14:textId="77777777" w:rsidTr="00513164">
        <w:trPr>
          <w:cnfStyle w:val="100000000000" w:firstRow="1" w:lastRow="0" w:firstColumn="0" w:lastColumn="0" w:oddVBand="0" w:evenVBand="0" w:oddHBand="0" w:evenHBand="0" w:firstRowFirstColumn="0" w:firstRowLastColumn="0" w:lastRowFirstColumn="0" w:lastRowLastColumn="0"/>
          <w:tblHeader/>
        </w:trPr>
        <w:tc>
          <w:tcPr>
            <w:tcW w:w="0" w:type="auto"/>
          </w:tcPr>
          <w:p w14:paraId="3A6B6F82" w14:textId="77777777" w:rsidR="00926DB2" w:rsidRDefault="00926DB2" w:rsidP="00513164">
            <w:pPr>
              <w:pStyle w:val="Compact"/>
            </w:pPr>
            <w:r>
              <w:t>Parameter</w:t>
            </w:r>
          </w:p>
        </w:tc>
        <w:tc>
          <w:tcPr>
            <w:tcW w:w="0" w:type="auto"/>
          </w:tcPr>
          <w:p w14:paraId="46A1AFEF" w14:textId="77777777" w:rsidR="00926DB2" w:rsidRDefault="00926DB2" w:rsidP="00513164">
            <w:pPr>
              <w:pStyle w:val="Compact"/>
            </w:pPr>
            <w:r>
              <w:t>Symbol</w:t>
            </w:r>
          </w:p>
        </w:tc>
        <w:tc>
          <w:tcPr>
            <w:tcW w:w="0" w:type="auto"/>
          </w:tcPr>
          <w:p w14:paraId="43E73845" w14:textId="77777777" w:rsidR="00926DB2" w:rsidRDefault="00926DB2" w:rsidP="00513164">
            <w:pPr>
              <w:pStyle w:val="Compact"/>
            </w:pPr>
            <w:r>
              <w:t>Unit</w:t>
            </w:r>
          </w:p>
        </w:tc>
      </w:tr>
      <w:tr w:rsidR="00926DB2" w14:paraId="42821220" w14:textId="77777777" w:rsidTr="00513164">
        <w:tc>
          <w:tcPr>
            <w:tcW w:w="0" w:type="auto"/>
          </w:tcPr>
          <w:p w14:paraId="2EF2B139" w14:textId="77777777" w:rsidR="00926DB2" w:rsidRDefault="00926DB2" w:rsidP="00513164">
            <w:pPr>
              <w:pStyle w:val="Compact"/>
            </w:pPr>
            <w:r>
              <w:t>Battery Rated Capacity</w:t>
            </w:r>
          </w:p>
        </w:tc>
        <w:tc>
          <w:tcPr>
            <w:tcW w:w="0" w:type="auto"/>
          </w:tcPr>
          <w:p w14:paraId="2F85B153" w14:textId="77777777" w:rsidR="00926DB2" w:rsidRDefault="00926DB2" w:rsidP="00513164">
            <w:pPr>
              <w:pStyle w:val="Compact"/>
            </w:pPr>
            <w:r>
              <w:t>C</w:t>
            </w:r>
          </w:p>
        </w:tc>
        <w:tc>
          <w:tcPr>
            <w:tcW w:w="0" w:type="auto"/>
          </w:tcPr>
          <w:p w14:paraId="36F079EC" w14:textId="77777777" w:rsidR="00926DB2" w:rsidRDefault="00926DB2" w:rsidP="00513164">
            <w:pPr>
              <w:pStyle w:val="Compact"/>
            </w:pPr>
            <w:proofErr w:type="spellStart"/>
            <w:r>
              <w:t>Wh</w:t>
            </w:r>
            <w:proofErr w:type="spellEnd"/>
            <w:r>
              <w:t xml:space="preserve"> or Ah</w:t>
            </w:r>
          </w:p>
        </w:tc>
      </w:tr>
      <w:tr w:rsidR="00926DB2" w14:paraId="4CA0DE74" w14:textId="77777777" w:rsidTr="00513164">
        <w:tc>
          <w:tcPr>
            <w:tcW w:w="0" w:type="auto"/>
          </w:tcPr>
          <w:p w14:paraId="12FE22BB" w14:textId="77777777" w:rsidR="00926DB2" w:rsidRDefault="00926DB2" w:rsidP="00513164">
            <w:pPr>
              <w:pStyle w:val="Compact"/>
            </w:pPr>
            <w:r>
              <w:t>Energy Discharged</w:t>
            </w:r>
          </w:p>
        </w:tc>
        <w:tc>
          <w:tcPr>
            <w:tcW w:w="0" w:type="auto"/>
          </w:tcPr>
          <w:p w14:paraId="3A870FE3" w14:textId="77777777" w:rsidR="00926DB2" w:rsidRDefault="00926DB2" w:rsidP="00513164">
            <w:pPr>
              <w:pStyle w:val="Compact"/>
            </w:pPr>
            <w:r>
              <w:t>E</w:t>
            </w:r>
          </w:p>
        </w:tc>
        <w:tc>
          <w:tcPr>
            <w:tcW w:w="0" w:type="auto"/>
          </w:tcPr>
          <w:p w14:paraId="6A795AE4" w14:textId="77777777" w:rsidR="00926DB2" w:rsidRDefault="00926DB2" w:rsidP="00513164">
            <w:pPr>
              <w:pStyle w:val="Compact"/>
            </w:pPr>
            <w:proofErr w:type="spellStart"/>
            <w:r>
              <w:t>Wh</w:t>
            </w:r>
            <w:proofErr w:type="spellEnd"/>
          </w:p>
        </w:tc>
      </w:tr>
      <w:tr w:rsidR="00926DB2" w14:paraId="4B86F63D" w14:textId="77777777" w:rsidTr="00513164">
        <w:tc>
          <w:tcPr>
            <w:tcW w:w="0" w:type="auto"/>
          </w:tcPr>
          <w:p w14:paraId="5282EB1F" w14:textId="77777777" w:rsidR="00926DB2" w:rsidRDefault="00926DB2" w:rsidP="00513164">
            <w:pPr>
              <w:pStyle w:val="Compact"/>
            </w:pPr>
            <w:r>
              <w:t>Battery Voltage</w:t>
            </w:r>
          </w:p>
        </w:tc>
        <w:tc>
          <w:tcPr>
            <w:tcW w:w="0" w:type="auto"/>
          </w:tcPr>
          <w:p w14:paraId="0382DC15" w14:textId="77777777" w:rsidR="00926DB2" w:rsidRDefault="00926DB2" w:rsidP="00513164">
            <w:pPr>
              <w:pStyle w:val="Compact"/>
            </w:pPr>
            <w:r>
              <w:t>V</w:t>
            </w:r>
          </w:p>
        </w:tc>
        <w:tc>
          <w:tcPr>
            <w:tcW w:w="0" w:type="auto"/>
          </w:tcPr>
          <w:p w14:paraId="4E41C09C" w14:textId="77777777" w:rsidR="00926DB2" w:rsidRDefault="00926DB2" w:rsidP="00513164">
            <w:pPr>
              <w:pStyle w:val="Compact"/>
            </w:pPr>
            <w:r>
              <w:t>V</w:t>
            </w:r>
          </w:p>
        </w:tc>
      </w:tr>
      <w:tr w:rsidR="00926DB2" w14:paraId="7861949C" w14:textId="77777777" w:rsidTr="00513164">
        <w:tc>
          <w:tcPr>
            <w:tcW w:w="0" w:type="auto"/>
          </w:tcPr>
          <w:p w14:paraId="13A16CA3" w14:textId="77777777" w:rsidR="00926DB2" w:rsidRDefault="00926DB2" w:rsidP="00513164">
            <w:pPr>
              <w:pStyle w:val="Compact"/>
            </w:pPr>
            <w:r>
              <w:t>Battery Current</w:t>
            </w:r>
          </w:p>
        </w:tc>
        <w:tc>
          <w:tcPr>
            <w:tcW w:w="0" w:type="auto"/>
          </w:tcPr>
          <w:p w14:paraId="32D160F6" w14:textId="77777777" w:rsidR="00926DB2" w:rsidRDefault="00926DB2" w:rsidP="00513164">
            <w:pPr>
              <w:pStyle w:val="Compact"/>
            </w:pPr>
            <w:r>
              <w:t>I</w:t>
            </w:r>
          </w:p>
        </w:tc>
        <w:tc>
          <w:tcPr>
            <w:tcW w:w="0" w:type="auto"/>
          </w:tcPr>
          <w:p w14:paraId="25819C9A" w14:textId="77777777" w:rsidR="00926DB2" w:rsidRDefault="00926DB2" w:rsidP="00513164">
            <w:pPr>
              <w:pStyle w:val="Compact"/>
            </w:pPr>
            <w:r>
              <w:t>A</w:t>
            </w:r>
          </w:p>
        </w:tc>
      </w:tr>
      <w:tr w:rsidR="00926DB2" w14:paraId="476F183A" w14:textId="77777777" w:rsidTr="00513164">
        <w:tc>
          <w:tcPr>
            <w:tcW w:w="0" w:type="auto"/>
          </w:tcPr>
          <w:p w14:paraId="528F2E9D" w14:textId="77777777" w:rsidR="00926DB2" w:rsidRDefault="00926DB2" w:rsidP="00513164">
            <w:pPr>
              <w:pStyle w:val="Compact"/>
            </w:pPr>
            <w:r>
              <w:t>Depth of Discharge</w:t>
            </w:r>
          </w:p>
        </w:tc>
        <w:tc>
          <w:tcPr>
            <w:tcW w:w="0" w:type="auto"/>
          </w:tcPr>
          <w:p w14:paraId="59FC264F" w14:textId="77777777" w:rsidR="00926DB2" w:rsidRDefault="00926DB2" w:rsidP="00513164">
            <w:pPr>
              <w:pStyle w:val="Compact"/>
            </w:pPr>
            <w:r>
              <w:t>DoD</w:t>
            </w:r>
          </w:p>
        </w:tc>
        <w:tc>
          <w:tcPr>
            <w:tcW w:w="0" w:type="auto"/>
          </w:tcPr>
          <w:p w14:paraId="39568668" w14:textId="77777777" w:rsidR="00926DB2" w:rsidRDefault="00926DB2" w:rsidP="00513164">
            <w:pPr>
              <w:pStyle w:val="Compact"/>
            </w:pPr>
            <w:r>
              <w:t>%</w:t>
            </w:r>
          </w:p>
        </w:tc>
      </w:tr>
      <w:tr w:rsidR="00926DB2" w14:paraId="3519E3F1" w14:textId="77777777" w:rsidTr="00513164">
        <w:tc>
          <w:tcPr>
            <w:tcW w:w="0" w:type="auto"/>
          </w:tcPr>
          <w:p w14:paraId="0C0137C0" w14:textId="77777777" w:rsidR="00926DB2" w:rsidRDefault="00926DB2" w:rsidP="00513164">
            <w:pPr>
              <w:pStyle w:val="Compact"/>
            </w:pPr>
            <w:r>
              <w:t>State of Charge</w:t>
            </w:r>
          </w:p>
        </w:tc>
        <w:tc>
          <w:tcPr>
            <w:tcW w:w="0" w:type="auto"/>
          </w:tcPr>
          <w:p w14:paraId="25C46996" w14:textId="77777777" w:rsidR="00926DB2" w:rsidRDefault="00926DB2" w:rsidP="00513164">
            <w:pPr>
              <w:pStyle w:val="Compact"/>
            </w:pPr>
            <w:r>
              <w:t>SoC</w:t>
            </w:r>
          </w:p>
        </w:tc>
        <w:tc>
          <w:tcPr>
            <w:tcW w:w="0" w:type="auto"/>
          </w:tcPr>
          <w:p w14:paraId="7B13791A" w14:textId="77777777" w:rsidR="00926DB2" w:rsidRDefault="00926DB2" w:rsidP="00513164">
            <w:pPr>
              <w:pStyle w:val="Compact"/>
            </w:pPr>
            <w:r>
              <w:t>%</w:t>
            </w:r>
          </w:p>
        </w:tc>
      </w:tr>
    </w:tbl>
    <w:p w14:paraId="3D4A5404" w14:textId="77777777" w:rsidR="00926DB2" w:rsidRDefault="00926DB2" w:rsidP="00926DB2">
      <w:r>
        <w:pict w14:anchorId="4C937B13">
          <v:rect id="_x0000_i1027" style="width:0;height:1.5pt" o:hralign="center" o:hrstd="t" o:hr="t"/>
        </w:pict>
      </w:r>
    </w:p>
    <w:p w14:paraId="6785F185" w14:textId="77777777" w:rsidR="00926DB2" w:rsidRDefault="00926DB2" w:rsidP="00926DB2">
      <w:pPr>
        <w:pStyle w:val="Heading1"/>
      </w:pPr>
      <w:bookmarkStart w:id="3" w:name="example-calculation"/>
      <w:bookmarkEnd w:id="2"/>
      <w:r>
        <w:t>4. Example Calculation</w:t>
      </w:r>
    </w:p>
    <w:p w14:paraId="188F73E1" w14:textId="77777777" w:rsidR="00926DB2" w:rsidRDefault="00926DB2" w:rsidP="00926DB2">
      <w:pPr>
        <w:pStyle w:val="Heading3"/>
      </w:pPr>
      <w:bookmarkStart w:id="4" w:name="given"/>
      <w:r>
        <w:t>Given:</w:t>
      </w:r>
    </w:p>
    <w:p w14:paraId="525D3C2E" w14:textId="77777777" w:rsidR="00926DB2" w:rsidRDefault="00926DB2" w:rsidP="00926DB2">
      <w:pPr>
        <w:pStyle w:val="Compact"/>
        <w:numPr>
          <w:ilvl w:val="0"/>
          <w:numId w:val="1"/>
        </w:numPr>
      </w:pPr>
      <w:r>
        <w:t xml:space="preserve">Battery Rated Capacity = </w:t>
      </w:r>
      <w:r>
        <w:rPr>
          <w:b/>
          <w:bCs/>
        </w:rPr>
        <w:t>200 Ah</w:t>
      </w:r>
    </w:p>
    <w:p w14:paraId="5DDA8873" w14:textId="77777777" w:rsidR="00926DB2" w:rsidRDefault="00926DB2" w:rsidP="00926DB2">
      <w:pPr>
        <w:pStyle w:val="Compact"/>
        <w:numPr>
          <w:ilvl w:val="0"/>
          <w:numId w:val="1"/>
        </w:numPr>
      </w:pPr>
      <w:r>
        <w:t xml:space="preserve">Battery Voltage = </w:t>
      </w:r>
      <w:r>
        <w:rPr>
          <w:b/>
          <w:bCs/>
        </w:rPr>
        <w:t>48V</w:t>
      </w:r>
    </w:p>
    <w:p w14:paraId="23B19885" w14:textId="77777777" w:rsidR="00926DB2" w:rsidRDefault="00926DB2" w:rsidP="00926DB2">
      <w:pPr>
        <w:pStyle w:val="Compact"/>
        <w:numPr>
          <w:ilvl w:val="0"/>
          <w:numId w:val="1"/>
        </w:numPr>
      </w:pPr>
      <w:r>
        <w:t xml:space="preserve">Energy Discharged = </w:t>
      </w:r>
      <w:r>
        <w:rPr>
          <w:b/>
          <w:bCs/>
        </w:rPr>
        <w:t xml:space="preserve">4,800 </w:t>
      </w:r>
      <w:proofErr w:type="spellStart"/>
      <w:r>
        <w:rPr>
          <w:b/>
          <w:bCs/>
        </w:rPr>
        <w:t>Wh</w:t>
      </w:r>
      <w:proofErr w:type="spellEnd"/>
    </w:p>
    <w:p w14:paraId="6F34D9A4" w14:textId="77777777" w:rsidR="00926DB2" w:rsidRDefault="00926DB2" w:rsidP="00926DB2">
      <w:pPr>
        <w:pStyle w:val="Heading3"/>
      </w:pPr>
      <w:bookmarkStart w:id="5" w:name="step-1-calculate-dod"/>
      <w:bookmarkEnd w:id="4"/>
      <w:r>
        <w:lastRenderedPageBreak/>
        <w:t>Step 1: Calculate DoD</w:t>
      </w:r>
    </w:p>
    <w:p w14:paraId="598E52AD" w14:textId="77777777" w:rsidR="00926DB2" w:rsidRDefault="00926DB2" w:rsidP="00926DB2">
      <w:pPr>
        <w:pStyle w:val="FirstParagraph"/>
      </w:pPr>
      <m:oMath>
        <m:r>
          <m:rPr>
            <m:nor/>
          </m:rPr>
          <m:t>DoD</m:t>
        </m:r>
        <m:d>
          <m:dPr>
            <m:ctrlPr>
              <w:rPr>
                <w:rFonts w:ascii="Cambria Math" w:hAnsi="Cambria Math"/>
              </w:rPr>
            </m:ctrlPr>
          </m:dPr>
          <m:e>
            <m:r>
              <m:rPr>
                <m:sty m:val="p"/>
              </m:rPr>
              <w:rPr>
                <w:rFonts w:ascii="Cambria Math" w:hAnsi="Cambria Math"/>
              </w:rPr>
              <m:t>%</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4800</m:t>
                </m:r>
              </m:num>
              <m:den>
                <m:r>
                  <w:rPr>
                    <w:rFonts w:ascii="Cambria Math" w:hAnsi="Cambria Math"/>
                  </w:rPr>
                  <m:t>200</m:t>
                </m:r>
                <m:r>
                  <m:rPr>
                    <m:sty m:val="p"/>
                  </m:rPr>
                  <w:rPr>
                    <w:rFonts w:ascii="Cambria Math" w:hAnsi="Cambria Math"/>
                  </w:rPr>
                  <m:t>×</m:t>
                </m:r>
                <m:r>
                  <w:rPr>
                    <w:rFonts w:ascii="Cambria Math" w:hAnsi="Cambria Math"/>
                  </w:rPr>
                  <m:t>48</m:t>
                </m:r>
              </m:den>
            </m:f>
          </m:e>
        </m:d>
        <m:r>
          <m:rPr>
            <m:sty m:val="p"/>
          </m:rPr>
          <w:rPr>
            <w:rFonts w:ascii="Cambria Math" w:hAnsi="Cambria Math"/>
          </w:rPr>
          <m:t>×</m:t>
        </m:r>
        <m:r>
          <w:rPr>
            <w:rFonts w:ascii="Cambria Math" w:hAnsi="Cambria Math"/>
          </w:rPr>
          <m:t>100</m:t>
        </m:r>
      </m:oMath>
      <w:r>
        <w:t xml:space="preserve"> </w:t>
      </w:r>
      <m:oMath>
        <m:r>
          <m:rPr>
            <m:nor/>
          </m:rPr>
          <m:t>DoD</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4800</m:t>
                </m:r>
              </m:num>
              <m:den>
                <m:r>
                  <w:rPr>
                    <w:rFonts w:ascii="Cambria Math" w:hAnsi="Cambria Math"/>
                  </w:rPr>
                  <m:t>9600</m:t>
                </m:r>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r>
          <m:rPr>
            <m:sty m:val="p"/>
          </m:rPr>
          <w:rPr>
            <w:rFonts w:ascii="Cambria Math" w:hAnsi="Cambria Math"/>
          </w:rPr>
          <m:t>%</m:t>
        </m:r>
      </m:oMath>
    </w:p>
    <w:p w14:paraId="4406987B" w14:textId="77777777" w:rsidR="00926DB2" w:rsidRDefault="00926DB2" w:rsidP="00926DB2">
      <w:pPr>
        <w:pStyle w:val="Heading3"/>
      </w:pPr>
      <w:bookmarkStart w:id="6" w:name="step-2-calculate-soc"/>
      <w:bookmarkEnd w:id="5"/>
      <w:r>
        <w:t>Step 2: Calculate SoC</w:t>
      </w:r>
    </w:p>
    <w:p w14:paraId="4C147429" w14:textId="77777777" w:rsidR="00926DB2" w:rsidRDefault="00926DB2" w:rsidP="00926DB2">
      <w:pPr>
        <w:pStyle w:val="FirstParagraph"/>
      </w:pPr>
      <m:oMathPara>
        <m:oMath>
          <m:r>
            <m:rPr>
              <m:nor/>
            </m:rPr>
            <m:t>SoC</m:t>
          </m:r>
          <m:d>
            <m:dPr>
              <m:ctrlPr>
                <w:rPr>
                  <w:rFonts w:ascii="Cambria Math" w:hAnsi="Cambria Math"/>
                </w:rPr>
              </m:ctrlPr>
            </m:dPr>
            <m:e>
              <m:r>
                <m:rPr>
                  <m:sty m:val="p"/>
                </m:rPr>
                <w:rPr>
                  <w:rFonts w:ascii="Cambria Math" w:hAnsi="Cambria Math"/>
                </w:rPr>
                <m:t>%</m:t>
              </m:r>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47B91BB1" w14:textId="77777777" w:rsidR="00926DB2" w:rsidRDefault="00926DB2" w:rsidP="00926DB2">
      <w:r>
        <w:pict w14:anchorId="50E55D8B">
          <v:rect id="_x0000_i1028" style="width:0;height:1.5pt" o:hralign="center" o:hrstd="t" o:hr="t"/>
        </w:pict>
      </w:r>
    </w:p>
    <w:p w14:paraId="23682421" w14:textId="77777777" w:rsidR="00926DB2" w:rsidRDefault="00926DB2" w:rsidP="00926DB2">
      <w:pPr>
        <w:pStyle w:val="Heading1"/>
      </w:pPr>
      <w:bookmarkStart w:id="7" w:name="standards-references"/>
      <w:bookmarkEnd w:id="3"/>
      <w:bookmarkEnd w:id="6"/>
      <w:r>
        <w:t>5. Standards &amp; References</w:t>
      </w:r>
    </w:p>
    <w:p w14:paraId="6D3EBCC2" w14:textId="77777777" w:rsidR="00926DB2" w:rsidRDefault="00926DB2" w:rsidP="00926DB2">
      <w:pPr>
        <w:pStyle w:val="Compact"/>
        <w:numPr>
          <w:ilvl w:val="0"/>
          <w:numId w:val="1"/>
        </w:numPr>
      </w:pPr>
      <w:r>
        <w:rPr>
          <w:b/>
          <w:bCs/>
        </w:rPr>
        <w:t>IEC 61427</w:t>
      </w:r>
      <w:r>
        <w:t xml:space="preserve"> - Performance and endurance testing for batteries in renewable energy applications</w:t>
      </w:r>
    </w:p>
    <w:p w14:paraId="1ADC5637" w14:textId="77777777" w:rsidR="00926DB2" w:rsidRDefault="00926DB2" w:rsidP="00926DB2">
      <w:pPr>
        <w:pStyle w:val="Compact"/>
        <w:numPr>
          <w:ilvl w:val="0"/>
          <w:numId w:val="1"/>
        </w:numPr>
      </w:pPr>
      <w:r>
        <w:rPr>
          <w:b/>
          <w:bCs/>
        </w:rPr>
        <w:t>IEEE 485</w:t>
      </w:r>
      <w:r>
        <w:t xml:space="preserve"> - Recommended practices for sizing lead-acid batteries</w:t>
      </w:r>
    </w:p>
    <w:p w14:paraId="11E439A6" w14:textId="77777777" w:rsidR="00926DB2" w:rsidRDefault="00926DB2" w:rsidP="00926DB2">
      <w:pPr>
        <w:pStyle w:val="Compact"/>
        <w:numPr>
          <w:ilvl w:val="0"/>
          <w:numId w:val="1"/>
        </w:numPr>
      </w:pPr>
      <w:r>
        <w:rPr>
          <w:b/>
          <w:bCs/>
        </w:rPr>
        <w:t>IEC 62619</w:t>
      </w:r>
      <w:r>
        <w:t xml:space="preserve"> - Safety standards for secondary lithium batteries</w:t>
      </w:r>
    </w:p>
    <w:p w14:paraId="7B845B96" w14:textId="77777777" w:rsidR="00926DB2" w:rsidRDefault="00926DB2" w:rsidP="00926DB2">
      <w:r>
        <w:pict w14:anchorId="0A428EF1">
          <v:rect id="_x0000_i1029" style="width:0;height:1.5pt" o:hralign="center" o:hrstd="t" o:hr="t"/>
        </w:pict>
      </w:r>
    </w:p>
    <w:p w14:paraId="1FBA71DF" w14:textId="77777777" w:rsidR="00926DB2" w:rsidRDefault="00926DB2" w:rsidP="00926DB2">
      <w:pPr>
        <w:pStyle w:val="Heading1"/>
      </w:pPr>
      <w:bookmarkStart w:id="8" w:name="conclusion"/>
      <w:bookmarkEnd w:id="7"/>
      <w:r>
        <w:t>6. Conclusion</w:t>
      </w:r>
    </w:p>
    <w:p w14:paraId="4EAF2C89" w14:textId="77777777" w:rsidR="00926DB2" w:rsidRDefault="00926DB2" w:rsidP="00926DB2">
      <w:pPr>
        <w:pStyle w:val="FirstParagraph"/>
      </w:pPr>
      <w:r>
        <w:t>This calculation is essential for battery management in small- and large-scale solar power plants. Ensuring proper DoD limits and monitoring SoC levels increases battery efficiency and lifespan.</w:t>
      </w:r>
      <w:bookmarkEnd w:id="8"/>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88D7" w14:textId="77777777" w:rsidR="00697E35" w:rsidRDefault="00697E35" w:rsidP="00B3571C">
      <w:pPr>
        <w:spacing w:after="0"/>
      </w:pPr>
      <w:r>
        <w:separator/>
      </w:r>
    </w:p>
  </w:endnote>
  <w:endnote w:type="continuationSeparator" w:id="0">
    <w:p w14:paraId="38971839" w14:textId="77777777" w:rsidR="00697E35" w:rsidRDefault="00697E35"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BE93" w14:textId="77777777" w:rsidR="00697E35" w:rsidRDefault="00697E35" w:rsidP="00B3571C">
      <w:pPr>
        <w:spacing w:after="0"/>
      </w:pPr>
      <w:r>
        <w:separator/>
      </w:r>
    </w:p>
  </w:footnote>
  <w:footnote w:type="continuationSeparator" w:id="0">
    <w:p w14:paraId="56D4F475" w14:textId="77777777" w:rsidR="00697E35" w:rsidRDefault="00697E35"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3127"/>
    <w:rsid w:val="0061129A"/>
    <w:rsid w:val="00654138"/>
    <w:rsid w:val="00697E35"/>
    <w:rsid w:val="007803D7"/>
    <w:rsid w:val="00801630"/>
    <w:rsid w:val="008245C2"/>
    <w:rsid w:val="008E4D7E"/>
    <w:rsid w:val="00907A90"/>
    <w:rsid w:val="009257D8"/>
    <w:rsid w:val="00926DB2"/>
    <w:rsid w:val="009E0377"/>
    <w:rsid w:val="00B3571C"/>
    <w:rsid w:val="00BD4EC2"/>
    <w:rsid w:val="00BF5158"/>
    <w:rsid w:val="00C41EE7"/>
    <w:rsid w:val="00C46DD1"/>
    <w:rsid w:val="00C53D2B"/>
    <w:rsid w:val="00C666BF"/>
    <w:rsid w:val="00D80582"/>
    <w:rsid w:val="00DB7E3A"/>
    <w:rsid w:val="00E054EE"/>
    <w:rsid w:val="00E05716"/>
    <w:rsid w:val="00E4021A"/>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2025-04-09T10:13:00Z</dcterms:modified>
</cp:coreProperties>
</file>