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3D18" w14:textId="77777777" w:rsidR="000D37FC" w:rsidRDefault="000D37FC" w:rsidP="000D37FC">
      <w:pPr>
        <w:pStyle w:val="Heading1"/>
      </w:pPr>
      <w:bookmarkStart w:id="0" w:name="X6ee693996fa662113c54b62a7beb5e4eccf66f6"/>
      <w:r>
        <w:t>Depth of Discharge (DoD) &amp; State of Charge (SoC) Calculation for Battery-Connected Solar Power Systems</w:t>
      </w:r>
    </w:p>
    <w:p w14:paraId="794C9BDB" w14:textId="77777777" w:rsidR="000D37FC" w:rsidRDefault="000D37FC" w:rsidP="000D37FC">
      <w:pPr>
        <w:pStyle w:val="Heading2"/>
      </w:pPr>
      <w:bookmarkStart w:id="1" w:name="introduction"/>
      <w:r>
        <w:t>1. Introduction</w:t>
      </w:r>
    </w:p>
    <w:p w14:paraId="0B040E1B" w14:textId="77777777" w:rsidR="000D37FC" w:rsidRDefault="000D37FC" w:rsidP="000D37FC">
      <w:pPr>
        <w:pStyle w:val="FirstParagraph"/>
      </w:pPr>
      <w:r>
        <w:t xml:space="preserve">Battery storage plays a crucial role in solar power systems, ensuring energy availability during non-sunlight hours. Two key parameters in battery performance are </w:t>
      </w:r>
      <w:r>
        <w:rPr>
          <w:b/>
          <w:bCs/>
        </w:rPr>
        <w:t>Depth of Discharge (DoD)</w:t>
      </w:r>
      <w:r>
        <w:t xml:space="preserve"> and </w:t>
      </w:r>
      <w:r>
        <w:rPr>
          <w:b/>
          <w:bCs/>
        </w:rPr>
        <w:t>State of Charge (SoC)</w:t>
      </w:r>
      <w:r>
        <w:t>. Proper calculation of these parameters helps in optimizing battery life, efficiency, and overall system performance.</w:t>
      </w:r>
    </w:p>
    <w:p w14:paraId="359DEADD" w14:textId="77777777" w:rsidR="000D37FC" w:rsidRDefault="00000000" w:rsidP="000D37FC">
      <w:r>
        <w:pict w14:anchorId="27D95D49">
          <v:rect id="_x0000_i1025" style="width:0;height:1.5pt" o:hralign="center" o:hrstd="t" o:hr="t"/>
        </w:pict>
      </w:r>
    </w:p>
    <w:p w14:paraId="0647FDF3" w14:textId="77777777" w:rsidR="000D37FC" w:rsidRDefault="000D37FC" w:rsidP="000D37FC">
      <w:pPr>
        <w:pStyle w:val="Heading2"/>
      </w:pPr>
      <w:bookmarkStart w:id="2" w:name="depth-of-discharge-dod-calculation"/>
      <w:bookmarkEnd w:id="1"/>
      <w:r>
        <w:t>2. Depth of Discharge (DoD) Calculation</w:t>
      </w:r>
    </w:p>
    <w:p w14:paraId="12E608B4" w14:textId="77777777" w:rsidR="000D37FC" w:rsidRDefault="000D37FC" w:rsidP="000D37FC">
      <w:pPr>
        <w:pStyle w:val="Heading3"/>
      </w:pPr>
      <w:bookmarkStart w:id="3" w:name="definition"/>
      <w:r>
        <w:t>2.1 Definition</w:t>
      </w:r>
    </w:p>
    <w:p w14:paraId="1DE8A86D" w14:textId="77777777" w:rsidR="000D37FC" w:rsidRDefault="000D37FC" w:rsidP="000D37FC">
      <w:pPr>
        <w:pStyle w:val="FirstParagraph"/>
      </w:pPr>
      <w:r>
        <w:t>Depth of Discharge (DoD) refers to the percentage of battery capacity that has been used relative to its total capacity. A higher DoD means more battery usage, which can impact battery lifespan.</w:t>
      </w:r>
    </w:p>
    <w:p w14:paraId="01921892" w14:textId="77777777" w:rsidR="000D37FC" w:rsidRDefault="000D37FC" w:rsidP="000D37FC">
      <w:pPr>
        <w:pStyle w:val="Heading3"/>
      </w:pPr>
      <w:bookmarkStart w:id="4" w:name="formula-for-dod"/>
      <w:bookmarkEnd w:id="3"/>
      <w:r>
        <w:t>2.2 Formula for DoD</w:t>
      </w:r>
    </w:p>
    <w:p w14:paraId="5CC54AA4" w14:textId="77777777" w:rsidR="000D37FC" w:rsidRDefault="000D37FC" w:rsidP="000D37FC">
      <w:pPr>
        <w:pStyle w:val="FirstParagraph"/>
      </w:pPr>
      <m:oMathPara>
        <m:oMath>
          <m:r>
            <m:rPr>
              <m:nor/>
            </m:rPr>
            <m:t>DoD</m:t>
          </m:r>
          <m:d>
            <m:dPr>
              <m:ctrlPr>
                <w:rPr>
                  <w:rFonts w:ascii="Cambria Math" w:hAnsi="Cambria Math"/>
                </w:rPr>
              </m:ctrlPr>
            </m:dPr>
            <m:e>
              <m:r>
                <m:rPr>
                  <m:sty m:val="p"/>
                </m:rPr>
                <w:rPr>
                  <w:rFonts w:ascii="Cambria Math" w:hAnsi="Cambria Math"/>
                </w:rPr>
                <m:t>%</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m:rPr>
                      <m:nor/>
                    </m:rPr>
                    <m:t>Energy Discharged (Wh)</m:t>
                  </m:r>
                </m:num>
                <m:den>
                  <m:r>
                    <m:rPr>
                      <m:nor/>
                    </m:rPr>
                    <m:t>Battery Rated Capacity (Wh)</m:t>
                  </m:r>
                </m:den>
              </m:f>
            </m:e>
          </m:d>
          <m:r>
            <m:rPr>
              <m:sty m:val="p"/>
            </m:rPr>
            <w:rPr>
              <w:rFonts w:ascii="Cambria Math" w:hAnsi="Cambria Math"/>
            </w:rPr>
            <m:t>×</m:t>
          </m:r>
          <m:r>
            <w:rPr>
              <w:rFonts w:ascii="Cambria Math" w:hAnsi="Cambria Math"/>
            </w:rPr>
            <m:t>100</m:t>
          </m:r>
        </m:oMath>
      </m:oMathPara>
    </w:p>
    <w:p w14:paraId="17CD58DD" w14:textId="77777777" w:rsidR="000D37FC" w:rsidRDefault="000D37FC" w:rsidP="000D37FC">
      <w:pPr>
        <w:pStyle w:val="Heading3"/>
      </w:pPr>
      <w:bookmarkStart w:id="5" w:name="example-calculation"/>
      <w:bookmarkEnd w:id="4"/>
      <w:r>
        <w:t>2.3 Example Calculation</w:t>
      </w:r>
    </w:p>
    <w:p w14:paraId="3BD6C8B6" w14:textId="77777777" w:rsidR="000D37FC" w:rsidRDefault="000D37FC" w:rsidP="000D37FC">
      <w:pPr>
        <w:pStyle w:val="Compact"/>
        <w:numPr>
          <w:ilvl w:val="0"/>
          <w:numId w:val="1"/>
        </w:numPr>
      </w:pPr>
      <w:r>
        <w:rPr>
          <w:b/>
          <w:bCs/>
        </w:rPr>
        <w:t>Battery Capacity</w:t>
      </w:r>
      <w:r>
        <w:t>: 10 kWh</w:t>
      </w:r>
    </w:p>
    <w:p w14:paraId="39DED153" w14:textId="77777777" w:rsidR="000D37FC" w:rsidRDefault="000D37FC" w:rsidP="000D37FC">
      <w:pPr>
        <w:pStyle w:val="Compact"/>
        <w:numPr>
          <w:ilvl w:val="0"/>
          <w:numId w:val="1"/>
        </w:numPr>
      </w:pPr>
      <w:r>
        <w:rPr>
          <w:b/>
          <w:bCs/>
        </w:rPr>
        <w:t>Energy Used</w:t>
      </w:r>
      <w:r>
        <w:t xml:space="preserve">: 6 kWh </w:t>
      </w:r>
      <m:oMath>
        <m:r>
          <m:rPr>
            <m:nor/>
          </m:rPr>
          <m:t>DoD</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6</m:t>
                </m:r>
              </m:num>
              <m:den>
                <m:r>
                  <w:rPr>
                    <w:rFonts w:ascii="Cambria Math" w:hAnsi="Cambria Math"/>
                  </w:rPr>
                  <m:t>10</m:t>
                </m:r>
              </m:den>
            </m:f>
          </m:e>
        </m:d>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60</m:t>
        </m:r>
        <m:r>
          <m:rPr>
            <m:sty m:val="p"/>
          </m:rPr>
          <w:rPr>
            <w:rFonts w:ascii="Cambria Math" w:hAnsi="Cambria Math"/>
          </w:rPr>
          <m:t>%</m:t>
        </m:r>
      </m:oMath>
    </w:p>
    <w:p w14:paraId="34112383" w14:textId="77777777" w:rsidR="000D37FC" w:rsidRDefault="000D37FC" w:rsidP="000D37FC">
      <w:pPr>
        <w:pStyle w:val="Heading3"/>
      </w:pPr>
      <w:bookmarkStart w:id="6" w:name="recommended-dod-limits"/>
      <w:bookmarkEnd w:id="5"/>
      <w:r>
        <w:t>2.4 Recommended DoD Limits</w:t>
      </w:r>
    </w:p>
    <w:p w14:paraId="108C2193" w14:textId="77777777" w:rsidR="000D37FC" w:rsidRDefault="000D37FC" w:rsidP="000D37FC">
      <w:pPr>
        <w:pStyle w:val="Compact"/>
        <w:numPr>
          <w:ilvl w:val="0"/>
          <w:numId w:val="1"/>
        </w:numPr>
      </w:pPr>
      <w:r>
        <w:rPr>
          <w:b/>
          <w:bCs/>
        </w:rPr>
        <w:t>Lead-Acid Batteries</w:t>
      </w:r>
      <w:r>
        <w:t>: 50% maximum DoD to prolong life</w:t>
      </w:r>
    </w:p>
    <w:p w14:paraId="6AF0B4BB" w14:textId="77777777" w:rsidR="000D37FC" w:rsidRDefault="000D37FC" w:rsidP="000D37FC">
      <w:pPr>
        <w:pStyle w:val="Compact"/>
        <w:numPr>
          <w:ilvl w:val="0"/>
          <w:numId w:val="1"/>
        </w:numPr>
      </w:pPr>
      <w:r>
        <w:rPr>
          <w:b/>
          <w:bCs/>
        </w:rPr>
        <w:t>Lithium-Ion Batteries</w:t>
      </w:r>
      <w:r>
        <w:t>: 80-90% DoD is common</w:t>
      </w:r>
    </w:p>
    <w:p w14:paraId="2F5249D8" w14:textId="77777777" w:rsidR="000D37FC" w:rsidRDefault="000D37FC" w:rsidP="000D37FC">
      <w:pPr>
        <w:pStyle w:val="Compact"/>
        <w:numPr>
          <w:ilvl w:val="0"/>
          <w:numId w:val="1"/>
        </w:numPr>
      </w:pPr>
      <w:r>
        <w:rPr>
          <w:b/>
          <w:bCs/>
        </w:rPr>
        <w:t>Flow Batteries</w:t>
      </w:r>
      <w:r>
        <w:t>: Can handle 100% DoD</w:t>
      </w:r>
    </w:p>
    <w:p w14:paraId="02E7AA21" w14:textId="77777777" w:rsidR="000D37FC" w:rsidRDefault="00000000" w:rsidP="000D37FC">
      <w:r>
        <w:pict w14:anchorId="58DC8B6A">
          <v:rect id="_x0000_i1026" style="width:0;height:1.5pt" o:hralign="center" o:hrstd="t" o:hr="t"/>
        </w:pict>
      </w:r>
    </w:p>
    <w:p w14:paraId="0C76727B" w14:textId="77777777" w:rsidR="000D37FC" w:rsidRDefault="000D37FC" w:rsidP="000D37FC">
      <w:pPr>
        <w:pStyle w:val="Heading2"/>
      </w:pPr>
      <w:bookmarkStart w:id="7" w:name="state-of-charge-soc-calculation"/>
      <w:bookmarkEnd w:id="2"/>
      <w:bookmarkEnd w:id="6"/>
      <w:r>
        <w:t>3. State of Charge (SoC) Calculation</w:t>
      </w:r>
    </w:p>
    <w:p w14:paraId="37129EE5" w14:textId="77777777" w:rsidR="000D37FC" w:rsidRDefault="000D37FC" w:rsidP="000D37FC">
      <w:pPr>
        <w:pStyle w:val="Heading3"/>
      </w:pPr>
      <w:bookmarkStart w:id="8" w:name="definition-1"/>
      <w:r>
        <w:t>3.1 Definition</w:t>
      </w:r>
    </w:p>
    <w:p w14:paraId="6066893A" w14:textId="77777777" w:rsidR="000D37FC" w:rsidRDefault="000D37FC" w:rsidP="000D37FC">
      <w:pPr>
        <w:pStyle w:val="FirstParagraph"/>
      </w:pPr>
      <w:r>
        <w:t>State of Charge (SoC) represents the remaining battery charge as a percentage of the total capacity. It is the inverse of DoD.</w:t>
      </w:r>
    </w:p>
    <w:p w14:paraId="58AB6304" w14:textId="77777777" w:rsidR="000D37FC" w:rsidRDefault="000D37FC" w:rsidP="000D37FC">
      <w:pPr>
        <w:pStyle w:val="Heading3"/>
      </w:pPr>
      <w:bookmarkStart w:id="9" w:name="formula-for-soc"/>
      <w:bookmarkEnd w:id="8"/>
      <w:r>
        <w:t>3.2 Formula for SoC</w:t>
      </w:r>
    </w:p>
    <w:p w14:paraId="42026E57" w14:textId="77777777" w:rsidR="000D37FC" w:rsidRDefault="000D37FC" w:rsidP="000D37FC">
      <w:pPr>
        <w:pStyle w:val="FirstParagraph"/>
      </w:pPr>
      <m:oMathPara>
        <m:oMath>
          <m:r>
            <m:rPr>
              <m:nor/>
            </m:rPr>
            <m:t>SoC</m:t>
          </m:r>
          <m:d>
            <m:dPr>
              <m:ctrlPr>
                <w:rPr>
                  <w:rFonts w:ascii="Cambria Math" w:hAnsi="Cambria Math"/>
                </w:rPr>
              </m:ctrlPr>
            </m:dPr>
            <m:e>
              <m:r>
                <m:rPr>
                  <m:sty m:val="p"/>
                </m:rPr>
                <w:rPr>
                  <w:rFonts w:ascii="Cambria Math" w:hAnsi="Cambria Math"/>
                </w:rPr>
                <m:t>%</m:t>
              </m:r>
            </m:e>
          </m:d>
          <m:r>
            <m:rPr>
              <m:sty m:val="p"/>
            </m:rPr>
            <w:rPr>
              <w:rFonts w:ascii="Cambria Math" w:hAnsi="Cambria Math"/>
            </w:rPr>
            <m:t>=</m:t>
          </m:r>
          <m:r>
            <w:rPr>
              <w:rFonts w:ascii="Cambria Math" w:hAnsi="Cambria Math"/>
            </w:rPr>
            <m:t>100</m:t>
          </m:r>
          <m:r>
            <m:rPr>
              <m:sty m:val="p"/>
            </m:rPr>
            <w:rPr>
              <w:rFonts w:ascii="Cambria Math" w:hAnsi="Cambria Math"/>
            </w:rPr>
            <m:t>-</m:t>
          </m:r>
          <m:r>
            <m:rPr>
              <m:nor/>
            </m:rPr>
            <m:t>DoD</m:t>
          </m:r>
          <m:d>
            <m:dPr>
              <m:ctrlPr>
                <w:rPr>
                  <w:rFonts w:ascii="Cambria Math" w:hAnsi="Cambria Math"/>
                </w:rPr>
              </m:ctrlPr>
            </m:dPr>
            <m:e>
              <m:r>
                <m:rPr>
                  <m:sty m:val="p"/>
                </m:rPr>
                <w:rPr>
                  <w:rFonts w:ascii="Cambria Math" w:hAnsi="Cambria Math"/>
                </w:rPr>
                <m:t>%</m:t>
              </m:r>
            </m:e>
          </m:d>
        </m:oMath>
      </m:oMathPara>
    </w:p>
    <w:p w14:paraId="724FC9EE" w14:textId="77777777" w:rsidR="000D37FC" w:rsidRDefault="000D37FC" w:rsidP="000D37FC">
      <w:pPr>
        <w:pStyle w:val="Heading3"/>
      </w:pPr>
      <w:bookmarkStart w:id="10" w:name="example-calculation-1"/>
      <w:bookmarkEnd w:id="9"/>
      <w:r>
        <w:lastRenderedPageBreak/>
        <w:t>3.3 Example Calculation</w:t>
      </w:r>
    </w:p>
    <w:p w14:paraId="7A02B6DA" w14:textId="77777777" w:rsidR="000D37FC" w:rsidRDefault="000D37FC" w:rsidP="000D37FC">
      <w:pPr>
        <w:pStyle w:val="FirstParagraph"/>
      </w:pPr>
      <w:r>
        <w:t xml:space="preserve">Using the previous DoD example: </w:t>
      </w:r>
      <m:oMath>
        <m:r>
          <m:rPr>
            <m:nor/>
          </m:rPr>
          <m:t>SoC</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40</m:t>
        </m:r>
        <m:r>
          <m:rPr>
            <m:sty m:val="p"/>
          </m:rPr>
          <w:rPr>
            <w:rFonts w:ascii="Cambria Math" w:hAnsi="Cambria Math"/>
          </w:rPr>
          <m:t>%</m:t>
        </m:r>
      </m:oMath>
    </w:p>
    <w:p w14:paraId="552DD217" w14:textId="77777777" w:rsidR="000D37FC" w:rsidRDefault="000D37FC" w:rsidP="000D37FC">
      <w:pPr>
        <w:pStyle w:val="Heading3"/>
      </w:pPr>
      <w:bookmarkStart w:id="11" w:name="methods-for-measuring-soc"/>
      <w:bookmarkEnd w:id="10"/>
      <w:r>
        <w:t>3.4 Methods for Measuring SoC</w:t>
      </w:r>
    </w:p>
    <w:p w14:paraId="59E190CC" w14:textId="77777777" w:rsidR="000D37FC" w:rsidRDefault="000D37FC" w:rsidP="000D37FC">
      <w:pPr>
        <w:pStyle w:val="Compact"/>
        <w:numPr>
          <w:ilvl w:val="0"/>
          <w:numId w:val="1"/>
        </w:numPr>
      </w:pPr>
      <w:r>
        <w:rPr>
          <w:b/>
          <w:bCs/>
        </w:rPr>
        <w:t>Voltage-Based Estimation</w:t>
      </w:r>
      <w:r>
        <w:t xml:space="preserve"> (Common for Lead-Acid &amp; Li-ion Batteries)</w:t>
      </w:r>
    </w:p>
    <w:p w14:paraId="3D7CD726" w14:textId="77777777" w:rsidR="000D37FC" w:rsidRDefault="000D37FC" w:rsidP="000D37FC">
      <w:pPr>
        <w:pStyle w:val="Compact"/>
        <w:numPr>
          <w:ilvl w:val="0"/>
          <w:numId w:val="1"/>
        </w:numPr>
      </w:pPr>
      <w:r>
        <w:rPr>
          <w:b/>
          <w:bCs/>
        </w:rPr>
        <w:t>Coulomb Counting Method</w:t>
      </w:r>
      <w:r>
        <w:t xml:space="preserve"> (Precise but requires current sensors)</w:t>
      </w:r>
    </w:p>
    <w:p w14:paraId="79569C00" w14:textId="77777777" w:rsidR="000D37FC" w:rsidRDefault="000D37FC" w:rsidP="000D37FC">
      <w:pPr>
        <w:pStyle w:val="Compact"/>
        <w:numPr>
          <w:ilvl w:val="0"/>
          <w:numId w:val="1"/>
        </w:numPr>
      </w:pPr>
      <w:r>
        <w:rPr>
          <w:b/>
          <w:bCs/>
        </w:rPr>
        <w:t>Open Circuit Voltage (OCV) Testing</w:t>
      </w:r>
    </w:p>
    <w:p w14:paraId="0AABABFB" w14:textId="77777777" w:rsidR="000D37FC" w:rsidRDefault="000D37FC" w:rsidP="000D37FC">
      <w:pPr>
        <w:pStyle w:val="Compact"/>
        <w:numPr>
          <w:ilvl w:val="0"/>
          <w:numId w:val="1"/>
        </w:numPr>
      </w:pPr>
      <w:r>
        <w:rPr>
          <w:b/>
          <w:bCs/>
        </w:rPr>
        <w:t>Battery Management System (BMS) Integration</w:t>
      </w:r>
    </w:p>
    <w:p w14:paraId="76F178F3" w14:textId="77777777" w:rsidR="000D37FC" w:rsidRDefault="00000000" w:rsidP="000D37FC">
      <w:r>
        <w:pict w14:anchorId="1FDD4FCE">
          <v:rect id="_x0000_i1027" style="width:0;height:1.5pt" o:hralign="center" o:hrstd="t" o:hr="t"/>
        </w:pict>
      </w:r>
    </w:p>
    <w:p w14:paraId="28B9E808" w14:textId="77777777" w:rsidR="000D37FC" w:rsidRDefault="000D37FC" w:rsidP="000D37FC">
      <w:pPr>
        <w:pStyle w:val="Heading2"/>
      </w:pPr>
      <w:bookmarkStart w:id="12" w:name="factors-affecting-dod-soc-accuracy"/>
      <w:bookmarkEnd w:id="7"/>
      <w:bookmarkEnd w:id="11"/>
      <w:r>
        <w:t>4. Factors Affecting DoD &amp; SoC Accuracy</w:t>
      </w:r>
    </w:p>
    <w:p w14:paraId="7F074827" w14:textId="77777777" w:rsidR="000D37FC" w:rsidRDefault="000D37FC" w:rsidP="000D37FC">
      <w:pPr>
        <w:pStyle w:val="Compact"/>
        <w:numPr>
          <w:ilvl w:val="0"/>
          <w:numId w:val="1"/>
        </w:numPr>
      </w:pPr>
      <w:r>
        <w:rPr>
          <w:b/>
          <w:bCs/>
        </w:rPr>
        <w:t>Battery Age &amp; Health</w:t>
      </w:r>
    </w:p>
    <w:p w14:paraId="55680AC9" w14:textId="77777777" w:rsidR="000D37FC" w:rsidRDefault="000D37FC" w:rsidP="000D37FC">
      <w:pPr>
        <w:pStyle w:val="Compact"/>
        <w:numPr>
          <w:ilvl w:val="0"/>
          <w:numId w:val="1"/>
        </w:numPr>
      </w:pPr>
      <w:r>
        <w:rPr>
          <w:b/>
          <w:bCs/>
        </w:rPr>
        <w:t>Temperature Variations</w:t>
      </w:r>
    </w:p>
    <w:p w14:paraId="13729C5C" w14:textId="77777777" w:rsidR="000D37FC" w:rsidRDefault="000D37FC" w:rsidP="000D37FC">
      <w:pPr>
        <w:pStyle w:val="Compact"/>
        <w:numPr>
          <w:ilvl w:val="0"/>
          <w:numId w:val="1"/>
        </w:numPr>
      </w:pPr>
      <w:r>
        <w:rPr>
          <w:b/>
          <w:bCs/>
        </w:rPr>
        <w:t>Load Characteristics</w:t>
      </w:r>
    </w:p>
    <w:p w14:paraId="2EE53902" w14:textId="77777777" w:rsidR="000D37FC" w:rsidRDefault="000D37FC" w:rsidP="000D37FC">
      <w:pPr>
        <w:pStyle w:val="Compact"/>
        <w:numPr>
          <w:ilvl w:val="0"/>
          <w:numId w:val="1"/>
        </w:numPr>
      </w:pPr>
      <w:r>
        <w:rPr>
          <w:b/>
          <w:bCs/>
        </w:rPr>
        <w:t>Charge/Discharge Rate (C-rate)</w:t>
      </w:r>
    </w:p>
    <w:p w14:paraId="2AC8D56C" w14:textId="77777777" w:rsidR="000D37FC" w:rsidRDefault="000D37FC" w:rsidP="000D37FC">
      <w:pPr>
        <w:pStyle w:val="Compact"/>
        <w:numPr>
          <w:ilvl w:val="0"/>
          <w:numId w:val="1"/>
        </w:numPr>
      </w:pPr>
      <w:r>
        <w:rPr>
          <w:b/>
          <w:bCs/>
        </w:rPr>
        <w:t>Self-Discharge of Battery</w:t>
      </w:r>
    </w:p>
    <w:p w14:paraId="75B065F3" w14:textId="77777777" w:rsidR="000D37FC" w:rsidRDefault="00000000" w:rsidP="000D37FC">
      <w:r>
        <w:pict w14:anchorId="084B53B4">
          <v:rect id="_x0000_i1028" style="width:0;height:1.5pt" o:hralign="center" o:hrstd="t" o:hr="t"/>
        </w:pict>
      </w:r>
    </w:p>
    <w:p w14:paraId="0B4413B1" w14:textId="77777777" w:rsidR="000D37FC" w:rsidRDefault="000D37FC" w:rsidP="000D37FC">
      <w:pPr>
        <w:pStyle w:val="Heading2"/>
      </w:pPr>
      <w:bookmarkStart w:id="13" w:name="X78424097499d17f2e0b853c107fde7feb88032c"/>
      <w:bookmarkEnd w:id="12"/>
      <w:r>
        <w:t>5. Battery Sizing Considerations Based on DoD</w:t>
      </w:r>
    </w:p>
    <w:p w14:paraId="4DB41CE1" w14:textId="77777777" w:rsidR="000D37FC" w:rsidRDefault="000D37FC" w:rsidP="000D37FC">
      <w:pPr>
        <w:pStyle w:val="FirstParagraph"/>
      </w:pPr>
      <w:r>
        <w:t xml:space="preserve">To extend battery life, proper sizing must be done based on realistic DoD limits. The required battery capacity can be determined as: </w:t>
      </w:r>
      <m:oMath>
        <m:r>
          <m:rPr>
            <m:nor/>
          </m:rPr>
          <m:t>Battery Capacity Required (</m:t>
        </m:r>
        <w:proofErr w:type="spellStart"/>
        <m:r>
          <m:rPr>
            <m:nor/>
          </m:rPr>
          <m:t>Wh</m:t>
        </m:r>
        <w:proofErr w:type="spellEnd"/>
        <m:r>
          <m:rPr>
            <m:nor/>
          </m:rPr>
          <m:t>)</m:t>
        </m:r>
        <m:r>
          <m:rPr>
            <m:sty m:val="p"/>
          </m:rPr>
          <w:rPr>
            <w:rFonts w:ascii="Cambria Math" w:hAnsi="Cambria Math"/>
          </w:rPr>
          <m:t>=</m:t>
        </m:r>
        <m:f>
          <m:fPr>
            <m:ctrlPr>
              <w:rPr>
                <w:rFonts w:ascii="Cambria Math" w:hAnsi="Cambria Math"/>
              </w:rPr>
            </m:ctrlPr>
          </m:fPr>
          <m:num>
            <m:r>
              <m:rPr>
                <m:nor/>
              </m:rPr>
              <m:t>Daily Load (Wh)</m:t>
            </m:r>
          </m:num>
          <m:den>
            <m:r>
              <m:rPr>
                <m:nor/>
              </m:rPr>
              <m:t>Usable DoD (%)</m:t>
            </m:r>
          </m:den>
        </m:f>
      </m:oMath>
    </w:p>
    <w:p w14:paraId="11C4CAB1" w14:textId="77777777" w:rsidR="000D37FC" w:rsidRDefault="000D37FC" w:rsidP="000D37FC">
      <w:pPr>
        <w:pStyle w:val="Heading3"/>
      </w:pPr>
      <w:bookmarkStart w:id="14" w:name="example"/>
      <w:r>
        <w:t>Example:</w:t>
      </w:r>
    </w:p>
    <w:p w14:paraId="45A0B1CE" w14:textId="77777777" w:rsidR="000D37FC" w:rsidRDefault="000D37FC" w:rsidP="000D37FC">
      <w:pPr>
        <w:pStyle w:val="Compact"/>
        <w:numPr>
          <w:ilvl w:val="0"/>
          <w:numId w:val="1"/>
        </w:numPr>
      </w:pPr>
      <w:r>
        <w:rPr>
          <w:b/>
          <w:bCs/>
        </w:rPr>
        <w:t>Daily Load</w:t>
      </w:r>
      <w:r>
        <w:t xml:space="preserve"> = 5000 </w:t>
      </w:r>
      <w:proofErr w:type="spellStart"/>
      <w:r>
        <w:t>Wh</w:t>
      </w:r>
      <w:proofErr w:type="spellEnd"/>
    </w:p>
    <w:p w14:paraId="40D20CF1" w14:textId="77777777" w:rsidR="000D37FC" w:rsidRDefault="000D37FC" w:rsidP="000D37FC">
      <w:pPr>
        <w:pStyle w:val="Compact"/>
        <w:numPr>
          <w:ilvl w:val="0"/>
          <w:numId w:val="1"/>
        </w:numPr>
      </w:pPr>
      <w:r>
        <w:rPr>
          <w:b/>
          <w:bCs/>
        </w:rPr>
        <w:t>Usable DoD</w:t>
      </w:r>
      <w:r>
        <w:t xml:space="preserve"> = 80% for Lithium-Ion Battery </w:t>
      </w:r>
      <w:proofErr w:type="spellStart"/>
      <m:oMath>
        <m:r>
          <m:rPr>
            <m:nor/>
          </m:rPr>
          <m:t>Battery</m:t>
        </m:r>
        <w:proofErr w:type="spellEnd"/>
        <m:r>
          <m:rPr>
            <m:nor/>
          </m:rPr>
          <m:t> Capacity</m:t>
        </m:r>
        <m:r>
          <m:rPr>
            <m:sty m:val="p"/>
          </m:rPr>
          <w:rPr>
            <w:rFonts w:ascii="Cambria Math" w:hAnsi="Cambria Math"/>
          </w:rPr>
          <m:t>=</m:t>
        </m:r>
        <m:f>
          <m:fPr>
            <m:ctrlPr>
              <w:rPr>
                <w:rFonts w:ascii="Cambria Math" w:hAnsi="Cambria Math"/>
              </w:rPr>
            </m:ctrlPr>
          </m:fPr>
          <m:num>
            <m:r>
              <w:rPr>
                <w:rFonts w:ascii="Cambria Math" w:hAnsi="Cambria Math"/>
              </w:rPr>
              <m:t>5000</m:t>
            </m:r>
          </m:num>
          <m:den>
            <m:r>
              <w:rPr>
                <w:rFonts w:ascii="Cambria Math" w:hAnsi="Cambria Math"/>
              </w:rPr>
              <m:t>0.8</m:t>
            </m:r>
          </m:den>
        </m:f>
        <m:r>
          <m:rPr>
            <m:sty m:val="p"/>
          </m:rPr>
          <w:rPr>
            <w:rFonts w:ascii="Cambria Math" w:hAnsi="Cambria Math"/>
          </w:rPr>
          <m:t>=</m:t>
        </m:r>
        <m:r>
          <w:rPr>
            <w:rFonts w:ascii="Cambria Math" w:hAnsi="Cambria Math"/>
          </w:rPr>
          <m:t>6250</m:t>
        </m:r>
        <m:r>
          <m:rPr>
            <m:nor/>
          </m:rPr>
          <m:t> Wh</m:t>
        </m:r>
      </m:oMath>
    </w:p>
    <w:p w14:paraId="554762F9" w14:textId="77777777" w:rsidR="000D37FC" w:rsidRDefault="00000000" w:rsidP="000D37FC">
      <w:r>
        <w:pict w14:anchorId="4CD6C6E7">
          <v:rect id="_x0000_i1029" style="width:0;height:1.5pt" o:hralign="center" o:hrstd="t" o:hr="t"/>
        </w:pict>
      </w:r>
    </w:p>
    <w:p w14:paraId="2EACDA1A" w14:textId="77777777" w:rsidR="000D37FC" w:rsidRDefault="000D37FC" w:rsidP="000D37FC">
      <w:pPr>
        <w:pStyle w:val="Heading2"/>
      </w:pPr>
      <w:bookmarkStart w:id="15" w:name="standards-guidelines"/>
      <w:bookmarkEnd w:id="13"/>
      <w:bookmarkEnd w:id="14"/>
      <w:r>
        <w:t>6. Standards &amp; Guidelines</w:t>
      </w:r>
    </w:p>
    <w:p w14:paraId="3837E3A6" w14:textId="77777777" w:rsidR="000D37FC" w:rsidRDefault="000D37FC" w:rsidP="000D37FC">
      <w:pPr>
        <w:pStyle w:val="Compact"/>
        <w:numPr>
          <w:ilvl w:val="0"/>
          <w:numId w:val="1"/>
        </w:numPr>
      </w:pPr>
      <w:r>
        <w:rPr>
          <w:b/>
          <w:bCs/>
        </w:rPr>
        <w:t>IEC 61427</w:t>
      </w:r>
      <w:r>
        <w:t>: Performance testing of batteries for renewable energy systems</w:t>
      </w:r>
    </w:p>
    <w:p w14:paraId="532526BA" w14:textId="77777777" w:rsidR="000D37FC" w:rsidRDefault="000D37FC" w:rsidP="000D37FC">
      <w:pPr>
        <w:pStyle w:val="Compact"/>
        <w:numPr>
          <w:ilvl w:val="0"/>
          <w:numId w:val="1"/>
        </w:numPr>
      </w:pPr>
      <w:r>
        <w:rPr>
          <w:b/>
          <w:bCs/>
        </w:rPr>
        <w:t>IEEE 485</w:t>
      </w:r>
      <w:r>
        <w:t>: Battery sizing for stationary applications</w:t>
      </w:r>
    </w:p>
    <w:p w14:paraId="534B9C17" w14:textId="77777777" w:rsidR="000D37FC" w:rsidRDefault="000D37FC" w:rsidP="000D37FC">
      <w:pPr>
        <w:pStyle w:val="Compact"/>
        <w:numPr>
          <w:ilvl w:val="0"/>
          <w:numId w:val="1"/>
        </w:numPr>
      </w:pPr>
      <w:r>
        <w:rPr>
          <w:b/>
          <w:bCs/>
        </w:rPr>
        <w:t>UL 1973</w:t>
      </w:r>
      <w:r>
        <w:t>: Standard for battery safety</w:t>
      </w:r>
    </w:p>
    <w:p w14:paraId="16AFF520" w14:textId="77777777" w:rsidR="000D37FC" w:rsidRDefault="000D37FC" w:rsidP="000D37FC">
      <w:pPr>
        <w:pStyle w:val="Compact"/>
        <w:numPr>
          <w:ilvl w:val="0"/>
          <w:numId w:val="1"/>
        </w:numPr>
      </w:pPr>
      <w:r>
        <w:rPr>
          <w:b/>
          <w:bCs/>
        </w:rPr>
        <w:t>NEC 690.7</w:t>
      </w:r>
      <w:r>
        <w:t>: Solar PV and battery system voltage regulations</w:t>
      </w:r>
    </w:p>
    <w:p w14:paraId="775B8D23" w14:textId="77777777" w:rsidR="000D37FC" w:rsidRDefault="00000000" w:rsidP="000D37FC">
      <w:r>
        <w:pict w14:anchorId="669973B1">
          <v:rect id="_x0000_i1030" style="width:0;height:1.5pt" o:hralign="center" o:hrstd="t" o:hr="t"/>
        </w:pict>
      </w:r>
    </w:p>
    <w:p w14:paraId="0E42609E" w14:textId="77777777" w:rsidR="000D37FC" w:rsidRDefault="000D37FC" w:rsidP="000D37FC">
      <w:pPr>
        <w:pStyle w:val="Heading2"/>
      </w:pPr>
      <w:bookmarkStart w:id="16" w:name="conclusion"/>
      <w:bookmarkEnd w:id="15"/>
      <w:r>
        <w:t>7. Conclusion</w:t>
      </w:r>
    </w:p>
    <w:p w14:paraId="1695858D" w14:textId="03751367" w:rsidR="004D3555" w:rsidRPr="003C0605" w:rsidRDefault="000D37FC" w:rsidP="00C10C1C">
      <w:pPr>
        <w:pStyle w:val="FirstParagraph"/>
      </w:pPr>
      <w:r>
        <w:t>By effectively managing Depth of Discharge (DoD) and State of Charge (SoC), solar power system efficiency and battery lifespan can be significantly improved. Proper battery sizing, adherence to industry standards, and monitoring tools are essential for optimal performance.</w:t>
      </w:r>
      <w:bookmarkEnd w:id="0"/>
      <w:bookmarkEnd w:id="16"/>
    </w:p>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5421" w14:textId="77777777" w:rsidR="00141F49" w:rsidRDefault="00141F49" w:rsidP="00B3571C">
      <w:pPr>
        <w:spacing w:after="0"/>
      </w:pPr>
      <w:r>
        <w:separator/>
      </w:r>
    </w:p>
  </w:endnote>
  <w:endnote w:type="continuationSeparator" w:id="0">
    <w:p w14:paraId="12A2B24D" w14:textId="77777777" w:rsidR="00141F49" w:rsidRDefault="00141F49"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71E92" w14:textId="77777777" w:rsidR="00141F49" w:rsidRDefault="00141F49" w:rsidP="00B3571C">
      <w:pPr>
        <w:spacing w:after="0"/>
      </w:pPr>
      <w:r>
        <w:separator/>
      </w:r>
    </w:p>
  </w:footnote>
  <w:footnote w:type="continuationSeparator" w:id="0">
    <w:p w14:paraId="3A80AFD3" w14:textId="77777777" w:rsidR="00141F49" w:rsidRDefault="00141F49"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0D37FC"/>
    <w:rsid w:val="00141F49"/>
    <w:rsid w:val="002069BA"/>
    <w:rsid w:val="002811B4"/>
    <w:rsid w:val="003C0605"/>
    <w:rsid w:val="003C778A"/>
    <w:rsid w:val="004505D5"/>
    <w:rsid w:val="00454C74"/>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E0377"/>
    <w:rsid w:val="00B3571C"/>
    <w:rsid w:val="00BD4EC2"/>
    <w:rsid w:val="00BF5158"/>
    <w:rsid w:val="00C10C1C"/>
    <w:rsid w:val="00C2574B"/>
    <w:rsid w:val="00C41EE7"/>
    <w:rsid w:val="00C46DD1"/>
    <w:rsid w:val="00C53D2B"/>
    <w:rsid w:val="00C666BF"/>
    <w:rsid w:val="00C7514B"/>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10</cp:revision>
  <dcterms:created xsi:type="dcterms:W3CDTF">1970-01-01T00:00:00Z</dcterms:created>
  <dcterms:modified xsi:type="dcterms:W3CDTF">2025-04-09T11:38:00Z</dcterms:modified>
</cp:coreProperties>
</file>