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FDB2" w14:textId="77777777" w:rsidR="00B95B5B" w:rsidRDefault="00B95B5B" w:rsidP="00B95B5B">
      <w:pPr>
        <w:pStyle w:val="Heading1"/>
      </w:pPr>
      <w:bookmarkStart w:id="0" w:name="Xc773d8b114e1a6b8a3cab295d684f76f0062a27"/>
      <w:r>
        <w:t>Thermal Expansion Calculation for Solar Mounting Structures</w:t>
      </w:r>
    </w:p>
    <w:p w14:paraId="124C4FF6" w14:textId="77777777" w:rsidR="00B95B5B" w:rsidRDefault="00B95B5B" w:rsidP="00B95B5B">
      <w:pPr>
        <w:pStyle w:val="Heading2"/>
      </w:pPr>
      <w:bookmarkStart w:id="1" w:name="introduction"/>
      <w:r>
        <w:t>1. Introduction</w:t>
      </w:r>
    </w:p>
    <w:p w14:paraId="14A44FFC" w14:textId="77777777" w:rsidR="00B95B5B" w:rsidRDefault="00B95B5B" w:rsidP="00B95B5B">
      <w:pPr>
        <w:pStyle w:val="FirstParagraph"/>
      </w:pPr>
      <w:r>
        <w:t>Thermal expansion is a crucial factor in designing solar mounting structures. Temperature variations cause expansion and contraction in materials, which, if not accounted for, can lead to structural stress, misalignment, or failure of connections. This document provides a detailed methodology for calculating the thermal expansion of solar mounting structures.</w:t>
      </w:r>
    </w:p>
    <w:p w14:paraId="7E9D3230" w14:textId="77777777" w:rsidR="00B95B5B" w:rsidRDefault="00B95B5B" w:rsidP="00B95B5B">
      <w:r>
        <w:pict w14:anchorId="1CE545EF">
          <v:rect id="_x0000_i1025" style="width:0;height:1.5pt" o:hralign="center" o:hrstd="t" o:hr="t"/>
        </w:pict>
      </w:r>
    </w:p>
    <w:p w14:paraId="6F9B4BC1" w14:textId="77777777" w:rsidR="00B95B5B" w:rsidRDefault="00B95B5B" w:rsidP="00B95B5B">
      <w:pPr>
        <w:pStyle w:val="Heading2"/>
      </w:pPr>
      <w:bookmarkStart w:id="2" w:name="formula-for-thermal-expansion"/>
      <w:bookmarkEnd w:id="1"/>
      <w:r>
        <w:t>2. Formula for Thermal Expansion</w:t>
      </w:r>
    </w:p>
    <w:p w14:paraId="33B60FBE" w14:textId="77777777" w:rsidR="00B95B5B" w:rsidRDefault="00B95B5B" w:rsidP="00B95B5B">
      <w:pPr>
        <w:pStyle w:val="FirstParagraph"/>
      </w:pPr>
      <w:r>
        <w:t>The linear thermal expansion of a material is calculated using the formula:</w:t>
      </w:r>
    </w:p>
    <w:p w14:paraId="6A86C3C3" w14:textId="77777777" w:rsidR="00B95B5B" w:rsidRDefault="00B95B5B" w:rsidP="00B95B5B">
      <w:pPr>
        <w:pStyle w:val="BodyText"/>
      </w:pPr>
      <m:oMathPara>
        <m:oMath>
          <m:r>
            <w:rPr>
              <w:rFonts w:ascii="Cambria Math" w:hAnsi="Cambria Math"/>
            </w:rPr>
            <m:t>ΔL</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ΔT</m:t>
          </m:r>
        </m:oMath>
      </m:oMathPara>
    </w:p>
    <w:p w14:paraId="4F110494" w14:textId="77777777" w:rsidR="00B95B5B" w:rsidRDefault="00B95B5B" w:rsidP="00B95B5B">
      <w:pPr>
        <w:pStyle w:val="BodyText"/>
      </w:pPr>
      <w:r>
        <w:t>Where:</w:t>
      </w:r>
    </w:p>
    <w:p w14:paraId="5AE97B74" w14:textId="77777777" w:rsidR="00B95B5B" w:rsidRDefault="00B95B5B" w:rsidP="00B95B5B">
      <w:pPr>
        <w:pStyle w:val="Compact"/>
        <w:numPr>
          <w:ilvl w:val="0"/>
          <w:numId w:val="1"/>
        </w:numPr>
      </w:pPr>
      <m:oMath>
        <m:r>
          <w:rPr>
            <w:rFonts w:ascii="Cambria Math" w:hAnsi="Cambria Math"/>
          </w:rPr>
          <m:t>ΔL</m:t>
        </m:r>
      </m:oMath>
      <w:r>
        <w:t xml:space="preserve"> = Change in length (m)</w:t>
      </w:r>
    </w:p>
    <w:p w14:paraId="4A31FB3D" w14:textId="77777777" w:rsidR="00B95B5B" w:rsidRDefault="00B95B5B" w:rsidP="00B95B5B">
      <w:pPr>
        <w:pStyle w:val="Compact"/>
        <w:numPr>
          <w:ilvl w:val="0"/>
          <w:numId w:val="1"/>
        </w:numPr>
      </w:pPr>
      <m:oMath>
        <m:r>
          <w:rPr>
            <w:rFonts w:ascii="Cambria Math" w:hAnsi="Cambria Math"/>
          </w:rPr>
          <m:t>α</m:t>
        </m:r>
      </m:oMath>
      <w:r>
        <w:t xml:space="preserve"> = Coefficient of thermal expansion (m/m°C)</w:t>
      </w:r>
    </w:p>
    <w:p w14:paraId="7A8034CA" w14:textId="77777777" w:rsidR="00B95B5B" w:rsidRDefault="00B95B5B" w:rsidP="00B95B5B">
      <w:pPr>
        <w:pStyle w:val="Compact"/>
        <w:numPr>
          <w:ilvl w:val="0"/>
          <w:numId w:val="1"/>
        </w:numPr>
      </w:pPr>
      <m:oMath>
        <m:r>
          <w:rPr>
            <w:rFonts w:ascii="Cambria Math" w:hAnsi="Cambria Math"/>
          </w:rPr>
          <m:t>L</m:t>
        </m:r>
      </m:oMath>
      <w:r>
        <w:t xml:space="preserve"> = Original length of the material (m)</w:t>
      </w:r>
    </w:p>
    <w:p w14:paraId="23761D39" w14:textId="77777777" w:rsidR="00B95B5B" w:rsidRDefault="00B95B5B" w:rsidP="00B95B5B">
      <w:pPr>
        <w:pStyle w:val="Compact"/>
        <w:numPr>
          <w:ilvl w:val="0"/>
          <w:numId w:val="1"/>
        </w:numPr>
      </w:pPr>
      <m:oMath>
        <m:r>
          <w:rPr>
            <w:rFonts w:ascii="Cambria Math" w:hAnsi="Cambria Math"/>
          </w:rPr>
          <m:t>ΔT</m:t>
        </m:r>
      </m:oMath>
      <w:r>
        <w:t xml:space="preserve"> = Temperature change (°C)</w:t>
      </w:r>
    </w:p>
    <w:p w14:paraId="054BE6A8" w14:textId="77777777" w:rsidR="00B95B5B" w:rsidRDefault="00B95B5B" w:rsidP="00B95B5B">
      <w:pPr>
        <w:pStyle w:val="FirstParagraph"/>
      </w:pPr>
      <w:r>
        <w:t xml:space="preserve">The coefficient of thermal expansion </w:t>
      </w:r>
      <m:oMath>
        <m:r>
          <w:rPr>
            <w:rFonts w:ascii="Cambria Math" w:hAnsi="Cambria Math"/>
          </w:rPr>
          <m:t>α</m:t>
        </m:r>
      </m:oMath>
      <w:r>
        <w:t xml:space="preserve"> varies for different materials:</w:t>
      </w:r>
    </w:p>
    <w:tbl>
      <w:tblPr>
        <w:tblStyle w:val="Table"/>
        <w:tblW w:w="0" w:type="auto"/>
        <w:tblLook w:val="0020" w:firstRow="1" w:lastRow="0" w:firstColumn="0" w:lastColumn="0" w:noHBand="0" w:noVBand="0"/>
      </w:tblPr>
      <w:tblGrid>
        <w:gridCol w:w="1257"/>
        <w:gridCol w:w="4789"/>
      </w:tblGrid>
      <w:tr w:rsidR="00B95B5B" w14:paraId="6D356CAD" w14:textId="77777777" w:rsidTr="007A074B">
        <w:trPr>
          <w:cnfStyle w:val="100000000000" w:firstRow="1" w:lastRow="0" w:firstColumn="0" w:lastColumn="0" w:oddVBand="0" w:evenVBand="0" w:oddHBand="0" w:evenHBand="0" w:firstRowFirstColumn="0" w:firstRowLastColumn="0" w:lastRowFirstColumn="0" w:lastRowLastColumn="0"/>
          <w:tblHeader/>
        </w:trPr>
        <w:tc>
          <w:tcPr>
            <w:tcW w:w="0" w:type="auto"/>
          </w:tcPr>
          <w:p w14:paraId="4BDC716E" w14:textId="77777777" w:rsidR="00B95B5B" w:rsidRDefault="00B95B5B" w:rsidP="007A074B">
            <w:pPr>
              <w:pStyle w:val="Compact"/>
            </w:pPr>
            <w:r>
              <w:t>Material</w:t>
            </w:r>
          </w:p>
        </w:tc>
        <w:tc>
          <w:tcPr>
            <w:tcW w:w="0" w:type="auto"/>
          </w:tcPr>
          <w:p w14:paraId="62F85DDA" w14:textId="77777777" w:rsidR="00B95B5B" w:rsidRDefault="00B95B5B" w:rsidP="007A074B">
            <w:pPr>
              <w:pStyle w:val="Compact"/>
            </w:pPr>
            <w:r>
              <w:t>Coefficient of Thermal Expansion (</w:t>
            </w:r>
            <m:oMath>
              <m:r>
                <w:rPr>
                  <w:rFonts w:ascii="Cambria Math" w:hAnsi="Cambria Math"/>
                </w:rPr>
                <m:t>α</m:t>
              </m:r>
            </m:oMath>
            <w:r>
              <w:t>) (m/m°C)</w:t>
            </w:r>
          </w:p>
        </w:tc>
      </w:tr>
      <w:tr w:rsidR="00B95B5B" w14:paraId="1F88CC95" w14:textId="77777777" w:rsidTr="007A074B">
        <w:tc>
          <w:tcPr>
            <w:tcW w:w="0" w:type="auto"/>
          </w:tcPr>
          <w:p w14:paraId="35972C0C" w14:textId="77777777" w:rsidR="00B95B5B" w:rsidRDefault="00B95B5B" w:rsidP="007A074B">
            <w:pPr>
              <w:pStyle w:val="Compact"/>
            </w:pPr>
            <w:r>
              <w:t>Aluminum</w:t>
            </w:r>
          </w:p>
        </w:tc>
        <w:tc>
          <w:tcPr>
            <w:tcW w:w="0" w:type="auto"/>
          </w:tcPr>
          <w:p w14:paraId="0381A44D" w14:textId="77777777" w:rsidR="00B95B5B" w:rsidRDefault="00B95B5B" w:rsidP="007A074B">
            <w:pPr>
              <w:pStyle w:val="Compact"/>
            </w:pPr>
            <w:r>
              <w:t>23 × 10⁻⁶</w:t>
            </w:r>
          </w:p>
        </w:tc>
      </w:tr>
      <w:tr w:rsidR="00B95B5B" w14:paraId="06E3CDAC" w14:textId="77777777" w:rsidTr="007A074B">
        <w:tc>
          <w:tcPr>
            <w:tcW w:w="0" w:type="auto"/>
          </w:tcPr>
          <w:p w14:paraId="5E1D22DB" w14:textId="77777777" w:rsidR="00B95B5B" w:rsidRDefault="00B95B5B" w:rsidP="007A074B">
            <w:pPr>
              <w:pStyle w:val="Compact"/>
            </w:pPr>
            <w:r>
              <w:t>Steel</w:t>
            </w:r>
          </w:p>
        </w:tc>
        <w:tc>
          <w:tcPr>
            <w:tcW w:w="0" w:type="auto"/>
          </w:tcPr>
          <w:p w14:paraId="1ECF0447" w14:textId="77777777" w:rsidR="00B95B5B" w:rsidRDefault="00B95B5B" w:rsidP="007A074B">
            <w:pPr>
              <w:pStyle w:val="Compact"/>
            </w:pPr>
            <w:r>
              <w:t>12 × 10⁻⁶</w:t>
            </w:r>
          </w:p>
        </w:tc>
      </w:tr>
      <w:tr w:rsidR="00B95B5B" w14:paraId="1ED72283" w14:textId="77777777" w:rsidTr="007A074B">
        <w:tc>
          <w:tcPr>
            <w:tcW w:w="0" w:type="auto"/>
          </w:tcPr>
          <w:p w14:paraId="6C55E399" w14:textId="77777777" w:rsidR="00B95B5B" w:rsidRDefault="00B95B5B" w:rsidP="007A074B">
            <w:pPr>
              <w:pStyle w:val="Compact"/>
            </w:pPr>
            <w:r>
              <w:t>Copper</w:t>
            </w:r>
          </w:p>
        </w:tc>
        <w:tc>
          <w:tcPr>
            <w:tcW w:w="0" w:type="auto"/>
          </w:tcPr>
          <w:p w14:paraId="3609538D" w14:textId="77777777" w:rsidR="00B95B5B" w:rsidRDefault="00B95B5B" w:rsidP="007A074B">
            <w:pPr>
              <w:pStyle w:val="Compact"/>
            </w:pPr>
            <w:r>
              <w:t>16.5 × 10⁻⁶</w:t>
            </w:r>
          </w:p>
        </w:tc>
      </w:tr>
      <w:tr w:rsidR="00B95B5B" w14:paraId="69F74721" w14:textId="77777777" w:rsidTr="007A074B">
        <w:tc>
          <w:tcPr>
            <w:tcW w:w="0" w:type="auto"/>
          </w:tcPr>
          <w:p w14:paraId="3E53D0B5" w14:textId="77777777" w:rsidR="00B95B5B" w:rsidRDefault="00B95B5B" w:rsidP="007A074B">
            <w:pPr>
              <w:pStyle w:val="Compact"/>
            </w:pPr>
            <w:r>
              <w:t>Concrete</w:t>
            </w:r>
          </w:p>
        </w:tc>
        <w:tc>
          <w:tcPr>
            <w:tcW w:w="0" w:type="auto"/>
          </w:tcPr>
          <w:p w14:paraId="307A96C8" w14:textId="77777777" w:rsidR="00B95B5B" w:rsidRDefault="00B95B5B" w:rsidP="007A074B">
            <w:pPr>
              <w:pStyle w:val="Compact"/>
            </w:pPr>
            <w:r>
              <w:t>10 × 10⁻⁶</w:t>
            </w:r>
          </w:p>
        </w:tc>
      </w:tr>
    </w:tbl>
    <w:p w14:paraId="4E7099F9" w14:textId="77777777" w:rsidR="00B95B5B" w:rsidRDefault="00B95B5B" w:rsidP="00B95B5B">
      <w:r>
        <w:pict w14:anchorId="22B8A663">
          <v:rect id="_x0000_i1026" style="width:0;height:1.5pt" o:hralign="center" o:hrstd="t" o:hr="t"/>
        </w:pict>
      </w:r>
    </w:p>
    <w:p w14:paraId="50CFCF41" w14:textId="77777777" w:rsidR="00B95B5B" w:rsidRDefault="00B95B5B" w:rsidP="00B95B5B">
      <w:pPr>
        <w:pStyle w:val="Heading2"/>
      </w:pPr>
      <w:bookmarkStart w:id="3" w:name="example-calculation"/>
      <w:bookmarkEnd w:id="2"/>
      <w:r>
        <w:t>3. Example Calculation</w:t>
      </w:r>
    </w:p>
    <w:p w14:paraId="4F4EDCBC" w14:textId="77777777" w:rsidR="00B95B5B" w:rsidRDefault="00B95B5B" w:rsidP="00B95B5B">
      <w:pPr>
        <w:pStyle w:val="Heading3"/>
      </w:pPr>
      <w:bookmarkStart w:id="4" w:name="given"/>
      <w:r>
        <w:t>Given:</w:t>
      </w:r>
    </w:p>
    <w:p w14:paraId="1F76F642" w14:textId="77777777" w:rsidR="00B95B5B" w:rsidRDefault="00B95B5B" w:rsidP="00B95B5B">
      <w:pPr>
        <w:pStyle w:val="Compact"/>
        <w:numPr>
          <w:ilvl w:val="0"/>
          <w:numId w:val="1"/>
        </w:numPr>
      </w:pPr>
      <w:r>
        <w:t>Material: Aluminum</w:t>
      </w:r>
    </w:p>
    <w:p w14:paraId="31D21346" w14:textId="77777777" w:rsidR="00B95B5B" w:rsidRDefault="00B95B5B" w:rsidP="00B95B5B">
      <w:pPr>
        <w:pStyle w:val="Compact"/>
        <w:numPr>
          <w:ilvl w:val="0"/>
          <w:numId w:val="1"/>
        </w:numPr>
      </w:pPr>
      <w:r>
        <w:t xml:space="preserve">Original length </w:t>
      </w:r>
      <m:oMath>
        <m:r>
          <w:rPr>
            <w:rFonts w:ascii="Cambria Math" w:hAnsi="Cambria Math"/>
          </w:rPr>
          <m:t>L</m:t>
        </m:r>
      </m:oMath>
      <w:r>
        <w:t xml:space="preserve"> = 5m</w:t>
      </w:r>
    </w:p>
    <w:p w14:paraId="633A4157" w14:textId="77777777" w:rsidR="00B95B5B" w:rsidRDefault="00B95B5B" w:rsidP="00B95B5B">
      <w:pPr>
        <w:pStyle w:val="Compact"/>
        <w:numPr>
          <w:ilvl w:val="0"/>
          <w:numId w:val="1"/>
        </w:numPr>
      </w:pPr>
      <w:r>
        <w:t xml:space="preserve">Temperature variation </w:t>
      </w:r>
      <m:oMath>
        <m:r>
          <w:rPr>
            <w:rFonts w:ascii="Cambria Math" w:hAnsi="Cambria Math"/>
          </w:rPr>
          <m:t>ΔT</m:t>
        </m:r>
      </m:oMath>
      <w:r>
        <w:t xml:space="preserve"> = 30°C</w:t>
      </w:r>
    </w:p>
    <w:p w14:paraId="4CE9896F" w14:textId="77777777" w:rsidR="00B95B5B" w:rsidRDefault="00B95B5B" w:rsidP="00B95B5B">
      <w:pPr>
        <w:pStyle w:val="FirstParagraph"/>
      </w:pPr>
      <m:oMath>
        <m:r>
          <w:rPr>
            <w:rFonts w:ascii="Cambria Math" w:hAnsi="Cambria Math"/>
          </w:rPr>
          <m:t>ΔL</m:t>
        </m:r>
        <m:r>
          <m:rPr>
            <m:sty m:val="p"/>
          </m:rPr>
          <w:rPr>
            <w:rFonts w:ascii="Cambria Math" w:hAnsi="Cambria Math"/>
          </w:rPr>
          <m:t>=</m:t>
        </m:r>
        <m:d>
          <m:dPr>
            <m:ctrlPr>
              <w:rPr>
                <w:rFonts w:ascii="Cambria Math" w:hAnsi="Cambria Math"/>
              </w:rPr>
            </m:ctrlPr>
          </m:dPr>
          <m:e>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r>
          <m:rPr>
            <m:sty m:val="p"/>
          </m:rPr>
          <w:rPr>
            <w:rFonts w:ascii="Cambria Math" w:hAnsi="Cambria Math"/>
          </w:rPr>
          <m:t>×</m:t>
        </m:r>
        <m:d>
          <m:dPr>
            <m:ctrlPr>
              <w:rPr>
                <w:rFonts w:ascii="Cambria Math" w:hAnsi="Cambria Math"/>
              </w:rPr>
            </m:ctrlPr>
          </m:dPr>
          <m:e>
            <m:r>
              <w:rPr>
                <w:rFonts w:ascii="Cambria Math" w:hAnsi="Cambria Math"/>
              </w:rPr>
              <m:t>5</m:t>
            </m:r>
          </m:e>
        </m:d>
        <m:r>
          <m:rPr>
            <m:sty m:val="p"/>
          </m:rPr>
          <w:rPr>
            <w:rFonts w:ascii="Cambria Math" w:hAnsi="Cambria Math"/>
          </w:rPr>
          <m:t>×</m:t>
        </m:r>
        <m:d>
          <m:dPr>
            <m:ctrlPr>
              <w:rPr>
                <w:rFonts w:ascii="Cambria Math" w:hAnsi="Cambria Math"/>
              </w:rPr>
            </m:ctrlPr>
          </m:dPr>
          <m:e>
            <m:r>
              <w:rPr>
                <w:rFonts w:ascii="Cambria Math" w:hAnsi="Cambria Math"/>
              </w:rPr>
              <m:t>30</m:t>
            </m:r>
          </m:e>
        </m:d>
      </m:oMath>
      <w:r>
        <w:t xml:space="preserve"> </w:t>
      </w:r>
      <m:oMath>
        <m:r>
          <w:rPr>
            <w:rFonts w:ascii="Cambria Math" w:hAnsi="Cambria Math"/>
          </w:rPr>
          <m:t>ΔL</m:t>
        </m:r>
        <m:r>
          <m:rPr>
            <m:sty m:val="p"/>
          </m:rPr>
          <w:rPr>
            <w:rFonts w:ascii="Cambria Math" w:hAnsi="Cambria Math"/>
          </w:rPr>
          <m:t>=</m:t>
        </m:r>
        <m:r>
          <w:rPr>
            <w:rFonts w:ascii="Cambria Math" w:hAnsi="Cambria Math"/>
          </w:rPr>
          <m:t>0.00345m</m:t>
        </m:r>
      </m:oMath>
      <w:r>
        <w:t xml:space="preserve"> </w:t>
      </w:r>
      <m:oMath>
        <m:r>
          <w:rPr>
            <w:rFonts w:ascii="Cambria Math" w:hAnsi="Cambria Math"/>
          </w:rPr>
          <m:t>ΔL</m:t>
        </m:r>
        <m:r>
          <m:rPr>
            <m:sty m:val="p"/>
          </m:rPr>
          <w:rPr>
            <w:rFonts w:ascii="Cambria Math" w:hAnsi="Cambria Math"/>
          </w:rPr>
          <m:t>=</m:t>
        </m:r>
        <m:r>
          <w:rPr>
            <w:rFonts w:ascii="Cambria Math" w:hAnsi="Cambria Math"/>
          </w:rPr>
          <m:t>3.45mm</m:t>
        </m:r>
      </m:oMath>
    </w:p>
    <w:p w14:paraId="364A5791" w14:textId="77777777" w:rsidR="00B95B5B" w:rsidRDefault="00B95B5B" w:rsidP="00B95B5B">
      <w:pPr>
        <w:pStyle w:val="BodyText"/>
      </w:pPr>
      <w:r>
        <w:lastRenderedPageBreak/>
        <w:t xml:space="preserve">So, the structure will expand by </w:t>
      </w:r>
      <w:r>
        <w:rPr>
          <w:b/>
          <w:bCs/>
        </w:rPr>
        <w:t>3.45mm</w:t>
      </w:r>
      <w:r>
        <w:t xml:space="preserve"> under a </w:t>
      </w:r>
      <w:r>
        <w:rPr>
          <w:b/>
          <w:bCs/>
        </w:rPr>
        <w:t>30°C</w:t>
      </w:r>
      <w:r>
        <w:t xml:space="preserve"> temperature change.</w:t>
      </w:r>
    </w:p>
    <w:p w14:paraId="5D0E3343" w14:textId="77777777" w:rsidR="00B95B5B" w:rsidRDefault="00B95B5B" w:rsidP="00B95B5B">
      <w:r>
        <w:pict w14:anchorId="20D3DF29">
          <v:rect id="_x0000_i1027" style="width:0;height:1.5pt" o:hralign="center" o:hrstd="t" o:hr="t"/>
        </w:pict>
      </w:r>
    </w:p>
    <w:p w14:paraId="04D1662A" w14:textId="77777777" w:rsidR="00B95B5B" w:rsidRDefault="00B95B5B" w:rsidP="00B95B5B">
      <w:pPr>
        <w:pStyle w:val="Heading2"/>
      </w:pPr>
      <w:bookmarkStart w:id="5" w:name="impact-on-solar-mounting-structures"/>
      <w:bookmarkEnd w:id="3"/>
      <w:bookmarkEnd w:id="4"/>
      <w:r>
        <w:t>4. Impact on Solar Mounting Structures</w:t>
      </w:r>
    </w:p>
    <w:p w14:paraId="7048FE0C" w14:textId="77777777" w:rsidR="00B95B5B" w:rsidRDefault="00B95B5B" w:rsidP="00B95B5B">
      <w:pPr>
        <w:pStyle w:val="Compact"/>
        <w:numPr>
          <w:ilvl w:val="0"/>
          <w:numId w:val="1"/>
        </w:numPr>
      </w:pPr>
      <w:r>
        <w:rPr>
          <w:b/>
          <w:bCs/>
        </w:rPr>
        <w:t>Expansion Joints</w:t>
      </w:r>
      <w:r>
        <w:t>: Required to accommodate thermal expansion.</w:t>
      </w:r>
    </w:p>
    <w:p w14:paraId="3B46F351" w14:textId="77777777" w:rsidR="00B95B5B" w:rsidRDefault="00B95B5B" w:rsidP="00B95B5B">
      <w:pPr>
        <w:pStyle w:val="Compact"/>
        <w:numPr>
          <w:ilvl w:val="0"/>
          <w:numId w:val="1"/>
        </w:numPr>
      </w:pPr>
      <w:r>
        <w:rPr>
          <w:b/>
          <w:bCs/>
        </w:rPr>
        <w:t>Sliding Supports</w:t>
      </w:r>
      <w:r>
        <w:t>: Allow free expansion and contraction without stress buildup.</w:t>
      </w:r>
    </w:p>
    <w:p w14:paraId="2BF14611" w14:textId="77777777" w:rsidR="00B95B5B" w:rsidRDefault="00B95B5B" w:rsidP="00B95B5B">
      <w:pPr>
        <w:pStyle w:val="Compact"/>
        <w:numPr>
          <w:ilvl w:val="0"/>
          <w:numId w:val="1"/>
        </w:numPr>
      </w:pPr>
      <w:r>
        <w:rPr>
          <w:b/>
          <w:bCs/>
        </w:rPr>
        <w:t>Material Selection</w:t>
      </w:r>
      <w:r>
        <w:t>: Choosing materials with a low expansion coefficient minimizes deformation.</w:t>
      </w:r>
    </w:p>
    <w:p w14:paraId="6219B345" w14:textId="77777777" w:rsidR="00B95B5B" w:rsidRDefault="00B95B5B" w:rsidP="00B95B5B">
      <w:pPr>
        <w:pStyle w:val="Compact"/>
        <w:numPr>
          <w:ilvl w:val="0"/>
          <w:numId w:val="1"/>
        </w:numPr>
      </w:pPr>
      <w:r>
        <w:rPr>
          <w:b/>
          <w:bCs/>
        </w:rPr>
        <w:t>Fastener Flexibility</w:t>
      </w:r>
      <w:r>
        <w:t>: Use of slotted holes or flexible joints to compensate for thermal movement.</w:t>
      </w:r>
    </w:p>
    <w:p w14:paraId="0EFF47A5" w14:textId="77777777" w:rsidR="00B95B5B" w:rsidRDefault="00B95B5B" w:rsidP="00B95B5B">
      <w:r>
        <w:pict w14:anchorId="7B24EE66">
          <v:rect id="_x0000_i1028" style="width:0;height:1.5pt" o:hralign="center" o:hrstd="t" o:hr="t"/>
        </w:pict>
      </w:r>
    </w:p>
    <w:p w14:paraId="726C35CB" w14:textId="77777777" w:rsidR="00B95B5B" w:rsidRDefault="00B95B5B" w:rsidP="00B95B5B">
      <w:pPr>
        <w:pStyle w:val="Heading2"/>
      </w:pPr>
      <w:bookmarkStart w:id="6" w:name="compliance-with-standards"/>
      <w:bookmarkEnd w:id="5"/>
      <w:r>
        <w:t>5. Compliance with Standards</w:t>
      </w:r>
    </w:p>
    <w:p w14:paraId="3C589712" w14:textId="77777777" w:rsidR="00B95B5B" w:rsidRDefault="00B95B5B" w:rsidP="00B95B5B">
      <w:pPr>
        <w:pStyle w:val="Compact"/>
        <w:numPr>
          <w:ilvl w:val="0"/>
          <w:numId w:val="1"/>
        </w:numPr>
      </w:pPr>
      <w:r>
        <w:rPr>
          <w:b/>
          <w:bCs/>
        </w:rPr>
        <w:t>IS 800:2007</w:t>
      </w:r>
      <w:r>
        <w:t xml:space="preserve"> (General Construction in Steel)</w:t>
      </w:r>
    </w:p>
    <w:p w14:paraId="2DA85DCA" w14:textId="77777777" w:rsidR="00B95B5B" w:rsidRDefault="00B95B5B" w:rsidP="00B95B5B">
      <w:pPr>
        <w:pStyle w:val="Compact"/>
        <w:numPr>
          <w:ilvl w:val="0"/>
          <w:numId w:val="1"/>
        </w:numPr>
      </w:pPr>
      <w:r>
        <w:rPr>
          <w:b/>
          <w:bCs/>
        </w:rPr>
        <w:t>IS 875 Part 5</w:t>
      </w:r>
      <w:r>
        <w:t xml:space="preserve"> (Load Considerations)</w:t>
      </w:r>
    </w:p>
    <w:p w14:paraId="2F22D677" w14:textId="77777777" w:rsidR="00B95B5B" w:rsidRDefault="00B95B5B" w:rsidP="00B95B5B">
      <w:pPr>
        <w:pStyle w:val="Compact"/>
        <w:numPr>
          <w:ilvl w:val="0"/>
          <w:numId w:val="1"/>
        </w:numPr>
      </w:pPr>
      <w:r>
        <w:rPr>
          <w:b/>
          <w:bCs/>
        </w:rPr>
        <w:t>IEC 61215</w:t>
      </w:r>
      <w:r>
        <w:t xml:space="preserve"> (PV Module Endurance)</w:t>
      </w:r>
    </w:p>
    <w:p w14:paraId="668A6307" w14:textId="77777777" w:rsidR="00B95B5B" w:rsidRDefault="00B95B5B" w:rsidP="00B95B5B">
      <w:pPr>
        <w:pStyle w:val="Compact"/>
        <w:numPr>
          <w:ilvl w:val="0"/>
          <w:numId w:val="1"/>
        </w:numPr>
      </w:pPr>
      <w:r>
        <w:rPr>
          <w:b/>
          <w:bCs/>
        </w:rPr>
        <w:t>ASTM E228</w:t>
      </w:r>
      <w:r>
        <w:t xml:space="preserve"> (Coefficient of Thermal Expansion Testing)</w:t>
      </w:r>
    </w:p>
    <w:p w14:paraId="6605EE8A" w14:textId="77777777" w:rsidR="00B95B5B" w:rsidRDefault="00B95B5B" w:rsidP="00B95B5B">
      <w:r>
        <w:pict w14:anchorId="52DABC55">
          <v:rect id="_x0000_i1029" style="width:0;height:1.5pt" o:hralign="center" o:hrstd="t" o:hr="t"/>
        </w:pict>
      </w:r>
    </w:p>
    <w:p w14:paraId="0C9D0CA9" w14:textId="77777777" w:rsidR="00B95B5B" w:rsidRDefault="00B95B5B" w:rsidP="00B95B5B">
      <w:pPr>
        <w:pStyle w:val="Heading2"/>
      </w:pPr>
      <w:bookmarkStart w:id="7" w:name="conclusion"/>
      <w:bookmarkEnd w:id="6"/>
      <w:r>
        <w:t>6. Conclusion</w:t>
      </w:r>
    </w:p>
    <w:p w14:paraId="7FFB71C7" w14:textId="77777777" w:rsidR="00B95B5B" w:rsidRDefault="00B95B5B" w:rsidP="00B95B5B">
      <w:pPr>
        <w:pStyle w:val="FirstParagraph"/>
      </w:pPr>
      <w:r>
        <w:t>Thermal expansion is a critical consideration in solar mounting structures. Proper allowances must be incorporated into design to prevent structural failures and maintain system integrity. Using the above calculations, engineers can design robust and reliable solar mounting solutions.</w:t>
      </w:r>
      <w:bookmarkEnd w:id="0"/>
      <w:bookmarkEnd w:id="7"/>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38F9" w14:textId="77777777" w:rsidR="002A2E64" w:rsidRDefault="002A2E64" w:rsidP="00B3571C">
      <w:pPr>
        <w:spacing w:after="0"/>
      </w:pPr>
      <w:r>
        <w:separator/>
      </w:r>
    </w:p>
  </w:endnote>
  <w:endnote w:type="continuationSeparator" w:id="0">
    <w:p w14:paraId="40E3DE27" w14:textId="77777777" w:rsidR="002A2E64" w:rsidRDefault="002A2E64"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717F" w14:textId="77777777" w:rsidR="002A2E64" w:rsidRDefault="002A2E64" w:rsidP="00B3571C">
      <w:pPr>
        <w:spacing w:after="0"/>
      </w:pPr>
      <w:r>
        <w:separator/>
      </w:r>
    </w:p>
  </w:footnote>
  <w:footnote w:type="continuationSeparator" w:id="0">
    <w:p w14:paraId="5EF07E4A" w14:textId="77777777" w:rsidR="002A2E64" w:rsidRDefault="002A2E64"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2A2E64"/>
    <w:rsid w:val="003C0605"/>
    <w:rsid w:val="003C778A"/>
    <w:rsid w:val="004505D5"/>
    <w:rsid w:val="00476E09"/>
    <w:rsid w:val="004D3555"/>
    <w:rsid w:val="005926EF"/>
    <w:rsid w:val="005A056E"/>
    <w:rsid w:val="005B6D48"/>
    <w:rsid w:val="005F3127"/>
    <w:rsid w:val="0061129A"/>
    <w:rsid w:val="00654138"/>
    <w:rsid w:val="00663E74"/>
    <w:rsid w:val="007803D7"/>
    <w:rsid w:val="00801630"/>
    <w:rsid w:val="008245C2"/>
    <w:rsid w:val="008E4D7E"/>
    <w:rsid w:val="00907A90"/>
    <w:rsid w:val="009257D8"/>
    <w:rsid w:val="009E0377"/>
    <w:rsid w:val="00B3571C"/>
    <w:rsid w:val="00B95B5B"/>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2025-04-09T10:28:00Z</dcterms:modified>
</cp:coreProperties>
</file>