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E81A2" w14:textId="77777777" w:rsidR="00300AE8" w:rsidRDefault="00300AE8" w:rsidP="00E81D04">
      <w:pPr>
        <w:jc w:val="center"/>
        <w:rPr>
          <w:b/>
          <w:sz w:val="40"/>
          <w:szCs w:val="40"/>
        </w:rPr>
      </w:pPr>
    </w:p>
    <w:p w14:paraId="23BFEA96" w14:textId="77777777" w:rsidR="00300AE8" w:rsidRDefault="00300AE8" w:rsidP="00E81D04">
      <w:pPr>
        <w:jc w:val="center"/>
        <w:rPr>
          <w:b/>
          <w:sz w:val="40"/>
          <w:szCs w:val="40"/>
        </w:rPr>
      </w:pPr>
    </w:p>
    <w:p w14:paraId="66FC3724" w14:textId="77777777" w:rsidR="00300AE8" w:rsidRDefault="00300AE8" w:rsidP="00E81D04">
      <w:pPr>
        <w:jc w:val="center"/>
        <w:rPr>
          <w:b/>
          <w:sz w:val="40"/>
          <w:szCs w:val="40"/>
        </w:rPr>
      </w:pPr>
    </w:p>
    <w:p w14:paraId="65A3083C" w14:textId="2BC41861" w:rsidR="00F9344F" w:rsidRPr="00B17A21" w:rsidRDefault="00736C34" w:rsidP="00B17A21">
      <w:pPr>
        <w:jc w:val="center"/>
        <w:rPr>
          <w:sz w:val="40"/>
          <w:szCs w:val="40"/>
        </w:rPr>
      </w:pPr>
      <w:r>
        <w:rPr>
          <w:b/>
          <w:sz w:val="40"/>
          <w:szCs w:val="40"/>
        </w:rPr>
        <w:t>Subways, Strikes</w:t>
      </w:r>
      <w:r w:rsidR="00F11A1F">
        <w:rPr>
          <w:b/>
          <w:sz w:val="40"/>
          <w:szCs w:val="40"/>
        </w:rPr>
        <w:t>,</w:t>
      </w:r>
      <w:r>
        <w:rPr>
          <w:b/>
          <w:sz w:val="40"/>
          <w:szCs w:val="40"/>
        </w:rPr>
        <w:t xml:space="preserve"> and Smog</w:t>
      </w:r>
    </w:p>
    <w:p w14:paraId="05F17056" w14:textId="2413E22B" w:rsidR="00D87BAE" w:rsidRDefault="00F9344F" w:rsidP="00F9344F">
      <w:pPr>
        <w:tabs>
          <w:tab w:val="left" w:pos="6615"/>
        </w:tabs>
        <w:rPr>
          <w:sz w:val="40"/>
          <w:szCs w:val="40"/>
        </w:rPr>
      </w:pPr>
      <w:r>
        <w:rPr>
          <w:sz w:val="40"/>
          <w:szCs w:val="40"/>
        </w:rPr>
        <w:tab/>
      </w:r>
    </w:p>
    <w:p w14:paraId="459ED8F2" w14:textId="77777777" w:rsidR="00D87BAE" w:rsidRDefault="00D87BAE" w:rsidP="00736C34">
      <w:pPr>
        <w:jc w:val="center"/>
        <w:rPr>
          <w:sz w:val="40"/>
          <w:szCs w:val="40"/>
        </w:rPr>
      </w:pPr>
    </w:p>
    <w:p w14:paraId="79F589E9" w14:textId="77777777" w:rsidR="00D87BAE" w:rsidRDefault="00D87BAE" w:rsidP="00736C34">
      <w:pPr>
        <w:jc w:val="center"/>
        <w:rPr>
          <w:sz w:val="40"/>
          <w:szCs w:val="40"/>
        </w:rPr>
      </w:pPr>
    </w:p>
    <w:p w14:paraId="19CB61B8" w14:textId="77777777" w:rsidR="00736C34" w:rsidRDefault="00736C34" w:rsidP="00736C34">
      <w:pPr>
        <w:jc w:val="center"/>
      </w:pPr>
      <w:r>
        <w:t>By Nick Vedder</w:t>
      </w:r>
    </w:p>
    <w:p w14:paraId="18484583" w14:textId="279F6BFD" w:rsidR="00300AE8" w:rsidRDefault="00300AE8" w:rsidP="00736C34">
      <w:pPr>
        <w:jc w:val="center"/>
      </w:pPr>
      <w:r>
        <w:t>November 11, 2014</w:t>
      </w:r>
    </w:p>
    <w:p w14:paraId="2A7080EC" w14:textId="77777777" w:rsidR="00736C34" w:rsidRDefault="00736C34" w:rsidP="00736C34">
      <w:pPr>
        <w:jc w:val="center"/>
      </w:pPr>
    </w:p>
    <w:p w14:paraId="390EB69A" w14:textId="77777777" w:rsidR="00736C34" w:rsidRDefault="00736C34" w:rsidP="00736C34">
      <w:pPr>
        <w:jc w:val="center"/>
      </w:pPr>
    </w:p>
    <w:p w14:paraId="047FF5C2" w14:textId="59553D65" w:rsidR="00736C34" w:rsidRDefault="00736C34" w:rsidP="00736C34">
      <w:pPr>
        <w:ind w:left="720" w:right="720"/>
        <w:jc w:val="both"/>
        <w:rPr>
          <w:i/>
        </w:rPr>
      </w:pPr>
      <w:r>
        <w:rPr>
          <w:i/>
        </w:rPr>
        <w:t xml:space="preserve">The welfare impacts of public transportation </w:t>
      </w:r>
      <w:r w:rsidR="00C04359">
        <w:rPr>
          <w:i/>
        </w:rPr>
        <w:t>continue</w:t>
      </w:r>
      <w:r w:rsidR="007B4285">
        <w:rPr>
          <w:i/>
        </w:rPr>
        <w:t xml:space="preserve"> to be a hot topic as</w:t>
      </w:r>
      <w:r>
        <w:rPr>
          <w:i/>
        </w:rPr>
        <w:t xml:space="preserve"> congestion levels in major metropolitan areas have reached unprecedented levels. However, the discussion and research surrounding public transit </w:t>
      </w:r>
      <w:r w:rsidR="00296272">
        <w:rPr>
          <w:i/>
        </w:rPr>
        <w:t>has yet to quantify</w:t>
      </w:r>
      <w:r>
        <w:rPr>
          <w:i/>
        </w:rPr>
        <w:t xml:space="preserve"> the impacts it has on air quality. I attempt to estimate the air quality </w:t>
      </w:r>
      <w:r w:rsidR="00F20ADF">
        <w:rPr>
          <w:i/>
        </w:rPr>
        <w:t>impact</w:t>
      </w:r>
      <w:r>
        <w:rPr>
          <w:i/>
        </w:rPr>
        <w:t xml:space="preserve"> of public transit using a quasi-experiment</w:t>
      </w:r>
      <w:r w:rsidR="007B4285">
        <w:rPr>
          <w:i/>
        </w:rPr>
        <w:t>al</w:t>
      </w:r>
      <w:r>
        <w:rPr>
          <w:i/>
        </w:rPr>
        <w:t xml:space="preserve"> setting in which </w:t>
      </w:r>
      <w:r w:rsidR="007B4285">
        <w:rPr>
          <w:i/>
        </w:rPr>
        <w:t xml:space="preserve">employees of the </w:t>
      </w:r>
      <w:r>
        <w:rPr>
          <w:i/>
        </w:rPr>
        <w:t>Los Angeles Metropolitan Transportation Authority went on strike</w:t>
      </w:r>
      <w:r w:rsidR="00C04359">
        <w:rPr>
          <w:i/>
        </w:rPr>
        <w:t>,</w:t>
      </w:r>
      <w:r>
        <w:rPr>
          <w:i/>
        </w:rPr>
        <w:t xml:space="preserve"> effectively shutting down all </w:t>
      </w:r>
      <w:r w:rsidR="007B4285">
        <w:rPr>
          <w:i/>
        </w:rPr>
        <w:t xml:space="preserve">public </w:t>
      </w:r>
      <w:r>
        <w:rPr>
          <w:i/>
        </w:rPr>
        <w:t>transit modes provided</w:t>
      </w:r>
      <w:r w:rsidR="007B4285">
        <w:rPr>
          <w:i/>
        </w:rPr>
        <w:t xml:space="preserve"> in the greater Los Angeles area</w:t>
      </w:r>
      <w:r>
        <w:rPr>
          <w:i/>
        </w:rPr>
        <w:t xml:space="preserve"> for 35 consecutive days. </w:t>
      </w:r>
      <w:r w:rsidR="0020197A">
        <w:rPr>
          <w:i/>
        </w:rPr>
        <w:t xml:space="preserve">Using air quality data from the Environmental Protection Agency’s Air Quality System, </w:t>
      </w:r>
      <w:r>
        <w:rPr>
          <w:i/>
        </w:rPr>
        <w:t xml:space="preserve">I </w:t>
      </w:r>
      <w:r w:rsidR="00296272">
        <w:rPr>
          <w:i/>
        </w:rPr>
        <w:t>employ</w:t>
      </w:r>
      <w:r>
        <w:rPr>
          <w:i/>
        </w:rPr>
        <w:t xml:space="preserve"> a difference-in-difference</w:t>
      </w:r>
      <w:r w:rsidR="00DE7FDE">
        <w:rPr>
          <w:i/>
        </w:rPr>
        <w:t>s</w:t>
      </w:r>
      <w:r>
        <w:rPr>
          <w:i/>
        </w:rPr>
        <w:t xml:space="preserve"> estimator</w:t>
      </w:r>
      <w:r w:rsidR="00296272">
        <w:rPr>
          <w:i/>
        </w:rPr>
        <w:t xml:space="preserve"> which adjusts for pollution trends</w:t>
      </w:r>
      <w:r w:rsidR="00346E41">
        <w:rPr>
          <w:i/>
        </w:rPr>
        <w:t xml:space="preserve"> to evaluate the impact</w:t>
      </w:r>
      <w:r>
        <w:rPr>
          <w:i/>
        </w:rPr>
        <w:t xml:space="preserve"> of the strike on air quality</w:t>
      </w:r>
      <w:r w:rsidR="0020197A">
        <w:rPr>
          <w:i/>
        </w:rPr>
        <w:t xml:space="preserve"> in the Los Angeles area</w:t>
      </w:r>
      <w:r w:rsidR="00346E41">
        <w:rPr>
          <w:i/>
        </w:rPr>
        <w:t xml:space="preserve"> around the beginning of the strike</w:t>
      </w:r>
      <w:r w:rsidRPr="00BB39A1">
        <w:rPr>
          <w:i/>
        </w:rPr>
        <w:t>.</w:t>
      </w:r>
      <w:r w:rsidR="0024066E" w:rsidRPr="00BB39A1">
        <w:rPr>
          <w:i/>
        </w:rPr>
        <w:t xml:space="preserve"> </w:t>
      </w:r>
      <w:r w:rsidR="00046651" w:rsidRPr="00BB39A1">
        <w:rPr>
          <w:i/>
        </w:rPr>
        <w:t xml:space="preserve">My estimates find significant and robust increases in </w:t>
      </w:r>
      <w:r w:rsidR="003C12FC">
        <w:rPr>
          <w:i/>
        </w:rPr>
        <w:t>n</w:t>
      </w:r>
      <w:r w:rsidR="00046651" w:rsidRPr="00BB39A1">
        <w:rPr>
          <w:i/>
        </w:rPr>
        <w:t>i</w:t>
      </w:r>
      <w:r w:rsidR="003C12FC">
        <w:rPr>
          <w:i/>
        </w:rPr>
        <w:t>trogen d</w:t>
      </w:r>
      <w:r w:rsidR="00046651" w:rsidRPr="00BB39A1">
        <w:rPr>
          <w:i/>
        </w:rPr>
        <w:t>ioxide</w:t>
      </w:r>
      <w:r w:rsidR="00346E41">
        <w:rPr>
          <w:i/>
        </w:rPr>
        <w:t xml:space="preserve"> and nitrogen oxides </w:t>
      </w:r>
      <w:r w:rsidR="00346E41" w:rsidRPr="00BB39A1">
        <w:rPr>
          <w:i/>
        </w:rPr>
        <w:t>at the beginning of the strike</w:t>
      </w:r>
      <w:r w:rsidR="00346E41">
        <w:rPr>
          <w:i/>
        </w:rPr>
        <w:t xml:space="preserve">. These estimates suggest increases of </w:t>
      </w:r>
      <w:r w:rsidR="00BB39A1" w:rsidRPr="00BB39A1">
        <w:rPr>
          <w:i/>
        </w:rPr>
        <w:t>26</w:t>
      </w:r>
      <w:r w:rsidR="00696282" w:rsidRPr="00BB39A1">
        <w:rPr>
          <w:i/>
        </w:rPr>
        <w:t xml:space="preserve"> percent</w:t>
      </w:r>
      <w:r w:rsidR="00346E41">
        <w:rPr>
          <w:i/>
        </w:rPr>
        <w:t xml:space="preserve"> for nitrogen dioxide and </w:t>
      </w:r>
      <w:r w:rsidR="00BB39A1" w:rsidRPr="00BB39A1">
        <w:rPr>
          <w:i/>
        </w:rPr>
        <w:t>35</w:t>
      </w:r>
      <w:r w:rsidR="00696282" w:rsidRPr="00BB39A1">
        <w:rPr>
          <w:i/>
        </w:rPr>
        <w:t xml:space="preserve"> to </w:t>
      </w:r>
      <w:r w:rsidR="00BB39A1" w:rsidRPr="00BB39A1">
        <w:rPr>
          <w:i/>
        </w:rPr>
        <w:t>50</w:t>
      </w:r>
      <w:r w:rsidR="00696282" w:rsidRPr="00BB39A1">
        <w:rPr>
          <w:i/>
        </w:rPr>
        <w:t xml:space="preserve"> percent </w:t>
      </w:r>
      <w:r w:rsidR="00346E41">
        <w:rPr>
          <w:i/>
        </w:rPr>
        <w:t>for nitrogen oxides. However,</w:t>
      </w:r>
      <w:r w:rsidR="00696282" w:rsidRPr="00BB39A1">
        <w:rPr>
          <w:i/>
        </w:rPr>
        <w:t xml:space="preserve"> other evidence suggests that there is </w:t>
      </w:r>
      <w:r w:rsidR="00346E41">
        <w:rPr>
          <w:i/>
        </w:rPr>
        <w:t>uncontrolled</w:t>
      </w:r>
      <w:r w:rsidR="00696282" w:rsidRPr="00BB39A1">
        <w:rPr>
          <w:i/>
        </w:rPr>
        <w:t xml:space="preserve"> variation confounding </w:t>
      </w:r>
      <w:r w:rsidR="006D352E">
        <w:rPr>
          <w:i/>
        </w:rPr>
        <w:t>my nitrogen oxide</w:t>
      </w:r>
      <w:r w:rsidR="00696282" w:rsidRPr="00BB39A1">
        <w:rPr>
          <w:i/>
        </w:rPr>
        <w:t xml:space="preserve"> estimates. I ultimately find no impact on </w:t>
      </w:r>
      <w:r w:rsidR="003C12FC">
        <w:rPr>
          <w:i/>
        </w:rPr>
        <w:t>c</w:t>
      </w:r>
      <w:r w:rsidR="00696282" w:rsidRPr="00BB39A1">
        <w:rPr>
          <w:i/>
        </w:rPr>
        <w:t>arbon monoxide levels</w:t>
      </w:r>
      <w:r w:rsidR="002F716A">
        <w:rPr>
          <w:i/>
        </w:rPr>
        <w:t xml:space="preserve"> which may be due to a Type II error</w:t>
      </w:r>
      <w:r w:rsidR="00696282" w:rsidRPr="00BB39A1">
        <w:rPr>
          <w:i/>
        </w:rPr>
        <w:t>.</w:t>
      </w:r>
      <w:r w:rsidR="000160E6">
        <w:rPr>
          <w:i/>
        </w:rPr>
        <w:t xml:space="preserve"> </w:t>
      </w:r>
    </w:p>
    <w:p w14:paraId="116F960B" w14:textId="77777777" w:rsidR="00FC3161" w:rsidRDefault="00FC3161" w:rsidP="00736C34">
      <w:pPr>
        <w:ind w:left="720" w:right="720"/>
        <w:jc w:val="both"/>
        <w:rPr>
          <w:i/>
        </w:rPr>
      </w:pPr>
    </w:p>
    <w:p w14:paraId="00DBE2CA" w14:textId="77777777" w:rsidR="00FC3161" w:rsidRDefault="00FC3161" w:rsidP="00736C34">
      <w:pPr>
        <w:ind w:left="720" w:right="720"/>
        <w:jc w:val="both"/>
        <w:rPr>
          <w:i/>
        </w:rPr>
      </w:pPr>
    </w:p>
    <w:p w14:paraId="242C34FC" w14:textId="77777777" w:rsidR="00C0740B" w:rsidRDefault="00C0740B" w:rsidP="00736C34">
      <w:pPr>
        <w:ind w:left="720" w:right="720"/>
        <w:jc w:val="both"/>
        <w:rPr>
          <w:i/>
        </w:rPr>
      </w:pPr>
    </w:p>
    <w:p w14:paraId="74DC5C88" w14:textId="77777777" w:rsidR="00300AE8" w:rsidRDefault="00300AE8" w:rsidP="00736C34">
      <w:pPr>
        <w:ind w:left="720" w:right="720"/>
        <w:jc w:val="both"/>
        <w:rPr>
          <w:i/>
        </w:rPr>
      </w:pPr>
    </w:p>
    <w:p w14:paraId="44D6C24B" w14:textId="77777777" w:rsidR="00300AE8" w:rsidRDefault="00300AE8" w:rsidP="00736C34">
      <w:pPr>
        <w:ind w:left="720" w:right="720"/>
        <w:jc w:val="both"/>
        <w:rPr>
          <w:i/>
        </w:rPr>
      </w:pPr>
    </w:p>
    <w:p w14:paraId="7DE89EDE" w14:textId="77777777" w:rsidR="00300AE8" w:rsidRDefault="00300AE8" w:rsidP="00736C34">
      <w:pPr>
        <w:ind w:left="720" w:right="720"/>
        <w:jc w:val="both"/>
        <w:rPr>
          <w:i/>
        </w:rPr>
      </w:pPr>
    </w:p>
    <w:p w14:paraId="6023B2DE" w14:textId="77777777" w:rsidR="00300AE8" w:rsidRDefault="00300AE8" w:rsidP="00736C34">
      <w:pPr>
        <w:ind w:left="720" w:right="720"/>
        <w:jc w:val="both"/>
        <w:rPr>
          <w:i/>
        </w:rPr>
      </w:pPr>
    </w:p>
    <w:p w14:paraId="5491D12E" w14:textId="77777777" w:rsidR="00300AE8" w:rsidRDefault="00300AE8" w:rsidP="00736C34">
      <w:pPr>
        <w:ind w:left="720" w:right="720"/>
        <w:jc w:val="both"/>
        <w:rPr>
          <w:i/>
        </w:rPr>
      </w:pPr>
    </w:p>
    <w:p w14:paraId="5A07BE6C" w14:textId="77777777" w:rsidR="00300AE8" w:rsidRDefault="00300AE8" w:rsidP="00144FA2">
      <w:pPr>
        <w:ind w:right="720"/>
        <w:jc w:val="both"/>
        <w:rPr>
          <w:i/>
        </w:rPr>
      </w:pPr>
    </w:p>
    <w:p w14:paraId="270237F0" w14:textId="77777777" w:rsidR="00F8500C" w:rsidRDefault="00F8500C" w:rsidP="00144FA2">
      <w:pPr>
        <w:ind w:right="720"/>
        <w:jc w:val="both"/>
        <w:rPr>
          <w:i/>
        </w:rPr>
      </w:pPr>
    </w:p>
    <w:p w14:paraId="1B28A717" w14:textId="77777777" w:rsidR="00F8500C" w:rsidRDefault="00F8500C" w:rsidP="00144FA2">
      <w:pPr>
        <w:ind w:right="720"/>
        <w:jc w:val="both"/>
        <w:rPr>
          <w:i/>
        </w:rPr>
      </w:pPr>
    </w:p>
    <w:p w14:paraId="6E998E92" w14:textId="77777777" w:rsidR="00300AE8" w:rsidRDefault="00300AE8" w:rsidP="00856481">
      <w:pPr>
        <w:ind w:right="720"/>
        <w:jc w:val="both"/>
        <w:rPr>
          <w:i/>
        </w:rPr>
      </w:pPr>
    </w:p>
    <w:p w14:paraId="1244765B" w14:textId="319DFB93" w:rsidR="005A26A0" w:rsidRDefault="002E5080" w:rsidP="00C0740B">
      <w:pPr>
        <w:spacing w:line="480" w:lineRule="auto"/>
        <w:ind w:firstLine="360"/>
      </w:pPr>
      <w:r>
        <w:lastRenderedPageBreak/>
        <w:t>It is a widely accepted among the academic and scientific community that air pollution has hazardous effects on health and the environment. The World Health Organization recently reported that in 2012, around 7 million or about one in eight total global deaths are a result of air pollution (2014)</w:t>
      </w:r>
      <w:r w:rsidR="0076620F">
        <w:t>.</w:t>
      </w:r>
      <w:r w:rsidR="00F20ADF">
        <w:t xml:space="preserve"> One of the largest contributors t</w:t>
      </w:r>
      <w:r w:rsidR="000B06BF">
        <w:t xml:space="preserve">o air pollution </w:t>
      </w:r>
      <w:r w:rsidR="00585402">
        <w:t>are</w:t>
      </w:r>
      <w:r w:rsidR="00561191">
        <w:t xml:space="preserve"> </w:t>
      </w:r>
      <w:r w:rsidR="00585402">
        <w:t>automobiles,</w:t>
      </w:r>
      <w:r w:rsidR="000B06BF">
        <w:t xml:space="preserve"> </w:t>
      </w:r>
      <w:r w:rsidR="00585402">
        <w:t>implying</w:t>
      </w:r>
      <w:r w:rsidR="00F20ADF">
        <w:t xml:space="preserve"> </w:t>
      </w:r>
      <w:r w:rsidR="00570278">
        <w:t>that public policy aimed at discouraging private automobile use</w:t>
      </w:r>
      <w:r w:rsidR="000B06BF">
        <w:t xml:space="preserve">, such as </w:t>
      </w:r>
      <w:r w:rsidR="00662433">
        <w:t>public transit</w:t>
      </w:r>
      <w:r w:rsidR="000B06BF">
        <w:t>, may</w:t>
      </w:r>
      <w:r w:rsidR="00662433">
        <w:t xml:space="preserve"> </w:t>
      </w:r>
      <w:r w:rsidR="008748C1">
        <w:t xml:space="preserve">be a </w:t>
      </w:r>
      <w:r w:rsidR="00662433">
        <w:t xml:space="preserve">potential solution to improving air quality. However, estimating the air quality impacts of public transit is </w:t>
      </w:r>
      <w:r w:rsidR="00CE5CD4">
        <w:t>quite difficult</w:t>
      </w:r>
      <w:r w:rsidR="00662433">
        <w:t xml:space="preserve"> because of confounding sources of pollution</w:t>
      </w:r>
      <w:r w:rsidR="00CE5CD4">
        <w:t>, seasonal variation</w:t>
      </w:r>
      <w:r w:rsidR="00662433">
        <w:t xml:space="preserve"> and regional selection of public transit</w:t>
      </w:r>
      <w:r w:rsidR="00933FBA">
        <w:t xml:space="preserve"> infrastructure</w:t>
      </w:r>
      <w:r w:rsidR="00662433">
        <w:t xml:space="preserve">. </w:t>
      </w:r>
      <w:r w:rsidR="009173C6">
        <w:t xml:space="preserve">I attempt to overcome </w:t>
      </w:r>
      <w:r w:rsidR="00CE5CD4">
        <w:t>these</w:t>
      </w:r>
      <w:r w:rsidR="009173C6">
        <w:t xml:space="preserve"> issue</w:t>
      </w:r>
      <w:r w:rsidR="00CE5CD4">
        <w:t>s</w:t>
      </w:r>
      <w:r w:rsidR="009173C6">
        <w:t xml:space="preserve"> by using exogenous variation in </w:t>
      </w:r>
      <w:r w:rsidR="00F20ADF">
        <w:t>public transit use</w:t>
      </w:r>
      <w:r w:rsidR="00CC50C6">
        <w:t xml:space="preserve"> that occurred during 2003 when the Los Angeles Metropolitan Transportation Authority </w:t>
      </w:r>
      <w:r w:rsidR="003C000F">
        <w:t xml:space="preserve">(MTA) </w:t>
      </w:r>
      <w:r w:rsidR="00CC50C6">
        <w:t xml:space="preserve">went on a 35-day strike, effectively shutting down all modes of public transit available to Los Angeles </w:t>
      </w:r>
      <w:r w:rsidR="009A6382">
        <w:t>C</w:t>
      </w:r>
      <w:r w:rsidR="003C000F">
        <w:t xml:space="preserve">ounty </w:t>
      </w:r>
      <w:r w:rsidR="00CC50C6">
        <w:t xml:space="preserve">residents. </w:t>
      </w:r>
      <w:r w:rsidR="00F20ADF">
        <w:t>Hypothetically, the resulting change in air pollution around and very close to the beginning of the stri</w:t>
      </w:r>
      <w:r w:rsidR="003863A4">
        <w:t>ke will lik</w:t>
      </w:r>
      <w:r w:rsidR="006B39AB">
        <w:t xml:space="preserve">ely be identified as the strike’s impact </w:t>
      </w:r>
      <w:r w:rsidR="003863A4">
        <w:t>on air quality</w:t>
      </w:r>
      <w:r w:rsidR="00495C94">
        <w:t xml:space="preserve"> through</w:t>
      </w:r>
      <w:r w:rsidR="00180131">
        <w:t xml:space="preserve"> immediate</w:t>
      </w:r>
      <w:r w:rsidR="00495C94">
        <w:t xml:space="preserve"> </w:t>
      </w:r>
      <w:r w:rsidR="00F472D6">
        <w:t xml:space="preserve">changes in </w:t>
      </w:r>
      <w:r w:rsidR="00495C94">
        <w:t>automobile use</w:t>
      </w:r>
      <w:r w:rsidR="003863A4">
        <w:t>.</w:t>
      </w:r>
      <w:r w:rsidR="00180131">
        <w:t xml:space="preserve"> Using air pollution data further away from the beginning of the strike, however, will be confounding because of the myriad of external sources and variables affecting pollution.</w:t>
      </w:r>
      <w:r w:rsidR="003863A4">
        <w:t xml:space="preserve"> This identification strategy is </w:t>
      </w:r>
      <w:r w:rsidR="003C000F">
        <w:t>at the heart</w:t>
      </w:r>
      <w:r w:rsidR="009743C0">
        <w:t xml:space="preserve"> of my analysis as I use a trend-adjusted difference-in-differences </w:t>
      </w:r>
      <w:r w:rsidR="00935738">
        <w:t>regression</w:t>
      </w:r>
      <w:r w:rsidR="009743C0">
        <w:t xml:space="preserve"> to estimate the discontinuity of air pollution in Los Angeles County around the beginning of the strike. </w:t>
      </w:r>
      <w:r w:rsidR="00935738">
        <w:t>This strategy</w:t>
      </w:r>
      <w:r w:rsidR="009743C0">
        <w:t xml:space="preserve"> </w:t>
      </w:r>
      <w:r w:rsidR="00660C70">
        <w:t xml:space="preserve">also </w:t>
      </w:r>
      <w:r w:rsidR="009743C0">
        <w:t xml:space="preserve">allows me to net out any </w:t>
      </w:r>
      <w:r w:rsidR="00935738">
        <w:t>discontinuous</w:t>
      </w:r>
      <w:r w:rsidR="009743C0">
        <w:t xml:space="preserve"> changes in air pollution around the beginning of the strike </w:t>
      </w:r>
      <w:r w:rsidR="00B935E5">
        <w:t xml:space="preserve">that may be due to regional confounding factors </w:t>
      </w:r>
      <w:r w:rsidR="009743C0">
        <w:t xml:space="preserve">by </w:t>
      </w:r>
      <w:r w:rsidR="00935738">
        <w:t>using</w:t>
      </w:r>
      <w:r w:rsidR="009743C0">
        <w:t xml:space="preserve"> neighboring counties</w:t>
      </w:r>
      <w:r w:rsidR="00935738">
        <w:t xml:space="preserve"> as controls</w:t>
      </w:r>
      <w:r w:rsidR="009743C0">
        <w:t>.</w:t>
      </w:r>
      <w:r w:rsidR="00877DBE">
        <w:t xml:space="preserve"> </w:t>
      </w:r>
      <w:r w:rsidR="00180131">
        <w:t>In this context, t</w:t>
      </w:r>
      <w:r w:rsidR="00180131" w:rsidRPr="00180131">
        <w:t xml:space="preserve">he interpretation of </w:t>
      </w:r>
      <w:r w:rsidR="00180131">
        <w:t>such estimates</w:t>
      </w:r>
      <w:r w:rsidR="00180131" w:rsidRPr="00180131">
        <w:t xml:space="preserve"> reflect </w:t>
      </w:r>
      <w:r w:rsidR="00C42308">
        <w:t xml:space="preserve">the impact of </w:t>
      </w:r>
      <w:r w:rsidR="00180131" w:rsidRPr="00180131">
        <w:t xml:space="preserve">a transit availability “shock” by looking at the discontinuous change in air pollution </w:t>
      </w:r>
      <w:r w:rsidR="008E4C9F">
        <w:t>potentially attributed to</w:t>
      </w:r>
      <w:r w:rsidR="00180131" w:rsidRPr="00180131">
        <w:t xml:space="preserve"> marginal drivers expecting transit to be available during the first week of the strike and adjusting their travel mode after realizing the strike.</w:t>
      </w:r>
      <w:r w:rsidR="00D12328">
        <w:rPr>
          <w:rStyle w:val="FootnoteReference"/>
        </w:rPr>
        <w:footnoteReference w:id="1"/>
      </w:r>
      <w:r w:rsidR="00180131" w:rsidRPr="00180131">
        <w:t xml:space="preserve">  </w:t>
      </w:r>
      <w:r w:rsidR="00436FD1">
        <w:t xml:space="preserve">This type of </w:t>
      </w:r>
      <w:r w:rsidR="00436FD1">
        <w:lastRenderedPageBreak/>
        <w:t xml:space="preserve">estimation strategy has yet to be used in </w:t>
      </w:r>
      <w:r w:rsidR="00232716">
        <w:t xml:space="preserve">research </w:t>
      </w:r>
      <w:r w:rsidR="00436FD1">
        <w:t xml:space="preserve">evaluating </w:t>
      </w:r>
      <w:r w:rsidR="00EF541E">
        <w:t>the impact of public transit availability on air quality</w:t>
      </w:r>
      <w:r w:rsidR="00436FD1">
        <w:t>.</w:t>
      </w:r>
    </w:p>
    <w:p w14:paraId="13B997BC" w14:textId="50B2974B" w:rsidR="00806695" w:rsidRDefault="00CB0C4C" w:rsidP="003863A4">
      <w:pPr>
        <w:tabs>
          <w:tab w:val="right" w:pos="9360"/>
        </w:tabs>
        <w:spacing w:line="480" w:lineRule="auto"/>
        <w:ind w:firstLine="360"/>
      </w:pPr>
      <w:r>
        <w:t>In 2003, The Los Angeles MTA served approximately 10 million residents and covered 1,400 square miles of Los Angeles County. It operated one subway line (the Red Line), two light rail lines (the Blue and Green Lines), and dozens of bus lines.</w:t>
      </w:r>
      <w:r w:rsidR="001B2557">
        <w:t xml:space="preserve"> </w:t>
      </w:r>
      <w:r w:rsidR="00AD704A">
        <w:t>The average number of weekday passenger boarding</w:t>
      </w:r>
      <w:r w:rsidR="00CE5CD4">
        <w:t>s</w:t>
      </w:r>
      <w:r w:rsidR="00AD704A">
        <w:t xml:space="preserve"> at the time was estimated to be 200,000 on all three rail lines and 1.1 million on all bus lines.</w:t>
      </w:r>
      <w:r w:rsidR="00B677A4">
        <w:t xml:space="preserve"> </w:t>
      </w:r>
      <w:r w:rsidR="00FB6798">
        <w:t>On October 14</w:t>
      </w:r>
      <w:r w:rsidR="00FB6798" w:rsidRPr="00FB6798">
        <w:rPr>
          <w:vertAlign w:val="superscript"/>
        </w:rPr>
        <w:t>th</w:t>
      </w:r>
      <w:r w:rsidR="003C72E8">
        <w:t>, 2003</w:t>
      </w:r>
      <w:r w:rsidR="00561191">
        <w:t>,</w:t>
      </w:r>
      <w:r w:rsidR="00FB6798">
        <w:t xml:space="preserve"> </w:t>
      </w:r>
      <w:r w:rsidR="00B82B84">
        <w:t>2200 MTA mechanics walked off the job as well as 6000 bus drivers, rail operators and other workers</w:t>
      </w:r>
      <w:r w:rsidR="003C72E8">
        <w:t xml:space="preserve"> over a disagreement with the MTA’s proposed changes to the union-controlled health care fund. The strike halted</w:t>
      </w:r>
      <w:r w:rsidR="00B82B84">
        <w:t xml:space="preserve"> 1900 buses, light rail and subway lines</w:t>
      </w:r>
      <w:r w:rsidR="00561191">
        <w:t>,</w:t>
      </w:r>
      <w:r w:rsidR="00B82B84">
        <w:t xml:space="preserve"> effectively shutting down all modes of </w:t>
      </w:r>
      <w:r w:rsidR="00AD0747">
        <w:t xml:space="preserve">public </w:t>
      </w:r>
      <w:r w:rsidR="00B82B84">
        <w:t xml:space="preserve">transportation available </w:t>
      </w:r>
      <w:r w:rsidR="00AD0747">
        <w:t xml:space="preserve">in Los Angeles County. </w:t>
      </w:r>
      <w:r w:rsidR="00E57A0B">
        <w:t xml:space="preserve">The </w:t>
      </w:r>
      <w:r w:rsidR="00ED2AFF">
        <w:t>severance of service was so bad</w:t>
      </w:r>
      <w:r w:rsidR="00E57A0B">
        <w:t xml:space="preserve"> that when interviewed on the </w:t>
      </w:r>
      <w:r w:rsidR="003C72E8">
        <w:t xml:space="preserve">first </w:t>
      </w:r>
      <w:r w:rsidR="00E57A0B">
        <w:t>day of the strike, MT</w:t>
      </w:r>
      <w:r w:rsidR="000446A3">
        <w:t>A Chief Executive, Roger Snoble</w:t>
      </w:r>
      <w:r w:rsidR="00E57A0B">
        <w:t xml:space="preserve"> admitted, “We will have no ability to offer any real alternatives to our customers… We cannot offer service in any way, shape or </w:t>
      </w:r>
      <w:r w:rsidR="003C72E8">
        <w:t>form.” (</w:t>
      </w:r>
      <w:r w:rsidR="000446A3">
        <w:t>Kurt Streeter and Karen Bernstein 2003</w:t>
      </w:r>
      <w:r w:rsidR="003C72E8">
        <w:t xml:space="preserve">). </w:t>
      </w:r>
      <w:r w:rsidR="00174A3E">
        <w:t>Anecdotal evidence suggests that congestion spike</w:t>
      </w:r>
      <w:r w:rsidR="003C000F">
        <w:t xml:space="preserve">d heavily at the </w:t>
      </w:r>
      <w:r w:rsidR="00561191">
        <w:t xml:space="preserve">beginning </w:t>
      </w:r>
      <w:r w:rsidR="003C000F">
        <w:t xml:space="preserve">of the strike and </w:t>
      </w:r>
      <w:r w:rsidR="00174A3E">
        <w:t xml:space="preserve">continued to </w:t>
      </w:r>
      <w:r w:rsidR="00746DB2">
        <w:t>increase during it (Rubin 2003)</w:t>
      </w:r>
      <w:r w:rsidR="00561191">
        <w:t>,</w:t>
      </w:r>
      <w:r w:rsidR="00746DB2">
        <w:t xml:space="preserve"> </w:t>
      </w:r>
      <w:r w:rsidR="00ED2AFF">
        <w:t>with</w:t>
      </w:r>
      <w:r w:rsidR="00024BB3">
        <w:t xml:space="preserve"> </w:t>
      </w:r>
      <w:r w:rsidR="00ED2AFF">
        <w:t>empirical evidence supporting</w:t>
      </w:r>
      <w:r w:rsidR="00746DB2">
        <w:t xml:space="preserve"> </w:t>
      </w:r>
      <w:r w:rsidR="00561191">
        <w:t xml:space="preserve">this suggestion </w:t>
      </w:r>
      <w:r w:rsidR="00746DB2">
        <w:t xml:space="preserve">(Lo and Hall 2006; Anderson 2013). </w:t>
      </w:r>
      <w:r w:rsidR="00BA26CF">
        <w:t>Additional</w:t>
      </w:r>
      <w:r w:rsidR="008464BB" w:rsidRPr="00BA26CF">
        <w:t xml:space="preserve"> anecdotal evidence </w:t>
      </w:r>
      <w:r w:rsidR="00ED2569" w:rsidRPr="00BA26CF">
        <w:t>reveals</w:t>
      </w:r>
      <w:r w:rsidR="008464BB" w:rsidRPr="00BA26CF">
        <w:t xml:space="preserve"> that the strike impacted the sales of entire shopping centers </w:t>
      </w:r>
      <w:r w:rsidR="000943B3">
        <w:t>since</w:t>
      </w:r>
      <w:r w:rsidR="008464BB" w:rsidRPr="00BA26CF">
        <w:t xml:space="preserve"> customers </w:t>
      </w:r>
      <w:r w:rsidR="000943B3">
        <w:t>typically relied on using public transit to reach these destinations</w:t>
      </w:r>
      <w:r w:rsidR="00EC634F">
        <w:t xml:space="preserve"> </w:t>
      </w:r>
      <w:r w:rsidR="008464BB" w:rsidRPr="00BA26CF">
        <w:t>(Bernstein et al 2003).</w:t>
      </w:r>
      <w:r w:rsidR="008464BB">
        <w:t xml:space="preserve"> </w:t>
      </w:r>
      <w:r w:rsidR="00322A85">
        <w:t>The strike lasted 35 day</w:t>
      </w:r>
      <w:r w:rsidR="00C23E9D">
        <w:t>s</w:t>
      </w:r>
      <w:r w:rsidR="00561191">
        <w:t>,</w:t>
      </w:r>
      <w:r w:rsidR="00322A85">
        <w:t xml:space="preserve"> until </w:t>
      </w:r>
      <w:r w:rsidR="002D4E1E">
        <w:t xml:space="preserve">Monday, </w:t>
      </w:r>
      <w:r w:rsidR="003C000F">
        <w:t>November 18</w:t>
      </w:r>
      <w:r w:rsidR="00322A85" w:rsidRPr="00322A85">
        <w:rPr>
          <w:vertAlign w:val="superscript"/>
        </w:rPr>
        <w:t>th</w:t>
      </w:r>
      <w:r w:rsidR="002D4E1E">
        <w:t>, 2003</w:t>
      </w:r>
      <w:r w:rsidR="00561191">
        <w:t>,</w:t>
      </w:r>
      <w:r w:rsidR="002D4E1E">
        <w:t xml:space="preserve"> when the MTA and </w:t>
      </w:r>
      <w:r w:rsidR="00C23E9D">
        <w:t xml:space="preserve">its </w:t>
      </w:r>
      <w:r w:rsidR="002D4E1E">
        <w:t>mechanics union settled their contract differences through mediation</w:t>
      </w:r>
      <w:r w:rsidR="00C23E9D">
        <w:t>.</w:t>
      </w:r>
      <w:r w:rsidR="00056D3D">
        <w:t xml:space="preserve"> MTA service gradually resumed over the week following the period of</w:t>
      </w:r>
      <w:r w:rsidR="00AA604A">
        <w:t xml:space="preserve"> the strike (</w:t>
      </w:r>
      <w:r w:rsidR="00B402FF">
        <w:t>Kurt Streeter</w:t>
      </w:r>
      <w:r w:rsidR="00AA604A">
        <w:t>,</w:t>
      </w:r>
      <w:r w:rsidR="00B402FF">
        <w:t xml:space="preserve"> Karen</w:t>
      </w:r>
      <w:r w:rsidR="00AA604A">
        <w:t xml:space="preserve"> Bernstein and </w:t>
      </w:r>
      <w:r w:rsidR="00B402FF">
        <w:t xml:space="preserve">Caitlin </w:t>
      </w:r>
      <w:r w:rsidR="00AA604A">
        <w:t>Liu 2003).</w:t>
      </w:r>
    </w:p>
    <w:p w14:paraId="2984919F" w14:textId="5870329F" w:rsidR="00376198" w:rsidRDefault="00376198" w:rsidP="00257D35">
      <w:pPr>
        <w:tabs>
          <w:tab w:val="left" w:pos="7200"/>
        </w:tabs>
        <w:spacing w:line="480" w:lineRule="auto"/>
        <w:ind w:firstLine="360"/>
      </w:pPr>
      <w:r>
        <w:lastRenderedPageBreak/>
        <w:t>There are two competing economic theories regarding pub</w:t>
      </w:r>
      <w:r w:rsidR="006C694B">
        <w:t xml:space="preserve">lic transit infrastructure that would help explain the strike’s </w:t>
      </w:r>
      <w:r>
        <w:t xml:space="preserve">impact </w:t>
      </w:r>
      <w:r w:rsidR="00436FD1">
        <w:t xml:space="preserve">on </w:t>
      </w:r>
      <w:r>
        <w:t>air pollution levels. The first is the “Mohring Effect”, which was developed by Herbert Mohring in his paper, “Optimization and Scale Economies in Urban Bus Transportation</w:t>
      </w:r>
      <w:r w:rsidR="008E32C0">
        <w:t>”</w:t>
      </w:r>
      <w:r w:rsidR="000570A5">
        <w:t xml:space="preserve"> (1972)</w:t>
      </w:r>
      <w:r>
        <w:t xml:space="preserve">. </w:t>
      </w:r>
      <w:r w:rsidR="00B62435">
        <w:t>T</w:t>
      </w:r>
      <w:r>
        <w:t>he effect implies</w:t>
      </w:r>
      <w:r w:rsidR="00CC256A">
        <w:t xml:space="preserve"> that marginal automobile users</w:t>
      </w:r>
      <w:r w:rsidR="00D46CFB">
        <w:t xml:space="preserve"> </w:t>
      </w:r>
      <w:r>
        <w:t xml:space="preserve">will be diverted from their vehicles as transit infrastructure improves, creating a traffic diversion effect which would ultimately reduce levels of air pollution. This </w:t>
      </w:r>
      <w:r w:rsidR="006D71C1">
        <w:t xml:space="preserve">theory </w:t>
      </w:r>
      <w:r>
        <w:t xml:space="preserve">compels the hypothesis that if the MTA strike prohibits these marginal automobile travelers from using public transit, they will use their cars more, creating more congestion and </w:t>
      </w:r>
      <w:r w:rsidR="006D71C1">
        <w:t xml:space="preserve">potentially </w:t>
      </w:r>
      <w:r>
        <w:t>higher levels of pollution. This theory competes with research performed by William Vickery</w:t>
      </w:r>
      <w:r w:rsidR="000B457D">
        <w:t xml:space="preserve"> (1969)</w:t>
      </w:r>
      <w:r>
        <w:t>, which argues that increases in public transit infrastructure induce</w:t>
      </w:r>
      <w:r w:rsidR="00257D35">
        <w:t>s</w:t>
      </w:r>
      <w:r>
        <w:t xml:space="preserve"> higher travel demand among residents and could therefore create even more traffic congestion. This would compel the hypothesis that if the MTA strike </w:t>
      </w:r>
      <w:r w:rsidRPr="00895830">
        <w:rPr>
          <w:i/>
        </w:rPr>
        <w:t>reduced</w:t>
      </w:r>
      <w:r>
        <w:t xml:space="preserve"> travel demand among Los Angeles residents, that congestion might fall during the </w:t>
      </w:r>
      <w:r w:rsidR="00257D35">
        <w:t>strike and reduce air pollution</w:t>
      </w:r>
      <w:r>
        <w:t xml:space="preserve">. However, travel demand may </w:t>
      </w:r>
      <w:r w:rsidR="006D71C1">
        <w:t xml:space="preserve">be a lagged response and </w:t>
      </w:r>
      <w:r>
        <w:t xml:space="preserve">not be affected immediately after the strike begins. This means observing air pollution levels very close to the strike may not </w:t>
      </w:r>
      <w:r w:rsidR="006D71C1">
        <w:t>capture this</w:t>
      </w:r>
      <w:r>
        <w:t xml:space="preserve"> effect.</w:t>
      </w:r>
    </w:p>
    <w:p w14:paraId="106BA3A6" w14:textId="28011C4D" w:rsidR="003D64B2" w:rsidRDefault="009122AD" w:rsidP="005337D0">
      <w:pPr>
        <w:tabs>
          <w:tab w:val="left" w:pos="7200"/>
        </w:tabs>
        <w:spacing w:line="480" w:lineRule="auto"/>
        <w:ind w:firstLine="360"/>
        <w:jc w:val="both"/>
      </w:pPr>
      <w:r>
        <w:t xml:space="preserve">These competing theories suggest </w:t>
      </w:r>
      <w:r w:rsidR="00864DAD">
        <w:t>ambiguity in the direction of</w:t>
      </w:r>
      <w:r w:rsidR="00376198" w:rsidRPr="008E65F3">
        <w:t xml:space="preserve"> air </w:t>
      </w:r>
      <w:r w:rsidR="00864DAD">
        <w:t>pollution changes</w:t>
      </w:r>
      <w:r w:rsidR="00376198" w:rsidRPr="008E65F3">
        <w:t xml:space="preserve"> </w:t>
      </w:r>
      <w:r w:rsidR="00864DAD">
        <w:t>at</w:t>
      </w:r>
      <w:r w:rsidR="00376198" w:rsidRPr="008E65F3">
        <w:t xml:space="preserve"> the beginning </w:t>
      </w:r>
      <w:r w:rsidR="00257D35">
        <w:t>of the</w:t>
      </w:r>
      <w:r w:rsidR="00376198" w:rsidRPr="008E65F3">
        <w:t xml:space="preserve"> MTA strike.</w:t>
      </w:r>
      <w:r w:rsidR="00376198">
        <w:t xml:space="preserve"> However, because private automobile use in the Los Angeles are</w:t>
      </w:r>
      <w:r w:rsidR="0016683A">
        <w:t>a in 2003 accounted for over 98 percent</w:t>
      </w:r>
      <w:r w:rsidR="00376198">
        <w:t xml:space="preserve"> of the passenger miles traveled in Los Angeles, any significant impacts of the strike on air pollution will have been the result of only a small proportion of residents not having access to public transit (Anderson 2013). </w:t>
      </w:r>
      <w:r w:rsidR="009743C0">
        <w:t xml:space="preserve">To my knowledge, this is the first empirical study that </w:t>
      </w:r>
      <w:r w:rsidR="00F32C3B">
        <w:t xml:space="preserve">examines the impact of the 2003 </w:t>
      </w:r>
      <w:r w:rsidR="002974FA">
        <w:t xml:space="preserve">Los Angeles MTA </w:t>
      </w:r>
      <w:r w:rsidR="00F32C3B">
        <w:t xml:space="preserve">strike on air quality. </w:t>
      </w:r>
      <w:r w:rsidR="00376198">
        <w:t>The following section of this paper will consider other empirical research th</w:t>
      </w:r>
      <w:r w:rsidR="005337D0">
        <w:t xml:space="preserve">at has tested related hypotheses using either </w:t>
      </w:r>
      <w:r w:rsidR="00376198">
        <w:t xml:space="preserve">the </w:t>
      </w:r>
      <w:r w:rsidR="00D76F57">
        <w:t xml:space="preserve">2003 </w:t>
      </w:r>
      <w:r w:rsidR="00376198">
        <w:t>MTA strike</w:t>
      </w:r>
      <w:r w:rsidR="005337D0">
        <w:t xml:space="preserve"> or other events to derive their results</w:t>
      </w:r>
      <w:r w:rsidR="00376198">
        <w:t xml:space="preserve">. </w:t>
      </w:r>
      <w:r w:rsidR="005337D0">
        <w:lastRenderedPageBreak/>
        <w:t>Then</w:t>
      </w:r>
      <w:r w:rsidR="00376198">
        <w:t>, I will dive into my empirical work</w:t>
      </w:r>
      <w:r w:rsidR="00F006DF">
        <w:t xml:space="preserve"> where I use air pollution monitor data from the </w:t>
      </w:r>
      <w:r w:rsidR="00F006DF" w:rsidRPr="00180131">
        <w:t>Environmental Protection Agency’s</w:t>
      </w:r>
      <w:r w:rsidR="005719B7" w:rsidRPr="00180131">
        <w:t xml:space="preserve"> </w:t>
      </w:r>
      <w:r w:rsidR="00F006DF" w:rsidRPr="00180131">
        <w:t>(EPA) Air Quality System</w:t>
      </w:r>
      <w:r w:rsidR="00AD582B" w:rsidRPr="00180131">
        <w:t xml:space="preserve"> for monitors in Los Angeles, Kern, Ventura and Orange Counties</w:t>
      </w:r>
      <w:r w:rsidR="00F006DF" w:rsidRPr="00180131">
        <w:t xml:space="preserve">. I </w:t>
      </w:r>
      <w:r w:rsidR="005719B7" w:rsidRPr="00180131">
        <w:t xml:space="preserve">first </w:t>
      </w:r>
      <w:r w:rsidR="003D64B2" w:rsidRPr="00180131">
        <w:t>show</w:t>
      </w:r>
      <w:r w:rsidR="005719B7" w:rsidRPr="00180131">
        <w:t xml:space="preserve"> evidence of higher levels of air p</w:t>
      </w:r>
      <w:r w:rsidR="00CB0F15" w:rsidRPr="00180131">
        <w:t>ollution during the strike</w:t>
      </w:r>
      <w:r w:rsidR="00AD582B" w:rsidRPr="00180131">
        <w:t xml:space="preserve"> in Los Angeles County</w:t>
      </w:r>
      <w:r w:rsidR="00CB0F15" w:rsidRPr="00180131">
        <w:t xml:space="preserve"> with</w:t>
      </w:r>
      <w:r w:rsidR="003D64B2" w:rsidRPr="00180131">
        <w:t xml:space="preserve"> </w:t>
      </w:r>
      <w:r w:rsidR="005719B7" w:rsidRPr="00180131">
        <w:t>simple me</w:t>
      </w:r>
      <w:r w:rsidR="003D64B2" w:rsidRPr="00180131">
        <w:t>ans tests and then corroborate</w:t>
      </w:r>
      <w:r w:rsidR="005719B7" w:rsidRPr="00180131">
        <w:t xml:space="preserve"> these findings with </w:t>
      </w:r>
      <w:r w:rsidR="00D73DF3" w:rsidRPr="00180131">
        <w:t>a trend-</w:t>
      </w:r>
      <w:r w:rsidR="005337D0" w:rsidRPr="00180131">
        <w:t xml:space="preserve">adjusted </w:t>
      </w:r>
      <w:r w:rsidR="005719B7" w:rsidRPr="00180131">
        <w:t xml:space="preserve">difference-in-differences </w:t>
      </w:r>
      <w:r w:rsidR="005337D0" w:rsidRPr="00180131">
        <w:t>regression</w:t>
      </w:r>
      <w:r w:rsidR="005719B7" w:rsidRPr="00180131">
        <w:t>.</w:t>
      </w:r>
      <w:r w:rsidR="00B15F89" w:rsidRPr="00180131">
        <w:t xml:space="preserve"> </w:t>
      </w:r>
      <w:r w:rsidR="00257D35" w:rsidRPr="00180131">
        <w:t xml:space="preserve">I find significant and robust increases in </w:t>
      </w:r>
      <w:r w:rsidR="005222D7" w:rsidRPr="00180131">
        <w:t>n</w:t>
      </w:r>
      <w:r w:rsidR="00257D35" w:rsidRPr="00180131">
        <w:t xml:space="preserve">itrogen </w:t>
      </w:r>
      <w:r w:rsidR="005222D7" w:rsidRPr="00180131">
        <w:t>d</w:t>
      </w:r>
      <w:r w:rsidR="00257D35" w:rsidRPr="00180131">
        <w:t>ioxide (NO</w:t>
      </w:r>
      <w:r w:rsidR="00257D35" w:rsidRPr="00180131">
        <w:rPr>
          <w:vertAlign w:val="subscript"/>
        </w:rPr>
        <w:t>2</w:t>
      </w:r>
      <w:r w:rsidR="00257D35" w:rsidRPr="00180131">
        <w:t xml:space="preserve">) </w:t>
      </w:r>
      <w:r w:rsidR="005E4D4F" w:rsidRPr="00180131">
        <w:t>of 26 percent</w:t>
      </w:r>
      <w:r w:rsidR="00257D35" w:rsidRPr="00180131">
        <w:t xml:space="preserve"> and significant increases in </w:t>
      </w:r>
      <w:r w:rsidR="005222D7" w:rsidRPr="00180131">
        <w:t>n</w:t>
      </w:r>
      <w:r w:rsidR="00257D35" w:rsidRPr="00180131">
        <w:t xml:space="preserve">itrogen </w:t>
      </w:r>
      <w:r w:rsidR="005222D7" w:rsidRPr="00180131">
        <w:t>o</w:t>
      </w:r>
      <w:r w:rsidR="00257D35" w:rsidRPr="00180131">
        <w:t>xides (NO</w:t>
      </w:r>
      <w:r w:rsidR="00257D35" w:rsidRPr="00180131">
        <w:rPr>
          <w:vertAlign w:val="subscript"/>
        </w:rPr>
        <w:t>x</w:t>
      </w:r>
      <w:r w:rsidR="00257D35" w:rsidRPr="00180131">
        <w:t xml:space="preserve">) ranging from </w:t>
      </w:r>
      <w:r w:rsidR="005E4D4F" w:rsidRPr="00180131">
        <w:t>30</w:t>
      </w:r>
      <w:r w:rsidR="00257D35" w:rsidRPr="00180131">
        <w:t xml:space="preserve"> to </w:t>
      </w:r>
      <w:r w:rsidR="005E4D4F" w:rsidRPr="00180131">
        <w:t>50</w:t>
      </w:r>
      <w:r w:rsidR="00257D35" w:rsidRPr="00180131">
        <w:t xml:space="preserve"> percent at the beginning of the strike. However</w:t>
      </w:r>
      <w:r w:rsidR="00F14643" w:rsidRPr="00180131">
        <w:t>,</w:t>
      </w:r>
      <w:r w:rsidR="00257D35" w:rsidRPr="00180131">
        <w:t xml:space="preserve"> other evidence suggests that there is </w:t>
      </w:r>
      <w:r w:rsidR="00C446A3" w:rsidRPr="00180131">
        <w:t xml:space="preserve">unidentified </w:t>
      </w:r>
      <w:r w:rsidR="00257D35" w:rsidRPr="00180131">
        <w:t>variation</w:t>
      </w:r>
      <w:r w:rsidR="00257D35" w:rsidRPr="005E4D4F">
        <w:t xml:space="preserve"> confounding my NO</w:t>
      </w:r>
      <w:r w:rsidR="00257D35" w:rsidRPr="005E4D4F">
        <w:rPr>
          <w:vertAlign w:val="subscript"/>
        </w:rPr>
        <w:t>x</w:t>
      </w:r>
      <w:r w:rsidR="00257D35" w:rsidRPr="005E4D4F">
        <w:t xml:space="preserve"> estimates. I ultimately find no impact on </w:t>
      </w:r>
      <w:r w:rsidR="005222D7">
        <w:t>c</w:t>
      </w:r>
      <w:r w:rsidR="00257D35" w:rsidRPr="005E4D4F">
        <w:t>arbon monoxide</w:t>
      </w:r>
      <w:r w:rsidR="00D35459">
        <w:t xml:space="preserve"> (CO)</w:t>
      </w:r>
      <w:r w:rsidR="00257D35" w:rsidRPr="005E4D4F">
        <w:t xml:space="preserve"> levels and </w:t>
      </w:r>
      <w:r w:rsidR="00F14643">
        <w:t xml:space="preserve">that </w:t>
      </w:r>
      <w:r w:rsidR="00257D35" w:rsidRPr="005E4D4F">
        <w:t xml:space="preserve">estimates for </w:t>
      </w:r>
      <w:r w:rsidR="005222D7">
        <w:t>o</w:t>
      </w:r>
      <w:r w:rsidR="00543368" w:rsidRPr="005E4D4F">
        <w:t>zone (</w:t>
      </w:r>
      <w:r w:rsidR="00257D35" w:rsidRPr="005E4D4F">
        <w:t>O</w:t>
      </w:r>
      <w:r w:rsidR="00257D35" w:rsidRPr="005E4D4F">
        <w:rPr>
          <w:vertAlign w:val="subscript"/>
        </w:rPr>
        <w:t>3</w:t>
      </w:r>
      <w:r w:rsidR="00543368" w:rsidRPr="005E4D4F">
        <w:t>)</w:t>
      </w:r>
      <w:r w:rsidR="00257D35" w:rsidRPr="005E4D4F">
        <w:t xml:space="preserve"> are decreasing</w:t>
      </w:r>
      <w:r w:rsidR="00F14643">
        <w:t>,</w:t>
      </w:r>
      <w:r w:rsidR="00257D35" w:rsidRPr="005E4D4F">
        <w:t xml:space="preserve"> but likely due to confounding fa</w:t>
      </w:r>
      <w:r w:rsidR="005E4D4F">
        <w:t>ctors in its chemical formation.</w:t>
      </w:r>
    </w:p>
    <w:p w14:paraId="333F145F" w14:textId="77777777" w:rsidR="005337D0" w:rsidRDefault="005337D0" w:rsidP="00E32695">
      <w:pPr>
        <w:tabs>
          <w:tab w:val="left" w:pos="7200"/>
        </w:tabs>
        <w:spacing w:line="480" w:lineRule="auto"/>
        <w:jc w:val="both"/>
      </w:pPr>
    </w:p>
    <w:p w14:paraId="3DB952BB" w14:textId="09A7A73B" w:rsidR="00376198" w:rsidRPr="00376198" w:rsidRDefault="00376198" w:rsidP="00376198">
      <w:pPr>
        <w:tabs>
          <w:tab w:val="right" w:pos="9360"/>
        </w:tabs>
        <w:spacing w:line="480" w:lineRule="auto"/>
        <w:ind w:firstLine="360"/>
      </w:pPr>
      <w:r>
        <w:rPr>
          <w:b/>
        </w:rPr>
        <w:t>LITERATURE REVIEW</w:t>
      </w:r>
    </w:p>
    <w:p w14:paraId="28EB5015" w14:textId="07E8CE42" w:rsidR="00806695" w:rsidRDefault="00806695" w:rsidP="003863A4">
      <w:pPr>
        <w:spacing w:line="480" w:lineRule="auto"/>
        <w:ind w:firstLine="360"/>
      </w:pPr>
      <w:r>
        <w:t xml:space="preserve">The 2003 MTA strike has been used </w:t>
      </w:r>
      <w:r w:rsidR="00E472EB">
        <w:t>previously</w:t>
      </w:r>
      <w:r>
        <w:t xml:space="preserve"> to estimate the congestion </w:t>
      </w:r>
      <w:r w:rsidR="00543368">
        <w:t>benefit</w:t>
      </w:r>
      <w:r>
        <w:t xml:space="preserve"> provided by public transit. </w:t>
      </w:r>
      <w:r w:rsidR="003350E9">
        <w:t>Shih-Che Lo</w:t>
      </w:r>
      <w:r w:rsidR="003350E9" w:rsidRPr="003350E9">
        <w:t xml:space="preserve"> and Randolph</w:t>
      </w:r>
      <w:r w:rsidR="003350E9" w:rsidRPr="00D4394C">
        <w:rPr>
          <w:b/>
        </w:rPr>
        <w:t xml:space="preserve"> </w:t>
      </w:r>
      <w:r>
        <w:t xml:space="preserve">Hall (2006) performed a simple before and after comparison of </w:t>
      </w:r>
      <w:r w:rsidR="00B5386B">
        <w:t xml:space="preserve">30-day </w:t>
      </w:r>
      <w:r>
        <w:t xml:space="preserve">average morning and evening rush hour duration as well as </w:t>
      </w:r>
      <w:r w:rsidR="00B5386B">
        <w:t>30</w:t>
      </w:r>
      <w:r>
        <w:t>-day average speed on individual freeway and highway segments paralleling some of the busiest rail lines and bus routes in Los Angeles County. They define rush hour times as any</w:t>
      </w:r>
      <w:r w:rsidR="00F14643">
        <w:t xml:space="preserve"> </w:t>
      </w:r>
      <w:r>
        <w:t>time the average speed for a given freeway fell below 60 miles per hour</w:t>
      </w:r>
      <w:r w:rsidR="00CB0F15">
        <w:t xml:space="preserve"> during the </w:t>
      </w:r>
      <w:r w:rsidR="00932CDC">
        <w:t>pre</w:t>
      </w:r>
      <w:r w:rsidR="00CB0F15">
        <w:t>-strike period</w:t>
      </w:r>
      <w:r>
        <w:t xml:space="preserve">. Lo and Hall </w:t>
      </w:r>
      <w:r w:rsidR="00543368">
        <w:t>find</w:t>
      </w:r>
      <w:r>
        <w:t xml:space="preserve"> average rush hour tim</w:t>
      </w:r>
      <w:r w:rsidR="0016683A">
        <w:t>es increasing by as much as 200 percent</w:t>
      </w:r>
      <w:r>
        <w:t xml:space="preserve"> in some areas and average all-day</w:t>
      </w:r>
      <w:r w:rsidR="0016683A">
        <w:t xml:space="preserve"> speeds declining as much as 20 percent</w:t>
      </w:r>
      <w:r>
        <w:t>. The individual locations were compared to locations in Orange County unaffected by the strike, providing a control. These locations showed very marginal yet statistically significant decreases in average speed.</w:t>
      </w:r>
    </w:p>
    <w:p w14:paraId="666C0FD7" w14:textId="71CB3EDD" w:rsidR="00806695" w:rsidRDefault="00806695" w:rsidP="00B26CB1">
      <w:pPr>
        <w:spacing w:line="480" w:lineRule="auto"/>
        <w:ind w:firstLine="360"/>
      </w:pPr>
      <w:r>
        <w:lastRenderedPageBreak/>
        <w:t xml:space="preserve">This work was improved upon by </w:t>
      </w:r>
      <w:r w:rsidR="003350E9">
        <w:t xml:space="preserve">Michael </w:t>
      </w:r>
      <w:r>
        <w:t xml:space="preserve">Anderson (2013) who </w:t>
      </w:r>
      <w:r w:rsidR="001F4344">
        <w:t>used</w:t>
      </w:r>
      <w:r>
        <w:t xml:space="preserve"> a sharp </w:t>
      </w:r>
      <w:r w:rsidR="005823A5">
        <w:t>regression discontinuity (RD)</w:t>
      </w:r>
      <w:r>
        <w:t xml:space="preserve"> with the date as the running variable and the beg</w:t>
      </w:r>
      <w:r w:rsidR="005823A5">
        <w:t>inning of the strike as the threshold</w:t>
      </w:r>
      <w:r>
        <w:t xml:space="preserve"> to measure the impact of the strike on traffic congestion. </w:t>
      </w:r>
      <w:r w:rsidRPr="001F4344">
        <w:t>Anderson argues that the use of a</w:t>
      </w:r>
      <w:r w:rsidR="002019A9">
        <w:t>n</w:t>
      </w:r>
      <w:r w:rsidRPr="001F4344">
        <w:t xml:space="preserve"> RD in this context is more appropriate </w:t>
      </w:r>
      <w:r w:rsidR="001F4344">
        <w:t>since a</w:t>
      </w:r>
      <w:r w:rsidRPr="001F4344">
        <w:t xml:space="preserve"> simple before and after averages </w:t>
      </w:r>
      <w:r w:rsidR="00C91A20" w:rsidRPr="001F4344">
        <w:t xml:space="preserve">comparison </w:t>
      </w:r>
      <w:r w:rsidR="001F4344">
        <w:t>would pick up</w:t>
      </w:r>
      <w:r w:rsidR="001F4344" w:rsidRPr="001F4344">
        <w:t xml:space="preserve"> </w:t>
      </w:r>
      <w:r w:rsidRPr="001F4344">
        <w:t>potential</w:t>
      </w:r>
      <w:r w:rsidR="00C91A20" w:rsidRPr="001F4344">
        <w:t>ly</w:t>
      </w:r>
      <w:r w:rsidRPr="001F4344">
        <w:t xml:space="preserve"> </w:t>
      </w:r>
      <w:r w:rsidR="00C91A20" w:rsidRPr="001F4344">
        <w:t>confounding factors</w:t>
      </w:r>
      <w:r w:rsidR="001F4344">
        <w:t>, namely seasonal driving patterns</w:t>
      </w:r>
      <w:r>
        <w:t xml:space="preserve">. </w:t>
      </w:r>
      <w:r w:rsidR="00932CDC">
        <w:t>He</w:t>
      </w:r>
      <w:r>
        <w:t xml:space="preserve"> </w:t>
      </w:r>
      <w:r w:rsidR="00932CDC">
        <w:t>uses hourly freeway loop detector data from the Caltrans Performance Measurement System and restricts his sample to</w:t>
      </w:r>
      <w:r>
        <w:t xml:space="preserve"> hourly data </w:t>
      </w:r>
      <w:r w:rsidR="00CB0F15">
        <w:t>during</w:t>
      </w:r>
      <w:r>
        <w:t xml:space="preserve"> rush hours, under the assumption that those are the times at which congestion occurs. He uses the same rush hour definition tha</w:t>
      </w:r>
      <w:r w:rsidR="00543368">
        <w:t>t Lo and Hall use and determines</w:t>
      </w:r>
      <w:r>
        <w:t xml:space="preserve"> the morning rush hour</w:t>
      </w:r>
      <w:r w:rsidR="0034509B">
        <w:t>s</w:t>
      </w:r>
      <w:r>
        <w:t xml:space="preserve"> to be 7-10 a.m. and evening rush hours </w:t>
      </w:r>
      <w:r w:rsidR="0034509B">
        <w:t>to be</w:t>
      </w:r>
      <w:r>
        <w:t xml:space="preserve"> 2-8 p.m. Anderson also includes day-of-week and detector fixed effects in his RD estimates. Running a</w:t>
      </w:r>
      <w:r w:rsidR="005222D7">
        <w:t>n</w:t>
      </w:r>
      <w:r>
        <w:t xml:space="preserve"> RD using all loop-detectors in Los Angeles County, Anderson finds that </w:t>
      </w:r>
      <w:r w:rsidR="005222D7">
        <w:t xml:space="preserve">the </w:t>
      </w:r>
      <w:r>
        <w:t>average delay in minutes per</w:t>
      </w:r>
      <w:r w:rsidR="004C40B9">
        <w:t xml:space="preserve"> vehicle mile traveled increased</w:t>
      </w:r>
      <w:r w:rsidR="0016683A">
        <w:t xml:space="preserve"> by 0.194 minutes (47 percent</w:t>
      </w:r>
      <w:r>
        <w:t>).</w:t>
      </w:r>
      <w:r w:rsidR="009E7BD5">
        <w:t xml:space="preserve"> Further </w:t>
      </w:r>
      <w:r w:rsidR="004C40B9">
        <w:t xml:space="preserve">empirical </w:t>
      </w:r>
      <w:r w:rsidR="009E7BD5">
        <w:t xml:space="preserve">evidence suggests that the delay in minutes per </w:t>
      </w:r>
      <w:r w:rsidR="00543368">
        <w:t xml:space="preserve">vehicle </w:t>
      </w:r>
      <w:r w:rsidR="009E7BD5">
        <w:t>mile traveled increase</w:t>
      </w:r>
      <w:r w:rsidR="005222D7">
        <w:t>d</w:t>
      </w:r>
      <w:r w:rsidR="009E7BD5">
        <w:t xml:space="preserve"> as the strike continue</w:t>
      </w:r>
      <w:r w:rsidR="005222D7">
        <w:t>d</w:t>
      </w:r>
      <w:r w:rsidR="009E7BD5">
        <w:t>.</w:t>
      </w:r>
      <w:r>
        <w:t xml:space="preserve"> Anderson also performs </w:t>
      </w:r>
      <w:r w:rsidR="00EA5AB6">
        <w:t>the same</w:t>
      </w:r>
      <w:r>
        <w:t xml:space="preserve"> RD</w:t>
      </w:r>
      <w:r w:rsidR="00EA5AB6">
        <w:t xml:space="preserve"> analysis</w:t>
      </w:r>
      <w:r>
        <w:t xml:space="preserve"> on neighboring counties unaffected by the strike </w:t>
      </w:r>
      <w:r w:rsidR="005800AD">
        <w:t>and</w:t>
      </w:r>
      <w:r>
        <w:t xml:space="preserve"> a placebo test using the same strike start date a year later</w:t>
      </w:r>
      <w:r w:rsidR="00C26362">
        <w:t xml:space="preserve"> (2004)</w:t>
      </w:r>
      <w:r>
        <w:t xml:space="preserve"> as robustness checks. These tests produce small and statistically insignificant increases in delay in minutes per vehicle mile traveled.</w:t>
      </w:r>
    </w:p>
    <w:p w14:paraId="201311E9" w14:textId="1723C4BD" w:rsidR="0080175B" w:rsidRPr="0073227F" w:rsidRDefault="00436331" w:rsidP="0073227F">
      <w:pPr>
        <w:spacing w:line="480" w:lineRule="auto"/>
        <w:ind w:firstLine="360"/>
      </w:pPr>
      <w:r>
        <w:t xml:space="preserve"> </w:t>
      </w:r>
      <w:r w:rsidR="003350E9">
        <w:t>Previous</w:t>
      </w:r>
      <w:r w:rsidR="00784209">
        <w:t xml:space="preserve"> research </w:t>
      </w:r>
      <w:r w:rsidR="003350E9">
        <w:t>has yet to evaluate the</w:t>
      </w:r>
      <w:r w:rsidR="00CA0025">
        <w:t xml:space="preserve"> air quality impacts of the strike in Los Angeles</w:t>
      </w:r>
      <w:r w:rsidR="00784209">
        <w:t>.</w:t>
      </w:r>
      <w:r w:rsidR="00CA0025">
        <w:t xml:space="preserve"> </w:t>
      </w:r>
      <w:r w:rsidR="00784209">
        <w:t xml:space="preserve">However, </w:t>
      </w:r>
      <w:r>
        <w:t xml:space="preserve">Yihsu </w:t>
      </w:r>
      <w:r w:rsidR="00A737D5" w:rsidRPr="00436331">
        <w:t xml:space="preserve">Chen and </w:t>
      </w:r>
      <w:r>
        <w:t xml:space="preserve">Alexander </w:t>
      </w:r>
      <w:r w:rsidR="00CA0025">
        <w:t xml:space="preserve">Whalley (2012) </w:t>
      </w:r>
      <w:r w:rsidR="00784209">
        <w:t>estimated similar consequences of public transit availability by examining the air quality impacts of opening a new rail line in downtown Taipei, Taiwan.</w:t>
      </w:r>
      <w:r w:rsidR="003301C9">
        <w:t xml:space="preserve"> Their identification strategy also relies on a sharp RD approach with the date as the running variable and the day of the rail line opening</w:t>
      </w:r>
      <w:r w:rsidR="00AE6D17">
        <w:t>,</w:t>
      </w:r>
      <w:r w:rsidR="003301C9">
        <w:t xml:space="preserve"> </w:t>
      </w:r>
      <w:r w:rsidR="00AE6D17">
        <w:t xml:space="preserve">March 28, 1996 </w:t>
      </w:r>
      <w:r w:rsidR="003301C9">
        <w:t xml:space="preserve">as the cut-off. </w:t>
      </w:r>
      <w:r w:rsidR="00023F2C">
        <w:t xml:space="preserve">Chen and </w:t>
      </w:r>
      <w:r w:rsidR="00314F7E">
        <w:t xml:space="preserve">Whalley </w:t>
      </w:r>
      <w:r w:rsidR="00023F2C">
        <w:t xml:space="preserve">argue that this approach overcomes the issue of </w:t>
      </w:r>
      <w:r w:rsidR="00A15BA9">
        <w:t>other confounding</w:t>
      </w:r>
      <w:r w:rsidR="00023F2C">
        <w:t xml:space="preserve"> sources of pollution</w:t>
      </w:r>
      <w:r w:rsidR="00A15BA9">
        <w:t xml:space="preserve"> </w:t>
      </w:r>
      <w:r w:rsidR="00A15BA9">
        <w:lastRenderedPageBreak/>
        <w:t xml:space="preserve">levels </w:t>
      </w:r>
      <w:r w:rsidR="00023F2C">
        <w:t xml:space="preserve">by assuming that </w:t>
      </w:r>
      <w:r w:rsidR="00F006DF">
        <w:t>other</w:t>
      </w:r>
      <w:r w:rsidR="00A15BA9">
        <w:t xml:space="preserve"> observed and unobserved determinants of air pollution would</w:t>
      </w:r>
      <w:r w:rsidR="00023F2C">
        <w:t xml:space="preserve"> </w:t>
      </w:r>
      <w:r w:rsidR="00F006DF">
        <w:t xml:space="preserve">have changed </w:t>
      </w:r>
      <w:r w:rsidR="00A15BA9">
        <w:t>continuously across the date of the rail line opening.</w:t>
      </w:r>
      <w:r w:rsidR="00005437">
        <w:t xml:space="preserve"> </w:t>
      </w:r>
      <w:r w:rsidR="004540F6">
        <w:t>They begin their analysis by testing this hypothesis,</w:t>
      </w:r>
      <w:r w:rsidR="006C0E6F">
        <w:t xml:space="preserve"> using Taiwanese EPA hourly monitor data and</w:t>
      </w:r>
      <w:r w:rsidR="004540F6">
        <w:t xml:space="preserve"> applying their RD design to a number of weather controls such as </w:t>
      </w:r>
      <w:r w:rsidR="00A567F9">
        <w:t>wind speed, temperature and humidity.</w:t>
      </w:r>
      <w:r w:rsidR="006C0E6F">
        <w:rPr>
          <w:rStyle w:val="FootnoteReference"/>
        </w:rPr>
        <w:footnoteReference w:id="2"/>
      </w:r>
      <w:r w:rsidR="00A567F9">
        <w:t xml:space="preserve"> They find that wind speed and temperature do not change </w:t>
      </w:r>
      <w:r w:rsidR="005222D7">
        <w:t xml:space="preserve">significantly </w:t>
      </w:r>
      <w:r w:rsidR="00A567F9">
        <w:t>around the threshold</w:t>
      </w:r>
      <w:r w:rsidR="005222D7">
        <w:t>,</w:t>
      </w:r>
      <w:r w:rsidR="00A567F9">
        <w:t xml:space="preserve"> while humidity does. Ideally, all three controls should have no discontinuity, however, </w:t>
      </w:r>
      <w:r w:rsidR="00314F7E">
        <w:t>Chen</w:t>
      </w:r>
      <w:r w:rsidR="00A567F9">
        <w:t xml:space="preserve"> and Whalley do not consider this to damn their results since humidity has very weak explanatory power</w:t>
      </w:r>
      <w:r w:rsidR="003D64B2">
        <w:t xml:space="preserve"> in air pollution levels</w:t>
      </w:r>
      <w:r w:rsidR="00A567F9">
        <w:t>.</w:t>
      </w:r>
      <w:r w:rsidR="008C79D7">
        <w:t xml:space="preserve"> </w:t>
      </w:r>
      <w:r w:rsidR="00236BD3">
        <w:t xml:space="preserve">In their </w:t>
      </w:r>
      <w:r w:rsidR="00D03B64">
        <w:t xml:space="preserve">main </w:t>
      </w:r>
      <w:r w:rsidR="001746A5">
        <w:t xml:space="preserve">RD results, Chen and </w:t>
      </w:r>
      <w:r w:rsidR="00314F7E">
        <w:t xml:space="preserve">Whalley </w:t>
      </w:r>
      <w:r w:rsidR="001746A5">
        <w:t>look at a two-year window around the opening date of the rail line in Taipei an</w:t>
      </w:r>
      <w:r w:rsidR="00120768">
        <w:t xml:space="preserve">d estimate the discontinuity in </w:t>
      </w:r>
      <w:r w:rsidR="001746A5">
        <w:t>CO, NO</w:t>
      </w:r>
      <w:r w:rsidR="001746A5">
        <w:rPr>
          <w:vertAlign w:val="subscript"/>
        </w:rPr>
        <w:t>x</w:t>
      </w:r>
      <w:r w:rsidR="001746A5">
        <w:t xml:space="preserve"> and O</w:t>
      </w:r>
      <w:r w:rsidR="001746A5">
        <w:rPr>
          <w:vertAlign w:val="subscript"/>
        </w:rPr>
        <w:t>3</w:t>
      </w:r>
      <w:r w:rsidR="001746A5">
        <w:t xml:space="preserve"> levels</w:t>
      </w:r>
      <w:r w:rsidR="00D03B64">
        <w:t xml:space="preserve"> for Taipei monitors</w:t>
      </w:r>
      <w:r w:rsidR="001746A5">
        <w:t>. They find statistically significant decreases in CO and NO</w:t>
      </w:r>
      <w:r w:rsidR="001746A5">
        <w:rPr>
          <w:vertAlign w:val="subscript"/>
        </w:rPr>
        <w:t>x</w:t>
      </w:r>
      <w:r w:rsidR="001746A5">
        <w:t xml:space="preserve"> immediately after the </w:t>
      </w:r>
      <w:r w:rsidR="00D03B64">
        <w:t>opening of the light rail but fail to find statistically significant decreases in O</w:t>
      </w:r>
      <w:r w:rsidR="00D03B64">
        <w:rPr>
          <w:vertAlign w:val="subscript"/>
        </w:rPr>
        <w:t>3</w:t>
      </w:r>
      <w:r w:rsidR="00D03B64">
        <w:t>. Their CO coefficient</w:t>
      </w:r>
      <w:r w:rsidR="00317CEA">
        <w:t>, which the authors consider to be the most robust</w:t>
      </w:r>
      <w:r w:rsidR="005222D7">
        <w:t>,</w:t>
      </w:r>
      <w:r w:rsidR="00317CEA">
        <w:t xml:space="preserve"> is</w:t>
      </w:r>
      <w:r w:rsidR="00D03B64">
        <w:t xml:space="preserve"> </w:t>
      </w:r>
      <w:r w:rsidR="00317CEA">
        <w:t>r</w:t>
      </w:r>
      <w:r w:rsidR="00D03B64">
        <w:t>elatively large in magnitude, suggesting that the opening of the light rail reduced C</w:t>
      </w:r>
      <w:r w:rsidR="00311347">
        <w:t xml:space="preserve">O emissions by up to 15 percent. </w:t>
      </w:r>
      <w:r w:rsidR="00215610">
        <w:t xml:space="preserve">The discontinuities for CO and </w:t>
      </w:r>
      <w:r w:rsidR="00215610" w:rsidRPr="00215610">
        <w:t>NO</w:t>
      </w:r>
      <w:r w:rsidR="00215610" w:rsidRPr="0016683A">
        <w:rPr>
          <w:vertAlign w:val="subscript"/>
        </w:rPr>
        <w:t>x</w:t>
      </w:r>
      <w:r w:rsidR="00215610">
        <w:t xml:space="preserve"> are not evident when the authors examine the effects of the rail line opening in Kaohsiung and on the East Coast. </w:t>
      </w:r>
      <w:r w:rsidR="00311347" w:rsidRPr="00215610">
        <w:t>Chen</w:t>
      </w:r>
      <w:r w:rsidR="00311347">
        <w:t xml:space="preserve"> and </w:t>
      </w:r>
      <w:r w:rsidR="00F9165A">
        <w:t>Whalley</w:t>
      </w:r>
      <w:r w:rsidR="00311347">
        <w:t xml:space="preserve"> also test whether </w:t>
      </w:r>
      <w:r w:rsidR="002D796F">
        <w:t>sulfur d</w:t>
      </w:r>
      <w:r w:rsidR="00E51599">
        <w:t>ioxide (</w:t>
      </w:r>
      <w:r w:rsidR="00311347">
        <w:t>SO</w:t>
      </w:r>
      <w:r w:rsidR="00311347">
        <w:rPr>
          <w:vertAlign w:val="subscript"/>
        </w:rPr>
        <w:t>2</w:t>
      </w:r>
      <w:r w:rsidR="00E51599">
        <w:t>)</w:t>
      </w:r>
      <w:r w:rsidR="00311347">
        <w:t xml:space="preserve"> changes discontinuously around the threshold as a robustness check, since this pollutant is not transportation-based. They find no discontinuity in SO</w:t>
      </w:r>
      <w:r w:rsidR="00311347">
        <w:rPr>
          <w:vertAlign w:val="subscript"/>
        </w:rPr>
        <w:t>2</w:t>
      </w:r>
      <w:r w:rsidR="00311347">
        <w:t xml:space="preserve"> levels. </w:t>
      </w:r>
      <w:r w:rsidR="00215610">
        <w:t>Their results conclude with a</w:t>
      </w:r>
      <w:r w:rsidR="00D73DF3">
        <w:t>n ordinary</w:t>
      </w:r>
      <w:r w:rsidR="00215610">
        <w:t xml:space="preserve"> difference-in-difference</w:t>
      </w:r>
      <w:r w:rsidR="00DE7FDE">
        <w:t>s</w:t>
      </w:r>
      <w:r w:rsidR="00215610">
        <w:t xml:space="preserve"> estimator that treats monitors in Taipei as treated and monitors in Kaohsiung as controls. They ultimately find statistically significant and somewhat similar results to their RD specification.</w:t>
      </w:r>
    </w:p>
    <w:p w14:paraId="41BF9D80" w14:textId="68E01960" w:rsidR="007B4285" w:rsidRDefault="00981CAA" w:rsidP="00981CAA">
      <w:pPr>
        <w:spacing w:line="480" w:lineRule="auto"/>
        <w:ind w:firstLine="360"/>
        <w:rPr>
          <w:b/>
        </w:rPr>
      </w:pPr>
      <w:r>
        <w:rPr>
          <w:b/>
        </w:rPr>
        <w:t>DATA</w:t>
      </w:r>
      <w:bookmarkStart w:id="0" w:name="_GoBack"/>
      <w:bookmarkEnd w:id="0"/>
    </w:p>
    <w:p w14:paraId="29A8376F" w14:textId="5A06BFFA" w:rsidR="00AD3E8F" w:rsidRDefault="002F3531" w:rsidP="00AD3E8F">
      <w:pPr>
        <w:spacing w:line="480" w:lineRule="auto"/>
        <w:ind w:firstLine="360"/>
        <w:jc w:val="both"/>
      </w:pPr>
      <w:r>
        <w:lastRenderedPageBreak/>
        <w:t xml:space="preserve">The most meaningful air pollution data available for my research </w:t>
      </w:r>
      <w:r w:rsidR="005222D7">
        <w:t xml:space="preserve">are </w:t>
      </w:r>
      <w:r>
        <w:t xml:space="preserve">collected and maintained by the EPA’s Air Quality System. </w:t>
      </w:r>
      <w:r w:rsidR="00981CAA">
        <w:t xml:space="preserve">I collected hourly raw data from </w:t>
      </w:r>
      <w:r>
        <w:t>this</w:t>
      </w:r>
      <w:r w:rsidR="00BE5C16">
        <w:t xml:space="preserve"> </w:t>
      </w:r>
      <w:r w:rsidR="00981CAA">
        <w:t xml:space="preserve">database </w:t>
      </w:r>
      <w:r w:rsidR="00BE5C16">
        <w:t xml:space="preserve">for </w:t>
      </w:r>
      <w:r w:rsidR="006B04FB">
        <w:t xml:space="preserve">14 monitors located in Los Angeles County, seven monitors in Kern County, four monitors in Orange County and five monitors in Ventura County </w:t>
      </w:r>
      <w:r>
        <w:t>during</w:t>
      </w:r>
      <w:r w:rsidR="0054684E">
        <w:t xml:space="preserve"> the years of 2002 to </w:t>
      </w:r>
      <w:r w:rsidR="00AF6641">
        <w:t>2004</w:t>
      </w:r>
      <w:r w:rsidR="00981CAA">
        <w:t>.</w:t>
      </w:r>
      <w:r w:rsidR="00B52B34">
        <w:rPr>
          <w:rStyle w:val="FootnoteReference"/>
        </w:rPr>
        <w:footnoteReference w:id="3"/>
      </w:r>
      <w:r w:rsidR="00981CAA">
        <w:t xml:space="preserve"> </w:t>
      </w:r>
      <w:r w:rsidR="006B04FB">
        <w:t>A map</w:t>
      </w:r>
      <w:r w:rsidR="006B04FB" w:rsidRPr="00591635">
        <w:t xml:space="preserve"> </w:t>
      </w:r>
      <w:r w:rsidR="006B04FB">
        <w:t>showing</w:t>
      </w:r>
      <w:r w:rsidR="006B04FB" w:rsidRPr="00591635">
        <w:t xml:space="preserve"> approximate </w:t>
      </w:r>
      <w:r w:rsidR="006B04FB">
        <w:t xml:space="preserve">Los Angeles </w:t>
      </w:r>
      <w:r w:rsidR="006B04FB" w:rsidRPr="00591635">
        <w:t xml:space="preserve">monitor locations in relation to major freeways and light rail lines </w:t>
      </w:r>
      <w:r w:rsidR="005222D7">
        <w:t>is</w:t>
      </w:r>
      <w:r w:rsidR="005222D7" w:rsidRPr="00591635">
        <w:t xml:space="preserve"> </w:t>
      </w:r>
      <w:r w:rsidR="006B04FB" w:rsidRPr="00591635">
        <w:t>presented in Figure 1.</w:t>
      </w:r>
      <w:r w:rsidR="006B04FB">
        <w:t xml:space="preserve"> </w:t>
      </w:r>
      <w:r w:rsidR="00981CAA">
        <w:t xml:space="preserve">These hourly data </w:t>
      </w:r>
      <w:r w:rsidR="0054684E">
        <w:t xml:space="preserve">contain a number of parameters including a variety of air pollutants and atmospheric measures. However, for the selected monitors and timeframe, only </w:t>
      </w:r>
      <w:r w:rsidR="00B710BD">
        <w:t>CO, NO</w:t>
      </w:r>
      <w:r w:rsidR="00B710BD">
        <w:rPr>
          <w:vertAlign w:val="subscript"/>
        </w:rPr>
        <w:t>2</w:t>
      </w:r>
      <w:r w:rsidR="00B710BD">
        <w:t>, NO</w:t>
      </w:r>
      <w:r w:rsidR="00B710BD">
        <w:rPr>
          <w:vertAlign w:val="subscript"/>
        </w:rPr>
        <w:t>x</w:t>
      </w:r>
      <w:r w:rsidR="00B710BD">
        <w:t>, O</w:t>
      </w:r>
      <w:r w:rsidR="00B710BD">
        <w:rPr>
          <w:vertAlign w:val="subscript"/>
        </w:rPr>
        <w:t>3</w:t>
      </w:r>
      <w:r w:rsidR="00B710BD">
        <w:t xml:space="preserve"> and wind spe</w:t>
      </w:r>
      <w:r w:rsidR="006B04FB">
        <w:t>ed were consistently available.</w:t>
      </w:r>
      <w:r w:rsidR="00584345">
        <w:t xml:space="preserve"> </w:t>
      </w:r>
      <w:r w:rsidR="00E01BCD" w:rsidRPr="00591635">
        <w:t>I narrow</w:t>
      </w:r>
      <w:r w:rsidR="001E6E9C">
        <w:t xml:space="preserve"> my sample further by only using data during rush hour times, which is when congestion would be impacted by </w:t>
      </w:r>
      <w:r w:rsidR="00584345">
        <w:t>the strike</w:t>
      </w:r>
      <w:r w:rsidR="001E6E9C">
        <w:t>. I use Anderson’s (2013) definition of morning and evening rush hour times which is when</w:t>
      </w:r>
      <w:r w:rsidR="00E70A41">
        <w:t xml:space="preserve"> the</w:t>
      </w:r>
      <w:r w:rsidR="001E6E9C">
        <w:t xml:space="preserve"> average </w:t>
      </w:r>
      <w:r w:rsidR="007927B6">
        <w:t xml:space="preserve">speed on Los Angeles freeways consistently fell below 60 miles per hour. This implies that the morning rush hour lasts from 7 a.m. to 10 a.m. and the evening rush hour lasts from 2 p.m. to 8 p.m., </w:t>
      </w:r>
      <w:r w:rsidR="00E70A41">
        <w:t>reducing the number of hourly observations to</w:t>
      </w:r>
      <w:r w:rsidR="007927B6">
        <w:t xml:space="preserve"> 11 per day.</w:t>
      </w:r>
      <w:r w:rsidR="00074B5A">
        <w:t xml:space="preserve"> </w:t>
      </w:r>
      <w:r w:rsidR="00DF297B">
        <w:t xml:space="preserve">I </w:t>
      </w:r>
      <w:r w:rsidR="000160E6">
        <w:t>then</w:t>
      </w:r>
      <w:r w:rsidR="00DF297B">
        <w:t xml:space="preserve"> aggregated my rush hour data to the week</w:t>
      </w:r>
      <w:r w:rsidR="00D537CE">
        <w:t xml:space="preserve"> level by taking the mean over</w:t>
      </w:r>
      <w:r w:rsidR="00DF297B">
        <w:t xml:space="preserve"> </w:t>
      </w:r>
      <w:r w:rsidR="000160E6">
        <w:t>seven</w:t>
      </w:r>
      <w:r w:rsidR="00D537CE">
        <w:t>-</w:t>
      </w:r>
      <w:r w:rsidR="00DF297B">
        <w:t>day period</w:t>
      </w:r>
      <w:r w:rsidR="00D537CE">
        <w:t>s</w:t>
      </w:r>
      <w:r w:rsidR="00DF297B">
        <w:t>, normalized to the beginning of the strike.</w:t>
      </w:r>
      <w:r w:rsidR="0039760C">
        <w:rPr>
          <w:rStyle w:val="FootnoteReference"/>
        </w:rPr>
        <w:footnoteReference w:id="4"/>
      </w:r>
      <w:r w:rsidR="00DF297B">
        <w:t xml:space="preserve"> This means that during the strike, </w:t>
      </w:r>
      <w:r w:rsidR="00D537CE">
        <w:t>there are</w:t>
      </w:r>
      <w:r w:rsidR="00DF297B">
        <w:t xml:space="preserve"> five weekly </w:t>
      </w:r>
      <w:r w:rsidR="00AD3E8F">
        <w:t>observations</w:t>
      </w:r>
      <w:r w:rsidR="00DF297B">
        <w:t xml:space="preserve"> for all variables</w:t>
      </w:r>
      <w:r w:rsidR="00D537CE">
        <w:t xml:space="preserve"> used for a given monitor.</w:t>
      </w:r>
      <w:r w:rsidR="00024BB3">
        <w:t xml:space="preserve"> </w:t>
      </w:r>
      <w:r w:rsidR="000160E6">
        <w:t xml:space="preserve">Weekends and </w:t>
      </w:r>
      <w:r w:rsidR="000160E6" w:rsidRPr="006F322B">
        <w:t>holidays</w:t>
      </w:r>
      <w:r w:rsidR="000160E6">
        <w:t xml:space="preserve"> are excluded since driving patter</w:t>
      </w:r>
      <w:r w:rsidR="005222D7">
        <w:t>n</w:t>
      </w:r>
      <w:r w:rsidR="000160E6">
        <w:t xml:space="preserve">s on these days are unpredictable and prone to outlier events such as Thanksgiving or Christmas where travel increases drastically. </w:t>
      </w:r>
      <w:r w:rsidR="00024BB3">
        <w:t xml:space="preserve">For my </w:t>
      </w:r>
      <w:r w:rsidR="00BB2EFE">
        <w:t>main results</w:t>
      </w:r>
      <w:r w:rsidR="00024BB3">
        <w:t xml:space="preserve">, I use the </w:t>
      </w:r>
      <w:r w:rsidR="00EF170B">
        <w:t>six</w:t>
      </w:r>
      <w:r w:rsidR="00024BB3">
        <w:t xml:space="preserve"> </w:t>
      </w:r>
      <w:r w:rsidR="000160E6">
        <w:t>months</w:t>
      </w:r>
      <w:r w:rsidR="00024BB3">
        <w:t xml:space="preserve"> before the strike and the </w:t>
      </w:r>
      <w:r w:rsidR="00EF170B">
        <w:t>six</w:t>
      </w:r>
      <w:r w:rsidR="000160E6">
        <w:t xml:space="preserve"> months</w:t>
      </w:r>
      <w:r w:rsidR="00024BB3">
        <w:t xml:space="preserve"> aft</w:t>
      </w:r>
      <w:r w:rsidR="00346D37">
        <w:t>er the first week of the strike</w:t>
      </w:r>
      <w:r w:rsidR="00BB2EFE">
        <w:t>,</w:t>
      </w:r>
      <w:r w:rsidR="00346D37">
        <w:t xml:space="preserve"> spanning </w:t>
      </w:r>
      <w:r w:rsidR="000160E6">
        <w:t>April</w:t>
      </w:r>
      <w:r w:rsidR="00BB2EFE">
        <w:t xml:space="preserve"> </w:t>
      </w:r>
      <w:r w:rsidR="000160E6">
        <w:t>15</w:t>
      </w:r>
      <w:r w:rsidR="00BB2EFE">
        <w:t xml:space="preserve">, 2003 to </w:t>
      </w:r>
      <w:r w:rsidR="000160E6">
        <w:t>April</w:t>
      </w:r>
      <w:r w:rsidR="00BB2EFE">
        <w:t xml:space="preserve"> 13, 2004.</w:t>
      </w:r>
      <w:r w:rsidR="0024066E">
        <w:t xml:space="preserve"> For my placebo tests</w:t>
      </w:r>
      <w:r w:rsidR="00825590">
        <w:t xml:space="preserve">, I use the time spanning </w:t>
      </w:r>
      <w:r w:rsidR="00074B5A">
        <w:t>April</w:t>
      </w:r>
      <w:r w:rsidR="00825590">
        <w:t xml:space="preserve"> </w:t>
      </w:r>
      <w:r w:rsidR="00074B5A">
        <w:t>15</w:t>
      </w:r>
      <w:r w:rsidR="00825590">
        <w:t xml:space="preserve">, 2002 to </w:t>
      </w:r>
      <w:r w:rsidR="00074B5A">
        <w:t>April</w:t>
      </w:r>
      <w:r w:rsidR="00825590">
        <w:t xml:space="preserve"> </w:t>
      </w:r>
      <w:r w:rsidR="00825590">
        <w:lastRenderedPageBreak/>
        <w:t xml:space="preserve">13, 2003. This leaves me with </w:t>
      </w:r>
      <w:r w:rsidR="00193699">
        <w:t>1548</w:t>
      </w:r>
      <w:r w:rsidR="00825590">
        <w:t xml:space="preserve"> weekly observations for the 2003-2004 period and </w:t>
      </w:r>
      <w:r w:rsidR="00193699">
        <w:t>1559</w:t>
      </w:r>
      <w:r w:rsidR="00825590">
        <w:t xml:space="preserve"> weekly observations for the 2002-2003 period for a total of </w:t>
      </w:r>
      <w:r w:rsidR="00193699">
        <w:t>3107</w:t>
      </w:r>
      <w:r w:rsidR="00825590">
        <w:t xml:space="preserve"> weekly observations.</w:t>
      </w:r>
      <w:r w:rsidR="00825590">
        <w:rPr>
          <w:rStyle w:val="FootnoteReference"/>
        </w:rPr>
        <w:footnoteReference w:id="5"/>
      </w:r>
      <w:r w:rsidR="001B48B4">
        <w:t xml:space="preserve">Table 1 shows the descriptions and units for the variables used in my analysis. </w:t>
      </w:r>
    </w:p>
    <w:p w14:paraId="2AF1EE49" w14:textId="06C2DD0D" w:rsidR="002B5A02" w:rsidRPr="00DC5E5E" w:rsidRDefault="001B48B4" w:rsidP="00AD3E8F">
      <w:pPr>
        <w:spacing w:line="480" w:lineRule="auto"/>
        <w:ind w:firstLine="360"/>
        <w:jc w:val="both"/>
      </w:pPr>
      <w:r>
        <w:t xml:space="preserve">Table 2 shows the summary statistics over both the 2002-2003 and 2003-2004 periods. </w:t>
      </w:r>
      <w:r w:rsidR="002E424A">
        <w:t xml:space="preserve">The variation in observations across variables indicates the nature of available data from the EPA monitors used. Nine of the monitors used do not record CO, </w:t>
      </w:r>
      <w:r w:rsidR="00EF170B">
        <w:t>eight of which are</w:t>
      </w:r>
      <w:r w:rsidR="002E424A">
        <w:t xml:space="preserve"> located in </w:t>
      </w:r>
      <w:r w:rsidR="00DC5BCA">
        <w:t xml:space="preserve">the </w:t>
      </w:r>
      <w:r w:rsidR="002E424A">
        <w:t>c</w:t>
      </w:r>
      <w:r w:rsidR="00744703">
        <w:t>ounties outside of Los Angeles C</w:t>
      </w:r>
      <w:r w:rsidR="002E424A">
        <w:t>ounty.</w:t>
      </w:r>
      <w:r w:rsidR="002E424A">
        <w:rPr>
          <w:rStyle w:val="FootnoteReference"/>
        </w:rPr>
        <w:footnoteReference w:id="6"/>
      </w:r>
      <w:r w:rsidR="00DC5E5E">
        <w:t xml:space="preserve"> One of the monitors in Orange County records neither NO nor NO</w:t>
      </w:r>
      <w:r w:rsidR="004B09E8">
        <w:rPr>
          <w:vertAlign w:val="subscript"/>
        </w:rPr>
        <w:t>x</w:t>
      </w:r>
      <w:r w:rsidR="00DC5E5E">
        <w:t xml:space="preserve"> and the monitor in Lancaster</w:t>
      </w:r>
      <w:r w:rsidR="00FD4A66">
        <w:t>, Los Angeles</w:t>
      </w:r>
      <w:r w:rsidR="00DC5E5E">
        <w:t xml:space="preserve"> does not record wind speed. </w:t>
      </w:r>
      <w:r w:rsidR="00236000">
        <w:t>The summary statistics</w:t>
      </w:r>
      <w:r w:rsidR="001C3548">
        <w:t xml:space="preserve"> also show my time variable,</w:t>
      </w:r>
      <w:r w:rsidR="00236000">
        <w:t xml:space="preserve"> Week</w:t>
      </w:r>
      <w:r w:rsidR="001C3548">
        <w:t>,</w:t>
      </w:r>
      <w:r w:rsidR="00236000">
        <w:t xml:space="preserve"> </w:t>
      </w:r>
      <w:r w:rsidR="001C3548">
        <w:t>and its various forms</w:t>
      </w:r>
      <w:r w:rsidR="00236000">
        <w:t xml:space="preserve"> allowing for different empirical specifications and controls. For the purpose of simplicity, I have only provided summary statistics for the week variable used for the 2003-2004 period (this is why only </w:t>
      </w:r>
      <w:r w:rsidR="00ED0226">
        <w:t>1548</w:t>
      </w:r>
      <w:r w:rsidR="00236000">
        <w:t xml:space="preserve"> observations are reported for variables including Week).</w:t>
      </w:r>
      <w:r w:rsidR="00264227">
        <w:rPr>
          <w:rStyle w:val="FootnoteReference"/>
        </w:rPr>
        <w:footnoteReference w:id="7"/>
      </w:r>
      <w:r w:rsidR="002D657F">
        <w:t xml:space="preserve"> The Week</w:t>
      </w:r>
      <w:r w:rsidR="00236000">
        <w:t xml:space="preserve"> variable </w:t>
      </w:r>
      <w:r w:rsidR="002D657F">
        <w:t>is normalized to the beginning of the strike and starts</w:t>
      </w:r>
      <w:r w:rsidR="00236000">
        <w:t xml:space="preserve"> with the </w:t>
      </w:r>
      <w:r w:rsidR="007D6A1F">
        <w:t>seven-day period</w:t>
      </w:r>
      <w:r w:rsidR="00236000">
        <w:t xml:space="preserve"> of </w:t>
      </w:r>
      <w:r w:rsidR="002D657F">
        <w:t>October 14</w:t>
      </w:r>
      <w:r w:rsidR="007D6A1F">
        <w:t>-20</w:t>
      </w:r>
      <w:r w:rsidR="002D657F">
        <w:t>, 2003 with the integer 0.</w:t>
      </w:r>
      <w:r w:rsidR="0062446B">
        <w:t xml:space="preserve"> </w:t>
      </w:r>
      <w:r w:rsidR="002D657F">
        <w:t>It</w:t>
      </w:r>
      <w:r w:rsidR="0062446B">
        <w:t xml:space="preserve"> </w:t>
      </w:r>
      <w:r w:rsidR="002D657F">
        <w:t xml:space="preserve">spans the </w:t>
      </w:r>
      <w:r w:rsidR="007D6A1F">
        <w:t>April 15</w:t>
      </w:r>
      <w:r w:rsidR="002D657F">
        <w:t xml:space="preserve">, 2003 to </w:t>
      </w:r>
      <w:r w:rsidR="007D6A1F">
        <w:t>April</w:t>
      </w:r>
      <w:r w:rsidR="0062446B">
        <w:t xml:space="preserve"> </w:t>
      </w:r>
      <w:r w:rsidR="007D6A1F">
        <w:t>13</w:t>
      </w:r>
      <w:r w:rsidR="0062446B">
        <w:t xml:space="preserve">, 2004 </w:t>
      </w:r>
      <w:r w:rsidR="002D657F">
        <w:t xml:space="preserve">time period </w:t>
      </w:r>
      <w:r w:rsidR="0062446B">
        <w:t>with integer</w:t>
      </w:r>
      <w:r w:rsidR="002D657F">
        <w:t>s ranging from -</w:t>
      </w:r>
      <w:r w:rsidR="007D6A1F">
        <w:t>26</w:t>
      </w:r>
      <w:r w:rsidR="002D657F">
        <w:t xml:space="preserve"> to </w:t>
      </w:r>
      <w:r w:rsidR="007D6A1F">
        <w:t>25</w:t>
      </w:r>
      <w:r w:rsidR="0062446B">
        <w:t xml:space="preserve">. This </w:t>
      </w:r>
      <w:r w:rsidR="00043019">
        <w:t>reflects</w:t>
      </w:r>
      <w:r w:rsidR="0062446B">
        <w:t xml:space="preserve"> </w:t>
      </w:r>
      <w:r w:rsidR="00B5302B">
        <w:t>the</w:t>
      </w:r>
      <w:r w:rsidR="0062446B">
        <w:t xml:space="preserve"> </w:t>
      </w:r>
      <w:r w:rsidR="00043019">
        <w:t>52</w:t>
      </w:r>
      <w:r w:rsidR="00B5302B">
        <w:t>-week</w:t>
      </w:r>
      <w:r w:rsidR="0062446B">
        <w:t xml:space="preserve"> </w:t>
      </w:r>
      <w:r w:rsidR="00B5302B">
        <w:t>length of a year</w:t>
      </w:r>
      <w:r w:rsidR="0062446B">
        <w:t xml:space="preserve">. </w:t>
      </w:r>
      <w:r w:rsidR="00C15FFA">
        <w:t>The</w:t>
      </w:r>
      <w:r w:rsidR="0062446B">
        <w:t xml:space="preserve"> Strike binary variable</w:t>
      </w:r>
      <w:r w:rsidR="00C15FFA">
        <w:t xml:space="preserve"> shows</w:t>
      </w:r>
      <w:r w:rsidR="0062446B">
        <w:t xml:space="preserve"> </w:t>
      </w:r>
      <w:r w:rsidR="00C15FFA">
        <w:t>a</w:t>
      </w:r>
      <w:r w:rsidR="0062446B">
        <w:t xml:space="preserve"> mean </w:t>
      </w:r>
      <w:r w:rsidR="00086833">
        <w:t>of 0.1</w:t>
      </w:r>
      <w:r w:rsidR="00600F4B">
        <w:t>0</w:t>
      </w:r>
      <w:r w:rsidR="00C15FFA">
        <w:t xml:space="preserve"> which reflects</w:t>
      </w:r>
      <w:r w:rsidR="0062446B">
        <w:t xml:space="preserve"> the fact that five </w:t>
      </w:r>
      <w:r w:rsidR="00086833">
        <w:t xml:space="preserve">of the 52 </w:t>
      </w:r>
      <w:r w:rsidR="0062446B">
        <w:t xml:space="preserve">weeks of the </w:t>
      </w:r>
      <w:r w:rsidR="00363B56">
        <w:t xml:space="preserve">2003-2004 </w:t>
      </w:r>
      <w:r w:rsidR="0062446B">
        <w:t>sample were during the strike (</w:t>
      </w:r>
      <w:r w:rsidR="00086833">
        <w:t>approximately 10</w:t>
      </w:r>
      <w:r w:rsidR="0062446B">
        <w:t xml:space="preserve"> percent).</w:t>
      </w:r>
      <w:r w:rsidR="002B5A02">
        <w:t xml:space="preserve"> The mean on </w:t>
      </w:r>
      <w:r w:rsidR="00600F4B">
        <w:t>the variable Treat shows that 47</w:t>
      </w:r>
      <w:r w:rsidR="002B5A02">
        <w:t xml:space="preserve"> percent of the monitors in my sample are part of the “treatment” group in my difference-in-differences analysis</w:t>
      </w:r>
      <w:r w:rsidR="00C15FFA">
        <w:t xml:space="preserve"> (</w:t>
      </w:r>
      <w:r w:rsidR="00600F4B">
        <w:t>14</w:t>
      </w:r>
      <w:r w:rsidR="00C15FFA">
        <w:t xml:space="preserve"> of the 30 monitors</w:t>
      </w:r>
      <w:r w:rsidR="00600F4B">
        <w:t xml:space="preserve"> in Los Angeles County</w:t>
      </w:r>
      <w:r w:rsidR="00C15FFA">
        <w:t>)</w:t>
      </w:r>
      <w:r w:rsidR="002B5A02">
        <w:t>.</w:t>
      </w:r>
    </w:p>
    <w:p w14:paraId="7E7B47CC" w14:textId="10F36BF3" w:rsidR="00682094" w:rsidRDefault="002B5A02" w:rsidP="00D1144B">
      <w:pPr>
        <w:spacing w:line="480" w:lineRule="auto"/>
        <w:ind w:firstLine="360"/>
        <w:jc w:val="both"/>
      </w:pPr>
      <w:r>
        <w:lastRenderedPageBreak/>
        <w:t xml:space="preserve">It is important to note the nature of </w:t>
      </w:r>
      <w:r w:rsidR="00B24325">
        <w:t>the</w:t>
      </w:r>
      <w:r>
        <w:t xml:space="preserve"> air pollutant variables</w:t>
      </w:r>
      <w:r w:rsidR="00B24325">
        <w:t xml:space="preserve"> used in this analysis</w:t>
      </w:r>
      <w:r>
        <w:t>. CO, NO</w:t>
      </w:r>
      <w:r>
        <w:rPr>
          <w:vertAlign w:val="subscript"/>
        </w:rPr>
        <w:t>2</w:t>
      </w:r>
      <w:r>
        <w:t xml:space="preserve">, </w:t>
      </w:r>
      <w:r w:rsidR="00B24325">
        <w:t xml:space="preserve">and </w:t>
      </w:r>
      <w:r>
        <w:t>NO</w:t>
      </w:r>
      <w:r>
        <w:rPr>
          <w:vertAlign w:val="subscript"/>
        </w:rPr>
        <w:t>x</w:t>
      </w:r>
      <w:r w:rsidR="00B24325">
        <w:t xml:space="preserve"> are direct pollutants from internal combustion engines, however O</w:t>
      </w:r>
      <w:r w:rsidR="00B24325">
        <w:rPr>
          <w:vertAlign w:val="subscript"/>
        </w:rPr>
        <w:t>3</w:t>
      </w:r>
      <w:r w:rsidR="00B24325">
        <w:t xml:space="preserve"> is not. Ground level </w:t>
      </w:r>
      <w:r w:rsidR="00D76770">
        <w:t>O</w:t>
      </w:r>
      <w:r w:rsidR="00D76770">
        <w:rPr>
          <w:vertAlign w:val="subscript"/>
        </w:rPr>
        <w:t>3</w:t>
      </w:r>
      <w:r w:rsidR="00D76770">
        <w:t xml:space="preserve"> </w:t>
      </w:r>
      <w:r w:rsidR="00B24325">
        <w:t>is created through a reaction between NO</w:t>
      </w:r>
      <w:r w:rsidR="00B24325">
        <w:rPr>
          <w:vertAlign w:val="subscript"/>
        </w:rPr>
        <w:t>x</w:t>
      </w:r>
      <w:r w:rsidR="00B24325">
        <w:t xml:space="preserve"> and volatile organic compounds in the presence of sunlight (EPA</w:t>
      </w:r>
      <w:r w:rsidR="00C1636C">
        <w:t xml:space="preserve"> 2014</w:t>
      </w:r>
      <w:r w:rsidR="00B24325">
        <w:t>)</w:t>
      </w:r>
      <w:r w:rsidR="00200646">
        <w:t>. This means that O</w:t>
      </w:r>
      <w:r w:rsidR="00200646">
        <w:rPr>
          <w:vertAlign w:val="subscript"/>
        </w:rPr>
        <w:t>3</w:t>
      </w:r>
      <w:r w:rsidR="00200646">
        <w:t xml:space="preserve"> can either be created at the site of car emissions or many miles downwind when the conditions are right. Chen and Whalley (2012) as well as Schlenker (2011) were unable to find significant correlations between internal combustion emissions and ozone levels, suggesting that O</w:t>
      </w:r>
      <w:r w:rsidR="00200646">
        <w:rPr>
          <w:vertAlign w:val="subscript"/>
        </w:rPr>
        <w:t>3</w:t>
      </w:r>
      <w:r w:rsidR="00200646">
        <w:t xml:space="preserve"> may be an imprecise measure of automobile-</w:t>
      </w:r>
      <w:r w:rsidR="00C12DBF">
        <w:t>related</w:t>
      </w:r>
      <w:r w:rsidR="00200646">
        <w:t xml:space="preserve"> air pollution. My </w:t>
      </w:r>
      <w:r w:rsidR="00CD1950">
        <w:t>results</w:t>
      </w:r>
      <w:r w:rsidR="00200646">
        <w:t xml:space="preserve"> corroborate </w:t>
      </w:r>
      <w:r w:rsidR="00CD1950">
        <w:t>these findings</w:t>
      </w:r>
      <w:r w:rsidR="00200646">
        <w:t xml:space="preserve">. The lack of controls for sunlight </w:t>
      </w:r>
      <w:r w:rsidR="00063B75">
        <w:t>and</w:t>
      </w:r>
      <w:r w:rsidR="00200646">
        <w:t xml:space="preserve"> a number of other weather variables are frustrating since they may have helped identify the effects of the strike on O</w:t>
      </w:r>
      <w:r w:rsidR="00200646">
        <w:rPr>
          <w:vertAlign w:val="subscript"/>
        </w:rPr>
        <w:t>3</w:t>
      </w:r>
      <w:r w:rsidR="00200646">
        <w:t xml:space="preserve"> and </w:t>
      </w:r>
      <w:r w:rsidR="008C0DD2">
        <w:t xml:space="preserve">the </w:t>
      </w:r>
      <w:r w:rsidR="00200646">
        <w:t>other pollutants</w:t>
      </w:r>
      <w:r w:rsidR="008C0DD2">
        <w:t xml:space="preserve"> of interest. A</w:t>
      </w:r>
      <w:r w:rsidR="00200646">
        <w:t xml:space="preserve">vailability of </w:t>
      </w:r>
      <w:r w:rsidR="008C0DD2">
        <w:t xml:space="preserve">such </w:t>
      </w:r>
      <w:r w:rsidR="00200646">
        <w:t xml:space="preserve">weather data </w:t>
      </w:r>
      <w:r w:rsidR="00063B75">
        <w:t>in Los Angeles during 2002-2004 is</w:t>
      </w:r>
      <w:r w:rsidR="00200646">
        <w:t xml:space="preserve"> sparse</w:t>
      </w:r>
      <w:r w:rsidR="004E44C7">
        <w:t>,</w:t>
      </w:r>
      <w:r w:rsidR="00200646">
        <w:t xml:space="preserve"> </w:t>
      </w:r>
      <w:r w:rsidR="004E44C7">
        <w:t>even for</w:t>
      </w:r>
      <w:r w:rsidR="00063B75">
        <w:t xml:space="preserve"> monitors maintained by the National Oceanic </w:t>
      </w:r>
      <w:r w:rsidR="00A471C3">
        <w:t>Atmospheric Administration (NOAA).</w:t>
      </w:r>
    </w:p>
    <w:p w14:paraId="42BD3AB1" w14:textId="77777777" w:rsidR="00D332F9" w:rsidRDefault="00D332F9" w:rsidP="00D1144B">
      <w:pPr>
        <w:spacing w:line="480" w:lineRule="auto"/>
        <w:ind w:firstLine="360"/>
        <w:jc w:val="both"/>
      </w:pPr>
    </w:p>
    <w:p w14:paraId="7EC6F5B8" w14:textId="683B75D1" w:rsidR="009D3A6E" w:rsidRDefault="00CB6CF0" w:rsidP="00CB6CF0">
      <w:pPr>
        <w:spacing w:line="480" w:lineRule="auto"/>
        <w:ind w:firstLine="360"/>
        <w:jc w:val="both"/>
        <w:rPr>
          <w:b/>
        </w:rPr>
      </w:pPr>
      <w:r w:rsidRPr="00CB6CF0">
        <w:rPr>
          <w:b/>
        </w:rPr>
        <w:t>PRELIMINARY RESULTS</w:t>
      </w:r>
    </w:p>
    <w:p w14:paraId="570613AC" w14:textId="55AEA2CF" w:rsidR="00CB6CF0" w:rsidRDefault="00CB6CF0" w:rsidP="00CB6CF0">
      <w:pPr>
        <w:spacing w:line="480" w:lineRule="auto"/>
        <w:ind w:firstLine="360"/>
        <w:jc w:val="both"/>
      </w:pPr>
      <w:r>
        <w:t>Table 3 shows a comparison of five-week averages of air pollution levels over the 2003-2004 period of data</w:t>
      </w:r>
      <w:r w:rsidR="003621BA">
        <w:t xml:space="preserve"> for the 14 monitors in Los Angeles County. </w:t>
      </w:r>
      <w:r w:rsidR="00EE66B0">
        <w:t xml:space="preserve">Columns 1 and </w:t>
      </w:r>
      <w:r w:rsidR="003621BA">
        <w:t>2</w:t>
      </w:r>
      <w:r>
        <w:t xml:space="preserve"> show the respective levels of air pollution </w:t>
      </w:r>
      <w:r w:rsidR="00EE66B0">
        <w:t>for</w:t>
      </w:r>
      <w:r>
        <w:t xml:space="preserve"> the five-week intervals </w:t>
      </w:r>
      <w:r w:rsidR="003621BA">
        <w:t>before and</w:t>
      </w:r>
      <w:r w:rsidR="00157EB1">
        <w:t xml:space="preserve"> during the strike and c</w:t>
      </w:r>
      <w:r w:rsidR="003621BA">
        <w:t>olumn 4 shows the</w:t>
      </w:r>
      <w:r w:rsidR="00EE66B0">
        <w:t xml:space="preserve"> corresponding</w:t>
      </w:r>
      <w:r w:rsidR="003621BA">
        <w:t xml:space="preserve"> difference in air pollution levels with standard errors reported</w:t>
      </w:r>
      <w:r w:rsidR="00923729">
        <w:t xml:space="preserve"> in parentheses</w:t>
      </w:r>
      <w:r w:rsidR="003621BA">
        <w:t xml:space="preserve">. Column 6 shows </w:t>
      </w:r>
      <w:r w:rsidR="00157EB1">
        <w:t>this difference</w:t>
      </w:r>
      <w:r w:rsidR="003621BA">
        <w:t xml:space="preserve"> in percentage terms. </w:t>
      </w:r>
      <w:r w:rsidR="00776249">
        <w:t>It is apparent that average levels of CO, NO</w:t>
      </w:r>
      <w:r w:rsidR="00776249">
        <w:rPr>
          <w:vertAlign w:val="subscript"/>
        </w:rPr>
        <w:t>2</w:t>
      </w:r>
      <w:r w:rsidR="00776249">
        <w:t>, and NO</w:t>
      </w:r>
      <w:r w:rsidR="00776249">
        <w:rPr>
          <w:vertAlign w:val="subscript"/>
        </w:rPr>
        <w:t>x</w:t>
      </w:r>
      <w:r w:rsidR="00776249">
        <w:t xml:space="preserve"> increased substantially and significantly after the strike began, with magnitudes ranging from </w:t>
      </w:r>
      <w:r w:rsidR="00B71E5F">
        <w:t>21</w:t>
      </w:r>
      <w:r w:rsidR="00776249">
        <w:t xml:space="preserve"> to </w:t>
      </w:r>
      <w:r w:rsidR="00B71E5F">
        <w:t>81</w:t>
      </w:r>
      <w:r w:rsidR="00776249">
        <w:t xml:space="preserve"> percent. O</w:t>
      </w:r>
      <w:r w:rsidR="00776249">
        <w:rPr>
          <w:vertAlign w:val="subscript"/>
        </w:rPr>
        <w:t>3</w:t>
      </w:r>
      <w:r w:rsidR="00B07934">
        <w:rPr>
          <w:vertAlign w:val="subscript"/>
        </w:rPr>
        <w:t xml:space="preserve"> </w:t>
      </w:r>
      <w:r w:rsidR="00B07934">
        <w:t>levels</w:t>
      </w:r>
      <w:r w:rsidR="008C4D6B">
        <w:t>,</w:t>
      </w:r>
      <w:r w:rsidR="00776249">
        <w:t xml:space="preserve"> on the other hand</w:t>
      </w:r>
      <w:r w:rsidR="008C4D6B">
        <w:t>,</w:t>
      </w:r>
      <w:r w:rsidR="00776249">
        <w:t xml:space="preserve"> decreased after the strike began. </w:t>
      </w:r>
      <w:r w:rsidR="00B71E5F">
        <w:t xml:space="preserve">Again, the highly unobservable chemical formation of </w:t>
      </w:r>
      <w:r w:rsidR="00853D44">
        <w:t>O</w:t>
      </w:r>
      <w:r w:rsidR="00853D44">
        <w:rPr>
          <w:vertAlign w:val="subscript"/>
        </w:rPr>
        <w:t>3</w:t>
      </w:r>
      <w:r w:rsidR="00853D44">
        <w:t xml:space="preserve"> </w:t>
      </w:r>
      <w:r w:rsidR="00B71E5F">
        <w:t xml:space="preserve">is likely driving </w:t>
      </w:r>
      <w:r w:rsidR="00853D44">
        <w:t>this</w:t>
      </w:r>
      <w:r w:rsidR="00B71E5F">
        <w:t xml:space="preserve"> inconsistent result</w:t>
      </w:r>
      <w:r w:rsidR="00776249">
        <w:t xml:space="preserve">.  Column 3 shows the average levels of pollution for the five-week period </w:t>
      </w:r>
      <w:r w:rsidR="00776249">
        <w:lastRenderedPageBreak/>
        <w:t xml:space="preserve">after the strike </w:t>
      </w:r>
      <w:r w:rsidR="008C4D6B">
        <w:t xml:space="preserve">ended </w:t>
      </w:r>
      <w:r w:rsidR="00776249">
        <w:t>and column</w:t>
      </w:r>
      <w:r w:rsidR="002437D1">
        <w:t>s</w:t>
      </w:r>
      <w:r w:rsidR="00776249">
        <w:t xml:space="preserve"> 5 and 7 show the difference between the during and after periods in levels and percent terms respectively.</w:t>
      </w:r>
      <w:r w:rsidR="004844C4">
        <w:t xml:space="preserve"> </w:t>
      </w:r>
      <w:r w:rsidR="007A4783">
        <w:t>This comparison only shows</w:t>
      </w:r>
      <w:r w:rsidR="004844C4">
        <w:t xml:space="preserve"> significant increases in CO and NO</w:t>
      </w:r>
      <w:r w:rsidR="004844C4">
        <w:rPr>
          <w:vertAlign w:val="subscript"/>
        </w:rPr>
        <w:t>x</w:t>
      </w:r>
      <w:r w:rsidR="004844C4">
        <w:t xml:space="preserve"> </w:t>
      </w:r>
      <w:r w:rsidR="002437D1">
        <w:t>that are less than half</w:t>
      </w:r>
      <w:r w:rsidR="004844C4">
        <w:t xml:space="preserve"> of the percentage increase</w:t>
      </w:r>
      <w:r w:rsidR="002437D1">
        <w:t>s</w:t>
      </w:r>
      <w:r w:rsidR="004844C4">
        <w:t xml:space="preserve"> </w:t>
      </w:r>
      <w:r w:rsidR="00AF0CF8">
        <w:t xml:space="preserve">they </w:t>
      </w:r>
      <w:r w:rsidR="002437D1">
        <w:t>experienced in the</w:t>
      </w:r>
      <w:r w:rsidR="00AF0CF8">
        <w:t xml:space="preserve"> before and during comparison.</w:t>
      </w:r>
      <w:r w:rsidR="004844C4">
        <w:t xml:space="preserve"> </w:t>
      </w:r>
      <w:r w:rsidR="00AF0CF8">
        <w:t>These increases are most likely due to seasonal variation; the end of the strike is soon followed by Thanksgiving and the holiday season, which is characterized by high volumes of travel and manufacturing. I refer to this seasonal variation as the “holiday</w:t>
      </w:r>
      <w:r w:rsidR="00EB3E42">
        <w:t>’</w:t>
      </w:r>
      <w:r w:rsidR="00AF0CF8">
        <w:t>s effect”.</w:t>
      </w:r>
      <w:r w:rsidR="00052538">
        <w:rPr>
          <w:rStyle w:val="FootnoteReference"/>
        </w:rPr>
        <w:footnoteReference w:id="8"/>
      </w:r>
    </w:p>
    <w:p w14:paraId="6592498D" w14:textId="61870F0D" w:rsidR="00346E41" w:rsidRPr="00346E41" w:rsidRDefault="007008C9" w:rsidP="00346E41">
      <w:pPr>
        <w:spacing w:line="480" w:lineRule="auto"/>
        <w:ind w:firstLine="360"/>
        <w:jc w:val="both"/>
      </w:pPr>
      <w:r>
        <w:t xml:space="preserve">Table 4 repeats the </w:t>
      </w:r>
      <w:r w:rsidR="009E26C1">
        <w:t>same</w:t>
      </w:r>
      <w:r>
        <w:t xml:space="preserve"> analysis for the 2002-2003 period. In columns 4 and 6, pollution levels are only increasing </w:t>
      </w:r>
      <w:r w:rsidR="00D7137D">
        <w:t xml:space="preserve">significantly </w:t>
      </w:r>
      <w:r>
        <w:t>for CO and NO</w:t>
      </w:r>
      <w:r>
        <w:rPr>
          <w:vertAlign w:val="subscript"/>
        </w:rPr>
        <w:t>x</w:t>
      </w:r>
      <w:r>
        <w:t xml:space="preserve"> from before to during the strike and their increase in percentage terms is </w:t>
      </w:r>
      <w:r w:rsidR="009E26C1">
        <w:t>less than</w:t>
      </w:r>
      <w:r>
        <w:t xml:space="preserve"> half of what they were in the 2003-2004 period. The increase here is likely due to </w:t>
      </w:r>
      <w:r w:rsidR="00D7137D">
        <w:t>beginning of</w:t>
      </w:r>
      <w:r w:rsidR="00C97CFA">
        <w:t xml:space="preserve"> the holiday</w:t>
      </w:r>
      <w:r w:rsidR="00EB3E42">
        <w:t>’</w:t>
      </w:r>
      <w:r w:rsidR="00C97CFA">
        <w:t xml:space="preserve">s effect. </w:t>
      </w:r>
      <w:r>
        <w:t xml:space="preserve">Columns 5 and 7 </w:t>
      </w:r>
      <w:r w:rsidR="00C97CFA">
        <w:t>show larger increases in CO and NO</w:t>
      </w:r>
      <w:r w:rsidR="00C97CFA">
        <w:rPr>
          <w:vertAlign w:val="subscript"/>
        </w:rPr>
        <w:t>x</w:t>
      </w:r>
      <w:r w:rsidR="00C97CFA">
        <w:t xml:space="preserve"> from during</w:t>
      </w:r>
      <w:r w:rsidR="00EB3E42">
        <w:t xml:space="preserve"> </w:t>
      </w:r>
      <w:r w:rsidR="00C97CFA">
        <w:t xml:space="preserve">to after </w:t>
      </w:r>
      <w:r w:rsidR="00EB3E42">
        <w:t xml:space="preserve">the strike </w:t>
      </w:r>
      <w:r w:rsidR="00C97CFA">
        <w:t xml:space="preserve">than what was reported in </w:t>
      </w:r>
      <w:r w:rsidR="007F5942">
        <w:t>T</w:t>
      </w:r>
      <w:r w:rsidR="00C97CFA">
        <w:t xml:space="preserve">able 3. This may </w:t>
      </w:r>
      <w:r w:rsidR="00437067">
        <w:t xml:space="preserve">solely </w:t>
      </w:r>
      <w:r w:rsidR="00C97CFA">
        <w:t>reflect the holiday</w:t>
      </w:r>
      <w:r w:rsidR="00EB3E42">
        <w:t>’</w:t>
      </w:r>
      <w:r w:rsidR="00C97CFA">
        <w:t>s effect</w:t>
      </w:r>
      <w:r w:rsidR="009E26C1">
        <w:t>.</w:t>
      </w:r>
      <w:r w:rsidR="00C97CFA">
        <w:t xml:space="preserve"> Again, O</w:t>
      </w:r>
      <w:r w:rsidR="00C97CFA">
        <w:rPr>
          <w:vertAlign w:val="subscript"/>
        </w:rPr>
        <w:t>3</w:t>
      </w:r>
      <w:r w:rsidR="00C97CFA">
        <w:t xml:space="preserve"> </w:t>
      </w:r>
      <w:r w:rsidR="007A4783">
        <w:t xml:space="preserve">is </w:t>
      </w:r>
      <w:r w:rsidR="00C97CFA">
        <w:t xml:space="preserve">decreasing in a very similar fashion to the analysis performed in </w:t>
      </w:r>
      <w:r w:rsidR="008C4D6B">
        <w:t>T</w:t>
      </w:r>
      <w:r w:rsidR="00C97CFA">
        <w:t xml:space="preserve">able 3. This </w:t>
      </w:r>
      <w:r w:rsidR="001F6FC7">
        <w:t>suggests</w:t>
      </w:r>
      <w:r w:rsidR="00C97CFA">
        <w:t xml:space="preserve"> that</w:t>
      </w:r>
      <w:r w:rsidR="00DC71CC" w:rsidRPr="00DC71CC">
        <w:t xml:space="preserve"> </w:t>
      </w:r>
      <w:r w:rsidR="00DC71CC">
        <w:t>O</w:t>
      </w:r>
      <w:r w:rsidR="00DC71CC">
        <w:rPr>
          <w:vertAlign w:val="subscript"/>
        </w:rPr>
        <w:t>3</w:t>
      </w:r>
      <w:r w:rsidR="00DC71CC">
        <w:t xml:space="preserve"> </w:t>
      </w:r>
      <w:r w:rsidR="001F6FC7">
        <w:t>formation during this time of year is likely affected by other factors than automobiles</w:t>
      </w:r>
      <w:r w:rsidR="00C97CFA">
        <w:t>.</w:t>
      </w:r>
      <w:r w:rsidR="001A1A0F">
        <w:rPr>
          <w:rStyle w:val="FootnoteReference"/>
        </w:rPr>
        <w:footnoteReference w:id="9"/>
      </w:r>
    </w:p>
    <w:p w14:paraId="0924AC77" w14:textId="2047D02B" w:rsidR="008062CA" w:rsidRDefault="00065F7E" w:rsidP="00761244">
      <w:pPr>
        <w:spacing w:line="480" w:lineRule="auto"/>
        <w:ind w:firstLine="360"/>
        <w:jc w:val="both"/>
      </w:pPr>
      <w:r>
        <w:t>The</w:t>
      </w:r>
      <w:r w:rsidR="0005495C" w:rsidRPr="008575B4">
        <w:t xml:space="preserve"> averages comparison shed</w:t>
      </w:r>
      <w:r w:rsidR="009E26C1" w:rsidRPr="008575B4">
        <w:t>s</w:t>
      </w:r>
      <w:r w:rsidR="0005495C" w:rsidRPr="008575B4">
        <w:t xml:space="preserve"> light on the possibility that air pollution levels significantly increased during the strike. However, the simplicity of the analysis cannot overcome confounding factors that may affec</w:t>
      </w:r>
      <w:r w:rsidR="009F0031">
        <w:t>t air pollution over this time.</w:t>
      </w:r>
      <w:r>
        <w:t xml:space="preserve"> </w:t>
      </w:r>
      <w:r w:rsidRPr="00065F7E">
        <w:t xml:space="preserve">If the </w:t>
      </w:r>
      <w:r w:rsidR="00EB3E42" w:rsidRPr="00065F7E">
        <w:t>holiday’s</w:t>
      </w:r>
      <w:r w:rsidRPr="00065F7E">
        <w:t xml:space="preserve"> effect is a real confounding factor, then I will need to control for it to identify the impacts of the strike on air pollution.</w:t>
      </w:r>
      <w:r>
        <w:t xml:space="preserve"> </w:t>
      </w:r>
      <w:r w:rsidR="00761244">
        <w:t>A potential estimation strategy may be the use of a</w:t>
      </w:r>
      <w:r w:rsidR="008C4D6B">
        <w:t>n</w:t>
      </w:r>
      <w:r w:rsidR="00761244">
        <w:t xml:space="preserve"> RD that mirrors</w:t>
      </w:r>
      <w:r>
        <w:t xml:space="preserve"> the work of Anderson (2013)</w:t>
      </w:r>
      <w:r w:rsidR="00761244">
        <w:t xml:space="preserve"> and Chen (2012). </w:t>
      </w:r>
      <w:r w:rsidR="0016683A">
        <w:t xml:space="preserve">The presumable independence of air pollution and the </w:t>
      </w:r>
      <w:r w:rsidR="0016683A">
        <w:lastRenderedPageBreak/>
        <w:t xml:space="preserve">motivation for the strike makes the strike exogenous, which, along with the numerous unobservables affecting air pollution during the strike, motivates the use of this method. </w:t>
      </w:r>
      <w:r w:rsidR="00352B58" w:rsidRPr="008575B4">
        <w:t xml:space="preserve">As stated previously, the strike was over the management of health benefits, which were probably not related to the levels of air pollution in Los Angeles </w:t>
      </w:r>
      <w:r w:rsidR="000F6E36">
        <w:t>County</w:t>
      </w:r>
      <w:r w:rsidR="00352B58" w:rsidRPr="008575B4">
        <w:t xml:space="preserve">. However, after the strike began, there could have been many </w:t>
      </w:r>
      <w:r w:rsidR="000F6E36">
        <w:t>confounding</w:t>
      </w:r>
      <w:r w:rsidR="00352B58" w:rsidRPr="008575B4">
        <w:t xml:space="preserve"> factors affecting air pollution </w:t>
      </w:r>
      <w:r w:rsidR="000F6E36">
        <w:t>other than the strike</w:t>
      </w:r>
      <w:r w:rsidR="00352B58" w:rsidRPr="008575B4">
        <w:t xml:space="preserve">. </w:t>
      </w:r>
      <w:r w:rsidR="000F6E36">
        <w:t>T</w:t>
      </w:r>
      <w:r w:rsidR="00352B58" w:rsidRPr="008575B4">
        <w:t xml:space="preserve">he most </w:t>
      </w:r>
      <w:r w:rsidR="009E26C1" w:rsidRPr="008575B4">
        <w:t>influential</w:t>
      </w:r>
      <w:r w:rsidR="00352B58" w:rsidRPr="008575B4">
        <w:t xml:space="preserve"> </w:t>
      </w:r>
      <w:r w:rsidR="000F6E36">
        <w:t xml:space="preserve">factor </w:t>
      </w:r>
      <w:r w:rsidR="00352B58" w:rsidRPr="008575B4">
        <w:t xml:space="preserve">would </w:t>
      </w:r>
      <w:r w:rsidR="000F6E36">
        <w:t xml:space="preserve">probably </w:t>
      </w:r>
      <w:r w:rsidR="00352B58" w:rsidRPr="008575B4">
        <w:t>be s</w:t>
      </w:r>
      <w:r w:rsidR="008062CA" w:rsidRPr="008575B4">
        <w:t xml:space="preserve">easonal variation in pollution. </w:t>
      </w:r>
      <w:r w:rsidR="009E26C1" w:rsidRPr="008575B4">
        <w:t>However, c</w:t>
      </w:r>
      <w:r w:rsidR="008062CA" w:rsidRPr="008575B4">
        <w:t>hannels through which the strike affected air pollution</w:t>
      </w:r>
      <w:r w:rsidR="0062561B">
        <w:t xml:space="preserve"> besides automobile usage</w:t>
      </w:r>
      <w:r w:rsidR="008062CA" w:rsidRPr="008575B4">
        <w:t xml:space="preserve"> may </w:t>
      </w:r>
      <w:r w:rsidR="00685287">
        <w:t>confound</w:t>
      </w:r>
      <w:r w:rsidR="008062CA" w:rsidRPr="008575B4">
        <w:t xml:space="preserve"> </w:t>
      </w:r>
      <w:r w:rsidR="00761244">
        <w:t xml:space="preserve">my </w:t>
      </w:r>
      <w:r w:rsidR="00685287">
        <w:t>results</w:t>
      </w:r>
      <w:r w:rsidR="008062CA" w:rsidRPr="008575B4">
        <w:t xml:space="preserve">. </w:t>
      </w:r>
      <w:r w:rsidR="009E26C1" w:rsidRPr="008575B4">
        <w:t>A</w:t>
      </w:r>
      <w:r w:rsidR="008062CA" w:rsidRPr="008575B4">
        <w:t>necdotal evidence</w:t>
      </w:r>
      <w:r w:rsidR="009E26C1" w:rsidRPr="008575B4">
        <w:t xml:space="preserve"> mentioned previously</w:t>
      </w:r>
      <w:r w:rsidR="008062CA" w:rsidRPr="008575B4">
        <w:t xml:space="preserve"> </w:t>
      </w:r>
      <w:r w:rsidR="009E26C1" w:rsidRPr="008575B4">
        <w:t>suggests</w:t>
      </w:r>
      <w:r w:rsidR="008062CA" w:rsidRPr="008575B4">
        <w:t xml:space="preserve"> that shops had a significant decrease in customers, which may mean </w:t>
      </w:r>
      <w:r w:rsidR="009E26C1" w:rsidRPr="008575B4">
        <w:t xml:space="preserve">a </w:t>
      </w:r>
      <w:r w:rsidR="008062CA" w:rsidRPr="008575B4">
        <w:t xml:space="preserve">reduction in air pollutants if businesses closed or reduced production in </w:t>
      </w:r>
      <w:r w:rsidR="00685287">
        <w:t xml:space="preserve">a temporary </w:t>
      </w:r>
      <w:r w:rsidR="008062CA" w:rsidRPr="008575B4">
        <w:t xml:space="preserve">response to </w:t>
      </w:r>
      <w:r w:rsidR="009E26C1" w:rsidRPr="008575B4">
        <w:t xml:space="preserve">falling </w:t>
      </w:r>
      <w:r w:rsidR="008062CA" w:rsidRPr="008575B4">
        <w:t xml:space="preserve">demand. </w:t>
      </w:r>
      <w:r w:rsidR="00384FB1">
        <w:t xml:space="preserve">However, if public transit </w:t>
      </w:r>
      <w:r w:rsidR="00270719">
        <w:t xml:space="preserve">were </w:t>
      </w:r>
      <w:r w:rsidR="00384FB1">
        <w:t xml:space="preserve">indefinitely unavailable, this would probably not occur in the long-run since a new equilibrium of travel would be reached to connect customers to shopping centers. </w:t>
      </w:r>
      <w:r w:rsidR="008062CA" w:rsidRPr="008575B4">
        <w:t xml:space="preserve">Therefore, looking at the discontinuous jump </w:t>
      </w:r>
      <w:r w:rsidR="00061F4C" w:rsidRPr="008575B4">
        <w:t xml:space="preserve">in air pollutants </w:t>
      </w:r>
      <w:r w:rsidR="008062CA" w:rsidRPr="008575B4">
        <w:t>around the beginning of the strike</w:t>
      </w:r>
      <w:r w:rsidR="00061F4C" w:rsidRPr="008575B4">
        <w:t xml:space="preserve"> should overcome seasonal or behavioral confounding factors, which</w:t>
      </w:r>
      <w:r w:rsidR="00332C37" w:rsidRPr="008575B4">
        <w:t xml:space="preserve"> under the assumption of the RD</w:t>
      </w:r>
      <w:r w:rsidR="00061F4C" w:rsidRPr="008575B4">
        <w:t xml:space="preserve"> are continuous across the </w:t>
      </w:r>
      <w:r w:rsidR="00232E62" w:rsidRPr="008575B4">
        <w:t>threshold of the strike start date</w:t>
      </w:r>
      <w:r w:rsidR="00061F4C" w:rsidRPr="008575B4">
        <w:t>.</w:t>
      </w:r>
      <w:r w:rsidR="00E01D18">
        <w:t xml:space="preserve"> </w:t>
      </w:r>
      <w:r w:rsidR="0009339A">
        <w:t xml:space="preserve">I ultimately use a trend-adjusted difference-in-differences estimator for reasons explained in the next section. However, this </w:t>
      </w:r>
      <w:r w:rsidR="002704CE">
        <w:t>strategy</w:t>
      </w:r>
      <w:r w:rsidR="0009339A">
        <w:t xml:space="preserve"> will </w:t>
      </w:r>
      <w:r w:rsidR="0061572F">
        <w:t>also</w:t>
      </w:r>
      <w:r w:rsidR="002704CE">
        <w:t xml:space="preserve"> </w:t>
      </w:r>
      <w:r w:rsidR="0009339A">
        <w:t>be limited to estimating</w:t>
      </w:r>
      <w:r w:rsidR="002704CE" w:rsidRPr="008575B4">
        <w:t xml:space="preserve"> the immediate impact</w:t>
      </w:r>
      <w:r w:rsidR="002704CE">
        <w:t xml:space="preserve"> the strike had</w:t>
      </w:r>
      <w:r w:rsidR="002704CE" w:rsidRPr="008575B4">
        <w:t xml:space="preserve"> on air quality</w:t>
      </w:r>
      <w:r w:rsidR="002704CE">
        <w:t>.</w:t>
      </w:r>
    </w:p>
    <w:p w14:paraId="5CF00A21" w14:textId="77777777" w:rsidR="008F3B87" w:rsidRDefault="008F3B87" w:rsidP="00761244">
      <w:pPr>
        <w:spacing w:line="480" w:lineRule="auto"/>
        <w:ind w:firstLine="360"/>
        <w:jc w:val="both"/>
      </w:pPr>
    </w:p>
    <w:p w14:paraId="7FC171B8" w14:textId="14040B07" w:rsidR="008F3B87" w:rsidRPr="00346E41" w:rsidRDefault="00346E41" w:rsidP="00761244">
      <w:pPr>
        <w:spacing w:line="480" w:lineRule="auto"/>
        <w:ind w:firstLine="360"/>
        <w:jc w:val="both"/>
        <w:rPr>
          <w:b/>
        </w:rPr>
      </w:pPr>
      <w:r>
        <w:rPr>
          <w:b/>
        </w:rPr>
        <w:t>VISUALIZING THE DATA</w:t>
      </w:r>
    </w:p>
    <w:p w14:paraId="387DBFF0" w14:textId="5423780B" w:rsidR="00E52C24" w:rsidRPr="00026ECA" w:rsidRDefault="00E13726" w:rsidP="00026ECA">
      <w:pPr>
        <w:spacing w:line="480" w:lineRule="auto"/>
        <w:ind w:firstLine="360"/>
        <w:jc w:val="both"/>
      </w:pPr>
      <w:r>
        <w:t>Figures 2 through 8</w:t>
      </w:r>
      <w:r w:rsidR="00E01D18" w:rsidRPr="00E01D18">
        <w:t xml:space="preserve"> </w:t>
      </w:r>
      <w:r w:rsidR="00E01D18">
        <w:t>help illustrate</w:t>
      </w:r>
      <w:r w:rsidR="00761244">
        <w:t xml:space="preserve"> the </w:t>
      </w:r>
      <w:r w:rsidR="00B23E5A">
        <w:t>strike’s impact</w:t>
      </w:r>
      <w:r w:rsidR="00761244">
        <w:t xml:space="preserve"> on air pollution using raw plots of </w:t>
      </w:r>
      <w:r w:rsidR="00761244" w:rsidRPr="00065F7E">
        <w:t>NO</w:t>
      </w:r>
      <w:r w:rsidR="00761244" w:rsidRPr="00065F7E">
        <w:rPr>
          <w:vertAlign w:val="subscript"/>
        </w:rPr>
        <w:t>2</w:t>
      </w:r>
      <w:r w:rsidR="00761244">
        <w:t xml:space="preserve"> data for various monitors in my sample.</w:t>
      </w:r>
      <w:r w:rsidR="00761244">
        <w:rPr>
          <w:rStyle w:val="FootnoteReference"/>
        </w:rPr>
        <w:footnoteReference w:id="10"/>
      </w:r>
      <w:r w:rsidR="00973D1C" w:rsidRPr="00E01D18">
        <w:t xml:space="preserve"> Figures 2</w:t>
      </w:r>
      <w:r w:rsidR="00E01D18">
        <w:t xml:space="preserve"> through 4</w:t>
      </w:r>
      <w:r w:rsidR="00061F4C" w:rsidRPr="00E01D18">
        <w:t xml:space="preserve"> plot raw data for NO</w:t>
      </w:r>
      <w:r w:rsidR="00061F4C" w:rsidRPr="00E01D18">
        <w:rPr>
          <w:vertAlign w:val="subscript"/>
        </w:rPr>
        <w:t>2</w:t>
      </w:r>
      <w:r w:rsidR="00061F4C" w:rsidRPr="00E01D18">
        <w:t xml:space="preserve"> over the 2003-2004 period</w:t>
      </w:r>
      <w:r w:rsidR="00973D1C" w:rsidRPr="00E01D18">
        <w:t xml:space="preserve"> for three </w:t>
      </w:r>
      <w:r w:rsidR="00332C37" w:rsidRPr="00E01D18">
        <w:t xml:space="preserve">different </w:t>
      </w:r>
      <w:r w:rsidR="00973D1C" w:rsidRPr="00E01D18">
        <w:t>monitors</w:t>
      </w:r>
      <w:r w:rsidR="00061F4C" w:rsidRPr="00E01D18">
        <w:t>. Vertical lines are placed at the beginning and end of the strike</w:t>
      </w:r>
      <w:r w:rsidR="00B82216" w:rsidRPr="00E01D18">
        <w:t xml:space="preserve"> (week </w:t>
      </w:r>
      <w:r w:rsidR="00E01D18">
        <w:t>27</w:t>
      </w:r>
      <w:r w:rsidR="00B82216" w:rsidRPr="00E01D18">
        <w:t xml:space="preserve"> and </w:t>
      </w:r>
      <w:r w:rsidR="00E01D18">
        <w:t>31</w:t>
      </w:r>
      <w:r w:rsidR="00B82216" w:rsidRPr="00E01D18">
        <w:t xml:space="preserve"> respectively)</w:t>
      </w:r>
      <w:r w:rsidR="00061F4C" w:rsidRPr="00E01D18">
        <w:t xml:space="preserve">, with linear and </w:t>
      </w:r>
      <w:r w:rsidR="003E7DC2" w:rsidRPr="00E01D18">
        <w:t>quadratic</w:t>
      </w:r>
      <w:r w:rsidR="00061F4C" w:rsidRPr="00E01D18">
        <w:t xml:space="preserve"> time trends fitted to the </w:t>
      </w:r>
      <w:r w:rsidR="00061F4C" w:rsidRPr="00E01D18">
        <w:lastRenderedPageBreak/>
        <w:t>values of NO</w:t>
      </w:r>
      <w:r w:rsidR="00061F4C" w:rsidRPr="00E01D18">
        <w:rPr>
          <w:vertAlign w:val="subscript"/>
        </w:rPr>
        <w:t>2</w:t>
      </w:r>
      <w:r w:rsidR="00061F4C" w:rsidRPr="00E01D18">
        <w:t xml:space="preserve"> before, during and a</w:t>
      </w:r>
      <w:r w:rsidR="00332C37" w:rsidRPr="00E01D18">
        <w:t xml:space="preserve">fter the strike. Figures 2 and </w:t>
      </w:r>
      <w:r w:rsidR="001079D4">
        <w:t>3</w:t>
      </w:r>
      <w:r w:rsidR="00061F4C" w:rsidRPr="00E01D18">
        <w:t xml:space="preserve"> show </w:t>
      </w:r>
      <w:r w:rsidR="002E2595" w:rsidRPr="00E01D18">
        <w:t>monitor</w:t>
      </w:r>
      <w:r w:rsidR="00332C37" w:rsidRPr="00E01D18">
        <w:t>s</w:t>
      </w:r>
      <w:r w:rsidR="002E2595" w:rsidRPr="00E01D18">
        <w:t xml:space="preserve"> at </w:t>
      </w:r>
      <w:r w:rsidR="00061F4C" w:rsidRPr="00E01D18">
        <w:t xml:space="preserve">Main </w:t>
      </w:r>
      <w:r w:rsidR="00270719">
        <w:t>S</w:t>
      </w:r>
      <w:r w:rsidR="00061F4C" w:rsidRPr="00E01D18">
        <w:t>t. and Lynwood, Los Angeles respectively</w:t>
      </w:r>
      <w:r w:rsidR="002E2595" w:rsidRPr="00E01D18">
        <w:t>. These figures show a sizeable discontinuous jump in NO</w:t>
      </w:r>
      <w:r w:rsidR="002E2595" w:rsidRPr="00E01D18">
        <w:rPr>
          <w:vertAlign w:val="subscript"/>
        </w:rPr>
        <w:t>2</w:t>
      </w:r>
      <w:r w:rsidR="002E2595" w:rsidRPr="00E01D18">
        <w:t xml:space="preserve"> around the beginning of the strike. </w:t>
      </w:r>
      <w:r w:rsidR="00332C37" w:rsidRPr="00E01D18">
        <w:t>Interestingly,</w:t>
      </w:r>
      <w:r w:rsidR="00EA19E5">
        <w:t xml:space="preserve"> it appears that</w:t>
      </w:r>
      <w:r w:rsidR="00332C37" w:rsidRPr="00E01D18">
        <w:t xml:space="preserve"> </w:t>
      </w:r>
      <w:r w:rsidR="002E2595" w:rsidRPr="00E01D18">
        <w:t>NO</w:t>
      </w:r>
      <w:r w:rsidR="002E2595" w:rsidRPr="00E01D18">
        <w:rPr>
          <w:vertAlign w:val="subscript"/>
        </w:rPr>
        <w:t>2</w:t>
      </w:r>
      <w:r w:rsidR="002E2595" w:rsidRPr="00E01D18">
        <w:t xml:space="preserve"> </w:t>
      </w:r>
      <w:r w:rsidR="00EA19E5">
        <w:t xml:space="preserve">trends downward </w:t>
      </w:r>
      <w:r w:rsidR="002E2595" w:rsidRPr="00E01D18">
        <w:t xml:space="preserve">during the strike, which may be indicative </w:t>
      </w:r>
      <w:r w:rsidR="00332C37" w:rsidRPr="00E01D18">
        <w:t>of other confounding variables affecting pollution</w:t>
      </w:r>
      <w:r w:rsidR="002E2595" w:rsidRPr="00E01D18">
        <w:t>.</w:t>
      </w:r>
      <w:r w:rsidR="00332C37" w:rsidRPr="00E01D18">
        <w:rPr>
          <w:rStyle w:val="FootnoteReference"/>
        </w:rPr>
        <w:footnoteReference w:id="11"/>
      </w:r>
      <w:r w:rsidR="002E2595" w:rsidRPr="00E01D18">
        <w:t xml:space="preserve"> </w:t>
      </w:r>
      <w:r w:rsidR="001079D4">
        <w:t>T</w:t>
      </w:r>
      <w:r w:rsidR="002E2595" w:rsidRPr="00E01D18">
        <w:t>he discontinuous jump around the end of the strike is poorly identified since transit service was gradually restored o</w:t>
      </w:r>
      <w:r w:rsidR="001079D4">
        <w:t>ver the following week. Figure 4</w:t>
      </w:r>
      <w:r w:rsidR="002E2595" w:rsidRPr="00E01D18">
        <w:t xml:space="preserve"> illustrates the same analysis but for the monitor in El Rio, Ventura County. This figure shows </w:t>
      </w:r>
      <w:r w:rsidR="001079D4">
        <w:t>a slight positive</w:t>
      </w:r>
      <w:r w:rsidR="002E2595" w:rsidRPr="00E01D18">
        <w:t xml:space="preserve"> discontinuity</w:t>
      </w:r>
      <w:r w:rsidR="001079D4">
        <w:t>, although small,</w:t>
      </w:r>
      <w:r w:rsidR="002E2595" w:rsidRPr="00E01D18">
        <w:t xml:space="preserve"> in NO</w:t>
      </w:r>
      <w:r w:rsidR="002E2595" w:rsidRPr="00E01D18">
        <w:rPr>
          <w:vertAlign w:val="subscript"/>
        </w:rPr>
        <w:t>2</w:t>
      </w:r>
      <w:r w:rsidR="002E2595" w:rsidRPr="00E01D18">
        <w:t xml:space="preserve"> around the </w:t>
      </w:r>
      <w:r w:rsidR="001079D4">
        <w:t>strike but ultimately reveals a gradual</w:t>
      </w:r>
      <w:r w:rsidR="002E2595" w:rsidRPr="00E01D18">
        <w:t xml:space="preserve"> upward trend in air pollution, consistent with the holiday</w:t>
      </w:r>
      <w:r w:rsidR="00EB3E42">
        <w:t>’</w:t>
      </w:r>
      <w:r w:rsidR="008E381A">
        <w:t>s</w:t>
      </w:r>
      <w:r w:rsidR="002E2595" w:rsidRPr="00E01D18">
        <w:t xml:space="preserve"> effect. </w:t>
      </w:r>
      <w:r w:rsidR="00F226E0">
        <w:t xml:space="preserve">The slight upward discontinuity could either be excess pollution from the strike finding its way into neighboring counties, or be evidence of confounding sources of air pollution during this time. </w:t>
      </w:r>
      <w:r w:rsidR="00BE610D">
        <w:t xml:space="preserve">This implies that an RD may not give conservative results if the latter case is true. </w:t>
      </w:r>
      <w:r w:rsidR="002E2595" w:rsidRPr="00E01D18">
        <w:t xml:space="preserve">Figures </w:t>
      </w:r>
      <w:r w:rsidR="001079D4">
        <w:t>5 through 7</w:t>
      </w:r>
      <w:r w:rsidR="002E2595" w:rsidRPr="00E01D18">
        <w:t xml:space="preserve"> look at the same three monitors but during the 2002-2003 period. Here, there is </w:t>
      </w:r>
      <w:r w:rsidR="001079D4">
        <w:t>little</w:t>
      </w:r>
      <w:r w:rsidR="002E2595" w:rsidRPr="00E01D18">
        <w:t xml:space="preserve"> evidence of discontinuous jump in NO</w:t>
      </w:r>
      <w:r w:rsidR="002E2595" w:rsidRPr="00E01D18">
        <w:rPr>
          <w:vertAlign w:val="subscript"/>
        </w:rPr>
        <w:t>2</w:t>
      </w:r>
      <w:r w:rsidR="002E2595" w:rsidRPr="00E01D18">
        <w:t xml:space="preserve"> around the beginning of </w:t>
      </w:r>
      <w:r w:rsidR="001079D4">
        <w:t>a placebo</w:t>
      </w:r>
      <w:r w:rsidR="002E2595" w:rsidRPr="00E01D18">
        <w:t xml:space="preserve"> strike</w:t>
      </w:r>
      <w:r w:rsidR="001079D4">
        <w:t xml:space="preserve"> that occurs </w:t>
      </w:r>
      <w:r w:rsidR="00682F9E">
        <w:t xml:space="preserve">between </w:t>
      </w:r>
      <w:r w:rsidR="001079D4">
        <w:t>October 14</w:t>
      </w:r>
      <w:r w:rsidR="00682F9E">
        <w:t xml:space="preserve"> and </w:t>
      </w:r>
      <w:r w:rsidR="001079D4">
        <w:t>November 18, 2002</w:t>
      </w:r>
      <w:r w:rsidR="00973D1C" w:rsidRPr="00E01D18">
        <w:t xml:space="preserve"> for </w:t>
      </w:r>
      <w:r w:rsidR="001079D4">
        <w:t>the monitors in Lynwood and El Rio</w:t>
      </w:r>
      <w:r w:rsidR="000C0B10">
        <w:t xml:space="preserve"> (Figures 6 and 7)</w:t>
      </w:r>
      <w:r w:rsidR="00973D1C" w:rsidRPr="00E01D18">
        <w:t>. This is encouraging since NO</w:t>
      </w:r>
      <w:r w:rsidR="00973D1C" w:rsidRPr="00E01D18">
        <w:rPr>
          <w:vertAlign w:val="subscript"/>
        </w:rPr>
        <w:t>2</w:t>
      </w:r>
      <w:r w:rsidR="00973D1C" w:rsidRPr="00E01D18">
        <w:t xml:space="preserve"> levels should not </w:t>
      </w:r>
      <w:r w:rsidR="001B269A" w:rsidRPr="00E01D18">
        <w:t>change discontinuously during this time</w:t>
      </w:r>
      <w:r w:rsidR="00973D1C" w:rsidRPr="00E01D18">
        <w:t>.</w:t>
      </w:r>
      <w:r w:rsidR="001079D4">
        <w:t xml:space="preserve"> However, </w:t>
      </w:r>
      <w:r w:rsidR="00C0582A">
        <w:t xml:space="preserve">Figure 5 presents </w:t>
      </w:r>
      <w:r w:rsidR="001079D4">
        <w:t xml:space="preserve">a slight downward discontinuity </w:t>
      </w:r>
      <w:r w:rsidR="00C0582A">
        <w:t xml:space="preserve">in </w:t>
      </w:r>
      <w:r w:rsidR="00C0582A" w:rsidRPr="00E01D18">
        <w:t>NO</w:t>
      </w:r>
      <w:r w:rsidR="00C0582A" w:rsidRPr="00E01D18">
        <w:rPr>
          <w:vertAlign w:val="subscript"/>
        </w:rPr>
        <w:t>2</w:t>
      </w:r>
      <w:r w:rsidR="00C0582A" w:rsidRPr="00E01D18">
        <w:t xml:space="preserve"> </w:t>
      </w:r>
      <w:r w:rsidR="00C0582A">
        <w:t xml:space="preserve">for the monitor in Los Angeles at the beginning of the strike. This suggests that there is </w:t>
      </w:r>
      <w:r w:rsidR="00C048AD">
        <w:t>discontinuous</w:t>
      </w:r>
      <w:r w:rsidR="00C0582A">
        <w:t xml:space="preserve"> variation</w:t>
      </w:r>
      <w:r w:rsidR="00F226E0">
        <w:t xml:space="preserve"> </w:t>
      </w:r>
      <w:r w:rsidR="00C048AD">
        <w:t>in air pollution at</w:t>
      </w:r>
      <w:r w:rsidR="00F226E0">
        <w:t xml:space="preserve"> this time of year</w:t>
      </w:r>
      <w:r w:rsidR="00C048AD">
        <w:t xml:space="preserve"> that an RD would not be able to control</w:t>
      </w:r>
      <w:r w:rsidR="00C0582A">
        <w:t>.</w:t>
      </w:r>
      <w:r w:rsidR="00026ECA">
        <w:t xml:space="preserve"> </w:t>
      </w:r>
      <w:r w:rsidR="00BE610D">
        <w:t>As a robustness check</w:t>
      </w:r>
      <w:r w:rsidR="00E62A73">
        <w:t xml:space="preserve">, </w:t>
      </w:r>
      <w:r w:rsidR="00026ECA">
        <w:t>Figure 8</w:t>
      </w:r>
      <w:r w:rsidR="00E52C24">
        <w:t xml:space="preserve"> present</w:t>
      </w:r>
      <w:r w:rsidR="00353644">
        <w:t>s</w:t>
      </w:r>
      <w:r w:rsidR="00E52C24">
        <w:t xml:space="preserve"> </w:t>
      </w:r>
      <w:r w:rsidR="009C4C2C">
        <w:t>a raw plot</w:t>
      </w:r>
      <w:r w:rsidR="00E52C24">
        <w:t xml:space="preserve"> of SO</w:t>
      </w:r>
      <w:r w:rsidR="00E52C24">
        <w:rPr>
          <w:vertAlign w:val="subscript"/>
        </w:rPr>
        <w:t>2</w:t>
      </w:r>
      <w:r w:rsidR="00E52C24">
        <w:t xml:space="preserve"> levels during the 2003-2004 </w:t>
      </w:r>
      <w:r w:rsidR="009C4C2C">
        <w:t>period</w:t>
      </w:r>
      <w:r w:rsidR="00E52C24">
        <w:t xml:space="preserve"> for the monitor at Main St., Los Angeles. Hypothetically, SO</w:t>
      </w:r>
      <w:r w:rsidR="00E52C24">
        <w:rPr>
          <w:vertAlign w:val="subscript"/>
        </w:rPr>
        <w:t>2</w:t>
      </w:r>
      <w:r w:rsidR="00E52C24">
        <w:t xml:space="preserve"> levels should not change discontinuously across the beginning of the strike because it is not an automobile-related pollutan</w:t>
      </w:r>
      <w:r w:rsidR="008635FF">
        <w:t xml:space="preserve">t. This is evidenced in Figure 8, which shows that the plots of raw </w:t>
      </w:r>
      <w:r w:rsidR="008635FF">
        <w:lastRenderedPageBreak/>
        <w:t>data do not change across week 27</w:t>
      </w:r>
      <w:r w:rsidR="00622F71">
        <w:t xml:space="preserve">, suggesting that variables </w:t>
      </w:r>
      <w:r w:rsidR="007B13FA">
        <w:t>which</w:t>
      </w:r>
      <w:r w:rsidR="00622F71">
        <w:t xml:space="preserve"> </w:t>
      </w:r>
      <w:r w:rsidR="007B13FA">
        <w:t>should be</w:t>
      </w:r>
      <w:r w:rsidR="00622F71">
        <w:t xml:space="preserve"> unaffected by the strike are continuous across the strike start date</w:t>
      </w:r>
      <w:r w:rsidR="008635FF">
        <w:t>.</w:t>
      </w:r>
      <w:r w:rsidR="008635FF">
        <w:rPr>
          <w:rStyle w:val="FootnoteReference"/>
        </w:rPr>
        <w:footnoteReference w:id="12"/>
      </w:r>
    </w:p>
    <w:p w14:paraId="6EE2DBD5" w14:textId="77777777" w:rsidR="00065F7E" w:rsidRDefault="00065F7E" w:rsidP="008062CA">
      <w:pPr>
        <w:spacing w:line="480" w:lineRule="auto"/>
        <w:ind w:firstLine="360"/>
        <w:jc w:val="both"/>
      </w:pPr>
    </w:p>
    <w:p w14:paraId="26806C32" w14:textId="4B43E789" w:rsidR="00065F7E" w:rsidRPr="00065F7E" w:rsidRDefault="007F5942" w:rsidP="00065F7E">
      <w:pPr>
        <w:spacing w:line="480" w:lineRule="auto"/>
        <w:ind w:firstLine="360"/>
        <w:rPr>
          <w:b/>
        </w:rPr>
      </w:pPr>
      <w:r>
        <w:rPr>
          <w:b/>
        </w:rPr>
        <w:t>TREND-</w:t>
      </w:r>
      <w:r w:rsidR="009E307B">
        <w:rPr>
          <w:b/>
        </w:rPr>
        <w:t xml:space="preserve">ADJUSTED </w:t>
      </w:r>
      <w:r w:rsidR="00065F7E">
        <w:rPr>
          <w:b/>
        </w:rPr>
        <w:t>DIFFERENCE-IN-DIFFERENCES SPECIFICATION</w:t>
      </w:r>
    </w:p>
    <w:p w14:paraId="46091E09" w14:textId="5E95FEF1" w:rsidR="007338CC" w:rsidRDefault="00E13726" w:rsidP="00F226E0">
      <w:pPr>
        <w:spacing w:line="480" w:lineRule="auto"/>
        <w:ind w:firstLine="360"/>
        <w:jc w:val="both"/>
      </w:pPr>
      <w:r>
        <w:t>Figures 2 through 8</w:t>
      </w:r>
      <w:r w:rsidR="00F226E0">
        <w:t xml:space="preserve"> present evidence that air pollution increased drastically around the beginning of the strike for areas in Los Angeles County but indicate that some of this may be attributed to other confounding factors </w:t>
      </w:r>
      <w:r w:rsidR="00682F9E">
        <w:t xml:space="preserve">for </w:t>
      </w:r>
      <w:r w:rsidR="00F226E0">
        <w:t>which the RD cannot control.</w:t>
      </w:r>
      <w:r w:rsidR="00C2092F">
        <w:rPr>
          <w:rStyle w:val="FootnoteReference"/>
        </w:rPr>
        <w:footnoteReference w:id="13"/>
      </w:r>
      <w:r w:rsidR="00F226E0">
        <w:t xml:space="preserve"> I attempt to control for these unobserved factors</w:t>
      </w:r>
      <w:r w:rsidR="000F4197">
        <w:t xml:space="preserve"> </w:t>
      </w:r>
      <w:r w:rsidR="00F226E0">
        <w:t xml:space="preserve">by </w:t>
      </w:r>
      <w:r w:rsidR="00A23D85">
        <w:t>employing</w:t>
      </w:r>
      <w:r w:rsidR="000F4197">
        <w:t xml:space="preserve"> a </w:t>
      </w:r>
      <w:r w:rsidR="00EE4F87">
        <w:t xml:space="preserve">trend-adjusted </w:t>
      </w:r>
      <w:r w:rsidR="000F4197">
        <w:t xml:space="preserve">difference-in-differences estimation strategy that will </w:t>
      </w:r>
      <w:r w:rsidR="00A23D85">
        <w:t>use</w:t>
      </w:r>
      <w:r w:rsidR="000F4197">
        <w:t xml:space="preserve"> air pollution levels in Kern, Orange and Ventura counties </w:t>
      </w:r>
      <w:r w:rsidR="001F2505">
        <w:t>a</w:t>
      </w:r>
      <w:r w:rsidR="00A23D85">
        <w:t xml:space="preserve">s controls. </w:t>
      </w:r>
      <w:r w:rsidR="001F2505">
        <w:t xml:space="preserve">The regression function </w:t>
      </w:r>
      <w:r w:rsidR="00FD6A2D">
        <w:t>resembles an estimation strategy used</w:t>
      </w:r>
      <w:r w:rsidR="001F2505">
        <w:t xml:space="preserve"> by Crost et al (2013):</w:t>
      </w:r>
    </w:p>
    <w:p w14:paraId="48D5A44D" w14:textId="11249318" w:rsidR="001F2505" w:rsidRDefault="0017181B" w:rsidP="008057B9">
      <w:pPr>
        <w:spacing w:line="480" w:lineRule="auto"/>
        <w:ind w:left="1890" w:hanging="1890"/>
        <w:rPr>
          <w:rFonts w:cs="Times New Roman"/>
          <w:i/>
          <w:vertAlign w:val="subscript"/>
        </w:rPr>
      </w:pPr>
      <w:r>
        <w:rPr>
          <w:b/>
        </w:rPr>
        <w:t>(1</w:t>
      </w:r>
      <w:r w:rsidR="00912097" w:rsidRPr="00912097">
        <w:rPr>
          <w:b/>
        </w:rPr>
        <w:t>)</w:t>
      </w:r>
      <w:r w:rsidR="00912097">
        <w:t xml:space="preserve"> </w:t>
      </w:r>
      <w:r w:rsidR="001F2505">
        <w:rPr>
          <w:i/>
        </w:rPr>
        <w:t>Air Pollutant</w:t>
      </w:r>
      <w:r w:rsidR="001F2505">
        <w:rPr>
          <w:i/>
          <w:vertAlign w:val="subscript"/>
        </w:rPr>
        <w:t>it</w:t>
      </w:r>
      <w:r w:rsidR="001F2505">
        <w:rPr>
          <w:i/>
        </w:rPr>
        <w:t xml:space="preserve"> = </w:t>
      </w:r>
      <w:r w:rsidR="001F2505" w:rsidRPr="009856A5">
        <w:rPr>
          <w:rFonts w:cs="Times New Roman" w:hint="eastAsia"/>
          <w:i/>
        </w:rPr>
        <w:t>α</w:t>
      </w:r>
      <w:r w:rsidR="001F2505" w:rsidRPr="009856A5">
        <w:rPr>
          <w:i/>
        </w:rPr>
        <w:t xml:space="preserve"> + </w:t>
      </w:r>
      <w:r w:rsidR="001F2505" w:rsidRPr="009856A5">
        <w:rPr>
          <w:rFonts w:cs="Times New Roman" w:hint="eastAsia"/>
          <w:i/>
        </w:rPr>
        <w:t>β</w:t>
      </w:r>
      <w:r w:rsidR="007D0B4B" w:rsidRPr="009856A5">
        <w:rPr>
          <w:rFonts w:cs="Times New Roman"/>
          <w:i/>
          <w:vertAlign w:val="subscript"/>
        </w:rPr>
        <w:t>1</w:t>
      </w:r>
      <w:r w:rsidR="001F2505" w:rsidRPr="009856A5">
        <w:rPr>
          <w:rFonts w:cs="Times New Roman"/>
          <w:i/>
        </w:rPr>
        <w:t xml:space="preserve"> </w:t>
      </w:r>
      <w:r w:rsidR="001F2505" w:rsidRPr="009856A5">
        <w:rPr>
          <w:i/>
        </w:rPr>
        <w:t>Strike</w:t>
      </w:r>
      <w:r w:rsidR="001F2505" w:rsidRPr="009856A5">
        <w:rPr>
          <w:i/>
          <w:vertAlign w:val="subscript"/>
        </w:rPr>
        <w:t>t</w:t>
      </w:r>
      <w:r w:rsidR="001F2505" w:rsidRPr="009856A5">
        <w:rPr>
          <w:i/>
        </w:rPr>
        <w:t xml:space="preserve"> +</w:t>
      </w:r>
      <w:r w:rsidR="007D0B4B" w:rsidRPr="009856A5">
        <w:rPr>
          <w:rFonts w:cs="Times New Roman" w:hint="eastAsia"/>
          <w:i/>
        </w:rPr>
        <w:t xml:space="preserve"> </w:t>
      </w:r>
      <w:r w:rsidR="007D0B4B" w:rsidRPr="009856A5">
        <w:rPr>
          <w:rFonts w:cs="Times New Roman" w:hint="eastAsia"/>
          <w:i/>
        </w:rPr>
        <w:t>β</w:t>
      </w:r>
      <w:r w:rsidR="007D0B4B" w:rsidRPr="009856A5">
        <w:rPr>
          <w:rFonts w:cs="Times New Roman"/>
          <w:i/>
          <w:vertAlign w:val="subscript"/>
        </w:rPr>
        <w:t xml:space="preserve">2 </w:t>
      </w:r>
      <w:r w:rsidR="007D0B4B" w:rsidRPr="009856A5">
        <w:rPr>
          <w:rFonts w:cs="Times New Roman"/>
          <w:i/>
        </w:rPr>
        <w:t>Treat</w:t>
      </w:r>
      <w:r w:rsidR="007D0B4B" w:rsidRPr="009856A5">
        <w:rPr>
          <w:rFonts w:cs="Times New Roman"/>
          <w:i/>
          <w:vertAlign w:val="subscript"/>
        </w:rPr>
        <w:t>i</w:t>
      </w:r>
      <w:r w:rsidR="007D0B4B">
        <w:rPr>
          <w:rFonts w:cs="Times New Roman"/>
          <w:i/>
          <w:vertAlign w:val="subscript"/>
        </w:rPr>
        <w:t xml:space="preserve"> </w:t>
      </w:r>
      <w:r w:rsidR="007D0B4B">
        <w:rPr>
          <w:rFonts w:cs="Times New Roman"/>
          <w:i/>
        </w:rPr>
        <w:t xml:space="preserve">+ </w:t>
      </w:r>
      <w:r w:rsidR="007D0B4B" w:rsidRPr="007D0B4B">
        <w:rPr>
          <w:rFonts w:cs="Times New Roman"/>
          <w:i/>
        </w:rPr>
        <w:t>β</w:t>
      </w:r>
      <w:r w:rsidR="007D0B4B">
        <w:rPr>
          <w:rFonts w:cs="Times New Roman"/>
          <w:i/>
          <w:vertAlign w:val="subscript"/>
        </w:rPr>
        <w:t xml:space="preserve">3 </w:t>
      </w:r>
      <w:r w:rsidR="002E3D86">
        <w:rPr>
          <w:rFonts w:cs="Times New Roman"/>
          <w:i/>
        </w:rPr>
        <w:t>(</w:t>
      </w:r>
      <w:r w:rsidR="007D0B4B">
        <w:rPr>
          <w:rFonts w:cs="Times New Roman"/>
          <w:i/>
        </w:rPr>
        <w:t>Strike</w:t>
      </w:r>
      <w:r w:rsidR="007D0B4B">
        <w:rPr>
          <w:rFonts w:cs="Times New Roman"/>
          <w:i/>
          <w:vertAlign w:val="subscript"/>
        </w:rPr>
        <w:t>t</w:t>
      </w:r>
      <w:r w:rsidR="007D0B4B">
        <w:rPr>
          <w:rFonts w:cs="Times New Roman"/>
          <w:i/>
        </w:rPr>
        <w:t xml:space="preserve"> × Treat</w:t>
      </w:r>
      <w:r w:rsidR="007D0B4B">
        <w:rPr>
          <w:rFonts w:cs="Times New Roman"/>
          <w:i/>
          <w:vertAlign w:val="subscript"/>
        </w:rPr>
        <w:t>i</w:t>
      </w:r>
      <w:r w:rsidR="002E3D86">
        <w:rPr>
          <w:rFonts w:cs="Times New Roman"/>
          <w:i/>
        </w:rPr>
        <w:t>)</w:t>
      </w:r>
      <w:r w:rsidR="007D0B4B">
        <w:rPr>
          <w:i/>
        </w:rPr>
        <w:t xml:space="preserve"> + </w:t>
      </w:r>
      <w:r w:rsidR="001F2505" w:rsidRPr="0047489D">
        <w:rPr>
          <w:rFonts w:cs="Times New Roman"/>
          <w:i/>
          <w:sz w:val="28"/>
        </w:rPr>
        <w:t>γ</w:t>
      </w:r>
      <w:r w:rsidR="001F2505">
        <w:rPr>
          <w:i/>
          <w:vertAlign w:val="subscript"/>
        </w:rPr>
        <w:t xml:space="preserve">1 </w:t>
      </w:r>
      <w:r w:rsidR="001F2505">
        <w:rPr>
          <w:i/>
        </w:rPr>
        <w:t>Week</w:t>
      </w:r>
      <w:r w:rsidR="001F2505">
        <w:rPr>
          <w:i/>
          <w:vertAlign w:val="subscript"/>
        </w:rPr>
        <w:t>t</w:t>
      </w:r>
      <w:r w:rsidR="001F2505">
        <w:rPr>
          <w:i/>
        </w:rPr>
        <w:t xml:space="preserve"> + </w:t>
      </w:r>
      <w:r w:rsidR="001F2505" w:rsidRPr="0047489D">
        <w:rPr>
          <w:rFonts w:cs="Times New Roman"/>
          <w:i/>
          <w:sz w:val="28"/>
        </w:rPr>
        <w:t>γ</w:t>
      </w:r>
      <w:r w:rsidR="001F2505">
        <w:rPr>
          <w:i/>
          <w:vertAlign w:val="subscript"/>
        </w:rPr>
        <w:t>2</w:t>
      </w:r>
      <w:r w:rsidR="001F2505">
        <w:rPr>
          <w:i/>
        </w:rPr>
        <w:t xml:space="preserve"> </w:t>
      </w:r>
      <w:r w:rsidR="002E3D86">
        <w:rPr>
          <w:i/>
        </w:rPr>
        <w:t>(</w:t>
      </w:r>
      <w:r w:rsidR="001F2505">
        <w:rPr>
          <w:i/>
        </w:rPr>
        <w:t>S</w:t>
      </w:r>
      <w:r w:rsidR="001F2505" w:rsidRPr="003B269E">
        <w:rPr>
          <w:i/>
        </w:rPr>
        <w:t>trike</w:t>
      </w:r>
      <w:r w:rsidR="007D0B4B">
        <w:rPr>
          <w:i/>
          <w:vertAlign w:val="subscript"/>
        </w:rPr>
        <w:t>t</w:t>
      </w:r>
      <w:r w:rsidR="001F2505">
        <w:rPr>
          <w:i/>
        </w:rPr>
        <w:t xml:space="preserve"> </w:t>
      </w:r>
      <w:r w:rsidR="001F2505">
        <w:rPr>
          <w:rFonts w:cs="Times New Roman"/>
          <w:i/>
        </w:rPr>
        <w:t>×</w:t>
      </w:r>
      <w:r w:rsidR="001F2505">
        <w:rPr>
          <w:i/>
        </w:rPr>
        <w:t xml:space="preserve"> Week</w:t>
      </w:r>
      <w:r w:rsidR="001F2505">
        <w:rPr>
          <w:i/>
          <w:vertAlign w:val="subscript"/>
        </w:rPr>
        <w:t>t</w:t>
      </w:r>
      <w:r w:rsidR="002E3D86">
        <w:rPr>
          <w:i/>
        </w:rPr>
        <w:t>)</w:t>
      </w:r>
      <w:r w:rsidR="001F2505">
        <w:rPr>
          <w:i/>
        </w:rPr>
        <w:t xml:space="preserve"> + </w:t>
      </w:r>
      <w:r w:rsidR="007D0B4B" w:rsidRPr="0047489D">
        <w:rPr>
          <w:rFonts w:cs="Times New Roman"/>
          <w:i/>
          <w:sz w:val="28"/>
        </w:rPr>
        <w:t>γ</w:t>
      </w:r>
      <w:r w:rsidR="007D0B4B">
        <w:rPr>
          <w:i/>
          <w:vertAlign w:val="subscript"/>
        </w:rPr>
        <w:t xml:space="preserve">3 </w:t>
      </w:r>
      <w:r w:rsidR="002E3D86">
        <w:rPr>
          <w:i/>
        </w:rPr>
        <w:t>(</w:t>
      </w:r>
      <w:r w:rsidR="007D0B4B">
        <w:rPr>
          <w:rFonts w:cs="Times New Roman"/>
          <w:i/>
        </w:rPr>
        <w:t>Treat</w:t>
      </w:r>
      <w:r w:rsidR="007D0B4B">
        <w:rPr>
          <w:rFonts w:cs="Times New Roman"/>
          <w:i/>
          <w:vertAlign w:val="subscript"/>
        </w:rPr>
        <w:t>i</w:t>
      </w:r>
      <w:r w:rsidR="007D0B4B">
        <w:rPr>
          <w:rFonts w:cs="Times New Roman"/>
          <w:i/>
        </w:rPr>
        <w:t xml:space="preserve"> ×</w:t>
      </w:r>
      <w:r w:rsidR="00894230">
        <w:rPr>
          <w:i/>
        </w:rPr>
        <w:t xml:space="preserve"> </w:t>
      </w:r>
      <w:r w:rsidR="002E3D86">
        <w:rPr>
          <w:i/>
        </w:rPr>
        <w:t>Week</w:t>
      </w:r>
      <w:r w:rsidR="007D0B4B">
        <w:rPr>
          <w:i/>
          <w:vertAlign w:val="subscript"/>
        </w:rPr>
        <w:t>t</w:t>
      </w:r>
      <w:r w:rsidR="002E3D86">
        <w:rPr>
          <w:i/>
        </w:rPr>
        <w:t>)</w:t>
      </w:r>
      <w:r w:rsidR="007D0B4B">
        <w:rPr>
          <w:rFonts w:cs="Times New Roman"/>
          <w:i/>
        </w:rPr>
        <w:t xml:space="preserve"> +</w:t>
      </w:r>
      <w:r w:rsidR="002E3D86" w:rsidRPr="002E3D86">
        <w:rPr>
          <w:rFonts w:cs="Times New Roman"/>
          <w:i/>
          <w:sz w:val="28"/>
        </w:rPr>
        <w:t xml:space="preserve"> </w:t>
      </w:r>
      <w:r w:rsidR="002E3D86" w:rsidRPr="0047489D">
        <w:rPr>
          <w:rFonts w:cs="Times New Roman"/>
          <w:i/>
          <w:sz w:val="28"/>
        </w:rPr>
        <w:t>γ</w:t>
      </w:r>
      <w:r w:rsidR="002E3D86">
        <w:rPr>
          <w:i/>
          <w:vertAlign w:val="subscript"/>
        </w:rPr>
        <w:t>4</w:t>
      </w:r>
      <w:r w:rsidR="002E3D86">
        <w:rPr>
          <w:i/>
        </w:rPr>
        <w:t xml:space="preserve"> (Strike</w:t>
      </w:r>
      <w:r w:rsidR="002E3D86">
        <w:rPr>
          <w:i/>
          <w:vertAlign w:val="subscript"/>
        </w:rPr>
        <w:t>t</w:t>
      </w:r>
      <w:r w:rsidR="002E3D86">
        <w:rPr>
          <w:i/>
        </w:rPr>
        <w:t xml:space="preserve"> </w:t>
      </w:r>
      <w:r w:rsidR="002E3D86">
        <w:rPr>
          <w:rFonts w:cs="Times New Roman"/>
          <w:i/>
        </w:rPr>
        <w:t>× Treat</w:t>
      </w:r>
      <w:r w:rsidR="002E3D86">
        <w:rPr>
          <w:rFonts w:cs="Times New Roman"/>
          <w:i/>
          <w:vertAlign w:val="subscript"/>
        </w:rPr>
        <w:t>i</w:t>
      </w:r>
      <w:r w:rsidR="002E3D86">
        <w:rPr>
          <w:rFonts w:cs="Times New Roman"/>
          <w:i/>
        </w:rPr>
        <w:t xml:space="preserve"> × Week</w:t>
      </w:r>
      <w:r w:rsidR="002E3D86">
        <w:rPr>
          <w:rFonts w:cs="Times New Roman"/>
          <w:i/>
          <w:vertAlign w:val="subscript"/>
        </w:rPr>
        <w:t>t</w:t>
      </w:r>
      <w:r w:rsidR="002E3D86">
        <w:rPr>
          <w:rFonts w:cs="Times New Roman"/>
          <w:i/>
        </w:rPr>
        <w:t>)</w:t>
      </w:r>
      <w:r w:rsidR="007D0B4B">
        <w:rPr>
          <w:rFonts w:cs="Times New Roman"/>
          <w:i/>
        </w:rPr>
        <w:t xml:space="preserve"> </w:t>
      </w:r>
      <w:r w:rsidR="002E3D86">
        <w:rPr>
          <w:rFonts w:cs="Times New Roman"/>
          <w:i/>
        </w:rPr>
        <w:t>+</w:t>
      </w:r>
      <w:r w:rsidR="007D0B4B">
        <w:rPr>
          <w:rFonts w:cs="Times New Roman"/>
          <w:i/>
        </w:rPr>
        <w:t xml:space="preserve"> </w:t>
      </w:r>
      <w:r w:rsidR="007D0B4B" w:rsidRPr="002E3D86">
        <w:rPr>
          <w:rFonts w:cs="Times New Roman"/>
          <w:i/>
        </w:rPr>
        <w:t xml:space="preserve"> </w:t>
      </w:r>
      <w:r w:rsidR="001F2505" w:rsidRPr="002E3D86">
        <w:rPr>
          <w:rFonts w:cs="Times New Roman"/>
          <w:b/>
        </w:rPr>
        <w:t>X</w:t>
      </w:r>
      <w:r w:rsidR="001F2505" w:rsidRPr="002E3D86">
        <w:rPr>
          <w:rFonts w:cs="Times New Roman"/>
          <w:b/>
          <w:vertAlign w:val="subscript"/>
        </w:rPr>
        <w:t>it</w:t>
      </w:r>
      <w:r w:rsidR="001F2505" w:rsidRPr="00203C16">
        <w:rPr>
          <w:rFonts w:cs="Times New Roman"/>
          <w:i/>
        </w:rPr>
        <w:t xml:space="preserve"> </w:t>
      </w:r>
      <w:r w:rsidR="001F2505">
        <w:rPr>
          <w:rFonts w:cs="Times New Roman"/>
          <w:i/>
        </w:rPr>
        <w:t>δ</w:t>
      </w:r>
      <w:r w:rsidR="001F2505">
        <w:rPr>
          <w:rFonts w:cs="Times New Roman"/>
          <w:b/>
        </w:rPr>
        <w:t xml:space="preserve"> </w:t>
      </w:r>
      <w:r w:rsidR="001F2505" w:rsidRPr="009856A5">
        <w:rPr>
          <w:rFonts w:cs="Times New Roman"/>
          <w:i/>
        </w:rPr>
        <w:t xml:space="preserve">+ </w:t>
      </w:r>
      <w:r w:rsidR="001F2505" w:rsidRPr="009856A5">
        <w:rPr>
          <w:rFonts w:cs="Times New Roman"/>
          <w:i/>
          <w:sz w:val="28"/>
        </w:rPr>
        <w:t>ε</w:t>
      </w:r>
      <w:r w:rsidR="001F2505" w:rsidRPr="009856A5">
        <w:rPr>
          <w:rFonts w:cs="Times New Roman"/>
          <w:i/>
          <w:vertAlign w:val="subscript"/>
        </w:rPr>
        <w:t>it</w:t>
      </w:r>
    </w:p>
    <w:p w14:paraId="67F2D46F" w14:textId="4251E8B8" w:rsidR="004C384C" w:rsidRDefault="00565EDA" w:rsidP="00A8787C">
      <w:pPr>
        <w:spacing w:line="480" w:lineRule="auto"/>
        <w:ind w:firstLine="360"/>
        <w:rPr>
          <w:rFonts w:cs="Times New Roman"/>
        </w:rPr>
      </w:pPr>
      <w:r>
        <w:t>Air Pollutant</w:t>
      </w:r>
      <w:r>
        <w:rPr>
          <w:vertAlign w:val="subscript"/>
        </w:rPr>
        <w:t>it</w:t>
      </w:r>
      <w:r>
        <w:t xml:space="preserve"> will be my dependent variable and take on the air pollution levels for </w:t>
      </w:r>
      <w:r w:rsidR="00097CF0">
        <w:t>CO, NO</w:t>
      </w:r>
      <w:r w:rsidR="00097CF0">
        <w:rPr>
          <w:vertAlign w:val="subscript"/>
        </w:rPr>
        <w:t>2</w:t>
      </w:r>
      <w:r w:rsidR="00097CF0">
        <w:t>, NO</w:t>
      </w:r>
      <w:r w:rsidR="00097CF0">
        <w:rPr>
          <w:vertAlign w:val="subscript"/>
        </w:rPr>
        <w:t>x</w:t>
      </w:r>
      <w:r w:rsidR="00097CF0">
        <w:t xml:space="preserve"> and O</w:t>
      </w:r>
      <w:r w:rsidR="00097CF0">
        <w:rPr>
          <w:vertAlign w:val="subscript"/>
        </w:rPr>
        <w:t>3</w:t>
      </w:r>
      <w:r w:rsidR="00097CF0">
        <w:t>, measured in their respect</w:t>
      </w:r>
      <w:r w:rsidR="007F5942">
        <w:t xml:space="preserve">ive units described in Table 1. </w:t>
      </w:r>
      <w:r w:rsidR="00097CF0" w:rsidRPr="00097CF0">
        <w:rPr>
          <w:rFonts w:cs="Times New Roman"/>
        </w:rPr>
        <w:t>β</w:t>
      </w:r>
      <w:r w:rsidR="00097CF0" w:rsidRPr="00097CF0">
        <w:rPr>
          <w:rFonts w:cs="Times New Roman"/>
          <w:vertAlign w:val="subscript"/>
        </w:rPr>
        <w:t>1</w:t>
      </w:r>
      <w:r w:rsidR="00097CF0">
        <w:rPr>
          <w:rFonts w:cs="Times New Roman"/>
        </w:rPr>
        <w:t xml:space="preserve"> will capture the </w:t>
      </w:r>
      <w:r w:rsidR="009A4136">
        <w:rPr>
          <w:rFonts w:cs="Times New Roman"/>
        </w:rPr>
        <w:t>immediate impacts</w:t>
      </w:r>
      <w:r w:rsidR="00097CF0">
        <w:rPr>
          <w:rFonts w:cs="Times New Roman"/>
        </w:rPr>
        <w:t xml:space="preserve"> of the strike on air pollution for </w:t>
      </w:r>
      <w:r w:rsidR="00F170D8">
        <w:rPr>
          <w:rFonts w:cs="Times New Roman"/>
        </w:rPr>
        <w:t>control</w:t>
      </w:r>
      <w:r w:rsidR="00097CF0">
        <w:rPr>
          <w:rFonts w:cs="Times New Roman"/>
        </w:rPr>
        <w:t xml:space="preserve"> </w:t>
      </w:r>
      <w:r w:rsidR="009A4136">
        <w:rPr>
          <w:rFonts w:cs="Times New Roman"/>
        </w:rPr>
        <w:t>counties</w:t>
      </w:r>
      <w:r w:rsidR="00097CF0">
        <w:rPr>
          <w:rFonts w:cs="Times New Roman"/>
        </w:rPr>
        <w:t xml:space="preserve">. </w:t>
      </w:r>
      <w:r w:rsidR="00097CF0" w:rsidRPr="00097CF0">
        <w:rPr>
          <w:rFonts w:cs="Times New Roman"/>
        </w:rPr>
        <w:t>Treat</w:t>
      </w:r>
      <w:r w:rsidR="00097CF0" w:rsidRPr="00097CF0">
        <w:rPr>
          <w:rFonts w:cs="Times New Roman"/>
          <w:vertAlign w:val="subscript"/>
        </w:rPr>
        <w:t>i</w:t>
      </w:r>
      <w:r w:rsidR="00097CF0">
        <w:rPr>
          <w:rFonts w:cs="Times New Roman"/>
        </w:rPr>
        <w:t xml:space="preserve"> is a binary variable </w:t>
      </w:r>
      <w:r w:rsidR="00682F9E">
        <w:rPr>
          <w:rFonts w:cs="Times New Roman"/>
        </w:rPr>
        <w:t>equal to</w:t>
      </w:r>
      <w:r w:rsidR="00097CF0">
        <w:rPr>
          <w:rFonts w:cs="Times New Roman"/>
        </w:rPr>
        <w:t xml:space="preserve"> 1 if a monitor is in Los Angeles County and 0 if not</w:t>
      </w:r>
      <w:r w:rsidR="00A61244">
        <w:rPr>
          <w:rFonts w:cs="Times New Roman"/>
        </w:rPr>
        <w:t>.</w:t>
      </w:r>
      <w:r w:rsidR="005E3B64">
        <w:rPr>
          <w:rFonts w:cs="Times New Roman"/>
        </w:rPr>
        <w:t xml:space="preserve"> </w:t>
      </w:r>
      <w:r w:rsidR="00F170D8">
        <w:rPr>
          <w:rFonts w:cs="Times New Roman"/>
        </w:rPr>
        <w:t xml:space="preserve">This allows </w:t>
      </w:r>
      <w:r w:rsidR="005E3B64" w:rsidRPr="005E3B64" w:rsidDel="00682F9E">
        <w:rPr>
          <w:rFonts w:cs="Times New Roman"/>
        </w:rPr>
        <w:t>β</w:t>
      </w:r>
      <w:r w:rsidR="005E3B64" w:rsidRPr="005E3B64" w:rsidDel="00682F9E">
        <w:rPr>
          <w:rFonts w:cs="Times New Roman"/>
          <w:vertAlign w:val="subscript"/>
        </w:rPr>
        <w:t>2</w:t>
      </w:r>
      <w:r w:rsidR="005E3B64" w:rsidDel="00682F9E">
        <w:rPr>
          <w:rFonts w:cs="Times New Roman"/>
          <w:vertAlign w:val="subscript"/>
        </w:rPr>
        <w:t xml:space="preserve"> </w:t>
      </w:r>
      <w:r w:rsidR="00F170D8">
        <w:rPr>
          <w:rFonts w:cs="Times New Roman"/>
        </w:rPr>
        <w:t>to</w:t>
      </w:r>
      <w:r w:rsidR="005E3B64" w:rsidDel="00682F9E">
        <w:rPr>
          <w:rFonts w:cs="Times New Roman"/>
        </w:rPr>
        <w:t xml:space="preserve"> capture any fixed difference</w:t>
      </w:r>
      <w:r w:rsidR="00A61244" w:rsidDel="00682F9E">
        <w:rPr>
          <w:rFonts w:cs="Times New Roman"/>
        </w:rPr>
        <w:t>s</w:t>
      </w:r>
      <w:r w:rsidR="005E3B64" w:rsidDel="00682F9E">
        <w:rPr>
          <w:rFonts w:cs="Times New Roman"/>
        </w:rPr>
        <w:t xml:space="preserve"> in air pollution levels between monitors in Los Angeles and monitors in outside counties</w:t>
      </w:r>
      <w:r w:rsidR="00DB5A58" w:rsidDel="00682F9E">
        <w:rPr>
          <w:rFonts w:cs="Times New Roman"/>
        </w:rPr>
        <w:t xml:space="preserve"> right before the beginning of the strike</w:t>
      </w:r>
      <w:r w:rsidR="005E3B64" w:rsidDel="00682F9E">
        <w:rPr>
          <w:rFonts w:cs="Times New Roman"/>
        </w:rPr>
        <w:t>.</w:t>
      </w:r>
      <w:r w:rsidR="00A61244" w:rsidDel="00682F9E">
        <w:rPr>
          <w:rFonts w:cs="Times New Roman"/>
        </w:rPr>
        <w:t xml:space="preserve"> </w:t>
      </w:r>
      <w:r w:rsidR="00A61244" w:rsidRPr="005E3B64">
        <w:rPr>
          <w:rFonts w:cs="Times New Roman"/>
        </w:rPr>
        <w:t>β</w:t>
      </w:r>
      <w:r w:rsidR="00A61244">
        <w:rPr>
          <w:rFonts w:cs="Times New Roman"/>
          <w:vertAlign w:val="subscript"/>
        </w:rPr>
        <w:t>3</w:t>
      </w:r>
      <w:r w:rsidR="00A61244">
        <w:rPr>
          <w:rFonts w:cs="Times New Roman"/>
        </w:rPr>
        <w:t xml:space="preserve"> will be my coefficient of interest as it </w:t>
      </w:r>
      <w:r w:rsidR="00C53531">
        <w:rPr>
          <w:rFonts w:cs="Times New Roman"/>
        </w:rPr>
        <w:t>estimates</w:t>
      </w:r>
      <w:r w:rsidR="00A61244">
        <w:rPr>
          <w:rFonts w:cs="Times New Roman"/>
        </w:rPr>
        <w:t xml:space="preserve"> the difference-in-differences of air pollution levels across treated and control monitors. </w:t>
      </w:r>
      <w:r w:rsidR="00682F9E" w:rsidRPr="00A367C0">
        <w:rPr>
          <w:rFonts w:cs="Times New Roman"/>
        </w:rPr>
        <w:t>Week</w:t>
      </w:r>
      <w:r w:rsidR="00682F9E" w:rsidRPr="00A367C0">
        <w:rPr>
          <w:rFonts w:cs="Times New Roman"/>
          <w:vertAlign w:val="subscript"/>
        </w:rPr>
        <w:t>t</w:t>
      </w:r>
      <w:r w:rsidR="00682F9E" w:rsidRPr="00A367C0">
        <w:rPr>
          <w:rFonts w:cs="Times New Roman"/>
        </w:rPr>
        <w:t xml:space="preserve"> is normalized to 0 for the first week of the strike</w:t>
      </w:r>
      <w:r w:rsidR="00682F9E">
        <w:rPr>
          <w:rFonts w:cs="Times New Roman"/>
        </w:rPr>
        <w:t>, as mentioned previously, to</w:t>
      </w:r>
      <w:r w:rsidR="00682F9E">
        <w:t xml:space="preserve"> allow my </w:t>
      </w:r>
      <w:r w:rsidR="00682F9E">
        <w:lastRenderedPageBreak/>
        <w:t>variable of interest,</w:t>
      </w:r>
      <w:r w:rsidR="00682F9E" w:rsidRPr="006A4BD7">
        <w:rPr>
          <w:rFonts w:cs="Times New Roman"/>
        </w:rPr>
        <w:t xml:space="preserve"> </w:t>
      </w:r>
      <w:r w:rsidR="00682F9E" w:rsidRPr="005E3B64">
        <w:rPr>
          <w:rFonts w:cs="Times New Roman"/>
        </w:rPr>
        <w:t>β</w:t>
      </w:r>
      <w:r w:rsidR="00682F9E">
        <w:rPr>
          <w:rFonts w:cs="Times New Roman"/>
          <w:vertAlign w:val="subscript"/>
        </w:rPr>
        <w:t>3</w:t>
      </w:r>
      <w:r w:rsidR="00682F9E">
        <w:rPr>
          <w:rFonts w:cs="Times New Roman"/>
        </w:rPr>
        <w:t>, to estimate the discontinuity in air pollution around the beginning of the strike</w:t>
      </w:r>
      <w:r w:rsidR="00F170D8" w:rsidRPr="00F170D8">
        <w:rPr>
          <w:rFonts w:cs="Times New Roman"/>
        </w:rPr>
        <w:t xml:space="preserve"> </w:t>
      </w:r>
      <w:r w:rsidR="00F170D8">
        <w:rPr>
          <w:rFonts w:cs="Times New Roman"/>
        </w:rPr>
        <w:t>for Los Angeles County</w:t>
      </w:r>
      <w:r w:rsidR="00682F9E">
        <w:rPr>
          <w:rFonts w:cs="Times New Roman"/>
        </w:rPr>
        <w:t xml:space="preserve">. </w:t>
      </w:r>
      <w:r w:rsidR="00A61244" w:rsidRPr="00A61244">
        <w:rPr>
          <w:rFonts w:cs="Times New Roman"/>
          <w:sz w:val="28"/>
        </w:rPr>
        <w:t>γ</w:t>
      </w:r>
      <w:r w:rsidR="00A61244" w:rsidRPr="00A61244">
        <w:rPr>
          <w:vertAlign w:val="subscript"/>
        </w:rPr>
        <w:t>1</w:t>
      </w:r>
      <w:r w:rsidR="006A4BD7">
        <w:t xml:space="preserve"> through </w:t>
      </w:r>
      <w:r w:rsidR="006A4BD7" w:rsidRPr="00A61338">
        <w:rPr>
          <w:rFonts w:cs="Times New Roman"/>
          <w:sz w:val="28"/>
        </w:rPr>
        <w:t>γ</w:t>
      </w:r>
      <w:r w:rsidR="006A4BD7" w:rsidRPr="00A61338">
        <w:rPr>
          <w:vertAlign w:val="subscript"/>
        </w:rPr>
        <w:t>4</w:t>
      </w:r>
      <w:r w:rsidR="00A61244">
        <w:t xml:space="preserve"> will flexibly control for </w:t>
      </w:r>
      <w:r w:rsidR="006A4BD7">
        <w:t xml:space="preserve">region and time specific </w:t>
      </w:r>
      <w:r w:rsidR="00A61244">
        <w:t>pollution trends</w:t>
      </w:r>
      <w:r w:rsidR="006A4BD7">
        <w:t>.</w:t>
      </w:r>
      <w:r w:rsidR="00A61244">
        <w:t xml:space="preserve"> </w:t>
      </w:r>
      <w:r w:rsidR="006A4BD7" w:rsidRPr="00A61244">
        <w:rPr>
          <w:rFonts w:cs="Times New Roman"/>
          <w:sz w:val="28"/>
        </w:rPr>
        <w:t>γ</w:t>
      </w:r>
      <w:r w:rsidR="006A4BD7" w:rsidRPr="00A61244">
        <w:rPr>
          <w:vertAlign w:val="subscript"/>
        </w:rPr>
        <w:t>1</w:t>
      </w:r>
      <w:r w:rsidR="006A4BD7">
        <w:t xml:space="preserve"> will estimate the pollution trends for the control</w:t>
      </w:r>
      <w:r w:rsidR="00A61244">
        <w:t xml:space="preserve"> </w:t>
      </w:r>
      <w:r w:rsidR="006A4BD7">
        <w:t>group during non-strike periods.</w:t>
      </w:r>
      <w:r w:rsidR="00A61244">
        <w:t xml:space="preserve"> </w:t>
      </w:r>
      <w:r w:rsidR="00A61244" w:rsidRPr="00A61244">
        <w:rPr>
          <w:rFonts w:cs="Times New Roman"/>
          <w:sz w:val="28"/>
        </w:rPr>
        <w:t>γ</w:t>
      </w:r>
      <w:r w:rsidR="00A61244">
        <w:rPr>
          <w:vertAlign w:val="subscript"/>
        </w:rPr>
        <w:t>2</w:t>
      </w:r>
      <w:r w:rsidR="00A61244">
        <w:t xml:space="preserve"> will </w:t>
      </w:r>
      <w:r w:rsidR="006A4BD7">
        <w:t>estimate</w:t>
      </w:r>
      <w:r w:rsidR="00A61244">
        <w:t xml:space="preserve"> pollution trends for </w:t>
      </w:r>
      <w:r w:rsidR="00A61338">
        <w:t>control</w:t>
      </w:r>
      <w:r w:rsidR="00C53531">
        <w:t xml:space="preserve"> monito</w:t>
      </w:r>
      <w:r w:rsidR="006A4BD7">
        <w:t>rs during the strike.</w:t>
      </w:r>
      <w:r w:rsidR="00A61244">
        <w:t xml:space="preserve"> </w:t>
      </w:r>
      <w:r w:rsidR="00A61244" w:rsidRPr="00A61244">
        <w:rPr>
          <w:rFonts w:cs="Times New Roman"/>
          <w:sz w:val="28"/>
        </w:rPr>
        <w:t>γ</w:t>
      </w:r>
      <w:r w:rsidR="00A61244">
        <w:rPr>
          <w:vertAlign w:val="subscript"/>
        </w:rPr>
        <w:t xml:space="preserve">3 </w:t>
      </w:r>
      <w:r w:rsidR="00A61244">
        <w:t xml:space="preserve">will </w:t>
      </w:r>
      <w:r w:rsidR="006A4BD7">
        <w:t>estimate</w:t>
      </w:r>
      <w:r w:rsidR="00A61244">
        <w:t xml:space="preserve"> </w:t>
      </w:r>
      <w:r w:rsidR="00A61338">
        <w:t xml:space="preserve">pollution trends </w:t>
      </w:r>
      <w:r w:rsidR="006A4BD7">
        <w:t>for the</w:t>
      </w:r>
      <w:r w:rsidR="00A61338">
        <w:t xml:space="preserve"> treatment g</w:t>
      </w:r>
      <w:r w:rsidR="00C53531">
        <w:t>roup during non-strike periods</w:t>
      </w:r>
      <w:r w:rsidR="0075278B">
        <w:t xml:space="preserve">. </w:t>
      </w:r>
      <w:r w:rsidR="00A61338" w:rsidRPr="00A61338">
        <w:rPr>
          <w:rFonts w:cs="Times New Roman"/>
          <w:sz w:val="28"/>
        </w:rPr>
        <w:t>γ</w:t>
      </w:r>
      <w:r w:rsidR="00A61338" w:rsidRPr="00A61338">
        <w:rPr>
          <w:vertAlign w:val="subscript"/>
        </w:rPr>
        <w:t>4</w:t>
      </w:r>
      <w:r w:rsidR="00A61338">
        <w:t xml:space="preserve"> will </w:t>
      </w:r>
      <w:r w:rsidR="006A4BD7">
        <w:t>estimate</w:t>
      </w:r>
      <w:r w:rsidR="00A61338">
        <w:t xml:space="preserve"> pollution trends during the strike for my </w:t>
      </w:r>
      <w:r w:rsidR="00983B04">
        <w:t xml:space="preserve">treatment group. </w:t>
      </w:r>
      <w:r w:rsidR="00983B04" w:rsidRPr="00983B04">
        <w:rPr>
          <w:rFonts w:cs="Times New Roman"/>
        </w:rPr>
        <w:t>δ</w:t>
      </w:r>
      <w:r w:rsidR="00983B04">
        <w:rPr>
          <w:rFonts w:cs="Times New Roman"/>
        </w:rPr>
        <w:t xml:space="preserve"> is a vector of coefficients for my control matrix, </w:t>
      </w:r>
      <w:r w:rsidR="00983B04" w:rsidRPr="00983B04">
        <w:rPr>
          <w:rFonts w:cs="Times New Roman"/>
        </w:rPr>
        <w:t>X</w:t>
      </w:r>
      <w:r w:rsidR="00983B04" w:rsidRPr="00983B04">
        <w:rPr>
          <w:rFonts w:cs="Times New Roman"/>
          <w:vertAlign w:val="subscript"/>
        </w:rPr>
        <w:t>it</w:t>
      </w:r>
      <w:r w:rsidR="00983B04">
        <w:rPr>
          <w:rFonts w:cs="Times New Roman"/>
        </w:rPr>
        <w:t>,</w:t>
      </w:r>
      <w:r w:rsidR="00C21FEF">
        <w:rPr>
          <w:rFonts w:cs="Times New Roman"/>
        </w:rPr>
        <w:t xml:space="preserve"> which includes wind speed</w:t>
      </w:r>
      <w:r w:rsidR="00A367C0">
        <w:rPr>
          <w:rFonts w:cs="Times New Roman"/>
        </w:rPr>
        <w:t>,</w:t>
      </w:r>
      <w:r w:rsidR="006F3CF0">
        <w:rPr>
          <w:rFonts w:cs="Times New Roman"/>
        </w:rPr>
        <w:t xml:space="preserve"> monitor</w:t>
      </w:r>
      <w:r w:rsidR="00A367C0">
        <w:rPr>
          <w:rFonts w:cs="Times New Roman"/>
        </w:rPr>
        <w:t xml:space="preserve"> fixed effects, </w:t>
      </w:r>
      <w:r w:rsidR="00795AE5">
        <w:rPr>
          <w:rFonts w:cs="Times New Roman"/>
        </w:rPr>
        <w:t>month fixed effects and monitor-specific linear time trends</w:t>
      </w:r>
      <w:r w:rsidR="006F3CF0">
        <w:rPr>
          <w:rFonts w:cs="Times New Roman"/>
        </w:rPr>
        <w:t>.</w:t>
      </w:r>
      <w:r w:rsidR="00795AE5">
        <w:rPr>
          <w:rStyle w:val="FootnoteReference"/>
          <w:rFonts w:cs="Times New Roman"/>
        </w:rPr>
        <w:footnoteReference w:id="14"/>
      </w:r>
      <w:r w:rsidR="006F3CF0">
        <w:rPr>
          <w:rFonts w:cs="Times New Roman"/>
        </w:rPr>
        <w:t xml:space="preserve"> </w:t>
      </w:r>
      <w:r w:rsidR="006B00C7">
        <w:rPr>
          <w:rFonts w:cs="Times New Roman"/>
        </w:rPr>
        <w:t>This specification is similar to an RD approach but controls for discontinuities in air pollution experienced in neighboring counties</w:t>
      </w:r>
      <w:r w:rsidR="00312EB5">
        <w:rPr>
          <w:rFonts w:cs="Times New Roman"/>
        </w:rPr>
        <w:t xml:space="preserve"> that may be due to other regional confounding events or variables</w:t>
      </w:r>
      <w:r w:rsidR="006B00C7">
        <w:rPr>
          <w:rFonts w:cs="Times New Roman"/>
        </w:rPr>
        <w:t xml:space="preserve">. </w:t>
      </w:r>
      <w:r w:rsidR="00312EB5">
        <w:rPr>
          <w:rFonts w:cs="Times New Roman"/>
        </w:rPr>
        <w:t xml:space="preserve">On the other hand, the </w:t>
      </w:r>
      <w:r w:rsidR="006B00C7">
        <w:rPr>
          <w:rFonts w:cs="Times New Roman"/>
        </w:rPr>
        <w:t>specification may</w:t>
      </w:r>
      <w:r w:rsidR="00A8787C">
        <w:rPr>
          <w:rFonts w:cs="Times New Roman"/>
        </w:rPr>
        <w:t xml:space="preserve"> estimate a lower bound of air pollution </w:t>
      </w:r>
      <w:r w:rsidR="00527694">
        <w:rPr>
          <w:rFonts w:cs="Times New Roman"/>
        </w:rPr>
        <w:t>discontinuity</w:t>
      </w:r>
      <w:r w:rsidR="00A8787C">
        <w:rPr>
          <w:rFonts w:cs="Times New Roman"/>
        </w:rPr>
        <w:t xml:space="preserve"> at the </w:t>
      </w:r>
      <w:r w:rsidR="006E7629">
        <w:rPr>
          <w:rFonts w:cs="Times New Roman"/>
        </w:rPr>
        <w:t xml:space="preserve">beginning </w:t>
      </w:r>
      <w:r w:rsidR="00A8787C">
        <w:rPr>
          <w:rFonts w:cs="Times New Roman"/>
        </w:rPr>
        <w:t>of the strike if air pollution in Los Angeles County moves quickly to neighboring counties.</w:t>
      </w:r>
    </w:p>
    <w:p w14:paraId="53DBDE9A" w14:textId="77777777" w:rsidR="002C0D21" w:rsidRDefault="002C0D21" w:rsidP="00312EB5">
      <w:pPr>
        <w:spacing w:line="480" w:lineRule="auto"/>
      </w:pPr>
    </w:p>
    <w:p w14:paraId="69CC86C1" w14:textId="61783BE4" w:rsidR="004C384C" w:rsidRDefault="002B4A1C" w:rsidP="00D537CE">
      <w:pPr>
        <w:spacing w:line="480" w:lineRule="auto"/>
        <w:ind w:firstLine="360"/>
        <w:jc w:val="both"/>
        <w:rPr>
          <w:b/>
        </w:rPr>
      </w:pPr>
      <w:r>
        <w:rPr>
          <w:b/>
        </w:rPr>
        <w:t xml:space="preserve">TREND-ADJUSTED </w:t>
      </w:r>
      <w:r w:rsidR="004C384C">
        <w:rPr>
          <w:b/>
        </w:rPr>
        <w:t>DIFFERENCE-IN-DIFFERENCES RESULTS</w:t>
      </w:r>
    </w:p>
    <w:p w14:paraId="665A918C" w14:textId="6D8135AA" w:rsidR="004C384C" w:rsidRPr="00C32758" w:rsidRDefault="00A367C0" w:rsidP="00D9111A">
      <w:pPr>
        <w:spacing w:line="480" w:lineRule="auto"/>
        <w:ind w:firstLine="360"/>
        <w:jc w:val="both"/>
      </w:pPr>
      <w:r>
        <w:t>Table 5</w:t>
      </w:r>
      <w:r w:rsidR="008005E1">
        <w:t xml:space="preserve"> shows my </w:t>
      </w:r>
      <w:r w:rsidR="002B4A1C">
        <w:t xml:space="preserve">trend-adjusted </w:t>
      </w:r>
      <w:r w:rsidR="008005E1">
        <w:t>difference-in-differences</w:t>
      </w:r>
      <w:r w:rsidR="002A4CE8">
        <w:t xml:space="preserve"> regression results for the 2003-2004 period.</w:t>
      </w:r>
      <w:r w:rsidR="00B26BC0">
        <w:t xml:space="preserve"> Columns 1,</w:t>
      </w:r>
      <w:r w:rsidR="007D57AA">
        <w:t xml:space="preserve"> </w:t>
      </w:r>
      <w:r w:rsidR="00B26BC0">
        <w:t>3,</w:t>
      </w:r>
      <w:r w:rsidR="007D57AA">
        <w:t xml:space="preserve"> </w:t>
      </w:r>
      <w:r w:rsidR="00B26BC0">
        <w:t>5</w:t>
      </w:r>
      <w:r w:rsidR="00D40ACE">
        <w:t>,</w:t>
      </w:r>
      <w:r w:rsidR="00B26BC0">
        <w:t xml:space="preserve"> and 7 include only monitor fixed effects and </w:t>
      </w:r>
      <w:r w:rsidR="00C21FEF">
        <w:t>w</w:t>
      </w:r>
      <w:r w:rsidR="00B26BC0">
        <w:t>ind</w:t>
      </w:r>
      <w:r w:rsidR="00C21FEF">
        <w:t xml:space="preserve"> </w:t>
      </w:r>
      <w:r w:rsidR="00D40ACE">
        <w:t>s</w:t>
      </w:r>
      <w:r w:rsidR="00B26BC0">
        <w:t>peed while columns 2,</w:t>
      </w:r>
      <w:r w:rsidR="007D57AA">
        <w:t xml:space="preserve"> </w:t>
      </w:r>
      <w:r w:rsidR="00B26BC0">
        <w:t>4,</w:t>
      </w:r>
      <w:r w:rsidR="007D57AA">
        <w:t xml:space="preserve"> </w:t>
      </w:r>
      <w:r w:rsidR="00B26BC0">
        <w:t>6</w:t>
      </w:r>
      <w:r w:rsidR="00D40ACE">
        <w:t>,</w:t>
      </w:r>
      <w:r w:rsidR="00B26BC0">
        <w:t xml:space="preserve"> and 8 include all variables in the </w:t>
      </w:r>
      <w:r w:rsidR="00B26BC0">
        <w:rPr>
          <w:rFonts w:cs="Times New Roman"/>
        </w:rPr>
        <w:t xml:space="preserve">control matrix, </w:t>
      </w:r>
      <w:r w:rsidR="00B26BC0" w:rsidRPr="00983B04">
        <w:rPr>
          <w:rFonts w:cs="Times New Roman"/>
        </w:rPr>
        <w:t>X</w:t>
      </w:r>
      <w:r w:rsidR="00B26BC0" w:rsidRPr="00983B04">
        <w:rPr>
          <w:rFonts w:cs="Times New Roman"/>
          <w:vertAlign w:val="subscript"/>
        </w:rPr>
        <w:t>it</w:t>
      </w:r>
      <w:r w:rsidR="00B26BC0">
        <w:rPr>
          <w:rFonts w:cs="Times New Roman"/>
        </w:rPr>
        <w:t>.</w:t>
      </w:r>
      <w:r w:rsidR="002A4CE8">
        <w:t xml:space="preserve"> In column 1, </w:t>
      </w:r>
      <w:r w:rsidR="00B07934" w:rsidRPr="009A6A45">
        <w:t>I</w:t>
      </w:r>
      <w:r w:rsidR="002A4CE8" w:rsidRPr="009A6A45">
        <w:t xml:space="preserve"> </w:t>
      </w:r>
      <w:r w:rsidR="00A93A95">
        <w:t>find CO levels increasing by 17 percent</w:t>
      </w:r>
      <w:r w:rsidR="002A4CE8">
        <w:t xml:space="preserve"> </w:t>
      </w:r>
      <w:r w:rsidR="00A93A95">
        <w:t xml:space="preserve">(.150 / .877) </w:t>
      </w:r>
      <w:r w:rsidR="008B7578">
        <w:t>around the beginning of the strike</w:t>
      </w:r>
      <w:r w:rsidR="00A93A95">
        <w:t>, however, this estimate is highly insignificant</w:t>
      </w:r>
      <w:r w:rsidR="00A278AD">
        <w:t xml:space="preserve">. This result is likely an econometric issue: there are only 8 control monitors that have available CO data, meaning that the sample is not large enough to properly </w:t>
      </w:r>
      <w:r w:rsidR="00A278AD">
        <w:lastRenderedPageBreak/>
        <w:t>identify an effect.</w:t>
      </w:r>
      <w:r w:rsidR="008B7578">
        <w:rPr>
          <w:rStyle w:val="FootnoteReference"/>
        </w:rPr>
        <w:footnoteReference w:id="15"/>
      </w:r>
      <w:r w:rsidR="0053363B">
        <w:t xml:space="preserve"> Column 2 shows that the significance of this estimate does not change in the presence of month fixed effects and monitor-specific linear time trends.</w:t>
      </w:r>
      <w:r w:rsidR="00A278AD">
        <w:t xml:space="preserve"> In col</w:t>
      </w:r>
      <w:r w:rsidR="00B07934">
        <w:t xml:space="preserve">umn 3, </w:t>
      </w:r>
      <w:r w:rsidR="009A6A45">
        <w:t>I</w:t>
      </w:r>
      <w:r w:rsidR="00A278AD">
        <w:t xml:space="preserve"> find that NO</w:t>
      </w:r>
      <w:r w:rsidR="00A278AD">
        <w:rPr>
          <w:vertAlign w:val="subscript"/>
        </w:rPr>
        <w:t>2</w:t>
      </w:r>
      <w:r w:rsidR="00A278AD">
        <w:t xml:space="preserve"> levels increased </w:t>
      </w:r>
      <w:r w:rsidR="00B07934">
        <w:t xml:space="preserve">by 9.417 parts per billion </w:t>
      </w:r>
      <w:r w:rsidR="000216A4">
        <w:t xml:space="preserve">(ppb) </w:t>
      </w:r>
      <w:r w:rsidR="001A2E93">
        <w:t xml:space="preserve">around the </w:t>
      </w:r>
      <w:r w:rsidR="00B07934">
        <w:t>beginning of the strike</w:t>
      </w:r>
      <w:r w:rsidR="0094673E">
        <w:t>, significant at the one percent level</w:t>
      </w:r>
      <w:r w:rsidR="00A278AD">
        <w:t xml:space="preserve">. </w:t>
      </w:r>
      <w:r w:rsidR="00C32758">
        <w:t>This</w:t>
      </w:r>
      <w:r w:rsidR="00A278AD">
        <w:t xml:space="preserve"> </w:t>
      </w:r>
      <w:r w:rsidR="00B07934">
        <w:t xml:space="preserve">estimate </w:t>
      </w:r>
      <w:r w:rsidR="00A278AD">
        <w:t>suggest</w:t>
      </w:r>
      <w:r w:rsidR="00C32758">
        <w:t>s</w:t>
      </w:r>
      <w:r w:rsidR="00A278AD">
        <w:t xml:space="preserve"> that NO</w:t>
      </w:r>
      <w:r w:rsidR="00A278AD">
        <w:rPr>
          <w:vertAlign w:val="subscript"/>
        </w:rPr>
        <w:t>2</w:t>
      </w:r>
      <w:r w:rsidR="00A278AD">
        <w:t xml:space="preserve"> levels increased by </w:t>
      </w:r>
      <w:r w:rsidR="009A6A45">
        <w:t>26</w:t>
      </w:r>
      <w:r w:rsidR="002E64AA">
        <w:t xml:space="preserve"> percent </w:t>
      </w:r>
      <w:r w:rsidR="00707F5D">
        <w:t xml:space="preserve">(9.417 / 36.202) </w:t>
      </w:r>
      <w:r w:rsidR="009A6A45">
        <w:t xml:space="preserve">at the beginning of the strike </w:t>
      </w:r>
      <w:r w:rsidR="002E64AA">
        <w:t xml:space="preserve">in </w:t>
      </w:r>
      <w:r w:rsidR="009A6A45">
        <w:t>Los Angeles County</w:t>
      </w:r>
      <w:r w:rsidR="002E64AA">
        <w:rPr>
          <w:rStyle w:val="FootnoteReference"/>
        </w:rPr>
        <w:footnoteReference w:id="16"/>
      </w:r>
      <w:r w:rsidR="0087508F">
        <w:t xml:space="preserve">. </w:t>
      </w:r>
      <w:r w:rsidR="00324335">
        <w:t xml:space="preserve">The inclusion of </w:t>
      </w:r>
      <w:r w:rsidR="00324335">
        <w:rPr>
          <w:rFonts w:cs="Times New Roman"/>
        </w:rPr>
        <w:t>month fixed effects and monitor-specific linear time trends in column 4</w:t>
      </w:r>
      <w:r w:rsidR="00D82664">
        <w:t xml:space="preserve"> </w:t>
      </w:r>
      <w:r w:rsidR="0087508F">
        <w:t xml:space="preserve">does not change the magnitude </w:t>
      </w:r>
      <w:r w:rsidR="000244F4">
        <w:t xml:space="preserve">or significance </w:t>
      </w:r>
      <w:r w:rsidR="0087508F">
        <w:t>of the coefficient. Column 5 shows a similar story for NO</w:t>
      </w:r>
      <w:r w:rsidR="0087508F">
        <w:rPr>
          <w:vertAlign w:val="subscript"/>
        </w:rPr>
        <w:t>x</w:t>
      </w:r>
      <w:r w:rsidR="0087508F">
        <w:t xml:space="preserve"> which increases by </w:t>
      </w:r>
      <w:r w:rsidR="00324335">
        <w:t>25.508</w:t>
      </w:r>
      <w:r w:rsidR="0087508F">
        <w:t xml:space="preserve"> </w:t>
      </w:r>
      <w:r w:rsidR="000216A4">
        <w:t>ppb</w:t>
      </w:r>
      <w:r w:rsidR="0087508F">
        <w:t xml:space="preserve"> </w:t>
      </w:r>
      <w:r w:rsidR="003F1B32">
        <w:t xml:space="preserve">around the </w:t>
      </w:r>
      <w:r w:rsidR="00324335">
        <w:t>beginning of the strike</w:t>
      </w:r>
      <w:r w:rsidR="00434A07">
        <w:t xml:space="preserve"> or about </w:t>
      </w:r>
      <w:r w:rsidR="00324335">
        <w:t>50</w:t>
      </w:r>
      <w:r w:rsidR="00434A07">
        <w:t xml:space="preserve"> percent (</w:t>
      </w:r>
      <w:r w:rsidR="00324335">
        <w:t xml:space="preserve">25.508 </w:t>
      </w:r>
      <w:r w:rsidR="00434A07">
        <w:t xml:space="preserve">/ </w:t>
      </w:r>
      <w:r w:rsidR="00324335">
        <w:t>51.131)</w:t>
      </w:r>
      <w:r w:rsidR="00E538E9">
        <w:rPr>
          <w:rStyle w:val="FootnoteReference"/>
        </w:rPr>
        <w:footnoteReference w:id="17"/>
      </w:r>
      <w:r w:rsidR="0087508F">
        <w:t xml:space="preserve">. </w:t>
      </w:r>
      <w:r w:rsidR="0094673E">
        <w:t>This estimate is also significant at the one percent level.</w:t>
      </w:r>
      <w:r w:rsidR="0061430C">
        <w:rPr>
          <w:rStyle w:val="FootnoteReference"/>
        </w:rPr>
        <w:footnoteReference w:id="18"/>
      </w:r>
      <w:r w:rsidR="0094673E">
        <w:t xml:space="preserve"> </w:t>
      </w:r>
      <w:r w:rsidR="00D9111A">
        <w:t xml:space="preserve">It is worth noting that the summation of the coefficients on </w:t>
      </w:r>
      <w:r w:rsidR="00D9111A">
        <w:rPr>
          <w:rFonts w:cs="Times New Roman"/>
        </w:rPr>
        <w:t xml:space="preserve">all week variables </w:t>
      </w:r>
      <w:r w:rsidR="00FF3E42">
        <w:rPr>
          <w:rFonts w:eastAsia="Times New Roman" w:cs="Times New Roman"/>
          <w:color w:val="000000"/>
        </w:rPr>
        <w:t>in Table</w:t>
      </w:r>
      <w:r w:rsidR="00D9111A">
        <w:rPr>
          <w:rFonts w:eastAsia="Times New Roman" w:cs="Times New Roman"/>
          <w:color w:val="000000"/>
        </w:rPr>
        <w:t xml:space="preserve"> 5 for the </w:t>
      </w:r>
      <w:r w:rsidR="00D9111A">
        <w:t>NO</w:t>
      </w:r>
      <w:r w:rsidR="00D9111A">
        <w:rPr>
          <w:vertAlign w:val="subscript"/>
        </w:rPr>
        <w:t>2</w:t>
      </w:r>
      <w:r w:rsidR="00D9111A">
        <w:rPr>
          <w:rFonts w:eastAsia="Times New Roman" w:cs="Times New Roman"/>
          <w:color w:val="000000"/>
        </w:rPr>
        <w:t xml:space="preserve"> and </w:t>
      </w:r>
      <w:r w:rsidR="00D9111A">
        <w:t>NO</w:t>
      </w:r>
      <w:r w:rsidR="00D9111A">
        <w:rPr>
          <w:vertAlign w:val="subscript"/>
        </w:rPr>
        <w:t>x</w:t>
      </w:r>
      <w:r w:rsidR="00D9111A">
        <w:t xml:space="preserve"> specifications </w:t>
      </w:r>
      <w:r w:rsidR="00D9111A">
        <w:rPr>
          <w:rFonts w:eastAsia="Times New Roman" w:cs="Times New Roman"/>
          <w:color w:val="000000"/>
        </w:rPr>
        <w:t>indicate downward trending pollution levels during the strike in Los Angeles, consistent with the raw data presented in Figures 2 through 7.</w:t>
      </w:r>
      <w:r w:rsidR="00D9111A">
        <w:t xml:space="preserve"> E</w:t>
      </w:r>
      <w:r w:rsidR="00C32758">
        <w:t>stimates for O</w:t>
      </w:r>
      <w:r w:rsidR="00C32758">
        <w:rPr>
          <w:vertAlign w:val="subscript"/>
        </w:rPr>
        <w:t>3</w:t>
      </w:r>
      <w:r w:rsidR="00C32758">
        <w:t xml:space="preserve"> </w:t>
      </w:r>
      <w:r w:rsidR="00D9111A">
        <w:t xml:space="preserve">are also included </w:t>
      </w:r>
      <w:r w:rsidR="00C32758">
        <w:t xml:space="preserve">in columns 7 and 8, </w:t>
      </w:r>
      <w:r w:rsidR="00D9111A">
        <w:t>showing slight</w:t>
      </w:r>
      <w:r w:rsidR="0094673E">
        <w:t xml:space="preserve"> yet </w:t>
      </w:r>
      <w:r w:rsidR="00D9111A">
        <w:t>significant decreases in levels</w:t>
      </w:r>
      <w:r w:rsidR="0094673E">
        <w:t xml:space="preserve"> for Los Angeles </w:t>
      </w:r>
      <w:r w:rsidR="003B292A">
        <w:t>around the beginning of the strike</w:t>
      </w:r>
      <w:r w:rsidR="00C32758">
        <w:t>.</w:t>
      </w:r>
      <w:r w:rsidR="00D35240">
        <w:t xml:space="preserve"> </w:t>
      </w:r>
      <w:r w:rsidR="00D35240" w:rsidRPr="00D35240">
        <w:t>These results heavily support the “Mohring effect”</w:t>
      </w:r>
      <w:r w:rsidR="00D40ACE">
        <w:t>,</w:t>
      </w:r>
      <w:r w:rsidR="00D35240" w:rsidRPr="00D35240">
        <w:t xml:space="preserve"> which posit</w:t>
      </w:r>
      <w:r w:rsidR="00D40ACE">
        <w:t>s</w:t>
      </w:r>
      <w:r w:rsidR="00D35240" w:rsidRPr="00D35240">
        <w:t xml:space="preserve"> that investments i</w:t>
      </w:r>
      <w:r w:rsidR="00F1547B">
        <w:t>n transit infrastructure divert</w:t>
      </w:r>
      <w:r w:rsidR="00D35240" w:rsidRPr="00D35240">
        <w:t xml:space="preserve"> marginal drivers from using their cars. In this case, the fact that public transit is no longer available means that these marginal drivers now must use their cars, causing more congestion and thus, more air pollution.</w:t>
      </w:r>
    </w:p>
    <w:p w14:paraId="690FDF27" w14:textId="1FDD7FDE" w:rsidR="00FA7E27" w:rsidRDefault="00AC4232" w:rsidP="00D537CE">
      <w:pPr>
        <w:spacing w:line="480" w:lineRule="auto"/>
        <w:ind w:firstLine="360"/>
        <w:jc w:val="both"/>
      </w:pPr>
      <w:r>
        <w:t xml:space="preserve">Table 6 documents a placebo test, in which I take a comparable period of time to the actual strike, the period between October 14 and November 18, 2002, </w:t>
      </w:r>
      <w:r w:rsidR="002B5988">
        <w:t>during which no public transit strike occurred.</w:t>
      </w:r>
      <w:r>
        <w:t xml:space="preserve"> I </w:t>
      </w:r>
      <w:r w:rsidR="00C104CD">
        <w:t>hereafter refer to this period as the</w:t>
      </w:r>
      <w:r>
        <w:t xml:space="preserve"> “placebo strike”. </w:t>
      </w:r>
      <w:r w:rsidR="00803B49">
        <w:t xml:space="preserve">Hypothetically, pollution levels should not change discontinuously around the beginning of the placebo strike under the assumption that </w:t>
      </w:r>
      <w:r w:rsidR="00F55232">
        <w:t xml:space="preserve">they </w:t>
      </w:r>
      <w:r w:rsidR="00A56A6D">
        <w:t>are continuous</w:t>
      </w:r>
      <w:r w:rsidR="00803B49">
        <w:t xml:space="preserve"> at this time of year</w:t>
      </w:r>
      <w:r w:rsidR="007D27A8">
        <w:t xml:space="preserve"> had the strike not occurred</w:t>
      </w:r>
      <w:r w:rsidR="00803B49">
        <w:t xml:space="preserve">. </w:t>
      </w:r>
      <w:r w:rsidR="0064452A">
        <w:t xml:space="preserve">Column 1 </w:t>
      </w:r>
      <w:r w:rsidR="0064452A">
        <w:lastRenderedPageBreak/>
        <w:t xml:space="preserve">shows the results for CO </w:t>
      </w:r>
      <w:r w:rsidR="00803B49">
        <w:t xml:space="preserve">levels </w:t>
      </w:r>
      <w:r w:rsidR="0064452A">
        <w:t>and provide</w:t>
      </w:r>
      <w:r w:rsidR="003401AE">
        <w:t>s</w:t>
      </w:r>
      <w:r w:rsidR="0064452A">
        <w:t xml:space="preserve"> </w:t>
      </w:r>
      <w:r w:rsidR="00974C23">
        <w:t>no evidence of</w:t>
      </w:r>
      <w:r w:rsidR="00551143">
        <w:t xml:space="preserve"> </w:t>
      </w:r>
      <w:r w:rsidR="003401AE">
        <w:t>change</w:t>
      </w:r>
      <w:r w:rsidR="00551143">
        <w:t xml:space="preserve"> </w:t>
      </w:r>
      <w:r w:rsidR="0073493A">
        <w:t>for Los Angeles County</w:t>
      </w:r>
      <w:r w:rsidR="0064452A">
        <w:t xml:space="preserve"> </w:t>
      </w:r>
      <w:r w:rsidR="00C92B38">
        <w:t xml:space="preserve">around </w:t>
      </w:r>
      <w:r w:rsidR="003C117C">
        <w:t>the</w:t>
      </w:r>
      <w:r w:rsidR="00C92B38">
        <w:t xml:space="preserve"> </w:t>
      </w:r>
      <w:r w:rsidR="003C117C">
        <w:t>beginning of the placebo strike</w:t>
      </w:r>
      <w:r w:rsidR="0064452A">
        <w:t xml:space="preserve">. This result </w:t>
      </w:r>
      <w:r w:rsidR="004C46A0">
        <w:t>should be expected</w:t>
      </w:r>
      <w:r w:rsidR="0064452A">
        <w:t xml:space="preserve">, </w:t>
      </w:r>
      <w:r w:rsidR="00974C23">
        <w:t>even if there is a small sample of control monitors</w:t>
      </w:r>
      <w:r w:rsidR="0064452A">
        <w:t>.</w:t>
      </w:r>
      <w:r w:rsidR="003401AE">
        <w:t xml:space="preserve"> Column 3 shows that</w:t>
      </w:r>
      <w:r w:rsidR="003401AE" w:rsidRPr="003401AE">
        <w:t xml:space="preserve"> </w:t>
      </w:r>
      <w:r w:rsidR="003401AE">
        <w:t>NO</w:t>
      </w:r>
      <w:r w:rsidR="003401AE">
        <w:rPr>
          <w:vertAlign w:val="subscript"/>
        </w:rPr>
        <w:t>2</w:t>
      </w:r>
      <w:r w:rsidR="003401AE">
        <w:t xml:space="preserve"> did not change </w:t>
      </w:r>
      <w:r w:rsidR="00C92B38">
        <w:t xml:space="preserve">around the </w:t>
      </w:r>
      <w:r w:rsidR="00974C23">
        <w:t>beginning of the placebo strike either</w:t>
      </w:r>
      <w:r w:rsidR="00BB60E0">
        <w:t xml:space="preserve">, </w:t>
      </w:r>
      <w:r w:rsidR="00974C23">
        <w:t>continuing</w:t>
      </w:r>
      <w:r w:rsidR="00BF7AB7">
        <w:t xml:space="preserve"> to validate my estimates of this pollutant</w:t>
      </w:r>
      <w:r w:rsidR="00BB60E0">
        <w:t>. Column 4 shows that this result is robust to</w:t>
      </w:r>
      <w:r w:rsidR="00803B49">
        <w:t xml:space="preserve"> the inclusion of </w:t>
      </w:r>
      <w:r w:rsidR="00803B49">
        <w:rPr>
          <w:rFonts w:cs="Times New Roman"/>
        </w:rPr>
        <w:t>month fixed effects and monitor-specific linear time trends</w:t>
      </w:r>
      <w:r w:rsidR="00BB60E0">
        <w:t>. Column 5 and 6</w:t>
      </w:r>
      <w:r w:rsidR="008769B0">
        <w:t>,</w:t>
      </w:r>
      <w:r w:rsidR="00BB60E0">
        <w:t xml:space="preserve"> however</w:t>
      </w:r>
      <w:r w:rsidR="008769B0">
        <w:t>,</w:t>
      </w:r>
      <w:r w:rsidR="00BB60E0">
        <w:t xml:space="preserve"> indicate that NO</w:t>
      </w:r>
      <w:r w:rsidR="00BB60E0">
        <w:rPr>
          <w:vertAlign w:val="subscript"/>
        </w:rPr>
        <w:t>x</w:t>
      </w:r>
      <w:r w:rsidR="00BB60E0">
        <w:t xml:space="preserve"> levels in Los Angeles decreased </w:t>
      </w:r>
      <w:r w:rsidR="008769B0">
        <w:t xml:space="preserve">significantly and drastically </w:t>
      </w:r>
      <w:r w:rsidR="00A25AB4">
        <w:t>around the beginning of</w:t>
      </w:r>
      <w:r w:rsidR="00BB60E0">
        <w:t xml:space="preserve"> the placebo strike in comparison to neighboring counties by as much as </w:t>
      </w:r>
      <w:r w:rsidR="008769B0">
        <w:t>20.028</w:t>
      </w:r>
      <w:r w:rsidR="00BB60E0">
        <w:t xml:space="preserve"> </w:t>
      </w:r>
      <w:r w:rsidR="000216A4">
        <w:t>ppb</w:t>
      </w:r>
      <w:r w:rsidR="00BB60E0">
        <w:t xml:space="preserve">. This could signify </w:t>
      </w:r>
      <w:r w:rsidR="009C2BCD">
        <w:t>that</w:t>
      </w:r>
      <w:r w:rsidR="00BB60E0">
        <w:t xml:space="preserve"> </w:t>
      </w:r>
      <w:r w:rsidR="009C2BCD">
        <w:t xml:space="preserve">there is </w:t>
      </w:r>
      <w:r w:rsidR="006379BD">
        <w:t>confounding discontinuous</w:t>
      </w:r>
      <w:r w:rsidR="00BB60E0">
        <w:t xml:space="preserve"> variation in NO</w:t>
      </w:r>
      <w:r w:rsidR="00BB60E0">
        <w:rPr>
          <w:vertAlign w:val="subscript"/>
        </w:rPr>
        <w:t>x</w:t>
      </w:r>
      <w:r w:rsidR="00BB60E0">
        <w:t xml:space="preserve"> </w:t>
      </w:r>
      <w:r w:rsidR="00913D7D">
        <w:t>specific to Los Angeles C</w:t>
      </w:r>
      <w:r w:rsidR="009C2BCD">
        <w:t xml:space="preserve">ounty </w:t>
      </w:r>
      <w:r w:rsidR="00CD3ABC">
        <w:t xml:space="preserve">around this time of year </w:t>
      </w:r>
      <w:r w:rsidR="009C2BCD">
        <w:t xml:space="preserve">that is </w:t>
      </w:r>
      <w:r w:rsidR="008769B0">
        <w:t xml:space="preserve">still </w:t>
      </w:r>
      <w:r w:rsidR="009C2BCD">
        <w:t xml:space="preserve">not being controlled for. </w:t>
      </w:r>
      <w:r w:rsidR="008769B0">
        <w:t xml:space="preserve">However, the placebo test </w:t>
      </w:r>
      <w:r w:rsidR="008C4CE5">
        <w:t>could also be</w:t>
      </w:r>
      <w:r w:rsidR="008769B0">
        <w:t xml:space="preserve"> poorly representing the counterfactual pollutant levels of Los Angeles in 2003, had the strike not occurred.</w:t>
      </w:r>
      <w:r w:rsidR="00B24153">
        <w:t xml:space="preserve"> It may be that an unobserved event </w:t>
      </w:r>
      <w:r w:rsidR="00CD699F">
        <w:t xml:space="preserve">around this time </w:t>
      </w:r>
      <w:r w:rsidR="00B665CD">
        <w:t xml:space="preserve">in 2002 </w:t>
      </w:r>
      <w:r w:rsidR="00B24153">
        <w:t>is driving this result.</w:t>
      </w:r>
    </w:p>
    <w:p w14:paraId="5401B51B" w14:textId="77777777" w:rsidR="00B665CD" w:rsidRDefault="00B665CD" w:rsidP="00D332F9">
      <w:pPr>
        <w:spacing w:line="480" w:lineRule="auto"/>
        <w:jc w:val="both"/>
      </w:pPr>
    </w:p>
    <w:p w14:paraId="1D1A8E0C" w14:textId="7F67687A" w:rsidR="007572BC" w:rsidRPr="007572BC" w:rsidRDefault="007572BC" w:rsidP="007572BC">
      <w:pPr>
        <w:spacing w:line="480" w:lineRule="auto"/>
        <w:ind w:firstLine="360"/>
        <w:jc w:val="both"/>
        <w:rPr>
          <w:rFonts w:cs="Times New Roman"/>
        </w:rPr>
      </w:pPr>
      <w:r>
        <w:rPr>
          <w:rFonts w:cs="Times New Roman"/>
          <w:b/>
        </w:rPr>
        <w:t>OTHER SPECIFICATIONS</w:t>
      </w:r>
    </w:p>
    <w:p w14:paraId="716743B8" w14:textId="10E9C95C" w:rsidR="001B7739" w:rsidRDefault="006925D8" w:rsidP="00441B1D">
      <w:pPr>
        <w:spacing w:line="480" w:lineRule="auto"/>
        <w:ind w:firstLine="360"/>
        <w:jc w:val="both"/>
      </w:pPr>
      <w:r>
        <w:t xml:space="preserve">A concern with using </w:t>
      </w:r>
      <w:r w:rsidR="00564575">
        <w:t>a one-</w:t>
      </w:r>
      <w:r w:rsidR="003363C0">
        <w:t xml:space="preserve">year window for my </w:t>
      </w:r>
      <w:r w:rsidR="007E540B">
        <w:t xml:space="preserve">trend-adjusted </w:t>
      </w:r>
      <w:r w:rsidR="003363C0">
        <w:t>difference-in-differences specification is that lower levels of air pollution during other times of the year may be biasing my estimates upwards.</w:t>
      </w:r>
      <w:r w:rsidR="00564575">
        <w:rPr>
          <w:rStyle w:val="FootnoteReference"/>
        </w:rPr>
        <w:footnoteReference w:id="19"/>
      </w:r>
      <w:r w:rsidR="003363C0">
        <w:t xml:space="preserve"> To test this hypothesis, I run the same </w:t>
      </w:r>
      <w:r w:rsidR="000C7062">
        <w:t>regression</w:t>
      </w:r>
      <w:r w:rsidR="003363C0">
        <w:t xml:space="preserve"> in the previous section but for a 25-week period around the beginning of the strike start date. </w:t>
      </w:r>
      <w:r w:rsidR="0086703A">
        <w:t>These</w:t>
      </w:r>
      <w:r w:rsidR="003363C0">
        <w:t xml:space="preserve"> results </w:t>
      </w:r>
      <w:r w:rsidR="0086703A">
        <w:t>and a placebo test for the 25-week period surrounding a placebo strike in 2002</w:t>
      </w:r>
      <w:r w:rsidR="00C1230B">
        <w:t xml:space="preserve"> are presented in Tables 7 and 8 respectively.</w:t>
      </w:r>
      <w:r w:rsidR="0086703A">
        <w:t xml:space="preserve"> </w:t>
      </w:r>
      <w:r w:rsidR="00EC4EB7">
        <w:t>I</w:t>
      </w:r>
      <w:r w:rsidR="0086703A">
        <w:t xml:space="preserve"> find </w:t>
      </w:r>
      <w:r w:rsidR="00EC4EB7">
        <w:t xml:space="preserve">that </w:t>
      </w:r>
      <w:r w:rsidR="0086703A">
        <w:t xml:space="preserve">CO levels </w:t>
      </w:r>
      <w:r w:rsidR="00EC4EB7">
        <w:t xml:space="preserve">are again </w:t>
      </w:r>
      <w:r w:rsidR="0086703A">
        <w:t xml:space="preserve">unchanged in Los Angeles </w:t>
      </w:r>
      <w:r w:rsidR="009952C8">
        <w:t xml:space="preserve">County </w:t>
      </w:r>
      <w:r w:rsidR="0086703A">
        <w:t xml:space="preserve">across the beginning of </w:t>
      </w:r>
      <w:r w:rsidR="009952C8">
        <w:t>the strike</w:t>
      </w:r>
      <w:r w:rsidR="00EC4EB7">
        <w:t xml:space="preserve"> </w:t>
      </w:r>
      <w:r w:rsidR="0044381E">
        <w:t>in column 1 of Table</w:t>
      </w:r>
      <w:r w:rsidR="00EC4EB7">
        <w:t xml:space="preserve"> 7</w:t>
      </w:r>
      <w:r w:rsidR="0086703A">
        <w:t xml:space="preserve">. </w:t>
      </w:r>
      <w:r w:rsidR="009952C8">
        <w:t xml:space="preserve">In column 3, </w:t>
      </w:r>
      <w:r w:rsidR="0086703A">
        <w:t>I find that levels of NO</w:t>
      </w:r>
      <w:r w:rsidR="0086703A">
        <w:rPr>
          <w:vertAlign w:val="subscript"/>
        </w:rPr>
        <w:t>2</w:t>
      </w:r>
      <w:r w:rsidR="0086703A">
        <w:t xml:space="preserve"> in Los </w:t>
      </w:r>
      <w:r w:rsidR="0086703A">
        <w:lastRenderedPageBreak/>
        <w:t xml:space="preserve">Angeles change similarly to those found in the one-year specification </w:t>
      </w:r>
      <w:r w:rsidR="004C118F">
        <w:t xml:space="preserve">(8.693 compared to 9.417 ppb) </w:t>
      </w:r>
      <w:r w:rsidR="00CE6C20">
        <w:t>and are significant at the one percent level</w:t>
      </w:r>
      <w:r w:rsidR="0086703A">
        <w:t xml:space="preserve">. This result is also robust to </w:t>
      </w:r>
      <w:r w:rsidR="0086703A">
        <w:rPr>
          <w:rFonts w:cs="Times New Roman"/>
        </w:rPr>
        <w:t xml:space="preserve">month fixed effects and monitor-specific linear time trends in column 4, providing </w:t>
      </w:r>
      <w:r w:rsidR="004C118F">
        <w:rPr>
          <w:rFonts w:cs="Times New Roman"/>
        </w:rPr>
        <w:t>additional</w:t>
      </w:r>
      <w:r w:rsidR="0086703A">
        <w:rPr>
          <w:rFonts w:cs="Times New Roman"/>
        </w:rPr>
        <w:t xml:space="preserve"> evidence that my estimates of this pollutant are clean.</w:t>
      </w:r>
      <w:r w:rsidR="00CE6C20">
        <w:rPr>
          <w:rFonts w:cs="Times New Roman"/>
        </w:rPr>
        <w:t xml:space="preserve"> </w:t>
      </w:r>
      <w:r w:rsidR="009952C8">
        <w:rPr>
          <w:rFonts w:cs="Times New Roman"/>
        </w:rPr>
        <w:t xml:space="preserve">In column 5, </w:t>
      </w:r>
      <w:r w:rsidR="00CE6C20">
        <w:rPr>
          <w:rFonts w:cs="Times New Roman"/>
        </w:rPr>
        <w:t xml:space="preserve">I find that </w:t>
      </w:r>
      <w:r w:rsidR="00CE6C20">
        <w:t>NO</w:t>
      </w:r>
      <w:r w:rsidR="00CE6C20">
        <w:rPr>
          <w:vertAlign w:val="subscript"/>
        </w:rPr>
        <w:t>x</w:t>
      </w:r>
      <w:r w:rsidR="00CE6C20">
        <w:t xml:space="preserve"> levels change less in this specification than the one-year specification around the beginning of the strike </w:t>
      </w:r>
      <w:r w:rsidR="004C118F">
        <w:t xml:space="preserve">(17.754 compared to 25.508) </w:t>
      </w:r>
      <w:r w:rsidR="001E61C9">
        <w:t>but are also significant at the one percent level</w:t>
      </w:r>
      <w:r w:rsidR="00CE6C20">
        <w:t>. This specification suggests that NO</w:t>
      </w:r>
      <w:r w:rsidR="00CE6C20">
        <w:rPr>
          <w:vertAlign w:val="subscript"/>
        </w:rPr>
        <w:t>x</w:t>
      </w:r>
      <w:r w:rsidR="00CE6C20">
        <w:t xml:space="preserve"> levels in Los Angeles increased by 35 percent (</w:t>
      </w:r>
      <w:r w:rsidR="001E61C9">
        <w:t>17.754 / 51.131)</w:t>
      </w:r>
      <w:r w:rsidR="00411C1A" w:rsidRPr="00411C1A">
        <w:t xml:space="preserve"> </w:t>
      </w:r>
      <w:r w:rsidR="00411C1A">
        <w:t>at the beginning of the strike</w:t>
      </w:r>
      <w:r w:rsidR="001E61C9">
        <w:t>.</w:t>
      </w:r>
    </w:p>
    <w:p w14:paraId="58A969A8" w14:textId="54CF5CC3" w:rsidR="00A647DC" w:rsidRPr="00C42B9B" w:rsidRDefault="00A647DC" w:rsidP="00441B1D">
      <w:pPr>
        <w:spacing w:line="480" w:lineRule="auto"/>
        <w:ind w:firstLine="360"/>
        <w:jc w:val="both"/>
        <w:rPr>
          <w:rFonts w:cs="Times New Roman"/>
        </w:rPr>
      </w:pPr>
      <w:r>
        <w:t>In Table 8, I find that CO and NO</w:t>
      </w:r>
      <w:r>
        <w:rPr>
          <w:vertAlign w:val="subscript"/>
        </w:rPr>
        <w:t>2</w:t>
      </w:r>
      <w:r>
        <w:t xml:space="preserve"> levels do not change around the beginning of the placebo strike which is consistent with my one-year specification and with the assumption that these levels should not change discontinuously </w:t>
      </w:r>
      <w:r w:rsidR="00E14B84">
        <w:t>had the strike not occurred</w:t>
      </w:r>
      <w:r>
        <w:t xml:space="preserve">. However, I find consistent </w:t>
      </w:r>
      <w:r w:rsidR="00E14B84">
        <w:t>and</w:t>
      </w:r>
      <w:r>
        <w:t xml:space="preserve"> troubling results for NO</w:t>
      </w:r>
      <w:r>
        <w:rPr>
          <w:vertAlign w:val="subscript"/>
        </w:rPr>
        <w:t>x</w:t>
      </w:r>
      <w:r>
        <w:t xml:space="preserve">, which shows a similar decrease in </w:t>
      </w:r>
      <w:r w:rsidR="000216A4">
        <w:t>ppb</w:t>
      </w:r>
      <w:r>
        <w:t xml:space="preserve"> around the beginning of the placebo strike</w:t>
      </w:r>
      <w:r w:rsidR="00C42B9B">
        <w:t xml:space="preserve"> to the one-year specification. This not only calls into question my estimates for NO</w:t>
      </w:r>
      <w:r w:rsidR="00C42B9B">
        <w:rPr>
          <w:vertAlign w:val="subscript"/>
        </w:rPr>
        <w:t>x</w:t>
      </w:r>
      <w:r w:rsidR="00C42B9B">
        <w:t xml:space="preserve"> but NO</w:t>
      </w:r>
      <w:r w:rsidR="00C42B9B">
        <w:rPr>
          <w:vertAlign w:val="subscript"/>
        </w:rPr>
        <w:t>2</w:t>
      </w:r>
      <w:r w:rsidR="00C42B9B">
        <w:t xml:space="preserve"> as well since NO</w:t>
      </w:r>
      <w:r w:rsidR="00C42B9B">
        <w:rPr>
          <w:vertAlign w:val="subscript"/>
        </w:rPr>
        <w:t>2</w:t>
      </w:r>
      <w:r w:rsidR="00C42B9B">
        <w:t xml:space="preserve"> is one of the two compounds included in NO</w:t>
      </w:r>
      <w:r w:rsidR="00C42B9B">
        <w:rPr>
          <w:vertAlign w:val="subscript"/>
        </w:rPr>
        <w:t>x</w:t>
      </w:r>
      <w:r w:rsidR="00E72314">
        <w:t>. However, it may be that the other compound</w:t>
      </w:r>
      <w:r w:rsidR="00CA7FB1">
        <w:t xml:space="preserve"> included in NO</w:t>
      </w:r>
      <w:r w:rsidR="00CA7FB1">
        <w:rPr>
          <w:vertAlign w:val="subscript"/>
        </w:rPr>
        <w:t>x</w:t>
      </w:r>
      <w:r w:rsidR="00E72314">
        <w:t xml:space="preserve">, </w:t>
      </w:r>
      <w:r w:rsidR="001159E5">
        <w:t>n</w:t>
      </w:r>
      <w:r w:rsidR="00E72314">
        <w:t xml:space="preserve">itric </w:t>
      </w:r>
      <w:r w:rsidR="001159E5">
        <w:t>o</w:t>
      </w:r>
      <w:r w:rsidR="00E72314">
        <w:t xml:space="preserve">xide (NO) </w:t>
      </w:r>
      <w:r w:rsidR="00CB70C8">
        <w:t>is affected by variables that are not controlled for in my trend-adjusted difference-in-differences specification</w:t>
      </w:r>
      <w:r w:rsidR="00E72314">
        <w:t>.</w:t>
      </w:r>
    </w:p>
    <w:p w14:paraId="3C1DC0AE" w14:textId="6F49659B" w:rsidR="0015570C" w:rsidRPr="003B4C61" w:rsidRDefault="001636CA" w:rsidP="00963761">
      <w:pPr>
        <w:spacing w:line="480" w:lineRule="auto"/>
        <w:ind w:firstLine="360"/>
        <w:jc w:val="both"/>
        <w:rPr>
          <w:rFonts w:cs="Times New Roman"/>
        </w:rPr>
      </w:pPr>
      <w:r>
        <w:rPr>
          <w:rFonts w:cs="Times New Roman"/>
        </w:rPr>
        <w:t>Experimentation</w:t>
      </w:r>
      <w:r w:rsidR="007572BC">
        <w:rPr>
          <w:rFonts w:cs="Times New Roman"/>
        </w:rPr>
        <w:t xml:space="preserve"> with</w:t>
      </w:r>
      <w:r w:rsidR="00963761">
        <w:rPr>
          <w:rFonts w:cs="Times New Roman"/>
        </w:rPr>
        <w:t xml:space="preserve"> a</w:t>
      </w:r>
      <w:r w:rsidR="007572BC">
        <w:rPr>
          <w:rFonts w:cs="Times New Roman"/>
        </w:rPr>
        <w:t>n ordinary</w:t>
      </w:r>
      <w:r w:rsidR="00963761">
        <w:rPr>
          <w:rFonts w:cs="Times New Roman"/>
        </w:rPr>
        <w:t xml:space="preserve"> difference-in-differences </w:t>
      </w:r>
      <w:r w:rsidR="007572BC">
        <w:rPr>
          <w:rFonts w:cs="Times New Roman"/>
        </w:rPr>
        <w:t>regression</w:t>
      </w:r>
      <w:r>
        <w:rPr>
          <w:rFonts w:cs="Times New Roman"/>
        </w:rPr>
        <w:t xml:space="preserve"> should also </w:t>
      </w:r>
      <w:r w:rsidR="00B01413">
        <w:rPr>
          <w:rFonts w:cs="Times New Roman"/>
        </w:rPr>
        <w:t>provide</w:t>
      </w:r>
      <w:r>
        <w:rPr>
          <w:rFonts w:cs="Times New Roman"/>
        </w:rPr>
        <w:t xml:space="preserve"> </w:t>
      </w:r>
      <w:r w:rsidR="008779DC" w:rsidRPr="003B4C61">
        <w:rPr>
          <w:rFonts w:cs="Times New Roman"/>
        </w:rPr>
        <w:t>meaningful</w:t>
      </w:r>
      <w:r w:rsidR="00B01413" w:rsidRPr="003B4C61">
        <w:rPr>
          <w:rFonts w:cs="Times New Roman"/>
        </w:rPr>
        <w:t xml:space="preserve"> results</w:t>
      </w:r>
      <w:r w:rsidR="007572BC" w:rsidRPr="003B4C61">
        <w:rPr>
          <w:rFonts w:cs="Times New Roman"/>
        </w:rPr>
        <w:t>. In this context, a difference-in-difference</w:t>
      </w:r>
      <w:r w:rsidR="00DE7FDE" w:rsidRPr="003B4C61">
        <w:rPr>
          <w:rFonts w:cs="Times New Roman"/>
        </w:rPr>
        <w:t>s</w:t>
      </w:r>
      <w:r w:rsidR="007572BC" w:rsidRPr="003B4C61">
        <w:rPr>
          <w:rFonts w:cs="Times New Roman"/>
        </w:rPr>
        <w:t xml:space="preserve"> estimator </w:t>
      </w:r>
      <w:r w:rsidR="00963761" w:rsidRPr="003B4C61">
        <w:rPr>
          <w:rFonts w:cs="Times New Roman"/>
        </w:rPr>
        <w:t>should produce qualitatively similar results to the trend-adjusted difference-in-difference</w:t>
      </w:r>
      <w:r w:rsidR="00DE7FDE" w:rsidRPr="003B4C61">
        <w:rPr>
          <w:rFonts w:cs="Times New Roman"/>
        </w:rPr>
        <w:t>s</w:t>
      </w:r>
      <w:r w:rsidR="00963761" w:rsidRPr="003B4C61">
        <w:rPr>
          <w:rFonts w:cs="Times New Roman"/>
        </w:rPr>
        <w:t xml:space="preserve"> regression </w:t>
      </w:r>
      <w:r w:rsidR="007572BC" w:rsidRPr="003B4C61">
        <w:rPr>
          <w:rFonts w:cs="Times New Roman"/>
        </w:rPr>
        <w:t>if</w:t>
      </w:r>
      <w:r w:rsidR="00963761" w:rsidRPr="003B4C61">
        <w:t xml:space="preserve"> the downward trend </w:t>
      </w:r>
      <w:r w:rsidR="007572BC" w:rsidRPr="003B4C61">
        <w:t xml:space="preserve">in pollutants </w:t>
      </w:r>
      <w:r w:rsidR="00963761" w:rsidRPr="003B4C61">
        <w:t>during the strike</w:t>
      </w:r>
      <w:r w:rsidR="007572BC" w:rsidRPr="003B4C61">
        <w:t xml:space="preserve"> </w:t>
      </w:r>
      <w:r w:rsidR="003216D2" w:rsidRPr="003B4C61">
        <w:t>did not outweigh the immediate increases at the beginning of the str</w:t>
      </w:r>
      <w:r w:rsidR="002C48D7" w:rsidRPr="003B4C61">
        <w:t>i</w:t>
      </w:r>
      <w:r w:rsidR="003216D2" w:rsidRPr="003B4C61">
        <w:t>ke</w:t>
      </w:r>
      <w:r w:rsidR="001B7739" w:rsidRPr="003B4C61">
        <w:rPr>
          <w:rFonts w:cs="Times New Roman"/>
        </w:rPr>
        <w:t>.</w:t>
      </w:r>
      <w:r w:rsidR="00963761" w:rsidRPr="003B4C61">
        <w:rPr>
          <w:rFonts w:cs="Times New Roman"/>
        </w:rPr>
        <w:t xml:space="preserve"> I test this hypothesis</w:t>
      </w:r>
      <w:r w:rsidR="0015570C" w:rsidRPr="003B4C61">
        <w:rPr>
          <w:rFonts w:cs="Times New Roman"/>
        </w:rPr>
        <w:t xml:space="preserve"> by using the following </w:t>
      </w:r>
      <w:r w:rsidR="00963761" w:rsidRPr="003B4C61">
        <w:rPr>
          <w:rFonts w:cs="Times New Roman"/>
        </w:rPr>
        <w:t>simple differ</w:t>
      </w:r>
      <w:r w:rsidR="0015570C" w:rsidRPr="003B4C61">
        <w:rPr>
          <w:rFonts w:cs="Times New Roman"/>
        </w:rPr>
        <w:t>ence-in-differences estimator regression:</w:t>
      </w:r>
    </w:p>
    <w:p w14:paraId="25EA8686" w14:textId="472AF827" w:rsidR="0015570C" w:rsidRPr="003B4C61" w:rsidRDefault="0015570C" w:rsidP="00963761">
      <w:pPr>
        <w:spacing w:line="480" w:lineRule="auto"/>
        <w:ind w:firstLine="360"/>
        <w:jc w:val="both"/>
        <w:rPr>
          <w:rFonts w:cs="Times New Roman"/>
        </w:rPr>
      </w:pPr>
      <w:r w:rsidRPr="003B4C61">
        <w:rPr>
          <w:rFonts w:cs="Times New Roman"/>
          <w:b/>
        </w:rPr>
        <w:t xml:space="preserve">(2) </w:t>
      </w:r>
      <w:r w:rsidRPr="003B4C61">
        <w:rPr>
          <w:i/>
        </w:rPr>
        <w:t>Air Pollutant</w:t>
      </w:r>
      <w:r w:rsidRPr="003B4C61">
        <w:rPr>
          <w:i/>
          <w:vertAlign w:val="subscript"/>
        </w:rPr>
        <w:t>it</w:t>
      </w:r>
      <w:r w:rsidRPr="003B4C61">
        <w:rPr>
          <w:i/>
        </w:rPr>
        <w:t xml:space="preserve"> = </w:t>
      </w:r>
      <w:r w:rsidRPr="003B4C61">
        <w:rPr>
          <w:rFonts w:cs="Times New Roman" w:hint="eastAsia"/>
          <w:i/>
        </w:rPr>
        <w:t>α</w:t>
      </w:r>
      <w:r w:rsidRPr="003B4C61">
        <w:rPr>
          <w:i/>
        </w:rPr>
        <w:t xml:space="preserve"> + </w:t>
      </w:r>
      <w:r w:rsidRPr="003B4C61">
        <w:rPr>
          <w:rFonts w:cs="Times New Roman" w:hint="eastAsia"/>
          <w:i/>
        </w:rPr>
        <w:t>β</w:t>
      </w:r>
      <w:r w:rsidRPr="003B4C61">
        <w:rPr>
          <w:rFonts w:cs="Times New Roman"/>
          <w:i/>
          <w:vertAlign w:val="subscript"/>
        </w:rPr>
        <w:t>1</w:t>
      </w:r>
      <w:r w:rsidRPr="003B4C61">
        <w:rPr>
          <w:rFonts w:cs="Times New Roman"/>
          <w:i/>
        </w:rPr>
        <w:t xml:space="preserve"> </w:t>
      </w:r>
      <w:r w:rsidRPr="003B4C61">
        <w:rPr>
          <w:i/>
        </w:rPr>
        <w:t>Strike</w:t>
      </w:r>
      <w:r w:rsidRPr="003B4C61">
        <w:rPr>
          <w:i/>
          <w:vertAlign w:val="subscript"/>
        </w:rPr>
        <w:t>t</w:t>
      </w:r>
      <w:r w:rsidRPr="003B4C61">
        <w:rPr>
          <w:i/>
        </w:rPr>
        <w:t xml:space="preserve"> +</w:t>
      </w:r>
      <w:r w:rsidRPr="003B4C61">
        <w:rPr>
          <w:rFonts w:cs="Times New Roman"/>
          <w:i/>
        </w:rPr>
        <w:t xml:space="preserve"> β</w:t>
      </w:r>
      <w:r w:rsidRPr="003B4C61">
        <w:rPr>
          <w:rFonts w:cs="Times New Roman"/>
          <w:i/>
          <w:vertAlign w:val="subscript"/>
        </w:rPr>
        <w:t xml:space="preserve">2 </w:t>
      </w:r>
      <w:r w:rsidRPr="003B4C61">
        <w:rPr>
          <w:rFonts w:cs="Times New Roman"/>
          <w:i/>
        </w:rPr>
        <w:t>Treat</w:t>
      </w:r>
      <w:r w:rsidRPr="003B4C61">
        <w:rPr>
          <w:rFonts w:cs="Times New Roman"/>
          <w:i/>
          <w:vertAlign w:val="subscript"/>
        </w:rPr>
        <w:t xml:space="preserve">i </w:t>
      </w:r>
      <w:r w:rsidRPr="003B4C61">
        <w:rPr>
          <w:rFonts w:cs="Times New Roman"/>
          <w:i/>
        </w:rPr>
        <w:t>+ β</w:t>
      </w:r>
      <w:r w:rsidRPr="003B4C61">
        <w:rPr>
          <w:rFonts w:cs="Times New Roman"/>
          <w:i/>
          <w:vertAlign w:val="subscript"/>
        </w:rPr>
        <w:t xml:space="preserve">3 </w:t>
      </w:r>
      <w:r w:rsidRPr="003B4C61">
        <w:rPr>
          <w:rFonts w:cs="Times New Roman"/>
          <w:i/>
        </w:rPr>
        <w:t>(Strike</w:t>
      </w:r>
      <w:r w:rsidRPr="003B4C61">
        <w:rPr>
          <w:rFonts w:cs="Times New Roman"/>
          <w:i/>
          <w:vertAlign w:val="subscript"/>
        </w:rPr>
        <w:t>t</w:t>
      </w:r>
      <w:r w:rsidRPr="003B4C61">
        <w:rPr>
          <w:rFonts w:cs="Times New Roman"/>
          <w:i/>
        </w:rPr>
        <w:t xml:space="preserve"> × Treat</w:t>
      </w:r>
      <w:r w:rsidRPr="003B4C61">
        <w:rPr>
          <w:rFonts w:cs="Times New Roman"/>
          <w:i/>
          <w:vertAlign w:val="subscript"/>
        </w:rPr>
        <w:t>i</w:t>
      </w:r>
      <w:r w:rsidR="00E41739" w:rsidRPr="003B4C61">
        <w:rPr>
          <w:rFonts w:cs="Times New Roman"/>
          <w:i/>
        </w:rPr>
        <w:t>) +</w:t>
      </w:r>
      <w:r w:rsidRPr="003B4C61">
        <w:rPr>
          <w:rFonts w:cs="Times New Roman"/>
          <w:i/>
        </w:rPr>
        <w:t xml:space="preserve"> </w:t>
      </w:r>
      <w:r w:rsidRPr="003B4C61">
        <w:rPr>
          <w:rFonts w:cs="Times New Roman"/>
          <w:b/>
        </w:rPr>
        <w:t>X</w:t>
      </w:r>
      <w:r w:rsidRPr="003B4C61">
        <w:rPr>
          <w:rFonts w:cs="Times New Roman"/>
          <w:b/>
          <w:vertAlign w:val="subscript"/>
        </w:rPr>
        <w:t>it</w:t>
      </w:r>
      <w:r w:rsidRPr="003B4C61">
        <w:rPr>
          <w:rFonts w:cs="Times New Roman"/>
          <w:i/>
        </w:rPr>
        <w:t xml:space="preserve"> δ</w:t>
      </w:r>
      <w:r w:rsidRPr="003B4C61">
        <w:rPr>
          <w:rFonts w:cs="Times New Roman"/>
          <w:b/>
        </w:rPr>
        <w:t xml:space="preserve"> </w:t>
      </w:r>
      <w:r w:rsidRPr="003B4C61">
        <w:rPr>
          <w:rFonts w:cs="Times New Roman"/>
          <w:i/>
        </w:rPr>
        <w:t xml:space="preserve">+ </w:t>
      </w:r>
      <w:r w:rsidR="00A21E78" w:rsidRPr="003B4C61">
        <w:rPr>
          <w:rFonts w:cs="Times New Roman"/>
          <w:i/>
          <w:sz w:val="28"/>
        </w:rPr>
        <w:t>ε</w:t>
      </w:r>
      <w:r w:rsidR="00A21E78" w:rsidRPr="003B4C61">
        <w:rPr>
          <w:rFonts w:cs="Times New Roman"/>
          <w:i/>
          <w:vertAlign w:val="subscript"/>
        </w:rPr>
        <w:t>it</w:t>
      </w:r>
    </w:p>
    <w:p w14:paraId="732573D6" w14:textId="6DCBE1C5" w:rsidR="00093B85" w:rsidRPr="00093B85" w:rsidRDefault="00B01413" w:rsidP="00093B85">
      <w:pPr>
        <w:spacing w:line="480" w:lineRule="auto"/>
        <w:ind w:firstLine="360"/>
        <w:jc w:val="both"/>
      </w:pPr>
      <w:r w:rsidRPr="003B4C61">
        <w:rPr>
          <w:rFonts w:cs="Times New Roman"/>
        </w:rPr>
        <w:lastRenderedPageBreak/>
        <w:t xml:space="preserve">This equations is identical to equation (1) but does not include the coefficients </w:t>
      </w:r>
      <w:r w:rsidRPr="003B4C61">
        <w:rPr>
          <w:rFonts w:cs="Times New Roman"/>
          <w:i/>
          <w:sz w:val="28"/>
        </w:rPr>
        <w:t>γ</w:t>
      </w:r>
      <w:r w:rsidRPr="003B4C61">
        <w:rPr>
          <w:i/>
          <w:vertAlign w:val="subscript"/>
        </w:rPr>
        <w:t>1</w:t>
      </w:r>
      <w:r w:rsidRPr="003B4C61">
        <w:t xml:space="preserve"> through </w:t>
      </w:r>
      <w:r w:rsidRPr="003B4C61">
        <w:rPr>
          <w:rFonts w:cs="Times New Roman"/>
          <w:i/>
          <w:sz w:val="28"/>
        </w:rPr>
        <w:t>γ</w:t>
      </w:r>
      <w:r w:rsidRPr="003B4C61">
        <w:rPr>
          <w:i/>
          <w:vertAlign w:val="subscript"/>
        </w:rPr>
        <w:t>4</w:t>
      </w:r>
      <w:r w:rsidRPr="003B4C61">
        <w:rPr>
          <w:rFonts w:cs="Times New Roman"/>
        </w:rPr>
        <w:t xml:space="preserve">, which controlled for pollution trends in neighboring counties across strike and non-strike periods. </w:t>
      </w:r>
      <w:r w:rsidR="002C48D7" w:rsidRPr="003B4C61">
        <w:rPr>
          <w:rFonts w:cs="Times New Roman"/>
        </w:rPr>
        <w:t xml:space="preserve">This restricts the model to estimating the average change in pollution levels over the entire strike compared to non-strike periods. </w:t>
      </w:r>
      <w:r w:rsidR="00963761" w:rsidRPr="003B4C61">
        <w:rPr>
          <w:rFonts w:cs="Times New Roman"/>
        </w:rPr>
        <w:t xml:space="preserve">Table 9 shows the results of </w:t>
      </w:r>
      <w:r w:rsidR="00F56800" w:rsidRPr="003B4C61">
        <w:rPr>
          <w:rFonts w:cs="Times New Roman"/>
        </w:rPr>
        <w:t>the ordinary difference</w:t>
      </w:r>
      <w:r w:rsidR="00F56800">
        <w:rPr>
          <w:rFonts w:cs="Times New Roman"/>
        </w:rPr>
        <w:t>-in-differences specification</w:t>
      </w:r>
      <w:r w:rsidR="004F1EF8">
        <w:rPr>
          <w:rFonts w:cs="Times New Roman"/>
        </w:rPr>
        <w:t xml:space="preserve"> for the 2003-2004 period.</w:t>
      </w:r>
      <w:r w:rsidR="004512CF">
        <w:rPr>
          <w:rFonts w:cs="Times New Roman"/>
        </w:rPr>
        <w:t xml:space="preserve"> </w:t>
      </w:r>
      <w:r w:rsidR="006E3310">
        <w:rPr>
          <w:rFonts w:cs="Times New Roman"/>
        </w:rPr>
        <w:t xml:space="preserve">Similar to the previous section, </w:t>
      </w:r>
      <w:r w:rsidR="006E3310">
        <w:t>columns 1, 3, 5</w:t>
      </w:r>
      <w:r w:rsidR="00AA4CF6">
        <w:t>,</w:t>
      </w:r>
      <w:r w:rsidR="006E3310">
        <w:t xml:space="preserve"> and 7 include </w:t>
      </w:r>
      <w:r w:rsidR="00C21FEF">
        <w:t>only monitor fixed effects and w</w:t>
      </w:r>
      <w:r w:rsidR="006E3310">
        <w:t>ind</w:t>
      </w:r>
      <w:r w:rsidR="00C21FEF">
        <w:t xml:space="preserve"> </w:t>
      </w:r>
      <w:r w:rsidR="00AA4CF6">
        <w:t>s</w:t>
      </w:r>
      <w:r w:rsidR="006E3310">
        <w:t>peed while columns 2, 4, 6</w:t>
      </w:r>
      <w:r w:rsidR="00AA4CF6">
        <w:t>,</w:t>
      </w:r>
      <w:r w:rsidR="006E3310">
        <w:t xml:space="preserve"> and 8 add on </w:t>
      </w:r>
      <w:r w:rsidR="006E3310">
        <w:rPr>
          <w:rFonts w:cs="Times New Roman"/>
        </w:rPr>
        <w:t xml:space="preserve">month fixed effects and monitor-specific linear time trends. The results presented are indeed qualitatively similar to those found in the trend-adjusted difference-in-differences estimator; levels of </w:t>
      </w:r>
      <w:r w:rsidR="006E3310">
        <w:t>NO</w:t>
      </w:r>
      <w:r w:rsidR="006E3310">
        <w:rPr>
          <w:vertAlign w:val="subscript"/>
        </w:rPr>
        <w:t>2</w:t>
      </w:r>
      <w:r w:rsidR="006E3310">
        <w:t xml:space="preserve"> and NO</w:t>
      </w:r>
      <w:r w:rsidR="006E3310">
        <w:rPr>
          <w:vertAlign w:val="subscript"/>
        </w:rPr>
        <w:t>x</w:t>
      </w:r>
      <w:r w:rsidR="006E3310">
        <w:t xml:space="preserve"> still change positively and significantly during the strike for monitors in Los Angeles </w:t>
      </w:r>
      <w:r w:rsidR="006E3310" w:rsidRPr="00F572AD">
        <w:rPr>
          <w:rFonts w:cs="Times New Roman"/>
        </w:rPr>
        <w:t>County.</w:t>
      </w:r>
      <w:r w:rsidR="00F572AD">
        <w:rPr>
          <w:rFonts w:cs="Times New Roman"/>
        </w:rPr>
        <w:t xml:space="preserve"> </w:t>
      </w:r>
      <w:r w:rsidR="00EB0EEE">
        <w:rPr>
          <w:rFonts w:cs="Times New Roman"/>
        </w:rPr>
        <w:t xml:space="preserve">Column 3 shows that </w:t>
      </w:r>
      <w:r w:rsidR="00F572AD">
        <w:t>NO</w:t>
      </w:r>
      <w:r w:rsidR="00F572AD">
        <w:rPr>
          <w:vertAlign w:val="subscript"/>
        </w:rPr>
        <w:t>2</w:t>
      </w:r>
      <w:r w:rsidR="00F572AD" w:rsidRPr="00F572AD">
        <w:rPr>
          <w:rFonts w:eastAsia="Times New Roman" w:cs="Times New Roman"/>
          <w:color w:val="000000"/>
        </w:rPr>
        <w:t xml:space="preserve"> </w:t>
      </w:r>
      <w:r w:rsidR="00F572AD">
        <w:rPr>
          <w:rFonts w:eastAsia="Times New Roman" w:cs="Times New Roman"/>
          <w:color w:val="000000"/>
        </w:rPr>
        <w:t xml:space="preserve">levels increased by </w:t>
      </w:r>
      <w:r w:rsidR="00F572AD" w:rsidRPr="00F572AD">
        <w:rPr>
          <w:rFonts w:eastAsia="Times New Roman" w:cs="Times New Roman"/>
          <w:color w:val="000000"/>
        </w:rPr>
        <w:t xml:space="preserve">3.135 </w:t>
      </w:r>
      <w:r w:rsidR="00F572AD">
        <w:rPr>
          <w:rFonts w:eastAsia="Times New Roman" w:cs="Times New Roman"/>
          <w:color w:val="000000"/>
        </w:rPr>
        <w:t>ppb on average during the strike which is about a third of the abso</w:t>
      </w:r>
      <w:r w:rsidR="00EB0EEE">
        <w:rPr>
          <w:rFonts w:eastAsia="Times New Roman" w:cs="Times New Roman"/>
          <w:color w:val="000000"/>
        </w:rPr>
        <w:t>lute estimate found in Table 5.</w:t>
      </w:r>
      <w:r w:rsidR="00055150">
        <w:rPr>
          <w:rFonts w:eastAsia="Times New Roman" w:cs="Times New Roman"/>
          <w:color w:val="000000"/>
        </w:rPr>
        <w:t xml:space="preserve"> Column 5 shows that </w:t>
      </w:r>
      <w:r w:rsidR="00055150">
        <w:t>NO</w:t>
      </w:r>
      <w:r w:rsidR="00055150">
        <w:rPr>
          <w:vertAlign w:val="subscript"/>
        </w:rPr>
        <w:t>x</w:t>
      </w:r>
      <w:r w:rsidR="00055150">
        <w:t xml:space="preserve"> levels increased by</w:t>
      </w:r>
      <w:r w:rsidR="00EB0EEE">
        <w:rPr>
          <w:rFonts w:eastAsia="Times New Roman" w:cs="Times New Roman"/>
          <w:color w:val="000000"/>
        </w:rPr>
        <w:t xml:space="preserve"> </w:t>
      </w:r>
      <w:r w:rsidR="00F572AD" w:rsidRPr="00F572AD">
        <w:rPr>
          <w:rFonts w:eastAsia="Times New Roman" w:cs="Times New Roman"/>
          <w:color w:val="000000"/>
        </w:rPr>
        <w:t>16.734</w:t>
      </w:r>
      <w:r w:rsidR="006E3310" w:rsidRPr="00F572AD">
        <w:rPr>
          <w:rFonts w:cs="Times New Roman"/>
        </w:rPr>
        <w:t xml:space="preserve"> </w:t>
      </w:r>
      <w:r w:rsidR="00055150">
        <w:rPr>
          <w:rFonts w:cs="Times New Roman"/>
        </w:rPr>
        <w:t xml:space="preserve">ppb, which is about two thirds of the estimate found in Table 5. </w:t>
      </w:r>
      <w:r w:rsidR="002C0BA0">
        <w:rPr>
          <w:rFonts w:cs="Times New Roman"/>
        </w:rPr>
        <w:t xml:space="preserve">Both estimates are robust to the inclusion of </w:t>
      </w:r>
      <w:r w:rsidR="002B6208">
        <w:rPr>
          <w:rFonts w:cs="Times New Roman"/>
        </w:rPr>
        <w:t xml:space="preserve">month fixed effects and monitor-specific linear time trends in columns 4 and 6 respectively. </w:t>
      </w:r>
      <w:r w:rsidR="00863CA5" w:rsidRPr="00F572AD">
        <w:rPr>
          <w:rFonts w:cs="Times New Roman"/>
        </w:rPr>
        <w:t>These</w:t>
      </w:r>
      <w:r w:rsidR="00863CA5">
        <w:t xml:space="preserve"> results support the hypothesis that although pollution levels were trending down during the strike, pollutants on average were higher during the strike than during non-strike periods. </w:t>
      </w:r>
      <w:r w:rsidR="006E3310" w:rsidRPr="00F572AD">
        <w:rPr>
          <w:rFonts w:cs="Times New Roman"/>
        </w:rPr>
        <w:t>CO levels are still estimated to be no different than before or after the strike</w:t>
      </w:r>
      <w:r w:rsidR="007A3CC2">
        <w:rPr>
          <w:rFonts w:cs="Times New Roman"/>
        </w:rPr>
        <w:t xml:space="preserve"> in columns 1 and 2</w:t>
      </w:r>
      <w:r w:rsidR="006E3310" w:rsidRPr="00F572AD">
        <w:rPr>
          <w:rFonts w:cs="Times New Roman"/>
        </w:rPr>
        <w:t>.</w:t>
      </w:r>
      <w:r w:rsidR="0072219F" w:rsidRPr="00F572AD">
        <w:rPr>
          <w:rFonts w:cs="Times New Roman"/>
        </w:rPr>
        <w:t xml:space="preserve"> </w:t>
      </w:r>
    </w:p>
    <w:p w14:paraId="2C025E83" w14:textId="77777777" w:rsidR="00232716" w:rsidRDefault="00232716" w:rsidP="00195B1A">
      <w:pPr>
        <w:spacing w:line="480" w:lineRule="auto"/>
        <w:jc w:val="both"/>
      </w:pPr>
    </w:p>
    <w:p w14:paraId="62A0A892" w14:textId="08E9E070" w:rsidR="00836438" w:rsidRDefault="00836438" w:rsidP="00D537CE">
      <w:pPr>
        <w:spacing w:line="480" w:lineRule="auto"/>
        <w:ind w:firstLine="360"/>
        <w:jc w:val="both"/>
      </w:pPr>
      <w:r>
        <w:rPr>
          <w:b/>
        </w:rPr>
        <w:lastRenderedPageBreak/>
        <w:t>CONCLUSION</w:t>
      </w:r>
    </w:p>
    <w:p w14:paraId="0F53EC93" w14:textId="2022130C" w:rsidR="00836438" w:rsidRDefault="00A733C9" w:rsidP="00D537CE">
      <w:pPr>
        <w:spacing w:line="480" w:lineRule="auto"/>
        <w:ind w:firstLine="360"/>
        <w:jc w:val="both"/>
      </w:pPr>
      <w:r>
        <w:t xml:space="preserve">I have attempted to </w:t>
      </w:r>
      <w:r w:rsidR="00920DB2">
        <w:t xml:space="preserve">investigate </w:t>
      </w:r>
      <w:r w:rsidR="00195B1A">
        <w:t>public transit</w:t>
      </w:r>
      <w:r w:rsidR="00920DB2">
        <w:t>’s</w:t>
      </w:r>
      <w:r w:rsidR="00195B1A">
        <w:t xml:space="preserve"> </w:t>
      </w:r>
      <w:r w:rsidR="00920DB2">
        <w:t>impact</w:t>
      </w:r>
      <w:r w:rsidR="00195B1A">
        <w:t xml:space="preserve"> on air quality</w:t>
      </w:r>
      <w:r>
        <w:t xml:space="preserve"> by using a quasi-experimental setting in which the Los Ange</w:t>
      </w:r>
      <w:r w:rsidR="00A85D55">
        <w:t>les MTA went on strike for a 35-</w:t>
      </w:r>
      <w:r>
        <w:t>day period,</w:t>
      </w:r>
      <w:r w:rsidR="002E45AE">
        <w:t xml:space="preserve"> starting on October 14, 2003 and</w:t>
      </w:r>
      <w:r>
        <w:t xml:space="preserve"> effectively shutting down all modes of public transportation in </w:t>
      </w:r>
      <w:r w:rsidR="00A85D55">
        <w:t>Los Angeles County</w:t>
      </w:r>
      <w:r>
        <w:t xml:space="preserve">. I choose to use a </w:t>
      </w:r>
      <w:r w:rsidR="00CC255A">
        <w:t>trend-adjusted difference-in-differences regression</w:t>
      </w:r>
      <w:r>
        <w:t xml:space="preserve"> </w:t>
      </w:r>
      <w:r w:rsidR="001608C4">
        <w:t>which</w:t>
      </w:r>
      <w:r w:rsidR="00CC255A">
        <w:t xml:space="preserve"> </w:t>
      </w:r>
      <w:r w:rsidR="001608C4">
        <w:t>identifies the immediate impact</w:t>
      </w:r>
      <w:r w:rsidR="00CC255A">
        <w:t xml:space="preserve"> the strike had</w:t>
      </w:r>
      <w:r>
        <w:t xml:space="preserve"> </w:t>
      </w:r>
      <w:r w:rsidR="00CC255A">
        <w:t>on levels of</w:t>
      </w:r>
      <w:r>
        <w:t xml:space="preserve"> CO, NO</w:t>
      </w:r>
      <w:r>
        <w:rPr>
          <w:vertAlign w:val="subscript"/>
        </w:rPr>
        <w:t>2</w:t>
      </w:r>
      <w:r>
        <w:t>, NO</w:t>
      </w:r>
      <w:r>
        <w:rPr>
          <w:vertAlign w:val="subscript"/>
        </w:rPr>
        <w:t>x</w:t>
      </w:r>
      <w:r>
        <w:t xml:space="preserve"> and O</w:t>
      </w:r>
      <w:r>
        <w:rPr>
          <w:vertAlign w:val="subscript"/>
        </w:rPr>
        <w:t>3</w:t>
      </w:r>
      <w:r w:rsidR="00CC255A">
        <w:t xml:space="preserve"> in Los Angeles County</w:t>
      </w:r>
      <w:r w:rsidR="001608C4">
        <w:t>,</w:t>
      </w:r>
      <w:r w:rsidR="00CC255A">
        <w:t xml:space="preserve"> controlling for pollution levels and trends in neighboring </w:t>
      </w:r>
      <w:r w:rsidR="0045162A">
        <w:t>Kern, Ventura and Orange Counties</w:t>
      </w:r>
      <w:r w:rsidR="00815EC0">
        <w:t>.</w:t>
      </w:r>
      <w:r w:rsidR="00241B85">
        <w:t xml:space="preserve"> </w:t>
      </w:r>
      <w:r w:rsidR="00B15F89">
        <w:t xml:space="preserve">This strategy </w:t>
      </w:r>
      <w:r w:rsidR="003F6831">
        <w:t>allows</w:t>
      </w:r>
      <w:r w:rsidR="00B15F89">
        <w:t xml:space="preserve"> me to control for seasonal and other confounding variation in air pollution before, during and after the strike. </w:t>
      </w:r>
      <w:r w:rsidR="00B15F89" w:rsidRPr="00B15F89">
        <w:t>The interpretation of these</w:t>
      </w:r>
      <w:r w:rsidR="00A85D55" w:rsidRPr="00B15F89">
        <w:t xml:space="preserve"> estimates </w:t>
      </w:r>
      <w:r w:rsidR="00B15F89" w:rsidRPr="00B15F89">
        <w:t>reflect</w:t>
      </w:r>
      <w:r w:rsidR="003F6831">
        <w:t xml:space="preserve"> the impact of a</w:t>
      </w:r>
      <w:r w:rsidR="00A85D55" w:rsidRPr="00B15F89">
        <w:t xml:space="preserve"> transit availability “shock” by looking at the discontinuous change in air pollution </w:t>
      </w:r>
      <w:r w:rsidR="009A4F89" w:rsidRPr="00B15F89">
        <w:t>caused by</w:t>
      </w:r>
      <w:r w:rsidR="00A85D55" w:rsidRPr="00B15F89">
        <w:t xml:space="preserve"> </w:t>
      </w:r>
      <w:r w:rsidR="009A4F89" w:rsidRPr="00B15F89">
        <w:t>marginal drivers</w:t>
      </w:r>
      <w:r w:rsidR="00A85D55" w:rsidRPr="00B15F89">
        <w:t xml:space="preserve"> expecting transit to be available </w:t>
      </w:r>
      <w:r w:rsidR="009A4F89" w:rsidRPr="00B15F89">
        <w:t>during the first week of the strike and adjusting their travel mode after realizing the strike.</w:t>
      </w:r>
      <w:r w:rsidR="009A4F89">
        <w:t xml:space="preserve"> I potentially estimate</w:t>
      </w:r>
      <w:r w:rsidR="00241B85">
        <w:t xml:space="preserve"> a lower bound if air pollutants spread out to neighboring counties quickly.</w:t>
      </w:r>
      <w:r w:rsidR="00815EC0">
        <w:t xml:space="preserve"> </w:t>
      </w:r>
      <w:r>
        <w:t xml:space="preserve">I find statistically significant </w:t>
      </w:r>
      <w:r w:rsidR="0045162A">
        <w:t xml:space="preserve">and large </w:t>
      </w:r>
      <w:r>
        <w:t>increases in pollution levels for NO</w:t>
      </w:r>
      <w:r>
        <w:rPr>
          <w:vertAlign w:val="subscript"/>
        </w:rPr>
        <w:t>2</w:t>
      </w:r>
      <w:r>
        <w:t xml:space="preserve"> and NO</w:t>
      </w:r>
      <w:r>
        <w:rPr>
          <w:vertAlign w:val="subscript"/>
        </w:rPr>
        <w:t>x</w:t>
      </w:r>
      <w:r>
        <w:t xml:space="preserve"> around the beginning of the strike with relative </w:t>
      </w:r>
      <w:r w:rsidR="00F8091C">
        <w:t>increases</w:t>
      </w:r>
      <w:r>
        <w:t xml:space="preserve"> of </w:t>
      </w:r>
      <w:r w:rsidR="0045162A">
        <w:t>26</w:t>
      </w:r>
      <w:r>
        <w:t xml:space="preserve"> </w:t>
      </w:r>
      <w:r w:rsidR="00F8091C">
        <w:t>percent for NO</w:t>
      </w:r>
      <w:r w:rsidR="00F8091C">
        <w:rPr>
          <w:vertAlign w:val="subscript"/>
        </w:rPr>
        <w:t>2</w:t>
      </w:r>
      <w:r w:rsidR="00F8091C">
        <w:t xml:space="preserve"> and </w:t>
      </w:r>
      <w:r w:rsidR="0045162A">
        <w:t>50</w:t>
      </w:r>
      <w:r w:rsidR="00F8091C">
        <w:t xml:space="preserve"> percent for NO</w:t>
      </w:r>
      <w:r w:rsidR="00F8091C">
        <w:rPr>
          <w:vertAlign w:val="subscript"/>
        </w:rPr>
        <w:t>x</w:t>
      </w:r>
      <w:r w:rsidR="00F8091C">
        <w:t xml:space="preserve">. I also run a </w:t>
      </w:r>
      <w:r w:rsidR="004B2833">
        <w:t xml:space="preserve">placebo test in which a placebo strike that </w:t>
      </w:r>
      <w:r w:rsidR="002E45AE">
        <w:t>begins on October 14, 2002 is factored into the analysis</w:t>
      </w:r>
      <w:r w:rsidR="00F8091C">
        <w:t>. I find that the most robust pollutant estimates are for NO</w:t>
      </w:r>
      <w:r w:rsidR="00F8091C">
        <w:rPr>
          <w:vertAlign w:val="subscript"/>
        </w:rPr>
        <w:t>2</w:t>
      </w:r>
      <w:r w:rsidR="002E45AE">
        <w:t xml:space="preserve"> as it does not change discontinuously around the beginning of the placebo strike</w:t>
      </w:r>
      <w:r w:rsidR="00F8091C">
        <w:t xml:space="preserve">. </w:t>
      </w:r>
      <w:r w:rsidR="00354341">
        <w:t>However, t</w:t>
      </w:r>
      <w:r w:rsidR="00CD392D">
        <w:t xml:space="preserve">he </w:t>
      </w:r>
      <w:r w:rsidR="00FD71D5">
        <w:t xml:space="preserve">placebo </w:t>
      </w:r>
      <w:r w:rsidR="00CD392D">
        <w:t xml:space="preserve">test </w:t>
      </w:r>
      <w:r w:rsidR="00FD71D5">
        <w:t xml:space="preserve">suggests that there is substantial seasonal variation in </w:t>
      </w:r>
      <w:r w:rsidR="00CD392D">
        <w:t>NO</w:t>
      </w:r>
      <w:r w:rsidR="00CD392D">
        <w:rPr>
          <w:vertAlign w:val="subscript"/>
        </w:rPr>
        <w:t>x</w:t>
      </w:r>
      <w:r w:rsidR="00CD392D">
        <w:t xml:space="preserve">, </w:t>
      </w:r>
      <w:r w:rsidR="00FD71D5">
        <w:t>specific to Los Angeles</w:t>
      </w:r>
      <w:r w:rsidR="00F05292">
        <w:t xml:space="preserve"> </w:t>
      </w:r>
      <w:r w:rsidR="00FD71D5">
        <w:t xml:space="preserve">that I am not controlling for. </w:t>
      </w:r>
      <w:r w:rsidR="00354341">
        <w:t>Nonetheless,</w:t>
      </w:r>
      <w:r w:rsidR="009075CC">
        <w:t xml:space="preserve"> these results overall </w:t>
      </w:r>
      <w:r w:rsidR="00BF5C0E">
        <w:t>support the</w:t>
      </w:r>
      <w:r w:rsidR="009075CC">
        <w:t xml:space="preserve"> “Mohring effect”</w:t>
      </w:r>
      <w:r w:rsidR="00BF5C0E">
        <w:t>,</w:t>
      </w:r>
      <w:r w:rsidR="009075CC">
        <w:t xml:space="preserve"> </w:t>
      </w:r>
      <w:r w:rsidR="00BF5C0E">
        <w:t xml:space="preserve">which posits </w:t>
      </w:r>
      <w:r w:rsidR="009075CC">
        <w:t xml:space="preserve">that public transit investments and access have a negative relationship with </w:t>
      </w:r>
      <w:r w:rsidR="00726723">
        <w:t xml:space="preserve">traffic </w:t>
      </w:r>
      <w:r w:rsidR="009075CC">
        <w:t>congestion and therefore air pollution</w:t>
      </w:r>
      <w:r w:rsidR="009075CC" w:rsidRPr="00B764EC">
        <w:t xml:space="preserve">. </w:t>
      </w:r>
      <w:r w:rsidR="00B764EC">
        <w:t>I find CO levels</w:t>
      </w:r>
      <w:r w:rsidR="009A4F89" w:rsidRPr="00B764EC">
        <w:t xml:space="preserve"> in</w:t>
      </w:r>
      <w:r w:rsidR="00B764EC">
        <w:t>creasing</w:t>
      </w:r>
      <w:r w:rsidR="009A4F89" w:rsidRPr="00B764EC">
        <w:t xml:space="preserve"> </w:t>
      </w:r>
      <w:r w:rsidR="00B764EC">
        <w:t>by</w:t>
      </w:r>
      <w:r w:rsidR="00B764EC" w:rsidRPr="00B764EC">
        <w:t xml:space="preserve"> 17</w:t>
      </w:r>
      <w:r w:rsidR="00B764EC">
        <w:t xml:space="preserve"> percent around the beginning of the strike but these estimates are</w:t>
      </w:r>
      <w:r w:rsidR="00EA23BF">
        <w:t xml:space="preserve"> highly</w:t>
      </w:r>
      <w:r w:rsidR="00B764EC">
        <w:t xml:space="preserve"> insignificant. A Type II error may be driving this result as a large portion of my control counties do not record this </w:t>
      </w:r>
      <w:r w:rsidR="00B764EC">
        <w:lastRenderedPageBreak/>
        <w:t>pollutant.</w:t>
      </w:r>
      <w:r w:rsidR="009A4F89">
        <w:t xml:space="preserve"> </w:t>
      </w:r>
      <w:r w:rsidR="00FD71D5">
        <w:t>I find that O</w:t>
      </w:r>
      <w:r w:rsidR="00FD71D5">
        <w:rPr>
          <w:vertAlign w:val="subscript"/>
        </w:rPr>
        <w:t>3</w:t>
      </w:r>
      <w:r w:rsidR="00FD71D5">
        <w:t xml:space="preserve"> levels in Los Angeles </w:t>
      </w:r>
      <w:r w:rsidR="00AA4CF6">
        <w:t>decline</w:t>
      </w:r>
      <w:r w:rsidR="00FD71D5">
        <w:t xml:space="preserve"> during both </w:t>
      </w:r>
      <w:r w:rsidR="00CD392D">
        <w:t>strike and placebo</w:t>
      </w:r>
      <w:r w:rsidR="00FD71D5">
        <w:t xml:space="preserve"> periods</w:t>
      </w:r>
      <w:r w:rsidR="00AA4CF6">
        <w:t>;</w:t>
      </w:r>
      <w:r w:rsidR="00FD71D5">
        <w:t xml:space="preserve"> however</w:t>
      </w:r>
      <w:r w:rsidR="00AA4CF6">
        <w:t>,</w:t>
      </w:r>
      <w:r w:rsidR="00FD71D5">
        <w:t xml:space="preserve"> this is not alarming because it is not a direct pollutant of automobiles</w:t>
      </w:r>
      <w:r w:rsidR="00680CA3">
        <w:t>.</w:t>
      </w:r>
    </w:p>
    <w:p w14:paraId="36912302" w14:textId="4A95EACE" w:rsidR="000D1A2C" w:rsidRDefault="00665CF3" w:rsidP="0017192A">
      <w:pPr>
        <w:spacing w:line="480" w:lineRule="auto"/>
        <w:ind w:firstLine="360"/>
      </w:pPr>
      <w:r w:rsidRPr="00CD78AE">
        <w:rPr>
          <w:rFonts w:ascii="Times" w:hAnsi="Times"/>
        </w:rPr>
        <w:t>The estimated increases in NO</w:t>
      </w:r>
      <w:r w:rsidRPr="00CD78AE">
        <w:rPr>
          <w:rFonts w:ascii="Times" w:hAnsi="Times"/>
          <w:vertAlign w:val="subscript"/>
        </w:rPr>
        <w:t>2</w:t>
      </w:r>
      <w:r w:rsidRPr="00CD78AE">
        <w:rPr>
          <w:rFonts w:ascii="Times" w:hAnsi="Times"/>
        </w:rPr>
        <w:t xml:space="preserve"> at the beginning of the strike</w:t>
      </w:r>
      <w:r w:rsidR="00815EC0" w:rsidRPr="00CD78AE">
        <w:rPr>
          <w:rFonts w:ascii="Times" w:hAnsi="Times"/>
        </w:rPr>
        <w:t xml:space="preserve"> in Los Angeles C</w:t>
      </w:r>
      <w:r w:rsidR="000D1A2C" w:rsidRPr="00CD78AE">
        <w:rPr>
          <w:rFonts w:ascii="Times" w:hAnsi="Times"/>
        </w:rPr>
        <w:t>ounty</w:t>
      </w:r>
      <w:r w:rsidRPr="00CD78AE">
        <w:rPr>
          <w:rFonts w:ascii="Times" w:hAnsi="Times"/>
        </w:rPr>
        <w:t xml:space="preserve"> are substantial and a cau</w:t>
      </w:r>
      <w:r w:rsidR="000D1A2C" w:rsidRPr="00CD78AE">
        <w:rPr>
          <w:rFonts w:ascii="Times" w:hAnsi="Times"/>
        </w:rPr>
        <w:t xml:space="preserve">se for alarm. </w:t>
      </w:r>
      <w:r w:rsidR="00CD78AE">
        <w:rPr>
          <w:rFonts w:ascii="Times" w:hAnsi="Times"/>
        </w:rPr>
        <w:t>Research conducted by Janet Currie and Reed Walker</w:t>
      </w:r>
      <w:r w:rsidR="009A1FFF">
        <w:rPr>
          <w:rFonts w:ascii="Times" w:hAnsi="Times"/>
        </w:rPr>
        <w:t xml:space="preserve"> (2011)</w:t>
      </w:r>
      <w:r w:rsidR="00CD78AE">
        <w:rPr>
          <w:rFonts w:ascii="Times" w:hAnsi="Times"/>
        </w:rPr>
        <w:t xml:space="preserve"> </w:t>
      </w:r>
      <w:r w:rsidR="007F70A5">
        <w:rPr>
          <w:rFonts w:ascii="Times" w:hAnsi="Times"/>
        </w:rPr>
        <w:t>estimates</w:t>
      </w:r>
      <w:r w:rsidR="00CD78AE">
        <w:rPr>
          <w:rFonts w:ascii="Times" w:hAnsi="Times"/>
        </w:rPr>
        <w:t xml:space="preserve"> a</w:t>
      </w:r>
      <w:r w:rsidR="0041614D">
        <w:rPr>
          <w:rFonts w:ascii="Times" w:hAnsi="Times"/>
        </w:rPr>
        <w:t>n implied</w:t>
      </w:r>
      <w:r w:rsidR="00CD78AE">
        <w:rPr>
          <w:rFonts w:ascii="Times" w:hAnsi="Times"/>
        </w:rPr>
        <w:t xml:space="preserve"> 0.787 elasticity of </w:t>
      </w:r>
      <w:r w:rsidR="00CD78AE" w:rsidRPr="00CD78AE">
        <w:rPr>
          <w:rFonts w:ascii="Times" w:hAnsi="Times"/>
        </w:rPr>
        <w:t>NO</w:t>
      </w:r>
      <w:r w:rsidR="00CD78AE" w:rsidRPr="00CD78AE">
        <w:rPr>
          <w:rFonts w:ascii="Times" w:hAnsi="Times"/>
          <w:vertAlign w:val="subscript"/>
        </w:rPr>
        <w:t>2</w:t>
      </w:r>
      <w:r w:rsidR="00CD78AE" w:rsidRPr="00CD78AE">
        <w:rPr>
          <w:rFonts w:ascii="Times" w:hAnsi="Times"/>
        </w:rPr>
        <w:t xml:space="preserve"> </w:t>
      </w:r>
      <w:r w:rsidR="00CD78AE">
        <w:rPr>
          <w:rFonts w:ascii="Times" w:hAnsi="Times"/>
        </w:rPr>
        <w:t>emissions on the incidence of low birth weight for mothers who live within 2 km. of tolling stations that implemented the E-ZPass system in New York and New Jersey.</w:t>
      </w:r>
      <w:r w:rsidR="00CD78AE">
        <w:rPr>
          <w:rStyle w:val="FootnoteReference"/>
          <w:rFonts w:ascii="Times" w:hAnsi="Times"/>
        </w:rPr>
        <w:footnoteReference w:id="20"/>
      </w:r>
      <w:r w:rsidR="000C7931">
        <w:rPr>
          <w:rFonts w:ascii="Times" w:hAnsi="Times"/>
        </w:rPr>
        <w:t xml:space="preserve"> </w:t>
      </w:r>
      <w:r w:rsidR="007F70A5">
        <w:rPr>
          <w:rFonts w:ascii="Times" w:hAnsi="Times"/>
        </w:rPr>
        <w:t>Using estimates from my trend-adjusted difference-in-differences specification, I calculate</w:t>
      </w:r>
      <w:r w:rsidR="000C7931">
        <w:rPr>
          <w:rFonts w:ascii="Times" w:hAnsi="Times"/>
        </w:rPr>
        <w:t xml:space="preserve"> the incidence of low birth in Los Angeles County</w:t>
      </w:r>
      <w:r w:rsidR="00AA4CF6">
        <w:rPr>
          <w:rFonts w:ascii="Times" w:hAnsi="Times"/>
        </w:rPr>
        <w:t xml:space="preserve"> </w:t>
      </w:r>
      <w:r w:rsidR="007F70A5">
        <w:rPr>
          <w:rFonts w:ascii="Times" w:hAnsi="Times"/>
        </w:rPr>
        <w:t>to have potentially</w:t>
      </w:r>
      <w:r w:rsidR="00AA4CF6">
        <w:rPr>
          <w:rFonts w:ascii="Times" w:hAnsi="Times"/>
        </w:rPr>
        <w:t xml:space="preserve"> </w:t>
      </w:r>
      <w:r w:rsidR="000C7931">
        <w:rPr>
          <w:rFonts w:ascii="Times" w:hAnsi="Times"/>
        </w:rPr>
        <w:t xml:space="preserve">increased by as much as 20 percent </w:t>
      </w:r>
      <w:r w:rsidR="003B4C61">
        <w:rPr>
          <w:rFonts w:ascii="Times" w:hAnsi="Times"/>
        </w:rPr>
        <w:t>(.787</w:t>
      </w:r>
      <w:r w:rsidR="003B4C61" w:rsidRPr="003B4C61">
        <w:rPr>
          <w:rFonts w:cs="Times New Roman"/>
        </w:rPr>
        <w:t xml:space="preserve"> </w:t>
      </w:r>
      <w:r w:rsidR="003B4C61" w:rsidRPr="003B4C61">
        <w:rPr>
          <w:rFonts w:eastAsia="Times New Roman" w:cs="Times New Roman"/>
          <w:color w:val="000000"/>
        </w:rPr>
        <w:t>×</w:t>
      </w:r>
      <w:r w:rsidR="003B4C61">
        <w:rPr>
          <w:rFonts w:ascii="Times" w:hAnsi="Times"/>
        </w:rPr>
        <w:t xml:space="preserve"> 26) </w:t>
      </w:r>
      <w:r w:rsidR="000C7931">
        <w:rPr>
          <w:rFonts w:ascii="Times" w:hAnsi="Times"/>
        </w:rPr>
        <w:t xml:space="preserve">as a result of the strike. Of course, this is under the assumption that these levels would persist if the strike was permanent, which it was not. </w:t>
      </w:r>
      <w:r w:rsidR="000216A4">
        <w:rPr>
          <w:rFonts w:ascii="Times" w:hAnsi="Times"/>
        </w:rPr>
        <w:t>The simple difference-in-</w:t>
      </w:r>
      <w:r w:rsidR="000C7931">
        <w:rPr>
          <w:rFonts w:ascii="Times" w:hAnsi="Times"/>
        </w:rPr>
        <w:t>difference</w:t>
      </w:r>
      <w:r w:rsidR="000216A4">
        <w:rPr>
          <w:rFonts w:ascii="Times" w:hAnsi="Times"/>
        </w:rPr>
        <w:t>s</w:t>
      </w:r>
      <w:r w:rsidR="000C7931">
        <w:rPr>
          <w:rFonts w:ascii="Times" w:hAnsi="Times"/>
        </w:rPr>
        <w:t xml:space="preserve"> estimates </w:t>
      </w:r>
      <w:r w:rsidR="000216A4">
        <w:rPr>
          <w:rFonts w:ascii="Times" w:hAnsi="Times"/>
        </w:rPr>
        <w:t>found in Table 9 of 3.135 ppb</w:t>
      </w:r>
      <w:r w:rsidR="000C7931">
        <w:rPr>
          <w:rFonts w:ascii="Times" w:hAnsi="Times"/>
        </w:rPr>
        <w:t xml:space="preserve"> </w:t>
      </w:r>
      <w:r w:rsidR="000216A4">
        <w:rPr>
          <w:rFonts w:ascii="Times" w:hAnsi="Times"/>
        </w:rPr>
        <w:t xml:space="preserve">may be a better indicator of long-term increases in pollution levels. Using the </w:t>
      </w:r>
      <w:r w:rsidR="000216A4" w:rsidRPr="00CD78AE">
        <w:rPr>
          <w:rFonts w:ascii="Times" w:hAnsi="Times"/>
        </w:rPr>
        <w:t>NO</w:t>
      </w:r>
      <w:r w:rsidR="000216A4" w:rsidRPr="00CD78AE">
        <w:rPr>
          <w:rFonts w:ascii="Times" w:hAnsi="Times"/>
          <w:vertAlign w:val="subscript"/>
        </w:rPr>
        <w:t>2</w:t>
      </w:r>
      <w:r w:rsidR="000216A4">
        <w:rPr>
          <w:rFonts w:ascii="Times" w:hAnsi="Times"/>
        </w:rPr>
        <w:t xml:space="preserve"> estimate of 3.135 ppb, I calculate a</w:t>
      </w:r>
      <w:r w:rsidR="005C0F9B">
        <w:rPr>
          <w:rFonts w:ascii="Times" w:hAnsi="Times"/>
        </w:rPr>
        <w:t>n</w:t>
      </w:r>
      <w:r w:rsidR="000216A4">
        <w:rPr>
          <w:rFonts w:ascii="Times" w:hAnsi="Times"/>
        </w:rPr>
        <w:t xml:space="preserve"> </w:t>
      </w:r>
      <w:r w:rsidR="005C0F9B">
        <w:rPr>
          <w:rFonts w:ascii="Times" w:hAnsi="Times"/>
        </w:rPr>
        <w:t>8.66</w:t>
      </w:r>
      <w:r w:rsidR="000216A4">
        <w:rPr>
          <w:rFonts w:ascii="Times" w:hAnsi="Times"/>
        </w:rPr>
        <w:t xml:space="preserve"> </w:t>
      </w:r>
      <w:r w:rsidR="005C0F9B">
        <w:rPr>
          <w:rFonts w:ascii="Times" w:hAnsi="Times"/>
        </w:rPr>
        <w:t xml:space="preserve">percent increase </w:t>
      </w:r>
      <w:r w:rsidR="000216A4">
        <w:rPr>
          <w:rFonts w:ascii="Times" w:hAnsi="Times"/>
        </w:rPr>
        <w:t xml:space="preserve">in </w:t>
      </w:r>
      <w:r w:rsidR="000216A4" w:rsidRPr="00CD78AE">
        <w:rPr>
          <w:rFonts w:ascii="Times" w:hAnsi="Times"/>
        </w:rPr>
        <w:t>NO</w:t>
      </w:r>
      <w:r w:rsidR="000216A4" w:rsidRPr="00CD78AE">
        <w:rPr>
          <w:rFonts w:ascii="Times" w:hAnsi="Times"/>
          <w:vertAlign w:val="subscript"/>
        </w:rPr>
        <w:t>2</w:t>
      </w:r>
      <w:r w:rsidR="000216A4">
        <w:rPr>
          <w:rFonts w:ascii="Times" w:hAnsi="Times"/>
        </w:rPr>
        <w:t xml:space="preserve"> levels (3.135 / 36.202)</w:t>
      </w:r>
      <w:r w:rsidR="0017192A">
        <w:rPr>
          <w:rFonts w:ascii="Times" w:hAnsi="Times"/>
        </w:rPr>
        <w:t xml:space="preserve"> during the strike. This translates to a</w:t>
      </w:r>
      <w:r w:rsidR="00AA4CF6">
        <w:rPr>
          <w:rFonts w:ascii="Times" w:hAnsi="Times"/>
        </w:rPr>
        <w:t xml:space="preserve"> </w:t>
      </w:r>
      <w:r w:rsidR="007E540B">
        <w:rPr>
          <w:rFonts w:ascii="Times" w:hAnsi="Times"/>
        </w:rPr>
        <w:t>potential</w:t>
      </w:r>
      <w:r w:rsidR="0017192A">
        <w:rPr>
          <w:rFonts w:ascii="Times" w:hAnsi="Times"/>
        </w:rPr>
        <w:t xml:space="preserve"> 7 percent increase </w:t>
      </w:r>
      <w:r w:rsidR="003B4C61">
        <w:rPr>
          <w:rFonts w:ascii="Times" w:hAnsi="Times"/>
        </w:rPr>
        <w:t xml:space="preserve">(.787 </w:t>
      </w:r>
      <w:r w:rsidR="003B4C61" w:rsidRPr="003B4C61">
        <w:rPr>
          <w:rFonts w:eastAsia="Times New Roman" w:cs="Times New Roman"/>
          <w:color w:val="000000"/>
        </w:rPr>
        <w:t>×</w:t>
      </w:r>
      <w:r w:rsidR="003B4C61">
        <w:rPr>
          <w:rFonts w:eastAsia="Times New Roman" w:cs="Times New Roman"/>
          <w:color w:val="000000"/>
        </w:rPr>
        <w:t xml:space="preserve"> 8.66) </w:t>
      </w:r>
      <w:r w:rsidR="0017192A">
        <w:rPr>
          <w:rFonts w:ascii="Times" w:hAnsi="Times"/>
        </w:rPr>
        <w:t>in the incidence of low birth weight for mother</w:t>
      </w:r>
      <w:r w:rsidR="00AA4CF6">
        <w:rPr>
          <w:rFonts w:ascii="Times" w:hAnsi="Times"/>
        </w:rPr>
        <w:t>s</w:t>
      </w:r>
      <w:r w:rsidR="0017192A">
        <w:rPr>
          <w:rFonts w:ascii="Times" w:hAnsi="Times"/>
        </w:rPr>
        <w:t xml:space="preserve"> in Los Angeles County as a result of the strike. This estimate may be a lower bound if the closure of shopping centers during the strike were only in anticipation of the strike ending. Had the strike been permanent, average level</w:t>
      </w:r>
      <w:r w:rsidR="00794872">
        <w:rPr>
          <w:rFonts w:ascii="Times" w:hAnsi="Times"/>
        </w:rPr>
        <w:t>s</w:t>
      </w:r>
      <w:r w:rsidR="0017192A">
        <w:rPr>
          <w:rFonts w:ascii="Times" w:hAnsi="Times"/>
        </w:rPr>
        <w:t xml:space="preserve"> of </w:t>
      </w:r>
      <w:r w:rsidR="0017192A" w:rsidRPr="00CD78AE">
        <w:rPr>
          <w:rFonts w:ascii="Times" w:hAnsi="Times"/>
        </w:rPr>
        <w:t>NO</w:t>
      </w:r>
      <w:r w:rsidR="0017192A" w:rsidRPr="00CD78AE">
        <w:rPr>
          <w:rFonts w:ascii="Times" w:hAnsi="Times"/>
          <w:vertAlign w:val="subscript"/>
        </w:rPr>
        <w:t>2</w:t>
      </w:r>
      <w:r w:rsidR="0017192A">
        <w:rPr>
          <w:rFonts w:ascii="Times" w:hAnsi="Times"/>
        </w:rPr>
        <w:t xml:space="preserve"> </w:t>
      </w:r>
      <w:r w:rsidR="00794872">
        <w:rPr>
          <w:rFonts w:ascii="Times" w:hAnsi="Times"/>
        </w:rPr>
        <w:t xml:space="preserve">in Los Angeles County </w:t>
      </w:r>
      <w:r w:rsidR="0017192A">
        <w:rPr>
          <w:rFonts w:ascii="Times" w:hAnsi="Times"/>
        </w:rPr>
        <w:t xml:space="preserve">may have been </w:t>
      </w:r>
      <w:r w:rsidR="009A1FFF">
        <w:rPr>
          <w:rFonts w:ascii="Times" w:hAnsi="Times"/>
        </w:rPr>
        <w:t>higher than estimated</w:t>
      </w:r>
      <w:r w:rsidR="0017192A">
        <w:rPr>
          <w:rFonts w:ascii="Times" w:hAnsi="Times"/>
        </w:rPr>
        <w:t xml:space="preserve"> in </w:t>
      </w:r>
      <w:r w:rsidR="009A1FFF">
        <w:rPr>
          <w:rFonts w:ascii="Times" w:hAnsi="Times"/>
        </w:rPr>
        <w:t>the ordinary differences-in-differences specification</w:t>
      </w:r>
      <w:r w:rsidR="0017192A">
        <w:rPr>
          <w:rFonts w:ascii="Times" w:hAnsi="Times"/>
        </w:rPr>
        <w:t>.</w:t>
      </w:r>
    </w:p>
    <w:p w14:paraId="5C879FC1" w14:textId="35321B80" w:rsidR="00F9165A" w:rsidRDefault="00D673D8" w:rsidP="00DA0FAB">
      <w:pPr>
        <w:spacing w:line="480" w:lineRule="auto"/>
        <w:ind w:firstLine="360"/>
      </w:pPr>
      <w:r>
        <w:t>Ultimately, t</w:t>
      </w:r>
      <w:r w:rsidR="0017192A">
        <w:t>he robustness of my</w:t>
      </w:r>
      <w:r w:rsidR="00693050">
        <w:t xml:space="preserve"> main</w:t>
      </w:r>
      <w:r w:rsidR="0017192A">
        <w:t xml:space="preserve"> results </w:t>
      </w:r>
      <w:r w:rsidR="00AA4CF6">
        <w:t xml:space="preserve">is </w:t>
      </w:r>
      <w:r w:rsidR="0017192A">
        <w:t>limited to</w:t>
      </w:r>
      <w:r w:rsidR="00A40FB5">
        <w:t xml:space="preserve"> looking at the discontinuous changes in air quality at the beginning of the strike, meaning that I am identifying a local average treatment affect for the </w:t>
      </w:r>
      <w:r w:rsidR="00C8680C">
        <w:t>weeks</w:t>
      </w:r>
      <w:r w:rsidR="00A40FB5">
        <w:t xml:space="preserve"> around the strike</w:t>
      </w:r>
      <w:r w:rsidR="00C8680C">
        <w:t xml:space="preserve"> start date</w:t>
      </w:r>
      <w:r w:rsidR="00A40FB5">
        <w:t xml:space="preserve">. My results likely reflect the immediate </w:t>
      </w:r>
      <w:r w:rsidR="00285D85">
        <w:lastRenderedPageBreak/>
        <w:t>change in automobile use for marginal drivers as they begin to use their c</w:t>
      </w:r>
      <w:r w:rsidR="008974C9">
        <w:t xml:space="preserve">ar for all trips. This strategy probably does </w:t>
      </w:r>
      <w:r w:rsidR="00285D85">
        <w:t>not account for changes in behavior involving carpooling</w:t>
      </w:r>
      <w:r w:rsidR="00B225B6">
        <w:t>,</w:t>
      </w:r>
      <w:r w:rsidR="00285D85">
        <w:t xml:space="preserve"> telecommuting </w:t>
      </w:r>
      <w:r w:rsidR="00B225B6">
        <w:t xml:space="preserve">or the closure of businesses </w:t>
      </w:r>
      <w:r w:rsidR="00285D85">
        <w:t>that may reduce congestion and air pollution.</w:t>
      </w:r>
      <w:r w:rsidR="00A40FB5">
        <w:t xml:space="preserve"> Quantifying </w:t>
      </w:r>
      <w:r w:rsidR="006A5292">
        <w:t>these</w:t>
      </w:r>
      <w:r w:rsidR="00A40FB5">
        <w:t xml:space="preserve"> dynamic responses throughout the duration of the strike may provide very interesting </w:t>
      </w:r>
      <w:r w:rsidR="00815EC0">
        <w:t>long-run policy-</w:t>
      </w:r>
      <w:r w:rsidR="00A40FB5">
        <w:t xml:space="preserve">relevant results. However, such research would have to deal with </w:t>
      </w:r>
      <w:r w:rsidR="004F032C">
        <w:t>confounding factors</w:t>
      </w:r>
      <w:r w:rsidR="00A40FB5">
        <w:t xml:space="preserve"> </w:t>
      </w:r>
      <w:r w:rsidR="004F032C">
        <w:t>affecting</w:t>
      </w:r>
      <w:r w:rsidR="00A40FB5">
        <w:t xml:space="preserve"> air pollution</w:t>
      </w:r>
      <w:r w:rsidR="00815EC0">
        <w:t xml:space="preserve"> during the strike</w:t>
      </w:r>
      <w:r w:rsidR="00A40FB5">
        <w:t>.</w:t>
      </w:r>
      <w:r w:rsidR="0015238F">
        <w:t xml:space="preserve"> My result</w:t>
      </w:r>
      <w:r w:rsidR="00E97203">
        <w:t xml:space="preserve">s are also not externally valid since </w:t>
      </w:r>
      <w:r w:rsidR="0015238F">
        <w:t xml:space="preserve">there are </w:t>
      </w:r>
      <w:r w:rsidR="00815EC0">
        <w:t xml:space="preserve">unique </w:t>
      </w:r>
      <w:r w:rsidR="0015238F">
        <w:t xml:space="preserve">characteristics about Los Angeles that </w:t>
      </w:r>
      <w:r w:rsidR="00023855">
        <w:t>correlate with</w:t>
      </w:r>
      <w:r w:rsidR="0015238F">
        <w:t xml:space="preserve"> air quality levels and automobile use.</w:t>
      </w:r>
      <w:r w:rsidR="00A53FED">
        <w:t xml:space="preserve"> </w:t>
      </w:r>
      <w:r w:rsidR="00A41B5C">
        <w:t>T</w:t>
      </w:r>
      <w:r w:rsidR="006A5292">
        <w:t>he quality of the data I use</w:t>
      </w:r>
      <w:r w:rsidR="00A41B5C">
        <w:t xml:space="preserve"> is also </w:t>
      </w:r>
      <w:r w:rsidR="002A4181">
        <w:t>an issue</w:t>
      </w:r>
      <w:r w:rsidR="002E5692">
        <w:t xml:space="preserve"> </w:t>
      </w:r>
      <w:r w:rsidR="00A41B5C">
        <w:t>because it</w:t>
      </w:r>
      <w:r w:rsidR="002E5692">
        <w:t xml:space="preserve"> </w:t>
      </w:r>
      <w:r w:rsidR="00A41B5C">
        <w:t>potentially</w:t>
      </w:r>
      <w:r w:rsidR="002A4181">
        <w:t xml:space="preserve"> results</w:t>
      </w:r>
      <w:r w:rsidR="002E5692">
        <w:t xml:space="preserve"> in a Type I</w:t>
      </w:r>
      <w:r w:rsidR="00712566">
        <w:t>I</w:t>
      </w:r>
      <w:r w:rsidR="002E5692">
        <w:t xml:space="preserve"> error assessing the strike’s impact on CO</w:t>
      </w:r>
      <w:r w:rsidR="00C344B5">
        <w:t xml:space="preserve"> levels</w:t>
      </w:r>
      <w:r w:rsidR="006A5292">
        <w:t xml:space="preserve">. The inclusion of weather controls such as humidity and temperature would </w:t>
      </w:r>
      <w:r w:rsidR="002E5692">
        <w:t xml:space="preserve">also </w:t>
      </w:r>
      <w:r w:rsidR="006A5292">
        <w:t xml:space="preserve">have been preferable, and could </w:t>
      </w:r>
      <w:r w:rsidR="00AB3D65">
        <w:t>have</w:t>
      </w:r>
      <w:r w:rsidR="006A5292">
        <w:t xml:space="preserve"> add</w:t>
      </w:r>
      <w:r w:rsidR="00AB3D65">
        <w:t>ed</w:t>
      </w:r>
      <w:r w:rsidR="006A5292">
        <w:t xml:space="preserve"> to the robustness of my results. This issue seems to be </w:t>
      </w:r>
      <w:r w:rsidR="00815EC0">
        <w:t>a consequence</w:t>
      </w:r>
      <w:r w:rsidR="006A5292">
        <w:t xml:space="preserve"> </w:t>
      </w:r>
      <w:r w:rsidR="00815EC0">
        <w:t xml:space="preserve">of the time period of interest </w:t>
      </w:r>
      <w:r w:rsidR="006A5292">
        <w:t xml:space="preserve">as weather data </w:t>
      </w:r>
      <w:r w:rsidR="00815EC0">
        <w:t xml:space="preserve">was also sparse for </w:t>
      </w:r>
      <w:r w:rsidR="006A5292">
        <w:t xml:space="preserve">NOAA </w:t>
      </w:r>
      <w:r w:rsidR="00815EC0">
        <w:t>land-based stations in the</w:t>
      </w:r>
      <w:r w:rsidR="006A5292">
        <w:t xml:space="preserve"> Los Angeles area from 2002-2004. I would suggest that </w:t>
      </w:r>
      <w:r w:rsidR="0047565D">
        <w:t>future</w:t>
      </w:r>
      <w:r w:rsidR="006A5292">
        <w:t xml:space="preserve"> research </w:t>
      </w:r>
      <w:r w:rsidR="0047565D">
        <w:t>examine more</w:t>
      </w:r>
      <w:r w:rsidR="006A5292">
        <w:t xml:space="preserve"> recent transit strikes</w:t>
      </w:r>
      <w:r w:rsidR="001424DF">
        <w:t xml:space="preserve"> in other cities</w:t>
      </w:r>
      <w:r w:rsidR="006A5292">
        <w:t xml:space="preserve"> to</w:t>
      </w:r>
      <w:r w:rsidR="00815EC0">
        <w:t xml:space="preserve"> </w:t>
      </w:r>
      <w:r w:rsidR="006A5292">
        <w:t>overcome data availability issues</w:t>
      </w:r>
      <w:r w:rsidR="002E5692">
        <w:t xml:space="preserve"> and </w:t>
      </w:r>
      <w:r w:rsidR="00236556">
        <w:t xml:space="preserve">potentially </w:t>
      </w:r>
      <w:r w:rsidR="002E5692">
        <w:t>provide</w:t>
      </w:r>
      <w:r w:rsidR="006A5292">
        <w:t xml:space="preserve"> external validity </w:t>
      </w:r>
      <w:r w:rsidR="002E5692">
        <w:t xml:space="preserve">to </w:t>
      </w:r>
      <w:r w:rsidR="00AC0956">
        <w:t>these</w:t>
      </w:r>
      <w:r w:rsidR="002E5692">
        <w:t xml:space="preserve"> results</w:t>
      </w:r>
      <w:r w:rsidR="00DA0FAB">
        <w:t>.</w:t>
      </w:r>
    </w:p>
    <w:p w14:paraId="000E39F4" w14:textId="77777777" w:rsidR="002C0C7E" w:rsidRDefault="002C0C7E" w:rsidP="00F222D5">
      <w:pPr>
        <w:spacing w:line="480" w:lineRule="auto"/>
        <w:jc w:val="both"/>
      </w:pPr>
    </w:p>
    <w:p w14:paraId="7B884C0D" w14:textId="77777777" w:rsidR="0047565D" w:rsidRDefault="0047565D" w:rsidP="00F222D5">
      <w:pPr>
        <w:spacing w:line="480" w:lineRule="auto"/>
        <w:jc w:val="both"/>
      </w:pPr>
    </w:p>
    <w:p w14:paraId="6ADD3578" w14:textId="77777777" w:rsidR="007F333D" w:rsidRDefault="007F333D" w:rsidP="00F222D5">
      <w:pPr>
        <w:spacing w:line="480" w:lineRule="auto"/>
        <w:jc w:val="both"/>
      </w:pPr>
    </w:p>
    <w:p w14:paraId="5133B507" w14:textId="77777777" w:rsidR="00E40DCE" w:rsidRDefault="00E40DCE" w:rsidP="00F222D5">
      <w:pPr>
        <w:spacing w:line="480" w:lineRule="auto"/>
        <w:jc w:val="both"/>
      </w:pPr>
    </w:p>
    <w:p w14:paraId="24941B14" w14:textId="77777777" w:rsidR="00B17A21" w:rsidRDefault="00B17A21" w:rsidP="00F222D5">
      <w:pPr>
        <w:spacing w:line="480" w:lineRule="auto"/>
        <w:jc w:val="both"/>
      </w:pPr>
    </w:p>
    <w:p w14:paraId="60DF8317" w14:textId="77777777" w:rsidR="00B17A21" w:rsidRDefault="00B17A21" w:rsidP="00F222D5">
      <w:pPr>
        <w:spacing w:line="480" w:lineRule="auto"/>
        <w:jc w:val="both"/>
      </w:pPr>
    </w:p>
    <w:p w14:paraId="79B4E55D" w14:textId="77777777" w:rsidR="00B17A21" w:rsidRDefault="00B17A21" w:rsidP="00F222D5">
      <w:pPr>
        <w:spacing w:line="480" w:lineRule="auto"/>
        <w:jc w:val="both"/>
      </w:pPr>
    </w:p>
    <w:p w14:paraId="2BD02316" w14:textId="77777777" w:rsidR="00B17A21" w:rsidRDefault="00B17A21" w:rsidP="00F222D5">
      <w:pPr>
        <w:spacing w:line="480" w:lineRule="auto"/>
        <w:jc w:val="both"/>
      </w:pPr>
    </w:p>
    <w:p w14:paraId="6ADED809" w14:textId="77777777" w:rsidR="00B17A21" w:rsidRDefault="00B17A21" w:rsidP="00F222D5">
      <w:pPr>
        <w:spacing w:line="480" w:lineRule="auto"/>
        <w:jc w:val="both"/>
      </w:pPr>
    </w:p>
    <w:p w14:paraId="0212B155" w14:textId="77777777" w:rsidR="00B17A21" w:rsidRDefault="00B17A21" w:rsidP="00F222D5">
      <w:pPr>
        <w:spacing w:line="480" w:lineRule="auto"/>
        <w:jc w:val="both"/>
      </w:pPr>
    </w:p>
    <w:p w14:paraId="2D437EDD" w14:textId="77777777" w:rsidR="00B17A21" w:rsidRDefault="00B17A21" w:rsidP="00F222D5">
      <w:pPr>
        <w:spacing w:line="480" w:lineRule="auto"/>
        <w:jc w:val="both"/>
      </w:pPr>
    </w:p>
    <w:p w14:paraId="761703AD" w14:textId="46C45723" w:rsidR="0055077C" w:rsidRDefault="00A53FED" w:rsidP="0073227F">
      <w:pPr>
        <w:spacing w:line="480" w:lineRule="auto"/>
        <w:ind w:firstLine="360"/>
        <w:jc w:val="center"/>
        <w:rPr>
          <w:b/>
        </w:rPr>
      </w:pPr>
      <w:r w:rsidRPr="00A53FED">
        <w:rPr>
          <w:b/>
        </w:rPr>
        <w:t>REFERENCES</w:t>
      </w:r>
    </w:p>
    <w:p w14:paraId="6BF503E6" w14:textId="77777777" w:rsidR="0055077C" w:rsidRPr="00A53FED" w:rsidRDefault="0055077C" w:rsidP="00232DEC">
      <w:pPr>
        <w:spacing w:line="480" w:lineRule="auto"/>
        <w:rPr>
          <w:b/>
        </w:rPr>
      </w:pPr>
    </w:p>
    <w:p w14:paraId="48306F4B" w14:textId="797A410B" w:rsidR="00482DB9" w:rsidRPr="001F40B7" w:rsidRDefault="00482DB9" w:rsidP="00482DB9">
      <w:pPr>
        <w:pStyle w:val="ListParagraph"/>
        <w:ind w:hanging="720"/>
        <w:jc w:val="both"/>
      </w:pPr>
      <w:r w:rsidRPr="007530D8">
        <w:rPr>
          <w:b/>
        </w:rPr>
        <w:t>Anderson, Michael L</w:t>
      </w:r>
      <w:r w:rsidR="001F40B7">
        <w:t>. 2014</w:t>
      </w:r>
      <w:r>
        <w:t xml:space="preserve">. “Subways, Strikes, and Slowdowns: The Impacts of Public Transit on Highway Congestion.” </w:t>
      </w:r>
      <w:r>
        <w:rPr>
          <w:i/>
        </w:rPr>
        <w:t>American Economic Review</w:t>
      </w:r>
      <w:r w:rsidR="001F40B7">
        <w:t>, Vol. 104, No. 9, pp. 2763 - 2796</w:t>
      </w:r>
    </w:p>
    <w:p w14:paraId="716ABDEE" w14:textId="056DDA85" w:rsidR="00482DB9" w:rsidRPr="00482DB9" w:rsidRDefault="00482DB9" w:rsidP="00482DB9">
      <w:pPr>
        <w:ind w:left="720" w:hanging="720"/>
        <w:jc w:val="both"/>
      </w:pPr>
      <w:r w:rsidRPr="00855013">
        <w:rPr>
          <w:b/>
        </w:rPr>
        <w:t>Bernstein, Sharon, David Pierson, and Daniel Hernandez</w:t>
      </w:r>
      <w:r>
        <w:t xml:space="preserve">. 2003. “MTA Strike Derails Business.” </w:t>
      </w:r>
      <w:r w:rsidRPr="00855013">
        <w:rPr>
          <w:i/>
        </w:rPr>
        <w:t>Los Angeles Times</w:t>
      </w:r>
      <w:r>
        <w:t>, November 6</w:t>
      </w:r>
    </w:p>
    <w:p w14:paraId="486C8BA8" w14:textId="5794FB90" w:rsidR="007C36A3" w:rsidRDefault="007C36A3" w:rsidP="007C36A3">
      <w:pPr>
        <w:pStyle w:val="ListParagraph"/>
        <w:ind w:hanging="720"/>
        <w:jc w:val="both"/>
      </w:pPr>
      <w:r w:rsidRPr="007C36A3">
        <w:rPr>
          <w:b/>
        </w:rPr>
        <w:t>Chen, Yihsu, and Alexander Whalley</w:t>
      </w:r>
      <w:r>
        <w:t xml:space="preserve">. 2012. “Green Infrastructure: The Effects of Urban Rail Transit on Air Quality.” </w:t>
      </w:r>
      <w:r w:rsidRPr="007C36A3">
        <w:rPr>
          <w:i/>
        </w:rPr>
        <w:t>American Economic Journal: Economic Policy</w:t>
      </w:r>
      <w:r>
        <w:rPr>
          <w:i/>
        </w:rPr>
        <w:t>,</w:t>
      </w:r>
      <w:r>
        <w:t xml:space="preserve"> Vol. 3, No. 4, pp. 58–97.</w:t>
      </w:r>
    </w:p>
    <w:p w14:paraId="509F6A1C" w14:textId="4AD038DD" w:rsidR="00482DB9" w:rsidRDefault="00482DB9" w:rsidP="00482DB9">
      <w:pPr>
        <w:ind w:left="720" w:hanging="720"/>
        <w:jc w:val="both"/>
      </w:pPr>
      <w:r w:rsidRPr="00855013">
        <w:rPr>
          <w:b/>
        </w:rPr>
        <w:t xml:space="preserve">Crost, Benjamin, Joseph H. </w:t>
      </w:r>
      <w:proofErr w:type="spellStart"/>
      <w:r w:rsidRPr="00855013">
        <w:rPr>
          <w:b/>
        </w:rPr>
        <w:t>Felter</w:t>
      </w:r>
      <w:proofErr w:type="spellEnd"/>
      <w:r w:rsidRPr="00855013">
        <w:rPr>
          <w:b/>
        </w:rPr>
        <w:t>, Hani Mansour, and Daniel I. Rees</w:t>
      </w:r>
      <w:r>
        <w:t xml:space="preserve">. </w:t>
      </w:r>
      <w:r w:rsidR="007A53D5">
        <w:t xml:space="preserve">2013. </w:t>
      </w:r>
      <w:r>
        <w:t xml:space="preserve">“Election Fraud and Post-Election Conflict: Evidence from the Philippines.” </w:t>
      </w:r>
      <w:r>
        <w:rPr>
          <w:i/>
        </w:rPr>
        <w:t>IZA Working Paper No. 7469</w:t>
      </w:r>
      <w:r>
        <w:t>. Under Review</w:t>
      </w:r>
    </w:p>
    <w:p w14:paraId="187ECDF2" w14:textId="011396B1" w:rsidR="00991768" w:rsidRPr="00991768" w:rsidRDefault="00991768" w:rsidP="00482DB9">
      <w:pPr>
        <w:ind w:left="720" w:hanging="720"/>
        <w:jc w:val="both"/>
      </w:pPr>
      <w:r>
        <w:rPr>
          <w:b/>
        </w:rPr>
        <w:t>Currie, Janet, and Reed Walker</w:t>
      </w:r>
      <w:r>
        <w:t>.</w:t>
      </w:r>
      <w:r w:rsidR="00B94AE7">
        <w:t xml:space="preserve"> 2011. </w:t>
      </w:r>
      <w:r w:rsidR="00C40711">
        <w:t>“T</w:t>
      </w:r>
      <w:r>
        <w:t>raffic Congestion and Infant Health”: Evidence from E-</w:t>
      </w:r>
      <w:proofErr w:type="spellStart"/>
      <w:r>
        <w:t>ZPass</w:t>
      </w:r>
      <w:proofErr w:type="spellEnd"/>
      <w:r>
        <w:t xml:space="preserve">.” </w:t>
      </w:r>
      <w:r>
        <w:rPr>
          <w:i/>
        </w:rPr>
        <w:t xml:space="preserve">American Economic Journal: Applied Economics, </w:t>
      </w:r>
      <w:r>
        <w:t>Vol. 3, No. 1, pp. 65-90</w:t>
      </w:r>
    </w:p>
    <w:p w14:paraId="465DE7D6" w14:textId="3B119830" w:rsidR="00482DB9" w:rsidRDefault="00482DB9" w:rsidP="00482DB9">
      <w:pPr>
        <w:ind w:left="720" w:hanging="720"/>
        <w:jc w:val="both"/>
        <w:rPr>
          <w:rStyle w:val="Hyperlink"/>
        </w:rPr>
      </w:pPr>
      <w:r w:rsidRPr="00482DB9">
        <w:rPr>
          <w:b/>
        </w:rPr>
        <w:t>Environmental Protection Agency</w:t>
      </w:r>
      <w:r>
        <w:t xml:space="preserve">. 2014 “Ground Level Ozone.” </w:t>
      </w:r>
      <w:r w:rsidRPr="00482DB9">
        <w:rPr>
          <w:i/>
        </w:rPr>
        <w:t>EPA</w:t>
      </w:r>
      <w:r>
        <w:t xml:space="preserve">. September 18. </w:t>
      </w:r>
      <w:hyperlink r:id="rId8" w:history="1">
        <w:r w:rsidRPr="00E67459">
          <w:rPr>
            <w:rStyle w:val="Hyperlink"/>
          </w:rPr>
          <w:t>http://www.epa.gov/groundlevelozone/</w:t>
        </w:r>
      </w:hyperlink>
    </w:p>
    <w:p w14:paraId="27F3C81E" w14:textId="15DFB90D" w:rsidR="00A53FED" w:rsidRPr="00A53FED" w:rsidRDefault="00A53FED" w:rsidP="00A53FED">
      <w:pPr>
        <w:ind w:left="720" w:hanging="720"/>
        <w:jc w:val="both"/>
        <w:rPr>
          <w:color w:val="0000FF" w:themeColor="hyperlink"/>
          <w:u w:val="single"/>
        </w:rPr>
      </w:pPr>
      <w:r w:rsidRPr="00482DB9">
        <w:rPr>
          <w:b/>
        </w:rPr>
        <w:t>Environmental Protection Agency</w:t>
      </w:r>
      <w:r>
        <w:t xml:space="preserve">. 2014 “Nitrogen Dioxide Health.” </w:t>
      </w:r>
      <w:r w:rsidRPr="00482DB9">
        <w:rPr>
          <w:i/>
        </w:rPr>
        <w:t>EPA</w:t>
      </w:r>
      <w:r>
        <w:t>. August 15.</w:t>
      </w:r>
      <w:r>
        <w:rPr>
          <w:rStyle w:val="Hyperlink"/>
        </w:rPr>
        <w:t xml:space="preserve"> </w:t>
      </w:r>
      <w:hyperlink r:id="rId9" w:history="1">
        <w:r w:rsidRPr="00A53FED">
          <w:rPr>
            <w:rStyle w:val="Hyperlink"/>
          </w:rPr>
          <w:t>http://www.epa.gov/oaqps001/nitrogenoxides/health.html</w:t>
        </w:r>
      </w:hyperlink>
    </w:p>
    <w:p w14:paraId="4FE9970E" w14:textId="4E9E12F5" w:rsidR="00D4394C" w:rsidRDefault="00D4394C" w:rsidP="00D4394C">
      <w:pPr>
        <w:pStyle w:val="ListParagraph"/>
        <w:ind w:hanging="720"/>
        <w:jc w:val="both"/>
      </w:pPr>
      <w:r w:rsidRPr="00D4394C">
        <w:rPr>
          <w:b/>
        </w:rPr>
        <w:t>Lo, Shih-Che, and Randolph W. Hall</w:t>
      </w:r>
      <w:r>
        <w:t xml:space="preserve">. 2006. “Effects of the Los Angeles Transit Strike on Highway Congestion.” </w:t>
      </w:r>
      <w:r w:rsidRPr="00D4394C">
        <w:rPr>
          <w:i/>
        </w:rPr>
        <w:t>Transportation Research Part A: Policy and Practice</w:t>
      </w:r>
      <w:r>
        <w:rPr>
          <w:i/>
        </w:rPr>
        <w:t>,</w:t>
      </w:r>
      <w:r>
        <w:t xml:space="preserve"> Vol. 40, No. 10, pp. 903-917.</w:t>
      </w:r>
    </w:p>
    <w:p w14:paraId="316085B3" w14:textId="25D50DAC" w:rsidR="007C0E86" w:rsidRDefault="007C0E86" w:rsidP="007C0E86">
      <w:pPr>
        <w:ind w:left="720" w:hanging="720"/>
        <w:jc w:val="both"/>
      </w:pPr>
      <w:r>
        <w:rPr>
          <w:b/>
        </w:rPr>
        <w:t>Mohring, Herbert</w:t>
      </w:r>
      <w:r>
        <w:t xml:space="preserve">. 1972. “Optimization and Scale Economies in Urban Bus Transportation.” </w:t>
      </w:r>
      <w:r w:rsidR="001F40B7">
        <w:rPr>
          <w:i/>
        </w:rPr>
        <w:t>American Economic R</w:t>
      </w:r>
      <w:r>
        <w:rPr>
          <w:i/>
        </w:rPr>
        <w:t>eview</w:t>
      </w:r>
      <w:r>
        <w:t>, Vol. 62, No. 4, pp. 591-604</w:t>
      </w:r>
    </w:p>
    <w:p w14:paraId="08B715E7" w14:textId="27A00436" w:rsidR="007C0E86" w:rsidRDefault="007C0E86" w:rsidP="007C0E86">
      <w:pPr>
        <w:pStyle w:val="ListParagraph"/>
        <w:ind w:hanging="720"/>
        <w:jc w:val="both"/>
      </w:pPr>
      <w:r w:rsidRPr="00270809">
        <w:rPr>
          <w:b/>
        </w:rPr>
        <w:t>Rubin, Joel</w:t>
      </w:r>
      <w:r>
        <w:t xml:space="preserve">. 2003. “MTA Strike Puts Traffic Officers in Thick of It.” </w:t>
      </w:r>
      <w:r w:rsidRPr="00270809">
        <w:rPr>
          <w:i/>
        </w:rPr>
        <w:t>Los Angeles Times</w:t>
      </w:r>
      <w:r>
        <w:t>, October 24</w:t>
      </w:r>
    </w:p>
    <w:p w14:paraId="7AD1DEC7" w14:textId="460E4CC7" w:rsidR="009C2BCD" w:rsidRDefault="009C2BCD" w:rsidP="000139F0">
      <w:pPr>
        <w:ind w:left="720" w:hanging="720"/>
        <w:jc w:val="both"/>
        <w:rPr>
          <w:i/>
        </w:rPr>
      </w:pPr>
      <w:r w:rsidRPr="00A10D3F">
        <w:rPr>
          <w:b/>
        </w:rPr>
        <w:t>Schlenker</w:t>
      </w:r>
      <w:r w:rsidR="00A10D3F" w:rsidRPr="00A10D3F">
        <w:rPr>
          <w:b/>
        </w:rPr>
        <w:t>, Wolfram</w:t>
      </w:r>
      <w:r w:rsidR="00A10D3F">
        <w:t xml:space="preserve">. 2011. “Airports, Air Pollution, and Contemporaneous Health.” </w:t>
      </w:r>
      <w:r w:rsidR="00A10D3F">
        <w:rPr>
          <w:i/>
        </w:rPr>
        <w:t>NBER Working Paper No. 17684</w:t>
      </w:r>
    </w:p>
    <w:p w14:paraId="6D37FFE5" w14:textId="652A9D6E" w:rsidR="00270809" w:rsidRDefault="00270809" w:rsidP="00270809">
      <w:pPr>
        <w:ind w:left="810" w:hanging="810"/>
        <w:jc w:val="both"/>
      </w:pPr>
      <w:r w:rsidRPr="00270809">
        <w:rPr>
          <w:b/>
        </w:rPr>
        <w:t>Streeter, Kurt, and Karen Bernstein</w:t>
      </w:r>
      <w:r>
        <w:t xml:space="preserve">. 2003. “MTA Strike Halts Buses </w:t>
      </w:r>
      <w:proofErr w:type="gramStart"/>
      <w:r>
        <w:t>Across</w:t>
      </w:r>
      <w:proofErr w:type="gramEnd"/>
      <w:r>
        <w:t xml:space="preserve"> L.A.” </w:t>
      </w:r>
      <w:r w:rsidRPr="00270809">
        <w:rPr>
          <w:i/>
        </w:rPr>
        <w:t>Los Angeles Times</w:t>
      </w:r>
      <w:r>
        <w:t>, October 14</w:t>
      </w:r>
    </w:p>
    <w:p w14:paraId="7171B075" w14:textId="2D2728C7" w:rsidR="00393573" w:rsidRDefault="00393573" w:rsidP="00393573">
      <w:pPr>
        <w:ind w:left="810" w:hanging="810"/>
        <w:jc w:val="both"/>
      </w:pPr>
      <w:r w:rsidRPr="00393573">
        <w:rPr>
          <w:b/>
        </w:rPr>
        <w:t>Streeter, Kurt, Karen Bernstein, and Caitlin Liu</w:t>
      </w:r>
      <w:r>
        <w:t>. 2003. “M</w:t>
      </w:r>
      <w:r>
        <w:t xml:space="preserve">ediation Plan Ends MTA Strike.” </w:t>
      </w:r>
      <w:r w:rsidRPr="00393573">
        <w:rPr>
          <w:i/>
        </w:rPr>
        <w:t>Los Angeles Times</w:t>
      </w:r>
      <w:r>
        <w:t>, November 18</w:t>
      </w:r>
    </w:p>
    <w:p w14:paraId="39CACA51" w14:textId="288383F0" w:rsidR="00482DB9" w:rsidRDefault="00482DB9" w:rsidP="00A26049">
      <w:pPr>
        <w:ind w:left="720" w:hanging="720"/>
        <w:jc w:val="both"/>
      </w:pPr>
      <w:r>
        <w:rPr>
          <w:b/>
        </w:rPr>
        <w:t>Vickery, William S.</w:t>
      </w:r>
      <w:r>
        <w:t xml:space="preserve"> 1969. “Congestion Theory and Transport Investment.” </w:t>
      </w:r>
      <w:r>
        <w:rPr>
          <w:i/>
        </w:rPr>
        <w:t>American Economic Review</w:t>
      </w:r>
      <w:r>
        <w:t>, Vol. 59, No. 2, pp. 251-260</w:t>
      </w:r>
    </w:p>
    <w:p w14:paraId="5D4D3749" w14:textId="47ED60F9" w:rsidR="00482DB9" w:rsidRPr="00482DB9" w:rsidRDefault="00482DB9" w:rsidP="00482DB9">
      <w:pPr>
        <w:ind w:left="1000" w:hanging="1000"/>
      </w:pPr>
      <w:r w:rsidRPr="000139F0">
        <w:rPr>
          <w:rFonts w:cs="Times New Roman"/>
          <w:b/>
        </w:rPr>
        <w:lastRenderedPageBreak/>
        <w:t>World Health Organization</w:t>
      </w:r>
      <w:r>
        <w:rPr>
          <w:rFonts w:cs="Times New Roman"/>
        </w:rPr>
        <w:t xml:space="preserve">. 2014. "7 Million Premature Deaths Annually Linked to Air Pollution." </w:t>
      </w:r>
      <w:r>
        <w:rPr>
          <w:rFonts w:cs="Times New Roman"/>
          <w:i/>
        </w:rPr>
        <w:t>WHO</w:t>
      </w:r>
      <w:r>
        <w:rPr>
          <w:rFonts w:cs="Times New Roman"/>
        </w:rPr>
        <w:t>. March 25. http://www.who.int/mediacentre/news/releases/2014/air-pollution/en/</w:t>
      </w:r>
    </w:p>
    <w:p w14:paraId="1EE4702E" w14:textId="77777777" w:rsidR="00973D1C" w:rsidRDefault="00973D1C" w:rsidP="00601CD7">
      <w:pPr>
        <w:spacing w:line="480" w:lineRule="auto"/>
        <w:jc w:val="both"/>
      </w:pPr>
    </w:p>
    <w:p w14:paraId="5A529E9A" w14:textId="77777777" w:rsidR="009C2BCD" w:rsidRDefault="009C2BCD" w:rsidP="00601CD7">
      <w:pPr>
        <w:spacing w:line="480" w:lineRule="auto"/>
        <w:jc w:val="both"/>
      </w:pPr>
    </w:p>
    <w:p w14:paraId="699BAAB4" w14:textId="77777777" w:rsidR="00046651" w:rsidRDefault="00046651" w:rsidP="00601CD7">
      <w:pPr>
        <w:spacing w:line="480" w:lineRule="auto"/>
        <w:jc w:val="both"/>
      </w:pPr>
    </w:p>
    <w:p w14:paraId="610F81B9" w14:textId="77777777" w:rsidR="00AB666B" w:rsidRDefault="00AB666B" w:rsidP="00601CD7">
      <w:pPr>
        <w:spacing w:line="480" w:lineRule="auto"/>
        <w:jc w:val="both"/>
      </w:pPr>
    </w:p>
    <w:p w14:paraId="56C5FAE9" w14:textId="77777777" w:rsidR="008A3983" w:rsidRDefault="008A3983" w:rsidP="00601CD7">
      <w:pPr>
        <w:spacing w:line="480" w:lineRule="auto"/>
        <w:jc w:val="both"/>
      </w:pPr>
    </w:p>
    <w:p w14:paraId="01D95006" w14:textId="77777777" w:rsidR="002F5D47" w:rsidRPr="00D34A5C" w:rsidRDefault="002F5D47" w:rsidP="002F5D47">
      <w:pPr>
        <w:spacing w:line="480" w:lineRule="auto"/>
        <w:jc w:val="center"/>
        <w:rPr>
          <w:b/>
        </w:rPr>
      </w:pPr>
      <w:r>
        <w:rPr>
          <w:b/>
        </w:rPr>
        <w:t>Figure 1</w:t>
      </w:r>
    </w:p>
    <w:p w14:paraId="08DFAB75" w14:textId="77777777" w:rsidR="002F5D47" w:rsidRDefault="002F5D47" w:rsidP="002F5D47">
      <w:pPr>
        <w:spacing w:line="480" w:lineRule="auto"/>
        <w:ind w:firstLine="360"/>
        <w:jc w:val="both"/>
      </w:pPr>
      <w:r>
        <w:rPr>
          <w:noProof/>
        </w:rPr>
        <w:drawing>
          <wp:inline distT="0" distB="0" distL="0" distR="0" wp14:anchorId="4327D925" wp14:editId="6AC229F2">
            <wp:extent cx="5697220" cy="4784310"/>
            <wp:effectExtent l="19050" t="19050" r="1778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980" cy="4792506"/>
                    </a:xfrm>
                    <a:prstGeom prst="rect">
                      <a:avLst/>
                    </a:prstGeom>
                    <a:noFill/>
                    <a:ln>
                      <a:solidFill>
                        <a:schemeClr val="tx1"/>
                      </a:solidFill>
                    </a:ln>
                  </pic:spPr>
                </pic:pic>
              </a:graphicData>
            </a:graphic>
          </wp:inline>
        </w:drawing>
      </w:r>
    </w:p>
    <w:p w14:paraId="07C1609B" w14:textId="77777777" w:rsidR="002F5D47" w:rsidRDefault="002F5D47" w:rsidP="002F5D47">
      <w:pPr>
        <w:spacing w:line="480" w:lineRule="auto"/>
        <w:ind w:firstLine="360"/>
        <w:jc w:val="both"/>
      </w:pPr>
    </w:p>
    <w:p w14:paraId="20A3CE27" w14:textId="77777777" w:rsidR="002F5D47" w:rsidRDefault="002F5D47" w:rsidP="002F5D47">
      <w:pPr>
        <w:spacing w:line="480" w:lineRule="auto"/>
        <w:jc w:val="both"/>
      </w:pPr>
    </w:p>
    <w:p w14:paraId="47286D10" w14:textId="77777777" w:rsidR="002F5D47" w:rsidRDefault="002F5D47" w:rsidP="002F5D47">
      <w:pPr>
        <w:spacing w:line="480" w:lineRule="auto"/>
        <w:ind w:firstLine="360"/>
        <w:jc w:val="both"/>
      </w:pPr>
    </w:p>
    <w:p w14:paraId="74ECC8EA" w14:textId="77777777" w:rsidR="002F5D47" w:rsidRDefault="002F5D47" w:rsidP="002F5D47">
      <w:pPr>
        <w:spacing w:line="480" w:lineRule="auto"/>
        <w:ind w:firstLine="360"/>
        <w:jc w:val="both"/>
      </w:pPr>
    </w:p>
    <w:p w14:paraId="3AE4AB80" w14:textId="77777777" w:rsidR="002F5D47" w:rsidRDefault="002F5D47" w:rsidP="002F5D47">
      <w:pPr>
        <w:spacing w:line="480" w:lineRule="auto"/>
        <w:ind w:firstLine="360"/>
        <w:jc w:val="both"/>
      </w:pPr>
    </w:p>
    <w:p w14:paraId="719415F4" w14:textId="77777777" w:rsidR="002F5D47" w:rsidRDefault="002F5D47" w:rsidP="002F5D47">
      <w:pPr>
        <w:spacing w:line="480" w:lineRule="auto"/>
        <w:ind w:firstLine="360"/>
        <w:jc w:val="both"/>
      </w:pPr>
    </w:p>
    <w:p w14:paraId="591B2448" w14:textId="77777777" w:rsidR="002F5D47" w:rsidRDefault="002F5D47" w:rsidP="002F5D47">
      <w:pPr>
        <w:spacing w:line="480" w:lineRule="auto"/>
        <w:ind w:firstLine="360"/>
        <w:jc w:val="both"/>
      </w:pPr>
    </w:p>
    <w:p w14:paraId="76D6B6DB" w14:textId="77777777" w:rsidR="007F333D" w:rsidRDefault="007F333D" w:rsidP="007F333D">
      <w:pPr>
        <w:jc w:val="center"/>
        <w:rPr>
          <w:b/>
        </w:rPr>
      </w:pPr>
      <w:r>
        <w:rPr>
          <w:b/>
        </w:rPr>
        <w:t>Figure 2</w:t>
      </w:r>
    </w:p>
    <w:p w14:paraId="2631D53D" w14:textId="77777777" w:rsidR="007F333D" w:rsidRPr="00D34A5C" w:rsidRDefault="007F333D" w:rsidP="007F333D">
      <w:pPr>
        <w:jc w:val="center"/>
        <w:rPr>
          <w:b/>
        </w:rPr>
      </w:pPr>
    </w:p>
    <w:p w14:paraId="60CE4B5E" w14:textId="77777777" w:rsidR="007F333D" w:rsidRDefault="007F333D" w:rsidP="007F333D">
      <w:pPr>
        <w:spacing w:line="480" w:lineRule="auto"/>
        <w:ind w:left="720"/>
        <w:jc w:val="both"/>
      </w:pPr>
      <w:r>
        <w:rPr>
          <w:noProof/>
        </w:rPr>
        <w:drawing>
          <wp:inline distT="0" distB="0" distL="0" distR="0" wp14:anchorId="5FB720E3" wp14:editId="0F759EAD">
            <wp:extent cx="5029200" cy="3657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52E368E" w14:textId="77777777" w:rsidR="007F333D" w:rsidRDefault="007F333D" w:rsidP="007F333D">
      <w:pPr>
        <w:jc w:val="center"/>
        <w:rPr>
          <w:b/>
        </w:rPr>
      </w:pPr>
      <w:r>
        <w:rPr>
          <w:b/>
        </w:rPr>
        <w:t>Figure 3</w:t>
      </w:r>
    </w:p>
    <w:p w14:paraId="38EFC485" w14:textId="77777777" w:rsidR="007F333D" w:rsidRPr="00D34A5C" w:rsidRDefault="007F333D" w:rsidP="007F333D">
      <w:pPr>
        <w:jc w:val="center"/>
        <w:rPr>
          <w:b/>
        </w:rPr>
      </w:pPr>
    </w:p>
    <w:p w14:paraId="61530179" w14:textId="77777777" w:rsidR="007F333D" w:rsidRDefault="007F333D" w:rsidP="007F333D">
      <w:pPr>
        <w:spacing w:line="480" w:lineRule="auto"/>
        <w:ind w:firstLine="720"/>
        <w:jc w:val="both"/>
      </w:pPr>
      <w:r>
        <w:rPr>
          <w:noProof/>
        </w:rPr>
        <w:lastRenderedPageBreak/>
        <w:drawing>
          <wp:inline distT="0" distB="0" distL="0" distR="0" wp14:anchorId="2E551024" wp14:editId="1058FEE3">
            <wp:extent cx="5029200" cy="3657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86C7305" w14:textId="77777777" w:rsidR="007F333D" w:rsidRDefault="007F333D" w:rsidP="007F333D">
      <w:pPr>
        <w:jc w:val="center"/>
        <w:rPr>
          <w:b/>
        </w:rPr>
      </w:pPr>
      <w:r>
        <w:rPr>
          <w:b/>
        </w:rPr>
        <w:t>Figure 4</w:t>
      </w:r>
    </w:p>
    <w:p w14:paraId="03856E85" w14:textId="77777777" w:rsidR="007F333D" w:rsidRPr="00D34A5C" w:rsidRDefault="007F333D" w:rsidP="007F333D">
      <w:pPr>
        <w:jc w:val="center"/>
        <w:rPr>
          <w:b/>
        </w:rPr>
      </w:pPr>
    </w:p>
    <w:p w14:paraId="30EDA6C7" w14:textId="77777777" w:rsidR="007F333D" w:rsidRDefault="007F333D" w:rsidP="007F333D">
      <w:pPr>
        <w:spacing w:line="480" w:lineRule="auto"/>
        <w:ind w:firstLine="810"/>
        <w:jc w:val="both"/>
      </w:pPr>
      <w:r>
        <w:rPr>
          <w:noProof/>
        </w:rPr>
        <w:drawing>
          <wp:inline distT="0" distB="0" distL="0" distR="0" wp14:anchorId="4136FAB8" wp14:editId="753D3DC8">
            <wp:extent cx="5029200" cy="3657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823FE8E" w14:textId="77777777" w:rsidR="007F333D" w:rsidRDefault="007F333D" w:rsidP="007F333D">
      <w:pPr>
        <w:jc w:val="center"/>
        <w:rPr>
          <w:b/>
        </w:rPr>
      </w:pPr>
      <w:r>
        <w:rPr>
          <w:b/>
        </w:rPr>
        <w:t>Figure 5</w:t>
      </w:r>
    </w:p>
    <w:p w14:paraId="07E95466" w14:textId="77777777" w:rsidR="007F333D" w:rsidRPr="00D34A5C" w:rsidRDefault="007F333D" w:rsidP="007F333D">
      <w:pPr>
        <w:jc w:val="center"/>
        <w:rPr>
          <w:b/>
        </w:rPr>
      </w:pPr>
    </w:p>
    <w:p w14:paraId="1D57731F" w14:textId="77777777" w:rsidR="007F333D" w:rsidRDefault="007F333D" w:rsidP="007F333D">
      <w:pPr>
        <w:spacing w:line="480" w:lineRule="auto"/>
        <w:ind w:firstLine="900"/>
        <w:jc w:val="both"/>
      </w:pPr>
      <w:r>
        <w:rPr>
          <w:noProof/>
        </w:rPr>
        <w:drawing>
          <wp:inline distT="0" distB="0" distL="0" distR="0" wp14:anchorId="497812CC" wp14:editId="1E7600BE">
            <wp:extent cx="5029200" cy="3657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EE82A3A" w14:textId="77777777" w:rsidR="007F333D" w:rsidRDefault="007F333D" w:rsidP="007F333D">
      <w:pPr>
        <w:jc w:val="center"/>
        <w:rPr>
          <w:b/>
        </w:rPr>
      </w:pPr>
      <w:r>
        <w:rPr>
          <w:b/>
        </w:rPr>
        <w:t>Figure 6</w:t>
      </w:r>
    </w:p>
    <w:p w14:paraId="6BA8D539" w14:textId="77777777" w:rsidR="007F333D" w:rsidRPr="00D34A5C" w:rsidRDefault="007F333D" w:rsidP="007F333D">
      <w:pPr>
        <w:jc w:val="center"/>
        <w:rPr>
          <w:b/>
        </w:rPr>
      </w:pPr>
    </w:p>
    <w:p w14:paraId="4708E9F6" w14:textId="77777777" w:rsidR="007F333D" w:rsidRDefault="007F333D" w:rsidP="007F333D">
      <w:pPr>
        <w:spacing w:line="480" w:lineRule="auto"/>
        <w:ind w:firstLine="990"/>
        <w:jc w:val="both"/>
      </w:pPr>
      <w:r>
        <w:rPr>
          <w:noProof/>
        </w:rPr>
        <w:drawing>
          <wp:inline distT="0" distB="0" distL="0" distR="0" wp14:anchorId="30072A54" wp14:editId="1DEF9FED">
            <wp:extent cx="5029200" cy="36576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C045EC1" w14:textId="77777777" w:rsidR="007F333D" w:rsidRDefault="007F333D" w:rsidP="007F333D">
      <w:pPr>
        <w:jc w:val="center"/>
        <w:rPr>
          <w:b/>
        </w:rPr>
      </w:pPr>
      <w:r>
        <w:rPr>
          <w:b/>
        </w:rPr>
        <w:lastRenderedPageBreak/>
        <w:t>Figure 7</w:t>
      </w:r>
    </w:p>
    <w:p w14:paraId="0EB3EA88" w14:textId="77777777" w:rsidR="007F333D" w:rsidRPr="006E5E97" w:rsidRDefault="007F333D" w:rsidP="007F333D">
      <w:pPr>
        <w:jc w:val="center"/>
        <w:rPr>
          <w:b/>
        </w:rPr>
      </w:pPr>
    </w:p>
    <w:p w14:paraId="273923C6" w14:textId="77777777" w:rsidR="007F333D" w:rsidRDefault="007F333D" w:rsidP="007F333D">
      <w:pPr>
        <w:spacing w:line="480" w:lineRule="auto"/>
        <w:ind w:firstLine="900"/>
        <w:jc w:val="both"/>
      </w:pPr>
      <w:r>
        <w:rPr>
          <w:noProof/>
        </w:rPr>
        <w:drawing>
          <wp:inline distT="0" distB="0" distL="0" distR="0" wp14:anchorId="0CD6FE8C" wp14:editId="2EF00439">
            <wp:extent cx="5029200" cy="36576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61E1787" w14:textId="77777777" w:rsidR="007F333D" w:rsidRDefault="007F333D" w:rsidP="007F333D">
      <w:pPr>
        <w:spacing w:line="480" w:lineRule="auto"/>
        <w:ind w:firstLine="900"/>
        <w:jc w:val="center"/>
        <w:rPr>
          <w:b/>
        </w:rPr>
      </w:pPr>
      <w:r>
        <w:rPr>
          <w:b/>
        </w:rPr>
        <w:t>Figure 8</w:t>
      </w:r>
    </w:p>
    <w:p w14:paraId="5B798383" w14:textId="77777777" w:rsidR="007F333D" w:rsidRDefault="007F333D" w:rsidP="007F333D">
      <w:pPr>
        <w:spacing w:line="480" w:lineRule="auto"/>
        <w:ind w:firstLine="900"/>
        <w:rPr>
          <w:b/>
        </w:rPr>
      </w:pPr>
      <w:r>
        <w:rPr>
          <w:b/>
          <w:noProof/>
        </w:rPr>
        <w:drawing>
          <wp:inline distT="0" distB="0" distL="0" distR="0" wp14:anchorId="48DEBD7F" wp14:editId="24189338">
            <wp:extent cx="5029200" cy="36576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14BB4B4" w14:textId="77777777" w:rsidR="002F5D47" w:rsidRDefault="002F5D47" w:rsidP="002F5D47">
      <w:pPr>
        <w:spacing w:line="480" w:lineRule="auto"/>
        <w:ind w:firstLine="360"/>
        <w:jc w:val="both"/>
      </w:pPr>
    </w:p>
    <w:p w14:paraId="5DD49C44" w14:textId="77777777" w:rsidR="007F333D" w:rsidRDefault="007F333D" w:rsidP="002F5D47">
      <w:pPr>
        <w:spacing w:line="480" w:lineRule="auto"/>
        <w:ind w:firstLine="360"/>
        <w:jc w:val="both"/>
      </w:pPr>
    </w:p>
    <w:p w14:paraId="407BBD23" w14:textId="77777777" w:rsidR="007F333D" w:rsidRDefault="007F333D" w:rsidP="002F5D47">
      <w:pPr>
        <w:spacing w:line="480" w:lineRule="auto"/>
        <w:ind w:firstLine="360"/>
        <w:jc w:val="both"/>
      </w:pPr>
    </w:p>
    <w:p w14:paraId="6613B8C9" w14:textId="77777777" w:rsidR="007F333D" w:rsidRDefault="007F333D" w:rsidP="002F5D47">
      <w:pPr>
        <w:spacing w:line="480" w:lineRule="auto"/>
        <w:ind w:firstLine="360"/>
        <w:jc w:val="both"/>
      </w:pPr>
    </w:p>
    <w:p w14:paraId="1DA4E564" w14:textId="77777777" w:rsidR="007F333D" w:rsidRDefault="007F333D" w:rsidP="002F5D47">
      <w:pPr>
        <w:spacing w:line="480" w:lineRule="auto"/>
        <w:ind w:firstLine="360"/>
        <w:jc w:val="both"/>
      </w:pPr>
    </w:p>
    <w:p w14:paraId="5A00F628" w14:textId="77777777" w:rsidR="007F333D" w:rsidRDefault="007F333D" w:rsidP="002F5D47">
      <w:pPr>
        <w:spacing w:line="480" w:lineRule="auto"/>
        <w:ind w:firstLine="360"/>
        <w:jc w:val="both"/>
      </w:pPr>
    </w:p>
    <w:p w14:paraId="71F04BA6" w14:textId="77777777" w:rsidR="007F333D" w:rsidRDefault="007F333D" w:rsidP="002F5D47">
      <w:pPr>
        <w:spacing w:line="480" w:lineRule="auto"/>
        <w:ind w:firstLine="360"/>
        <w:jc w:val="both"/>
      </w:pPr>
    </w:p>
    <w:p w14:paraId="2A930775" w14:textId="77777777" w:rsidR="007F333D" w:rsidRDefault="007F333D" w:rsidP="002F5D47">
      <w:pPr>
        <w:spacing w:line="480" w:lineRule="auto"/>
        <w:ind w:firstLine="360"/>
        <w:jc w:val="both"/>
      </w:pPr>
    </w:p>
    <w:p w14:paraId="6591D98F" w14:textId="77777777" w:rsidR="007F333D" w:rsidRDefault="007F333D" w:rsidP="002F5D47">
      <w:pPr>
        <w:spacing w:line="480" w:lineRule="auto"/>
        <w:ind w:firstLine="360"/>
        <w:jc w:val="both"/>
      </w:pPr>
    </w:p>
    <w:p w14:paraId="27543CC9" w14:textId="77777777" w:rsidR="007F333D" w:rsidRDefault="007F333D" w:rsidP="002F5D47">
      <w:pPr>
        <w:spacing w:line="480" w:lineRule="auto"/>
        <w:ind w:firstLine="360"/>
        <w:jc w:val="both"/>
      </w:pPr>
    </w:p>
    <w:p w14:paraId="65ACABD5" w14:textId="77777777" w:rsidR="007F333D" w:rsidRDefault="007F333D" w:rsidP="002F5D47">
      <w:pPr>
        <w:spacing w:line="480" w:lineRule="auto"/>
        <w:ind w:firstLine="360"/>
        <w:jc w:val="both"/>
      </w:pPr>
    </w:p>
    <w:tbl>
      <w:tblPr>
        <w:tblpPr w:leftFromText="180" w:rightFromText="180" w:vertAnchor="text" w:horzAnchor="margin" w:tblpY="68"/>
        <w:tblW w:w="9400" w:type="dxa"/>
        <w:tblLook w:val="04A0" w:firstRow="1" w:lastRow="0" w:firstColumn="1" w:lastColumn="0" w:noHBand="0" w:noVBand="1"/>
      </w:tblPr>
      <w:tblGrid>
        <w:gridCol w:w="1728"/>
        <w:gridCol w:w="5940"/>
        <w:gridCol w:w="1732"/>
      </w:tblGrid>
      <w:tr w:rsidR="002F5D47" w:rsidRPr="009A4BEE" w14:paraId="0F4613E7" w14:textId="77777777" w:rsidTr="00C04359">
        <w:trPr>
          <w:trHeight w:val="600"/>
        </w:trPr>
        <w:tc>
          <w:tcPr>
            <w:tcW w:w="9400" w:type="dxa"/>
            <w:gridSpan w:val="3"/>
            <w:tcBorders>
              <w:bottom w:val="single" w:sz="4" w:space="0" w:color="auto"/>
            </w:tcBorders>
            <w:shd w:val="clear" w:color="auto" w:fill="auto"/>
            <w:vAlign w:val="center"/>
            <w:hideMark/>
          </w:tcPr>
          <w:p w14:paraId="50600900" w14:textId="77777777" w:rsidR="002F5D47" w:rsidRPr="000701CF" w:rsidRDefault="002F5D47" w:rsidP="00C04359">
            <w:pPr>
              <w:jc w:val="center"/>
              <w:rPr>
                <w:rFonts w:eastAsia="Times New Roman" w:cs="Times New Roman"/>
                <w:b/>
                <w:bCs/>
                <w:color w:val="000000"/>
              </w:rPr>
            </w:pPr>
            <w:r w:rsidRPr="000701CF">
              <w:rPr>
                <w:rFonts w:eastAsia="Times New Roman" w:cs="Times New Roman"/>
                <w:b/>
                <w:bCs/>
                <w:color w:val="000000"/>
              </w:rPr>
              <w:t>Table 1</w:t>
            </w:r>
            <w:r w:rsidRPr="000701CF">
              <w:rPr>
                <w:rFonts w:eastAsia="Times New Roman" w:cs="Times New Roman"/>
                <w:b/>
                <w:bCs/>
                <w:color w:val="000000"/>
              </w:rPr>
              <w:br/>
              <w:t>Description of Variables</w:t>
            </w:r>
          </w:p>
        </w:tc>
      </w:tr>
      <w:tr w:rsidR="002F5D47" w:rsidRPr="009A4BEE" w14:paraId="6E3D1873" w14:textId="77777777" w:rsidTr="00C04359">
        <w:trPr>
          <w:trHeight w:val="300"/>
        </w:trPr>
        <w:tc>
          <w:tcPr>
            <w:tcW w:w="172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764E20" w14:textId="77777777" w:rsidR="002F5D47" w:rsidRPr="009A4BEE" w:rsidRDefault="002F5D47" w:rsidP="00C04359">
            <w:pPr>
              <w:jc w:val="center"/>
              <w:rPr>
                <w:rFonts w:ascii="Calibri" w:eastAsia="Times New Roman" w:hAnsi="Calibri" w:cs="Times New Roman"/>
                <w:b/>
                <w:bCs/>
                <w:color w:val="000000"/>
                <w:sz w:val="22"/>
                <w:szCs w:val="22"/>
              </w:rPr>
            </w:pPr>
            <w:r w:rsidRPr="009A4BEE">
              <w:rPr>
                <w:rFonts w:ascii="Calibri" w:eastAsia="Times New Roman" w:hAnsi="Calibri" w:cs="Times New Roman"/>
                <w:b/>
                <w:bCs/>
                <w:color w:val="000000"/>
                <w:sz w:val="22"/>
                <w:szCs w:val="22"/>
              </w:rPr>
              <w:t>Variable</w:t>
            </w:r>
          </w:p>
        </w:tc>
        <w:tc>
          <w:tcPr>
            <w:tcW w:w="5940" w:type="dxa"/>
            <w:tcBorders>
              <w:top w:val="single" w:sz="4" w:space="0" w:color="auto"/>
              <w:left w:val="nil"/>
              <w:bottom w:val="single" w:sz="4" w:space="0" w:color="auto"/>
              <w:right w:val="single" w:sz="4" w:space="0" w:color="auto"/>
            </w:tcBorders>
            <w:shd w:val="clear" w:color="auto" w:fill="auto"/>
            <w:noWrap/>
            <w:vAlign w:val="center"/>
            <w:hideMark/>
          </w:tcPr>
          <w:p w14:paraId="6B9FE6DB" w14:textId="77777777" w:rsidR="002F5D47" w:rsidRPr="009A4BEE" w:rsidRDefault="002F5D47" w:rsidP="00C04359">
            <w:pPr>
              <w:jc w:val="center"/>
              <w:rPr>
                <w:rFonts w:ascii="Calibri" w:eastAsia="Times New Roman" w:hAnsi="Calibri" w:cs="Times New Roman"/>
                <w:b/>
                <w:bCs/>
                <w:color w:val="000000"/>
                <w:sz w:val="22"/>
                <w:szCs w:val="22"/>
              </w:rPr>
            </w:pPr>
            <w:r w:rsidRPr="009A4BEE">
              <w:rPr>
                <w:rFonts w:ascii="Calibri" w:eastAsia="Times New Roman" w:hAnsi="Calibri" w:cs="Times New Roman"/>
                <w:b/>
                <w:bCs/>
                <w:color w:val="000000"/>
                <w:sz w:val="22"/>
                <w:szCs w:val="22"/>
              </w:rPr>
              <w:t>Definition</w:t>
            </w:r>
          </w:p>
        </w:tc>
        <w:tc>
          <w:tcPr>
            <w:tcW w:w="1732" w:type="dxa"/>
            <w:tcBorders>
              <w:top w:val="single" w:sz="4" w:space="0" w:color="auto"/>
              <w:left w:val="nil"/>
              <w:bottom w:val="single" w:sz="4" w:space="0" w:color="auto"/>
              <w:right w:val="single" w:sz="8" w:space="0" w:color="auto"/>
            </w:tcBorders>
            <w:shd w:val="clear" w:color="auto" w:fill="auto"/>
            <w:noWrap/>
            <w:vAlign w:val="center"/>
            <w:hideMark/>
          </w:tcPr>
          <w:p w14:paraId="70685977" w14:textId="77777777" w:rsidR="002F5D47" w:rsidRPr="009A4BEE" w:rsidRDefault="002F5D47" w:rsidP="00C04359">
            <w:pPr>
              <w:jc w:val="center"/>
              <w:rPr>
                <w:rFonts w:ascii="Calibri" w:eastAsia="Times New Roman" w:hAnsi="Calibri" w:cs="Times New Roman"/>
                <w:b/>
                <w:bCs/>
                <w:color w:val="000000"/>
                <w:sz w:val="22"/>
                <w:szCs w:val="22"/>
              </w:rPr>
            </w:pPr>
            <w:r w:rsidRPr="009A4BEE">
              <w:rPr>
                <w:rFonts w:ascii="Calibri" w:eastAsia="Times New Roman" w:hAnsi="Calibri" w:cs="Times New Roman"/>
                <w:b/>
                <w:bCs/>
                <w:color w:val="000000"/>
                <w:sz w:val="22"/>
                <w:szCs w:val="22"/>
              </w:rPr>
              <w:t>Unit</w:t>
            </w:r>
          </w:p>
        </w:tc>
      </w:tr>
      <w:tr w:rsidR="002F5D47" w:rsidRPr="009A4BEE" w14:paraId="647F6E00" w14:textId="77777777" w:rsidTr="00C04359">
        <w:trPr>
          <w:trHeight w:val="600"/>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38DFD51C"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CO</w:t>
            </w:r>
          </w:p>
        </w:tc>
        <w:tc>
          <w:tcPr>
            <w:tcW w:w="5940" w:type="dxa"/>
            <w:tcBorders>
              <w:top w:val="nil"/>
              <w:left w:val="nil"/>
              <w:bottom w:val="single" w:sz="4" w:space="0" w:color="auto"/>
              <w:right w:val="single" w:sz="4" w:space="0" w:color="auto"/>
            </w:tcBorders>
            <w:shd w:val="clear" w:color="auto" w:fill="auto"/>
            <w:vAlign w:val="center"/>
            <w:hideMark/>
          </w:tcPr>
          <w:p w14:paraId="7DFF6B36" w14:textId="4B64EDD2" w:rsidR="002F5D47" w:rsidRPr="009A4BEE" w:rsidRDefault="003C12FC" w:rsidP="00C04359">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The mean carbon m</w:t>
            </w:r>
            <w:r w:rsidR="002F5D47" w:rsidRPr="009A4BEE">
              <w:rPr>
                <w:rFonts w:ascii="Calibri" w:eastAsia="Times New Roman" w:hAnsi="Calibri" w:cs="Times New Roman"/>
                <w:color w:val="000000"/>
                <w:sz w:val="22"/>
                <w:szCs w:val="22"/>
              </w:rPr>
              <w:t>onoxide level for a given week-monitor observation</w:t>
            </w:r>
          </w:p>
        </w:tc>
        <w:tc>
          <w:tcPr>
            <w:tcW w:w="1732" w:type="dxa"/>
            <w:tcBorders>
              <w:top w:val="nil"/>
              <w:left w:val="nil"/>
              <w:bottom w:val="single" w:sz="4" w:space="0" w:color="auto"/>
              <w:right w:val="single" w:sz="8" w:space="0" w:color="auto"/>
            </w:tcBorders>
            <w:shd w:val="clear" w:color="auto" w:fill="auto"/>
            <w:noWrap/>
            <w:vAlign w:val="center"/>
            <w:hideMark/>
          </w:tcPr>
          <w:p w14:paraId="4AC0E0DD"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Parts per million</w:t>
            </w:r>
          </w:p>
        </w:tc>
      </w:tr>
      <w:tr w:rsidR="002F5D47" w:rsidRPr="009A4BEE" w14:paraId="0C35C893" w14:textId="77777777" w:rsidTr="00C04359">
        <w:trPr>
          <w:trHeight w:val="600"/>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07ABEF8A"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NO</w:t>
            </w:r>
            <w:r w:rsidRPr="009A4BEE">
              <w:rPr>
                <w:rFonts w:ascii="Calibri" w:eastAsia="Times New Roman" w:hAnsi="Calibri" w:cs="Times New Roman"/>
                <w:color w:val="000000"/>
                <w:sz w:val="22"/>
                <w:szCs w:val="22"/>
                <w:vertAlign w:val="subscript"/>
              </w:rPr>
              <w:t>2</w:t>
            </w:r>
          </w:p>
        </w:tc>
        <w:tc>
          <w:tcPr>
            <w:tcW w:w="5940" w:type="dxa"/>
            <w:tcBorders>
              <w:top w:val="nil"/>
              <w:left w:val="nil"/>
              <w:bottom w:val="single" w:sz="4" w:space="0" w:color="auto"/>
              <w:right w:val="single" w:sz="4" w:space="0" w:color="auto"/>
            </w:tcBorders>
            <w:shd w:val="clear" w:color="auto" w:fill="auto"/>
            <w:vAlign w:val="center"/>
            <w:hideMark/>
          </w:tcPr>
          <w:p w14:paraId="6A112612" w14:textId="73E4B35A" w:rsidR="002F5D47" w:rsidRPr="009A4BEE" w:rsidRDefault="00CF6DB7" w:rsidP="00C04359">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The mean nitrogen d</w:t>
            </w:r>
            <w:r w:rsidR="002F5D47" w:rsidRPr="009A4BEE">
              <w:rPr>
                <w:rFonts w:ascii="Calibri" w:eastAsia="Times New Roman" w:hAnsi="Calibri" w:cs="Times New Roman"/>
                <w:color w:val="000000"/>
                <w:sz w:val="22"/>
                <w:szCs w:val="22"/>
              </w:rPr>
              <w:t>ioxide level for a given week-monitor observation</w:t>
            </w:r>
          </w:p>
        </w:tc>
        <w:tc>
          <w:tcPr>
            <w:tcW w:w="1732" w:type="dxa"/>
            <w:tcBorders>
              <w:top w:val="nil"/>
              <w:left w:val="nil"/>
              <w:bottom w:val="single" w:sz="4" w:space="0" w:color="auto"/>
              <w:right w:val="single" w:sz="8" w:space="0" w:color="auto"/>
            </w:tcBorders>
            <w:shd w:val="clear" w:color="auto" w:fill="auto"/>
            <w:noWrap/>
            <w:vAlign w:val="center"/>
            <w:hideMark/>
          </w:tcPr>
          <w:p w14:paraId="2EEE6F6F"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Parts per billion</w:t>
            </w:r>
          </w:p>
        </w:tc>
      </w:tr>
      <w:tr w:rsidR="002F5D47" w:rsidRPr="009A4BEE" w14:paraId="61924D83" w14:textId="77777777" w:rsidTr="00C04359">
        <w:trPr>
          <w:trHeight w:val="600"/>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065C5B50"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NO</w:t>
            </w:r>
            <w:r w:rsidRPr="009A4BEE">
              <w:rPr>
                <w:rFonts w:ascii="Calibri" w:eastAsia="Times New Roman" w:hAnsi="Calibri" w:cs="Times New Roman"/>
                <w:color w:val="000000"/>
                <w:sz w:val="22"/>
                <w:szCs w:val="22"/>
                <w:vertAlign w:val="subscript"/>
              </w:rPr>
              <w:t>x</w:t>
            </w:r>
          </w:p>
        </w:tc>
        <w:tc>
          <w:tcPr>
            <w:tcW w:w="5940" w:type="dxa"/>
            <w:tcBorders>
              <w:top w:val="nil"/>
              <w:left w:val="nil"/>
              <w:bottom w:val="single" w:sz="4" w:space="0" w:color="auto"/>
              <w:right w:val="single" w:sz="4" w:space="0" w:color="auto"/>
            </w:tcBorders>
            <w:shd w:val="clear" w:color="auto" w:fill="auto"/>
            <w:vAlign w:val="center"/>
            <w:hideMark/>
          </w:tcPr>
          <w:p w14:paraId="2027D079" w14:textId="0D5D092A"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The</w:t>
            </w:r>
            <w:r w:rsidR="00CF6DB7">
              <w:rPr>
                <w:rFonts w:ascii="Calibri" w:eastAsia="Times New Roman" w:hAnsi="Calibri" w:cs="Times New Roman"/>
                <w:color w:val="000000"/>
                <w:sz w:val="22"/>
                <w:szCs w:val="22"/>
              </w:rPr>
              <w:t xml:space="preserve"> mean nitrogen o</w:t>
            </w:r>
            <w:r w:rsidRPr="009A4BEE">
              <w:rPr>
                <w:rFonts w:ascii="Calibri" w:eastAsia="Times New Roman" w:hAnsi="Calibri" w:cs="Times New Roman"/>
                <w:color w:val="000000"/>
                <w:sz w:val="22"/>
                <w:szCs w:val="22"/>
              </w:rPr>
              <w:t>xide level for a given week-monitor observation</w:t>
            </w:r>
          </w:p>
        </w:tc>
        <w:tc>
          <w:tcPr>
            <w:tcW w:w="1732" w:type="dxa"/>
            <w:tcBorders>
              <w:top w:val="nil"/>
              <w:left w:val="nil"/>
              <w:bottom w:val="single" w:sz="4" w:space="0" w:color="auto"/>
              <w:right w:val="single" w:sz="8" w:space="0" w:color="auto"/>
            </w:tcBorders>
            <w:shd w:val="clear" w:color="auto" w:fill="auto"/>
            <w:noWrap/>
            <w:vAlign w:val="center"/>
            <w:hideMark/>
          </w:tcPr>
          <w:p w14:paraId="32758594"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Parts per billion</w:t>
            </w:r>
          </w:p>
        </w:tc>
      </w:tr>
      <w:tr w:rsidR="002F5D47" w:rsidRPr="009A4BEE" w14:paraId="3E587FA1" w14:textId="77777777" w:rsidTr="00C04359">
        <w:trPr>
          <w:trHeight w:val="600"/>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44B4971F"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O</w:t>
            </w:r>
            <w:r w:rsidRPr="009A4BEE">
              <w:rPr>
                <w:rFonts w:ascii="Calibri" w:eastAsia="Times New Roman" w:hAnsi="Calibri" w:cs="Times New Roman"/>
                <w:color w:val="000000"/>
                <w:sz w:val="22"/>
                <w:szCs w:val="22"/>
                <w:vertAlign w:val="subscript"/>
              </w:rPr>
              <w:t>3</w:t>
            </w:r>
          </w:p>
        </w:tc>
        <w:tc>
          <w:tcPr>
            <w:tcW w:w="5940" w:type="dxa"/>
            <w:tcBorders>
              <w:top w:val="nil"/>
              <w:left w:val="nil"/>
              <w:bottom w:val="single" w:sz="4" w:space="0" w:color="auto"/>
              <w:right w:val="single" w:sz="4" w:space="0" w:color="auto"/>
            </w:tcBorders>
            <w:shd w:val="clear" w:color="auto" w:fill="auto"/>
            <w:vAlign w:val="center"/>
            <w:hideMark/>
          </w:tcPr>
          <w:p w14:paraId="5F1655C1" w14:textId="2657C1C6" w:rsidR="002F5D47" w:rsidRPr="009A4BEE" w:rsidRDefault="00CF6DB7" w:rsidP="00C04359">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The mean ground o</w:t>
            </w:r>
            <w:r w:rsidR="002F5D47" w:rsidRPr="009A4BEE">
              <w:rPr>
                <w:rFonts w:ascii="Calibri" w:eastAsia="Times New Roman" w:hAnsi="Calibri" w:cs="Times New Roman"/>
                <w:color w:val="000000"/>
                <w:sz w:val="22"/>
                <w:szCs w:val="22"/>
              </w:rPr>
              <w:t>zone level for a given week-monitor observation</w:t>
            </w:r>
          </w:p>
        </w:tc>
        <w:tc>
          <w:tcPr>
            <w:tcW w:w="1732" w:type="dxa"/>
            <w:tcBorders>
              <w:top w:val="nil"/>
              <w:left w:val="nil"/>
              <w:bottom w:val="single" w:sz="4" w:space="0" w:color="auto"/>
              <w:right w:val="single" w:sz="8" w:space="0" w:color="auto"/>
            </w:tcBorders>
            <w:shd w:val="clear" w:color="auto" w:fill="auto"/>
            <w:noWrap/>
            <w:vAlign w:val="center"/>
            <w:hideMark/>
          </w:tcPr>
          <w:p w14:paraId="76E4B09D"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Parts per million</w:t>
            </w:r>
          </w:p>
        </w:tc>
      </w:tr>
      <w:tr w:rsidR="002F5D47" w:rsidRPr="009A4BEE" w14:paraId="4651BC1B" w14:textId="77777777" w:rsidTr="00C04359">
        <w:trPr>
          <w:trHeight w:val="410"/>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6425226C"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Wind Speed</w:t>
            </w:r>
          </w:p>
        </w:tc>
        <w:tc>
          <w:tcPr>
            <w:tcW w:w="5940" w:type="dxa"/>
            <w:tcBorders>
              <w:top w:val="nil"/>
              <w:left w:val="nil"/>
              <w:bottom w:val="single" w:sz="4" w:space="0" w:color="auto"/>
              <w:right w:val="single" w:sz="4" w:space="0" w:color="auto"/>
            </w:tcBorders>
            <w:shd w:val="clear" w:color="auto" w:fill="auto"/>
            <w:vAlign w:val="center"/>
            <w:hideMark/>
          </w:tcPr>
          <w:p w14:paraId="7FA66864"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The mean wind speed for a given week-monitor observation</w:t>
            </w:r>
          </w:p>
        </w:tc>
        <w:tc>
          <w:tcPr>
            <w:tcW w:w="1732" w:type="dxa"/>
            <w:tcBorders>
              <w:top w:val="nil"/>
              <w:left w:val="nil"/>
              <w:bottom w:val="single" w:sz="4" w:space="0" w:color="auto"/>
              <w:right w:val="single" w:sz="8" w:space="0" w:color="auto"/>
            </w:tcBorders>
            <w:shd w:val="clear" w:color="auto" w:fill="auto"/>
            <w:noWrap/>
            <w:vAlign w:val="center"/>
            <w:hideMark/>
          </w:tcPr>
          <w:p w14:paraId="2DFFB865"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Knots</w:t>
            </w:r>
          </w:p>
        </w:tc>
      </w:tr>
      <w:tr w:rsidR="002F5D47" w:rsidRPr="009A4BEE" w14:paraId="19D34770" w14:textId="77777777" w:rsidTr="00C04359">
        <w:trPr>
          <w:trHeight w:val="880"/>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48AA213D"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Week</w:t>
            </w:r>
          </w:p>
        </w:tc>
        <w:tc>
          <w:tcPr>
            <w:tcW w:w="5940" w:type="dxa"/>
            <w:tcBorders>
              <w:top w:val="nil"/>
              <w:left w:val="nil"/>
              <w:bottom w:val="single" w:sz="4" w:space="0" w:color="auto"/>
              <w:right w:val="single" w:sz="4" w:space="0" w:color="auto"/>
            </w:tcBorders>
            <w:shd w:val="clear" w:color="auto" w:fill="auto"/>
            <w:vAlign w:val="center"/>
            <w:hideMark/>
          </w:tcPr>
          <w:p w14:paraId="41C9FB4D"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 xml:space="preserve">A time variable that aggregates data to </w:t>
            </w:r>
            <w:r>
              <w:rPr>
                <w:rFonts w:ascii="Calibri" w:eastAsia="Times New Roman" w:hAnsi="Calibri" w:cs="Times New Roman"/>
                <w:color w:val="000000"/>
                <w:sz w:val="22"/>
                <w:szCs w:val="22"/>
              </w:rPr>
              <w:t>five</w:t>
            </w:r>
            <w:r w:rsidRPr="009A4BEE">
              <w:rPr>
                <w:rFonts w:ascii="Calibri" w:eastAsia="Times New Roman" w:hAnsi="Calibri" w:cs="Times New Roman"/>
                <w:color w:val="000000"/>
                <w:sz w:val="22"/>
                <w:szCs w:val="22"/>
              </w:rPr>
              <w:t>-day periods, normalized to have the first day of the strike as the beginning of a "week" period. The first week o</w:t>
            </w:r>
            <w:r>
              <w:rPr>
                <w:rFonts w:ascii="Calibri" w:eastAsia="Times New Roman" w:hAnsi="Calibri" w:cs="Times New Roman"/>
                <w:color w:val="000000"/>
                <w:sz w:val="22"/>
                <w:szCs w:val="22"/>
              </w:rPr>
              <w:t>f the strike is normalized to 0</w:t>
            </w:r>
          </w:p>
        </w:tc>
        <w:tc>
          <w:tcPr>
            <w:tcW w:w="1732" w:type="dxa"/>
            <w:tcBorders>
              <w:top w:val="nil"/>
              <w:left w:val="nil"/>
              <w:bottom w:val="single" w:sz="4" w:space="0" w:color="auto"/>
              <w:right w:val="single" w:sz="8" w:space="0" w:color="auto"/>
            </w:tcBorders>
            <w:shd w:val="clear" w:color="auto" w:fill="auto"/>
            <w:noWrap/>
            <w:vAlign w:val="center"/>
            <w:hideMark/>
          </w:tcPr>
          <w:p w14:paraId="7CBA8027"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Integers</w:t>
            </w:r>
          </w:p>
        </w:tc>
      </w:tr>
      <w:tr w:rsidR="002F5D47" w:rsidRPr="009A4BEE" w14:paraId="0B1BDC12" w14:textId="77777777" w:rsidTr="00C04359">
        <w:trPr>
          <w:trHeight w:val="617"/>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5968637C"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Strike</w:t>
            </w:r>
          </w:p>
        </w:tc>
        <w:tc>
          <w:tcPr>
            <w:tcW w:w="5940" w:type="dxa"/>
            <w:tcBorders>
              <w:top w:val="nil"/>
              <w:left w:val="nil"/>
              <w:bottom w:val="single" w:sz="4" w:space="0" w:color="auto"/>
              <w:right w:val="single" w:sz="4" w:space="0" w:color="auto"/>
            </w:tcBorders>
            <w:shd w:val="clear" w:color="auto" w:fill="auto"/>
            <w:vAlign w:val="center"/>
            <w:hideMark/>
          </w:tcPr>
          <w:p w14:paraId="14BD770C" w14:textId="0F65AC3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A binary variable that equals 1 if a monitor week observation is</w:t>
            </w:r>
            <w:r w:rsidR="0073227F">
              <w:rPr>
                <w:rFonts w:ascii="Calibri" w:eastAsia="Times New Roman" w:hAnsi="Calibri" w:cs="Times New Roman"/>
                <w:color w:val="000000"/>
                <w:sz w:val="22"/>
                <w:szCs w:val="22"/>
              </w:rPr>
              <w:t xml:space="preserve"> during the strike, October 14 </w:t>
            </w:r>
            <w:r w:rsidRPr="009A4BEE">
              <w:rPr>
                <w:rFonts w:ascii="Calibri" w:eastAsia="Times New Roman" w:hAnsi="Calibri" w:cs="Times New Roman"/>
                <w:color w:val="000000"/>
                <w:sz w:val="22"/>
                <w:szCs w:val="22"/>
              </w:rPr>
              <w:t>- November 18, 2003.</w:t>
            </w:r>
          </w:p>
        </w:tc>
        <w:tc>
          <w:tcPr>
            <w:tcW w:w="1732" w:type="dxa"/>
            <w:tcBorders>
              <w:top w:val="nil"/>
              <w:left w:val="nil"/>
              <w:bottom w:val="single" w:sz="4" w:space="0" w:color="auto"/>
              <w:right w:val="single" w:sz="8" w:space="0" w:color="auto"/>
            </w:tcBorders>
            <w:shd w:val="clear" w:color="auto" w:fill="auto"/>
            <w:noWrap/>
            <w:vAlign w:val="center"/>
            <w:hideMark/>
          </w:tcPr>
          <w:p w14:paraId="438CC985"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Binary</w:t>
            </w:r>
          </w:p>
        </w:tc>
      </w:tr>
      <w:tr w:rsidR="002F5D47" w:rsidRPr="009A4BEE" w14:paraId="01994ECA" w14:textId="77777777" w:rsidTr="00C04359">
        <w:trPr>
          <w:trHeight w:val="887"/>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46D64F78"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Treat</w:t>
            </w:r>
          </w:p>
        </w:tc>
        <w:tc>
          <w:tcPr>
            <w:tcW w:w="5940" w:type="dxa"/>
            <w:tcBorders>
              <w:top w:val="nil"/>
              <w:left w:val="nil"/>
              <w:bottom w:val="single" w:sz="4" w:space="0" w:color="auto"/>
              <w:right w:val="single" w:sz="4" w:space="0" w:color="auto"/>
            </w:tcBorders>
            <w:shd w:val="clear" w:color="auto" w:fill="auto"/>
            <w:vAlign w:val="center"/>
            <w:hideMark/>
          </w:tcPr>
          <w:p w14:paraId="26B37986"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A binary variable that equals 1 if a monitor week observation is in the Los Angeles air basin (The Lancaster monitor is excluded from the treated group).</w:t>
            </w:r>
          </w:p>
        </w:tc>
        <w:tc>
          <w:tcPr>
            <w:tcW w:w="1732" w:type="dxa"/>
            <w:tcBorders>
              <w:top w:val="nil"/>
              <w:left w:val="nil"/>
              <w:bottom w:val="single" w:sz="4" w:space="0" w:color="auto"/>
              <w:right w:val="single" w:sz="8" w:space="0" w:color="auto"/>
            </w:tcBorders>
            <w:shd w:val="clear" w:color="auto" w:fill="auto"/>
            <w:noWrap/>
            <w:vAlign w:val="center"/>
            <w:hideMark/>
          </w:tcPr>
          <w:p w14:paraId="4E49D5BB"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Binary</w:t>
            </w:r>
          </w:p>
        </w:tc>
      </w:tr>
      <w:tr w:rsidR="002F5D47" w:rsidRPr="009A4BEE" w14:paraId="7C79D881" w14:textId="77777777" w:rsidTr="00C04359">
        <w:trPr>
          <w:trHeight w:val="347"/>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7170456A" w14:textId="77777777" w:rsidR="002F5D47" w:rsidRPr="009A4BEE" w:rsidRDefault="002F5D47" w:rsidP="00C04359">
            <w:pPr>
              <w:rPr>
                <w:rFonts w:ascii="Calibri" w:eastAsia="Times New Roman" w:hAnsi="Calibri" w:cs="Times New Roman"/>
                <w:color w:val="000000"/>
              </w:rPr>
            </w:pPr>
            <w:r w:rsidRPr="009A4BEE">
              <w:rPr>
                <w:rFonts w:ascii="Calibri" w:eastAsia="Times New Roman" w:hAnsi="Calibri" w:cs="Times New Roman"/>
                <w:color w:val="000000"/>
              </w:rPr>
              <w:t>Strike × Treat</w:t>
            </w:r>
          </w:p>
        </w:tc>
        <w:tc>
          <w:tcPr>
            <w:tcW w:w="5940" w:type="dxa"/>
            <w:tcBorders>
              <w:top w:val="nil"/>
              <w:left w:val="nil"/>
              <w:bottom w:val="single" w:sz="4" w:space="0" w:color="auto"/>
              <w:right w:val="single" w:sz="4" w:space="0" w:color="auto"/>
            </w:tcBorders>
            <w:shd w:val="clear" w:color="auto" w:fill="auto"/>
            <w:vAlign w:val="center"/>
            <w:hideMark/>
          </w:tcPr>
          <w:p w14:paraId="7B23EFE3"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A binary variable that is the interaction of Strike and Treat</w:t>
            </w:r>
          </w:p>
        </w:tc>
        <w:tc>
          <w:tcPr>
            <w:tcW w:w="1732" w:type="dxa"/>
            <w:tcBorders>
              <w:top w:val="nil"/>
              <w:left w:val="nil"/>
              <w:bottom w:val="single" w:sz="4" w:space="0" w:color="auto"/>
              <w:right w:val="single" w:sz="8" w:space="0" w:color="auto"/>
            </w:tcBorders>
            <w:shd w:val="clear" w:color="auto" w:fill="auto"/>
            <w:noWrap/>
            <w:vAlign w:val="center"/>
            <w:hideMark/>
          </w:tcPr>
          <w:p w14:paraId="2CB6D0ED"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Binary</w:t>
            </w:r>
          </w:p>
        </w:tc>
      </w:tr>
      <w:tr w:rsidR="002F5D47" w:rsidRPr="009A4BEE" w14:paraId="1CEA841B" w14:textId="77777777" w:rsidTr="00C04359">
        <w:trPr>
          <w:trHeight w:val="365"/>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6973C6D8" w14:textId="77777777" w:rsidR="002F5D47" w:rsidRPr="009A4BEE" w:rsidRDefault="002F5D47" w:rsidP="00C04359">
            <w:pPr>
              <w:rPr>
                <w:rFonts w:ascii="Calibri" w:eastAsia="Times New Roman" w:hAnsi="Calibri" w:cs="Times New Roman"/>
                <w:color w:val="000000"/>
              </w:rPr>
            </w:pPr>
            <w:r w:rsidRPr="009A4BEE">
              <w:rPr>
                <w:rFonts w:ascii="Calibri" w:eastAsia="Times New Roman" w:hAnsi="Calibri" w:cs="Times New Roman"/>
                <w:color w:val="000000"/>
              </w:rPr>
              <w:lastRenderedPageBreak/>
              <w:t>Strike × Week</w:t>
            </w:r>
          </w:p>
        </w:tc>
        <w:tc>
          <w:tcPr>
            <w:tcW w:w="5940" w:type="dxa"/>
            <w:tcBorders>
              <w:top w:val="nil"/>
              <w:left w:val="nil"/>
              <w:bottom w:val="single" w:sz="4" w:space="0" w:color="auto"/>
              <w:right w:val="single" w:sz="4" w:space="0" w:color="auto"/>
            </w:tcBorders>
            <w:shd w:val="clear" w:color="auto" w:fill="auto"/>
            <w:vAlign w:val="center"/>
            <w:hideMark/>
          </w:tcPr>
          <w:p w14:paraId="19A04196"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 xml:space="preserve">A time </w:t>
            </w:r>
            <w:r>
              <w:rPr>
                <w:rFonts w:ascii="Calibri" w:eastAsia="Times New Roman" w:hAnsi="Calibri" w:cs="Times New Roman"/>
                <w:color w:val="000000"/>
                <w:sz w:val="22"/>
                <w:szCs w:val="22"/>
              </w:rPr>
              <w:t xml:space="preserve">trend </w:t>
            </w:r>
            <w:r w:rsidRPr="009A4BEE">
              <w:rPr>
                <w:rFonts w:ascii="Calibri" w:eastAsia="Times New Roman" w:hAnsi="Calibri" w:cs="Times New Roman"/>
                <w:color w:val="000000"/>
                <w:sz w:val="22"/>
                <w:szCs w:val="22"/>
              </w:rPr>
              <w:t>variable that is the interaction of Strike and Week</w:t>
            </w:r>
          </w:p>
        </w:tc>
        <w:tc>
          <w:tcPr>
            <w:tcW w:w="1732" w:type="dxa"/>
            <w:tcBorders>
              <w:top w:val="nil"/>
              <w:left w:val="nil"/>
              <w:bottom w:val="single" w:sz="4" w:space="0" w:color="auto"/>
              <w:right w:val="single" w:sz="8" w:space="0" w:color="auto"/>
            </w:tcBorders>
            <w:shd w:val="clear" w:color="auto" w:fill="auto"/>
            <w:noWrap/>
            <w:vAlign w:val="center"/>
            <w:hideMark/>
          </w:tcPr>
          <w:p w14:paraId="3400C74C"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Integers</w:t>
            </w:r>
          </w:p>
        </w:tc>
      </w:tr>
      <w:tr w:rsidR="002F5D47" w:rsidRPr="009A4BEE" w14:paraId="28260E0E" w14:textId="77777777" w:rsidTr="00C04359">
        <w:trPr>
          <w:trHeight w:val="347"/>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6BDABCF3" w14:textId="77777777" w:rsidR="002F5D47" w:rsidRPr="009A4BEE" w:rsidRDefault="002F5D47" w:rsidP="00C04359">
            <w:pPr>
              <w:rPr>
                <w:rFonts w:ascii="Calibri" w:eastAsia="Times New Roman" w:hAnsi="Calibri" w:cs="Times New Roman"/>
                <w:color w:val="000000"/>
              </w:rPr>
            </w:pPr>
            <w:r w:rsidRPr="009A4BEE">
              <w:rPr>
                <w:rFonts w:ascii="Calibri" w:eastAsia="Times New Roman" w:hAnsi="Calibri" w:cs="Times New Roman"/>
                <w:color w:val="000000"/>
              </w:rPr>
              <w:t>Treat × Week</w:t>
            </w:r>
          </w:p>
        </w:tc>
        <w:tc>
          <w:tcPr>
            <w:tcW w:w="5940" w:type="dxa"/>
            <w:tcBorders>
              <w:top w:val="nil"/>
              <w:left w:val="nil"/>
              <w:bottom w:val="single" w:sz="4" w:space="0" w:color="auto"/>
              <w:right w:val="single" w:sz="4" w:space="0" w:color="auto"/>
            </w:tcBorders>
            <w:shd w:val="clear" w:color="auto" w:fill="auto"/>
            <w:vAlign w:val="center"/>
            <w:hideMark/>
          </w:tcPr>
          <w:p w14:paraId="418F9882"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A time</w:t>
            </w:r>
            <w:r>
              <w:rPr>
                <w:rFonts w:ascii="Calibri" w:eastAsia="Times New Roman" w:hAnsi="Calibri" w:cs="Times New Roman"/>
                <w:color w:val="000000"/>
                <w:sz w:val="22"/>
                <w:szCs w:val="22"/>
              </w:rPr>
              <w:t xml:space="preserve"> trend</w:t>
            </w:r>
            <w:r w:rsidRPr="009A4BEE">
              <w:rPr>
                <w:rFonts w:ascii="Calibri" w:eastAsia="Times New Roman" w:hAnsi="Calibri" w:cs="Times New Roman"/>
                <w:color w:val="000000"/>
                <w:sz w:val="22"/>
                <w:szCs w:val="22"/>
              </w:rPr>
              <w:t xml:space="preserve"> variable that is the interaction of Treat and Week</w:t>
            </w:r>
          </w:p>
        </w:tc>
        <w:tc>
          <w:tcPr>
            <w:tcW w:w="1732" w:type="dxa"/>
            <w:tcBorders>
              <w:top w:val="nil"/>
              <w:left w:val="nil"/>
              <w:bottom w:val="single" w:sz="4" w:space="0" w:color="auto"/>
              <w:right w:val="single" w:sz="8" w:space="0" w:color="auto"/>
            </w:tcBorders>
            <w:shd w:val="clear" w:color="auto" w:fill="auto"/>
            <w:noWrap/>
            <w:vAlign w:val="center"/>
            <w:hideMark/>
          </w:tcPr>
          <w:p w14:paraId="3CDA9229"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Integers</w:t>
            </w:r>
          </w:p>
        </w:tc>
      </w:tr>
      <w:tr w:rsidR="002F5D47" w:rsidRPr="009A4BEE" w14:paraId="2100CF62" w14:textId="77777777" w:rsidTr="00C04359">
        <w:trPr>
          <w:trHeight w:val="615"/>
        </w:trPr>
        <w:tc>
          <w:tcPr>
            <w:tcW w:w="1728" w:type="dxa"/>
            <w:tcBorders>
              <w:top w:val="nil"/>
              <w:left w:val="single" w:sz="8" w:space="0" w:color="auto"/>
              <w:bottom w:val="single" w:sz="8" w:space="0" w:color="auto"/>
              <w:right w:val="single" w:sz="4" w:space="0" w:color="auto"/>
            </w:tcBorders>
            <w:shd w:val="clear" w:color="auto" w:fill="auto"/>
            <w:noWrap/>
            <w:vAlign w:val="center"/>
            <w:hideMark/>
          </w:tcPr>
          <w:p w14:paraId="56F5FCC9" w14:textId="77777777" w:rsidR="002F5D47" w:rsidRPr="009A4BEE" w:rsidRDefault="002F5D47" w:rsidP="00C04359">
            <w:pPr>
              <w:rPr>
                <w:rFonts w:ascii="Calibri" w:eastAsia="Times New Roman" w:hAnsi="Calibri" w:cs="Times New Roman"/>
                <w:color w:val="000000"/>
              </w:rPr>
            </w:pPr>
            <w:r w:rsidRPr="009A4BEE">
              <w:rPr>
                <w:rFonts w:ascii="Calibri" w:eastAsia="Times New Roman" w:hAnsi="Calibri" w:cs="Times New Roman"/>
                <w:color w:val="000000"/>
              </w:rPr>
              <w:t>Strike × Treat × Week</w:t>
            </w:r>
          </w:p>
        </w:tc>
        <w:tc>
          <w:tcPr>
            <w:tcW w:w="5940" w:type="dxa"/>
            <w:tcBorders>
              <w:top w:val="nil"/>
              <w:left w:val="nil"/>
              <w:bottom w:val="single" w:sz="8" w:space="0" w:color="auto"/>
              <w:right w:val="single" w:sz="4" w:space="0" w:color="auto"/>
            </w:tcBorders>
            <w:shd w:val="clear" w:color="auto" w:fill="auto"/>
            <w:vAlign w:val="center"/>
            <w:hideMark/>
          </w:tcPr>
          <w:p w14:paraId="35EF92B9" w14:textId="77777777" w:rsidR="002F5D47" w:rsidRPr="009A4BEE" w:rsidRDefault="002F5D47" w:rsidP="00C04359">
            <w:pP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 xml:space="preserve">A time </w:t>
            </w:r>
            <w:r>
              <w:rPr>
                <w:rFonts w:ascii="Calibri" w:eastAsia="Times New Roman" w:hAnsi="Calibri" w:cs="Times New Roman"/>
                <w:color w:val="000000"/>
                <w:sz w:val="22"/>
                <w:szCs w:val="22"/>
              </w:rPr>
              <w:t xml:space="preserve">trend </w:t>
            </w:r>
            <w:r w:rsidRPr="009A4BEE">
              <w:rPr>
                <w:rFonts w:ascii="Calibri" w:eastAsia="Times New Roman" w:hAnsi="Calibri" w:cs="Times New Roman"/>
                <w:color w:val="000000"/>
                <w:sz w:val="22"/>
                <w:szCs w:val="22"/>
              </w:rPr>
              <w:t>variable that is the triple interaction of Strike, Treat and Week.</w:t>
            </w:r>
          </w:p>
        </w:tc>
        <w:tc>
          <w:tcPr>
            <w:tcW w:w="1732" w:type="dxa"/>
            <w:tcBorders>
              <w:top w:val="nil"/>
              <w:left w:val="nil"/>
              <w:bottom w:val="single" w:sz="8" w:space="0" w:color="auto"/>
              <w:right w:val="single" w:sz="8" w:space="0" w:color="auto"/>
            </w:tcBorders>
            <w:shd w:val="clear" w:color="auto" w:fill="auto"/>
            <w:noWrap/>
            <w:vAlign w:val="center"/>
            <w:hideMark/>
          </w:tcPr>
          <w:p w14:paraId="42DC85AB" w14:textId="77777777" w:rsidR="002F5D47" w:rsidRPr="009A4BEE" w:rsidRDefault="002F5D47" w:rsidP="00C04359">
            <w:pPr>
              <w:jc w:val="center"/>
              <w:rPr>
                <w:rFonts w:ascii="Calibri" w:eastAsia="Times New Roman" w:hAnsi="Calibri" w:cs="Times New Roman"/>
                <w:color w:val="000000"/>
                <w:sz w:val="22"/>
                <w:szCs w:val="22"/>
              </w:rPr>
            </w:pPr>
            <w:r w:rsidRPr="009A4BEE">
              <w:rPr>
                <w:rFonts w:ascii="Calibri" w:eastAsia="Times New Roman" w:hAnsi="Calibri" w:cs="Times New Roman"/>
                <w:color w:val="000000"/>
                <w:sz w:val="22"/>
                <w:szCs w:val="22"/>
              </w:rPr>
              <w:t>Integers</w:t>
            </w:r>
          </w:p>
        </w:tc>
      </w:tr>
    </w:tbl>
    <w:p w14:paraId="3720A969" w14:textId="77777777" w:rsidR="002F5D47" w:rsidRDefault="002F5D47" w:rsidP="002F5D47">
      <w:pPr>
        <w:spacing w:line="480" w:lineRule="auto"/>
        <w:ind w:firstLine="360"/>
        <w:jc w:val="both"/>
      </w:pPr>
    </w:p>
    <w:p w14:paraId="7B0FED91" w14:textId="77777777" w:rsidR="002F5D47" w:rsidRDefault="002F5D47" w:rsidP="002F5D47">
      <w:pPr>
        <w:spacing w:line="480" w:lineRule="auto"/>
        <w:jc w:val="both"/>
      </w:pPr>
    </w:p>
    <w:p w14:paraId="2D19DE5F" w14:textId="77777777" w:rsidR="002F5D47" w:rsidRDefault="002F5D47" w:rsidP="002F5D47">
      <w:pPr>
        <w:spacing w:line="480" w:lineRule="auto"/>
        <w:jc w:val="both"/>
      </w:pPr>
    </w:p>
    <w:p w14:paraId="54749E61" w14:textId="77777777" w:rsidR="002F5D47" w:rsidRDefault="002F5D47" w:rsidP="002F5D47">
      <w:pPr>
        <w:spacing w:line="480" w:lineRule="auto"/>
        <w:ind w:firstLine="360"/>
        <w:jc w:val="both"/>
      </w:pPr>
    </w:p>
    <w:p w14:paraId="18ECCE1A" w14:textId="77777777" w:rsidR="002F5D47" w:rsidRDefault="002F5D47" w:rsidP="002F5D47">
      <w:pPr>
        <w:spacing w:line="480" w:lineRule="auto"/>
        <w:ind w:firstLine="360"/>
        <w:jc w:val="both"/>
      </w:pPr>
    </w:p>
    <w:p w14:paraId="4FAB6D46" w14:textId="77777777" w:rsidR="002F5D47" w:rsidRDefault="002F5D47" w:rsidP="002F5D47">
      <w:pPr>
        <w:spacing w:line="480" w:lineRule="auto"/>
        <w:ind w:firstLine="360"/>
        <w:jc w:val="both"/>
      </w:pPr>
    </w:p>
    <w:p w14:paraId="7E8BE83F" w14:textId="77777777" w:rsidR="002F5D47" w:rsidRDefault="002F5D47" w:rsidP="002F5D47">
      <w:pPr>
        <w:spacing w:line="480" w:lineRule="auto"/>
        <w:ind w:firstLine="360"/>
        <w:jc w:val="both"/>
      </w:pPr>
    </w:p>
    <w:p w14:paraId="5859C693" w14:textId="77777777" w:rsidR="002F5D47" w:rsidRDefault="002F5D47" w:rsidP="002F5D47">
      <w:pPr>
        <w:spacing w:line="480" w:lineRule="auto"/>
        <w:ind w:firstLine="360"/>
        <w:jc w:val="both"/>
      </w:pPr>
    </w:p>
    <w:p w14:paraId="0723E1D4" w14:textId="77777777" w:rsidR="002F5D47" w:rsidRDefault="002F5D47" w:rsidP="002F5D47">
      <w:pPr>
        <w:spacing w:line="480" w:lineRule="auto"/>
        <w:ind w:firstLine="360"/>
        <w:jc w:val="both"/>
      </w:pPr>
    </w:p>
    <w:p w14:paraId="069B2F20" w14:textId="77777777" w:rsidR="002F5D47" w:rsidRDefault="002F5D47" w:rsidP="002F5D47">
      <w:pPr>
        <w:spacing w:line="480" w:lineRule="auto"/>
        <w:ind w:firstLine="360"/>
        <w:jc w:val="both"/>
      </w:pPr>
    </w:p>
    <w:p w14:paraId="0A6B9F71" w14:textId="77777777" w:rsidR="002F5D47" w:rsidRDefault="002F5D47" w:rsidP="002F5D47">
      <w:pPr>
        <w:spacing w:line="480" w:lineRule="auto"/>
        <w:ind w:firstLine="360"/>
        <w:jc w:val="both"/>
      </w:pPr>
    </w:p>
    <w:p w14:paraId="5DD06A18" w14:textId="77777777" w:rsidR="002F5D47" w:rsidRDefault="002F5D47" w:rsidP="002F5D47">
      <w:pPr>
        <w:spacing w:line="480" w:lineRule="auto"/>
        <w:ind w:firstLine="360"/>
        <w:jc w:val="both"/>
      </w:pPr>
    </w:p>
    <w:tbl>
      <w:tblPr>
        <w:tblW w:w="11604" w:type="dxa"/>
        <w:tblInd w:w="-1062" w:type="dxa"/>
        <w:tblLayout w:type="fixed"/>
        <w:tblLook w:val="04A0" w:firstRow="1" w:lastRow="0" w:firstColumn="1" w:lastColumn="0" w:noHBand="0" w:noVBand="1"/>
      </w:tblPr>
      <w:tblGrid>
        <w:gridCol w:w="2880"/>
        <w:gridCol w:w="1260"/>
        <w:gridCol w:w="1167"/>
        <w:gridCol w:w="1153"/>
        <w:gridCol w:w="1319"/>
        <w:gridCol w:w="1845"/>
        <w:gridCol w:w="1980"/>
      </w:tblGrid>
      <w:tr w:rsidR="002F5D47" w:rsidRPr="000B66DA" w14:paraId="02E92A34" w14:textId="77777777" w:rsidTr="00C04359">
        <w:trPr>
          <w:trHeight w:val="580"/>
        </w:trPr>
        <w:tc>
          <w:tcPr>
            <w:tcW w:w="11604" w:type="dxa"/>
            <w:gridSpan w:val="7"/>
            <w:tcBorders>
              <w:top w:val="nil"/>
              <w:left w:val="nil"/>
              <w:bottom w:val="double" w:sz="6" w:space="0" w:color="auto"/>
              <w:right w:val="nil"/>
            </w:tcBorders>
            <w:shd w:val="clear" w:color="auto" w:fill="auto"/>
            <w:vAlign w:val="center"/>
            <w:hideMark/>
          </w:tcPr>
          <w:p w14:paraId="1F8315D4"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Table 2</w:t>
            </w:r>
            <w:r w:rsidRPr="000B66DA">
              <w:rPr>
                <w:rFonts w:ascii="Calibri" w:eastAsia="Times New Roman" w:hAnsi="Calibri" w:cs="Times New Roman"/>
                <w:b/>
                <w:bCs/>
                <w:color w:val="000000"/>
              </w:rPr>
              <w:br/>
              <w:t>Summary Statistics</w:t>
            </w:r>
          </w:p>
        </w:tc>
      </w:tr>
      <w:tr w:rsidR="002F5D47" w:rsidRPr="000B66DA" w14:paraId="1A8285DD" w14:textId="77777777" w:rsidTr="00C04359">
        <w:trPr>
          <w:trHeight w:val="340"/>
        </w:trPr>
        <w:tc>
          <w:tcPr>
            <w:tcW w:w="2880" w:type="dxa"/>
            <w:tcBorders>
              <w:top w:val="nil"/>
              <w:left w:val="nil"/>
              <w:bottom w:val="double" w:sz="6" w:space="0" w:color="auto"/>
              <w:right w:val="nil"/>
            </w:tcBorders>
            <w:shd w:val="clear" w:color="auto" w:fill="auto"/>
            <w:noWrap/>
            <w:vAlign w:val="center"/>
            <w:hideMark/>
          </w:tcPr>
          <w:p w14:paraId="4604CB9B" w14:textId="343D63BA" w:rsidR="002F5D47" w:rsidRPr="000B66DA" w:rsidRDefault="00E82DA4" w:rsidP="00C04359">
            <w:pPr>
              <w:jc w:val="center"/>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1260" w:type="dxa"/>
            <w:tcBorders>
              <w:top w:val="nil"/>
              <w:left w:val="nil"/>
              <w:bottom w:val="double" w:sz="6" w:space="0" w:color="auto"/>
              <w:right w:val="nil"/>
            </w:tcBorders>
            <w:shd w:val="clear" w:color="auto" w:fill="auto"/>
            <w:noWrap/>
            <w:vAlign w:val="center"/>
            <w:hideMark/>
          </w:tcPr>
          <w:p w14:paraId="4103D46D"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Mean</w:t>
            </w:r>
          </w:p>
        </w:tc>
        <w:tc>
          <w:tcPr>
            <w:tcW w:w="1167" w:type="dxa"/>
            <w:tcBorders>
              <w:top w:val="nil"/>
              <w:left w:val="nil"/>
              <w:bottom w:val="double" w:sz="6" w:space="0" w:color="auto"/>
              <w:right w:val="nil"/>
            </w:tcBorders>
            <w:shd w:val="clear" w:color="auto" w:fill="auto"/>
            <w:noWrap/>
            <w:vAlign w:val="center"/>
            <w:hideMark/>
          </w:tcPr>
          <w:p w14:paraId="4AF91F48"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SD</w:t>
            </w:r>
          </w:p>
        </w:tc>
        <w:tc>
          <w:tcPr>
            <w:tcW w:w="1153" w:type="dxa"/>
            <w:tcBorders>
              <w:top w:val="nil"/>
              <w:left w:val="nil"/>
              <w:bottom w:val="double" w:sz="6" w:space="0" w:color="auto"/>
              <w:right w:val="nil"/>
            </w:tcBorders>
            <w:shd w:val="clear" w:color="auto" w:fill="auto"/>
            <w:noWrap/>
            <w:vAlign w:val="center"/>
            <w:hideMark/>
          </w:tcPr>
          <w:p w14:paraId="5231E426"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Min</w:t>
            </w:r>
          </w:p>
        </w:tc>
        <w:tc>
          <w:tcPr>
            <w:tcW w:w="1319" w:type="dxa"/>
            <w:tcBorders>
              <w:top w:val="nil"/>
              <w:left w:val="nil"/>
              <w:bottom w:val="double" w:sz="6" w:space="0" w:color="auto"/>
              <w:right w:val="nil"/>
            </w:tcBorders>
            <w:shd w:val="clear" w:color="auto" w:fill="auto"/>
            <w:noWrap/>
            <w:vAlign w:val="center"/>
            <w:hideMark/>
          </w:tcPr>
          <w:p w14:paraId="5F0A5B39"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Max</w:t>
            </w:r>
          </w:p>
        </w:tc>
        <w:tc>
          <w:tcPr>
            <w:tcW w:w="1845" w:type="dxa"/>
            <w:tcBorders>
              <w:top w:val="nil"/>
              <w:left w:val="nil"/>
              <w:bottom w:val="double" w:sz="6" w:space="0" w:color="auto"/>
              <w:right w:val="nil"/>
            </w:tcBorders>
            <w:shd w:val="clear" w:color="auto" w:fill="auto"/>
            <w:noWrap/>
            <w:vAlign w:val="center"/>
            <w:hideMark/>
          </w:tcPr>
          <w:p w14:paraId="2B5A763F"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Unit</w:t>
            </w:r>
          </w:p>
        </w:tc>
        <w:tc>
          <w:tcPr>
            <w:tcW w:w="1980" w:type="dxa"/>
            <w:tcBorders>
              <w:top w:val="nil"/>
              <w:left w:val="nil"/>
              <w:bottom w:val="double" w:sz="6" w:space="0" w:color="auto"/>
              <w:right w:val="nil"/>
            </w:tcBorders>
            <w:shd w:val="clear" w:color="auto" w:fill="auto"/>
            <w:noWrap/>
            <w:vAlign w:val="center"/>
            <w:hideMark/>
          </w:tcPr>
          <w:p w14:paraId="48770EE0" w14:textId="77777777" w:rsidR="002F5D47" w:rsidRPr="000B66DA" w:rsidRDefault="002F5D47" w:rsidP="00C04359">
            <w:pPr>
              <w:jc w:val="center"/>
              <w:rPr>
                <w:rFonts w:ascii="Calibri" w:eastAsia="Times New Roman" w:hAnsi="Calibri" w:cs="Times New Roman"/>
                <w:b/>
                <w:bCs/>
                <w:color w:val="000000"/>
              </w:rPr>
            </w:pPr>
            <w:r w:rsidRPr="000B66DA">
              <w:rPr>
                <w:rFonts w:ascii="Calibri" w:eastAsia="Times New Roman" w:hAnsi="Calibri" w:cs="Times New Roman"/>
                <w:b/>
                <w:bCs/>
                <w:color w:val="000000"/>
              </w:rPr>
              <w:t>Observations</w:t>
            </w:r>
          </w:p>
        </w:tc>
      </w:tr>
      <w:tr w:rsidR="002F5D47" w:rsidRPr="000B66DA" w14:paraId="32C3177B" w14:textId="77777777" w:rsidTr="00C04359">
        <w:trPr>
          <w:trHeight w:val="320"/>
        </w:trPr>
        <w:tc>
          <w:tcPr>
            <w:tcW w:w="2880" w:type="dxa"/>
            <w:tcBorders>
              <w:top w:val="nil"/>
              <w:left w:val="nil"/>
              <w:bottom w:val="nil"/>
              <w:right w:val="nil"/>
            </w:tcBorders>
            <w:shd w:val="clear" w:color="auto" w:fill="auto"/>
            <w:noWrap/>
            <w:vAlign w:val="center"/>
            <w:hideMark/>
          </w:tcPr>
          <w:p w14:paraId="1C5624A3" w14:textId="77777777" w:rsidR="002F5D47" w:rsidRPr="000B66DA" w:rsidRDefault="002F5D47" w:rsidP="00C04359">
            <w:pPr>
              <w:rPr>
                <w:rFonts w:ascii="Calibri" w:eastAsia="Times New Roman" w:hAnsi="Calibri" w:cs="Times New Roman"/>
                <w:color w:val="000000"/>
                <w:sz w:val="22"/>
                <w:szCs w:val="22"/>
              </w:rPr>
            </w:pPr>
            <w:r w:rsidRPr="000B66DA">
              <w:rPr>
                <w:rFonts w:ascii="Calibri" w:eastAsia="Times New Roman" w:hAnsi="Calibri" w:cs="Times New Roman"/>
                <w:color w:val="000000"/>
                <w:sz w:val="22"/>
                <w:szCs w:val="22"/>
              </w:rPr>
              <w:t>CO</w:t>
            </w:r>
          </w:p>
        </w:tc>
        <w:tc>
          <w:tcPr>
            <w:tcW w:w="1260" w:type="dxa"/>
            <w:tcBorders>
              <w:top w:val="nil"/>
              <w:left w:val="nil"/>
              <w:bottom w:val="nil"/>
              <w:right w:val="nil"/>
            </w:tcBorders>
            <w:shd w:val="clear" w:color="auto" w:fill="auto"/>
            <w:noWrap/>
            <w:vAlign w:val="center"/>
            <w:hideMark/>
          </w:tcPr>
          <w:p w14:paraId="2FC84148"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0.74</w:t>
            </w:r>
          </w:p>
        </w:tc>
        <w:tc>
          <w:tcPr>
            <w:tcW w:w="1167" w:type="dxa"/>
            <w:tcBorders>
              <w:top w:val="nil"/>
              <w:left w:val="nil"/>
              <w:bottom w:val="nil"/>
              <w:right w:val="nil"/>
            </w:tcBorders>
            <w:shd w:val="clear" w:color="auto" w:fill="auto"/>
            <w:noWrap/>
            <w:vAlign w:val="center"/>
            <w:hideMark/>
          </w:tcPr>
          <w:p w14:paraId="307D263F"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0.47</w:t>
            </w:r>
          </w:p>
        </w:tc>
        <w:tc>
          <w:tcPr>
            <w:tcW w:w="1153" w:type="dxa"/>
            <w:tcBorders>
              <w:top w:val="nil"/>
              <w:left w:val="nil"/>
              <w:bottom w:val="nil"/>
              <w:right w:val="nil"/>
            </w:tcBorders>
            <w:shd w:val="clear" w:color="auto" w:fill="auto"/>
            <w:noWrap/>
            <w:vAlign w:val="center"/>
            <w:hideMark/>
          </w:tcPr>
          <w:p w14:paraId="4C31167A"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0.25</w:t>
            </w:r>
          </w:p>
        </w:tc>
        <w:tc>
          <w:tcPr>
            <w:tcW w:w="1319" w:type="dxa"/>
            <w:tcBorders>
              <w:top w:val="nil"/>
              <w:left w:val="nil"/>
              <w:bottom w:val="nil"/>
              <w:right w:val="nil"/>
            </w:tcBorders>
            <w:shd w:val="clear" w:color="auto" w:fill="auto"/>
            <w:noWrap/>
            <w:vAlign w:val="center"/>
            <w:hideMark/>
          </w:tcPr>
          <w:p w14:paraId="12382D20"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3.32</w:t>
            </w:r>
          </w:p>
        </w:tc>
        <w:tc>
          <w:tcPr>
            <w:tcW w:w="1845" w:type="dxa"/>
            <w:tcBorders>
              <w:top w:val="nil"/>
              <w:left w:val="nil"/>
              <w:bottom w:val="nil"/>
              <w:right w:val="nil"/>
            </w:tcBorders>
            <w:shd w:val="clear" w:color="auto" w:fill="auto"/>
            <w:noWrap/>
            <w:vAlign w:val="center"/>
            <w:hideMark/>
          </w:tcPr>
          <w:p w14:paraId="1027E032"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Parts per million</w:t>
            </w:r>
          </w:p>
        </w:tc>
        <w:tc>
          <w:tcPr>
            <w:tcW w:w="1980" w:type="dxa"/>
            <w:tcBorders>
              <w:top w:val="nil"/>
              <w:left w:val="nil"/>
              <w:bottom w:val="nil"/>
              <w:right w:val="nil"/>
            </w:tcBorders>
            <w:shd w:val="clear" w:color="auto" w:fill="auto"/>
            <w:noWrap/>
            <w:vAlign w:val="bottom"/>
            <w:hideMark/>
          </w:tcPr>
          <w:p w14:paraId="64D0A126"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2151</w:t>
            </w:r>
          </w:p>
        </w:tc>
      </w:tr>
      <w:tr w:rsidR="002F5D47" w:rsidRPr="000B66DA" w14:paraId="37A7BB3E" w14:textId="77777777" w:rsidTr="00C04359">
        <w:trPr>
          <w:trHeight w:val="320"/>
        </w:trPr>
        <w:tc>
          <w:tcPr>
            <w:tcW w:w="2880" w:type="dxa"/>
            <w:tcBorders>
              <w:top w:val="nil"/>
              <w:left w:val="nil"/>
              <w:bottom w:val="nil"/>
              <w:right w:val="nil"/>
            </w:tcBorders>
            <w:shd w:val="clear" w:color="auto" w:fill="auto"/>
            <w:noWrap/>
            <w:vAlign w:val="center"/>
            <w:hideMark/>
          </w:tcPr>
          <w:p w14:paraId="01689A03" w14:textId="77777777" w:rsidR="002F5D47" w:rsidRPr="000B66DA" w:rsidRDefault="002F5D47" w:rsidP="00C04359">
            <w:pPr>
              <w:rPr>
                <w:rFonts w:ascii="Calibri" w:eastAsia="Times New Roman" w:hAnsi="Calibri" w:cs="Times New Roman"/>
                <w:color w:val="000000"/>
                <w:sz w:val="22"/>
                <w:szCs w:val="22"/>
              </w:rPr>
            </w:pPr>
            <w:r w:rsidRPr="000B66DA">
              <w:rPr>
                <w:rFonts w:ascii="Calibri" w:eastAsia="Times New Roman" w:hAnsi="Calibri" w:cs="Times New Roman"/>
                <w:color w:val="000000"/>
                <w:sz w:val="22"/>
                <w:szCs w:val="22"/>
              </w:rPr>
              <w:t>NO</w:t>
            </w:r>
            <w:r w:rsidRPr="000B66DA">
              <w:rPr>
                <w:rFonts w:ascii="Calibri" w:eastAsia="Times New Roman" w:hAnsi="Calibri" w:cs="Times New Roman"/>
                <w:color w:val="000000"/>
                <w:sz w:val="22"/>
                <w:szCs w:val="22"/>
                <w:vertAlign w:val="subscript"/>
              </w:rPr>
              <w:t>2</w:t>
            </w:r>
          </w:p>
        </w:tc>
        <w:tc>
          <w:tcPr>
            <w:tcW w:w="1260" w:type="dxa"/>
            <w:tcBorders>
              <w:top w:val="nil"/>
              <w:left w:val="nil"/>
              <w:bottom w:val="nil"/>
              <w:right w:val="nil"/>
            </w:tcBorders>
            <w:shd w:val="clear" w:color="auto" w:fill="auto"/>
            <w:noWrap/>
            <w:vAlign w:val="center"/>
            <w:hideMark/>
          </w:tcPr>
          <w:p w14:paraId="24E90DC7"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23.40</w:t>
            </w:r>
          </w:p>
        </w:tc>
        <w:tc>
          <w:tcPr>
            <w:tcW w:w="1167" w:type="dxa"/>
            <w:tcBorders>
              <w:top w:val="nil"/>
              <w:left w:val="nil"/>
              <w:bottom w:val="nil"/>
              <w:right w:val="nil"/>
            </w:tcBorders>
            <w:shd w:val="clear" w:color="auto" w:fill="auto"/>
            <w:noWrap/>
            <w:vAlign w:val="center"/>
            <w:hideMark/>
          </w:tcPr>
          <w:p w14:paraId="1BC256F9"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13.46</w:t>
            </w:r>
          </w:p>
        </w:tc>
        <w:tc>
          <w:tcPr>
            <w:tcW w:w="1153" w:type="dxa"/>
            <w:tcBorders>
              <w:top w:val="nil"/>
              <w:left w:val="nil"/>
              <w:bottom w:val="nil"/>
              <w:right w:val="nil"/>
            </w:tcBorders>
            <w:shd w:val="clear" w:color="auto" w:fill="auto"/>
            <w:noWrap/>
            <w:vAlign w:val="center"/>
            <w:hideMark/>
          </w:tcPr>
          <w:p w14:paraId="098F5EF9"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1.56</w:t>
            </w:r>
          </w:p>
        </w:tc>
        <w:tc>
          <w:tcPr>
            <w:tcW w:w="1319" w:type="dxa"/>
            <w:tcBorders>
              <w:top w:val="nil"/>
              <w:left w:val="nil"/>
              <w:bottom w:val="nil"/>
              <w:right w:val="nil"/>
            </w:tcBorders>
            <w:shd w:val="clear" w:color="auto" w:fill="auto"/>
            <w:noWrap/>
            <w:vAlign w:val="center"/>
            <w:hideMark/>
          </w:tcPr>
          <w:p w14:paraId="5C3B1D62"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73.24</w:t>
            </w:r>
          </w:p>
        </w:tc>
        <w:tc>
          <w:tcPr>
            <w:tcW w:w="1845" w:type="dxa"/>
            <w:tcBorders>
              <w:top w:val="nil"/>
              <w:left w:val="nil"/>
              <w:bottom w:val="nil"/>
              <w:right w:val="nil"/>
            </w:tcBorders>
            <w:shd w:val="clear" w:color="auto" w:fill="auto"/>
            <w:noWrap/>
            <w:vAlign w:val="center"/>
            <w:hideMark/>
          </w:tcPr>
          <w:p w14:paraId="62E30D28"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Parts per billion</w:t>
            </w:r>
          </w:p>
        </w:tc>
        <w:tc>
          <w:tcPr>
            <w:tcW w:w="1980" w:type="dxa"/>
            <w:tcBorders>
              <w:top w:val="nil"/>
              <w:left w:val="nil"/>
              <w:bottom w:val="nil"/>
              <w:right w:val="nil"/>
            </w:tcBorders>
            <w:shd w:val="clear" w:color="auto" w:fill="auto"/>
            <w:noWrap/>
            <w:vAlign w:val="bottom"/>
            <w:hideMark/>
          </w:tcPr>
          <w:p w14:paraId="3B7CA3E1"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2981</w:t>
            </w:r>
          </w:p>
        </w:tc>
      </w:tr>
      <w:tr w:rsidR="002F5D47" w:rsidRPr="000B66DA" w14:paraId="39F551C4" w14:textId="77777777" w:rsidTr="00C04359">
        <w:trPr>
          <w:trHeight w:val="320"/>
        </w:trPr>
        <w:tc>
          <w:tcPr>
            <w:tcW w:w="2880" w:type="dxa"/>
            <w:tcBorders>
              <w:top w:val="nil"/>
              <w:left w:val="nil"/>
              <w:bottom w:val="nil"/>
              <w:right w:val="nil"/>
            </w:tcBorders>
            <w:shd w:val="clear" w:color="auto" w:fill="auto"/>
            <w:noWrap/>
            <w:vAlign w:val="center"/>
            <w:hideMark/>
          </w:tcPr>
          <w:p w14:paraId="38C6FE75" w14:textId="77777777" w:rsidR="002F5D47" w:rsidRPr="000B66DA" w:rsidRDefault="002F5D47" w:rsidP="00C04359">
            <w:pPr>
              <w:rPr>
                <w:rFonts w:ascii="Calibri" w:eastAsia="Times New Roman" w:hAnsi="Calibri" w:cs="Times New Roman"/>
                <w:color w:val="000000"/>
                <w:sz w:val="22"/>
                <w:szCs w:val="22"/>
              </w:rPr>
            </w:pPr>
            <w:r w:rsidRPr="000B66DA">
              <w:rPr>
                <w:rFonts w:ascii="Calibri" w:eastAsia="Times New Roman" w:hAnsi="Calibri" w:cs="Times New Roman"/>
                <w:color w:val="000000"/>
                <w:sz w:val="22"/>
                <w:szCs w:val="22"/>
              </w:rPr>
              <w:t>NO</w:t>
            </w:r>
            <w:r w:rsidRPr="000B66DA">
              <w:rPr>
                <w:rFonts w:ascii="Calibri" w:eastAsia="Times New Roman" w:hAnsi="Calibri" w:cs="Times New Roman"/>
                <w:color w:val="000000"/>
                <w:sz w:val="22"/>
                <w:szCs w:val="22"/>
                <w:vertAlign w:val="subscript"/>
              </w:rPr>
              <w:t>x</w:t>
            </w:r>
          </w:p>
        </w:tc>
        <w:tc>
          <w:tcPr>
            <w:tcW w:w="1260" w:type="dxa"/>
            <w:tcBorders>
              <w:top w:val="nil"/>
              <w:left w:val="nil"/>
              <w:bottom w:val="nil"/>
              <w:right w:val="nil"/>
            </w:tcBorders>
            <w:shd w:val="clear" w:color="auto" w:fill="auto"/>
            <w:noWrap/>
            <w:vAlign w:val="center"/>
            <w:hideMark/>
          </w:tcPr>
          <w:p w14:paraId="451CAC8A"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43.91</w:t>
            </w:r>
          </w:p>
        </w:tc>
        <w:tc>
          <w:tcPr>
            <w:tcW w:w="1167" w:type="dxa"/>
            <w:tcBorders>
              <w:top w:val="nil"/>
              <w:left w:val="nil"/>
              <w:bottom w:val="nil"/>
              <w:right w:val="nil"/>
            </w:tcBorders>
            <w:shd w:val="clear" w:color="auto" w:fill="auto"/>
            <w:noWrap/>
            <w:vAlign w:val="center"/>
            <w:hideMark/>
          </w:tcPr>
          <w:p w14:paraId="78140265"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39.81</w:t>
            </w:r>
          </w:p>
        </w:tc>
        <w:tc>
          <w:tcPr>
            <w:tcW w:w="1153" w:type="dxa"/>
            <w:tcBorders>
              <w:top w:val="nil"/>
              <w:left w:val="nil"/>
              <w:bottom w:val="nil"/>
              <w:right w:val="nil"/>
            </w:tcBorders>
            <w:shd w:val="clear" w:color="auto" w:fill="auto"/>
            <w:noWrap/>
            <w:vAlign w:val="center"/>
            <w:hideMark/>
          </w:tcPr>
          <w:p w14:paraId="32ACDBD9"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3.11</w:t>
            </w:r>
          </w:p>
        </w:tc>
        <w:tc>
          <w:tcPr>
            <w:tcW w:w="1319" w:type="dxa"/>
            <w:tcBorders>
              <w:top w:val="nil"/>
              <w:left w:val="nil"/>
              <w:bottom w:val="nil"/>
              <w:right w:val="nil"/>
            </w:tcBorders>
            <w:shd w:val="clear" w:color="auto" w:fill="auto"/>
            <w:noWrap/>
            <w:vAlign w:val="center"/>
            <w:hideMark/>
          </w:tcPr>
          <w:p w14:paraId="2C7AD0C0"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262.16</w:t>
            </w:r>
          </w:p>
        </w:tc>
        <w:tc>
          <w:tcPr>
            <w:tcW w:w="1845" w:type="dxa"/>
            <w:tcBorders>
              <w:top w:val="nil"/>
              <w:left w:val="nil"/>
              <w:bottom w:val="nil"/>
              <w:right w:val="nil"/>
            </w:tcBorders>
            <w:shd w:val="clear" w:color="auto" w:fill="auto"/>
            <w:noWrap/>
            <w:vAlign w:val="center"/>
            <w:hideMark/>
          </w:tcPr>
          <w:p w14:paraId="7EA72313"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Parts per billion</w:t>
            </w:r>
          </w:p>
        </w:tc>
        <w:tc>
          <w:tcPr>
            <w:tcW w:w="1980" w:type="dxa"/>
            <w:tcBorders>
              <w:top w:val="nil"/>
              <w:left w:val="nil"/>
              <w:bottom w:val="nil"/>
              <w:right w:val="nil"/>
            </w:tcBorders>
            <w:shd w:val="clear" w:color="auto" w:fill="auto"/>
            <w:noWrap/>
            <w:vAlign w:val="bottom"/>
            <w:hideMark/>
          </w:tcPr>
          <w:p w14:paraId="6CF97B1F"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2981</w:t>
            </w:r>
          </w:p>
        </w:tc>
      </w:tr>
      <w:tr w:rsidR="002F5D47" w:rsidRPr="000B66DA" w14:paraId="04F7A778" w14:textId="77777777" w:rsidTr="00C04359">
        <w:trPr>
          <w:trHeight w:val="320"/>
        </w:trPr>
        <w:tc>
          <w:tcPr>
            <w:tcW w:w="2880" w:type="dxa"/>
            <w:tcBorders>
              <w:top w:val="nil"/>
              <w:left w:val="nil"/>
              <w:bottom w:val="nil"/>
              <w:right w:val="nil"/>
            </w:tcBorders>
            <w:shd w:val="clear" w:color="auto" w:fill="auto"/>
            <w:noWrap/>
            <w:vAlign w:val="center"/>
            <w:hideMark/>
          </w:tcPr>
          <w:p w14:paraId="134EAFA3" w14:textId="77777777" w:rsidR="002F5D47" w:rsidRPr="000B66DA" w:rsidRDefault="002F5D47" w:rsidP="00C04359">
            <w:pPr>
              <w:rPr>
                <w:rFonts w:ascii="Calibri" w:eastAsia="Times New Roman" w:hAnsi="Calibri" w:cs="Times New Roman"/>
                <w:color w:val="000000"/>
                <w:sz w:val="22"/>
                <w:szCs w:val="22"/>
              </w:rPr>
            </w:pPr>
            <w:r w:rsidRPr="000B66DA">
              <w:rPr>
                <w:rFonts w:ascii="Calibri" w:eastAsia="Times New Roman" w:hAnsi="Calibri" w:cs="Times New Roman"/>
                <w:color w:val="000000"/>
                <w:sz w:val="22"/>
                <w:szCs w:val="22"/>
              </w:rPr>
              <w:t>O</w:t>
            </w:r>
            <w:r w:rsidRPr="000B66DA">
              <w:rPr>
                <w:rFonts w:ascii="Calibri" w:eastAsia="Times New Roman" w:hAnsi="Calibri" w:cs="Times New Roman"/>
                <w:color w:val="000000"/>
                <w:sz w:val="22"/>
                <w:szCs w:val="22"/>
                <w:vertAlign w:val="subscript"/>
              </w:rPr>
              <w:t>3</w:t>
            </w:r>
          </w:p>
        </w:tc>
        <w:tc>
          <w:tcPr>
            <w:tcW w:w="1260" w:type="dxa"/>
            <w:tcBorders>
              <w:top w:val="nil"/>
              <w:left w:val="nil"/>
              <w:bottom w:val="nil"/>
              <w:right w:val="nil"/>
            </w:tcBorders>
            <w:shd w:val="clear" w:color="auto" w:fill="auto"/>
            <w:noWrap/>
            <w:vAlign w:val="center"/>
            <w:hideMark/>
          </w:tcPr>
          <w:p w14:paraId="4CB4B51D"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0.0323</w:t>
            </w:r>
          </w:p>
        </w:tc>
        <w:tc>
          <w:tcPr>
            <w:tcW w:w="1167" w:type="dxa"/>
            <w:tcBorders>
              <w:top w:val="nil"/>
              <w:left w:val="nil"/>
              <w:bottom w:val="nil"/>
              <w:right w:val="nil"/>
            </w:tcBorders>
            <w:shd w:val="clear" w:color="auto" w:fill="auto"/>
            <w:noWrap/>
            <w:vAlign w:val="center"/>
            <w:hideMark/>
          </w:tcPr>
          <w:p w14:paraId="4B94FC84"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0.0167</w:t>
            </w:r>
          </w:p>
        </w:tc>
        <w:tc>
          <w:tcPr>
            <w:tcW w:w="1153" w:type="dxa"/>
            <w:tcBorders>
              <w:top w:val="nil"/>
              <w:left w:val="nil"/>
              <w:bottom w:val="nil"/>
              <w:right w:val="nil"/>
            </w:tcBorders>
            <w:shd w:val="clear" w:color="auto" w:fill="auto"/>
            <w:noWrap/>
            <w:vAlign w:val="center"/>
            <w:hideMark/>
          </w:tcPr>
          <w:p w14:paraId="2DA82BC5"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0.0020</w:t>
            </w:r>
          </w:p>
        </w:tc>
        <w:tc>
          <w:tcPr>
            <w:tcW w:w="1319" w:type="dxa"/>
            <w:tcBorders>
              <w:top w:val="nil"/>
              <w:left w:val="nil"/>
              <w:bottom w:val="nil"/>
              <w:right w:val="nil"/>
            </w:tcBorders>
            <w:shd w:val="clear" w:color="auto" w:fill="auto"/>
            <w:noWrap/>
            <w:vAlign w:val="center"/>
            <w:hideMark/>
          </w:tcPr>
          <w:p w14:paraId="27A3F9E9"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0.0932</w:t>
            </w:r>
          </w:p>
        </w:tc>
        <w:tc>
          <w:tcPr>
            <w:tcW w:w="1845" w:type="dxa"/>
            <w:tcBorders>
              <w:top w:val="nil"/>
              <w:left w:val="nil"/>
              <w:bottom w:val="nil"/>
              <w:right w:val="nil"/>
            </w:tcBorders>
            <w:shd w:val="clear" w:color="auto" w:fill="auto"/>
            <w:noWrap/>
            <w:vAlign w:val="center"/>
            <w:hideMark/>
          </w:tcPr>
          <w:p w14:paraId="58B73536"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Parts per million</w:t>
            </w:r>
          </w:p>
        </w:tc>
        <w:tc>
          <w:tcPr>
            <w:tcW w:w="1980" w:type="dxa"/>
            <w:tcBorders>
              <w:top w:val="nil"/>
              <w:left w:val="nil"/>
              <w:bottom w:val="nil"/>
              <w:right w:val="nil"/>
            </w:tcBorders>
            <w:shd w:val="clear" w:color="auto" w:fill="auto"/>
            <w:noWrap/>
            <w:vAlign w:val="bottom"/>
            <w:hideMark/>
          </w:tcPr>
          <w:p w14:paraId="07814318"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3103</w:t>
            </w:r>
          </w:p>
        </w:tc>
      </w:tr>
      <w:tr w:rsidR="002F5D47" w:rsidRPr="000B66DA" w14:paraId="24D22B3D" w14:textId="77777777" w:rsidTr="00C04359">
        <w:trPr>
          <w:trHeight w:val="300"/>
        </w:trPr>
        <w:tc>
          <w:tcPr>
            <w:tcW w:w="2880" w:type="dxa"/>
            <w:tcBorders>
              <w:top w:val="nil"/>
              <w:left w:val="nil"/>
              <w:bottom w:val="nil"/>
              <w:right w:val="nil"/>
            </w:tcBorders>
            <w:shd w:val="clear" w:color="auto" w:fill="auto"/>
            <w:noWrap/>
            <w:vAlign w:val="center"/>
            <w:hideMark/>
          </w:tcPr>
          <w:p w14:paraId="2BE05F77"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Wind Speed</w:t>
            </w:r>
          </w:p>
        </w:tc>
        <w:tc>
          <w:tcPr>
            <w:tcW w:w="1260" w:type="dxa"/>
            <w:tcBorders>
              <w:top w:val="nil"/>
              <w:left w:val="nil"/>
              <w:bottom w:val="nil"/>
              <w:right w:val="nil"/>
            </w:tcBorders>
            <w:shd w:val="clear" w:color="auto" w:fill="auto"/>
            <w:noWrap/>
            <w:vAlign w:val="center"/>
            <w:hideMark/>
          </w:tcPr>
          <w:p w14:paraId="59BB2CE6"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3.86</w:t>
            </w:r>
          </w:p>
        </w:tc>
        <w:tc>
          <w:tcPr>
            <w:tcW w:w="1167" w:type="dxa"/>
            <w:tcBorders>
              <w:top w:val="nil"/>
              <w:left w:val="nil"/>
              <w:bottom w:val="nil"/>
              <w:right w:val="nil"/>
            </w:tcBorders>
            <w:shd w:val="clear" w:color="auto" w:fill="auto"/>
            <w:noWrap/>
            <w:vAlign w:val="center"/>
            <w:hideMark/>
          </w:tcPr>
          <w:p w14:paraId="7CB65722"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2.14</w:t>
            </w:r>
          </w:p>
        </w:tc>
        <w:tc>
          <w:tcPr>
            <w:tcW w:w="1153" w:type="dxa"/>
            <w:tcBorders>
              <w:top w:val="nil"/>
              <w:left w:val="nil"/>
              <w:bottom w:val="nil"/>
              <w:right w:val="nil"/>
            </w:tcBorders>
            <w:shd w:val="clear" w:color="auto" w:fill="auto"/>
            <w:noWrap/>
            <w:vAlign w:val="center"/>
            <w:hideMark/>
          </w:tcPr>
          <w:p w14:paraId="7A399C8C"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0.09</w:t>
            </w:r>
          </w:p>
        </w:tc>
        <w:tc>
          <w:tcPr>
            <w:tcW w:w="1319" w:type="dxa"/>
            <w:tcBorders>
              <w:top w:val="nil"/>
              <w:left w:val="nil"/>
              <w:bottom w:val="nil"/>
              <w:right w:val="nil"/>
            </w:tcBorders>
            <w:shd w:val="clear" w:color="auto" w:fill="auto"/>
            <w:noWrap/>
            <w:vAlign w:val="center"/>
            <w:hideMark/>
          </w:tcPr>
          <w:p w14:paraId="0F37A7F7"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19.49</w:t>
            </w:r>
          </w:p>
        </w:tc>
        <w:tc>
          <w:tcPr>
            <w:tcW w:w="1845" w:type="dxa"/>
            <w:tcBorders>
              <w:top w:val="nil"/>
              <w:left w:val="nil"/>
              <w:bottom w:val="nil"/>
              <w:right w:val="nil"/>
            </w:tcBorders>
            <w:shd w:val="clear" w:color="auto" w:fill="auto"/>
            <w:noWrap/>
            <w:vAlign w:val="center"/>
            <w:hideMark/>
          </w:tcPr>
          <w:p w14:paraId="65336101"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Knots</w:t>
            </w:r>
          </w:p>
        </w:tc>
        <w:tc>
          <w:tcPr>
            <w:tcW w:w="1980" w:type="dxa"/>
            <w:tcBorders>
              <w:top w:val="nil"/>
              <w:left w:val="nil"/>
              <w:bottom w:val="nil"/>
              <w:right w:val="nil"/>
            </w:tcBorders>
            <w:shd w:val="clear" w:color="auto" w:fill="auto"/>
            <w:noWrap/>
            <w:vAlign w:val="bottom"/>
            <w:hideMark/>
          </w:tcPr>
          <w:p w14:paraId="7F1D5EFE"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2945</w:t>
            </w:r>
          </w:p>
        </w:tc>
      </w:tr>
      <w:tr w:rsidR="002F5D47" w:rsidRPr="000B66DA" w14:paraId="2F40FE67" w14:textId="77777777" w:rsidTr="00C04359">
        <w:trPr>
          <w:trHeight w:val="300"/>
        </w:trPr>
        <w:tc>
          <w:tcPr>
            <w:tcW w:w="2880" w:type="dxa"/>
            <w:tcBorders>
              <w:top w:val="nil"/>
              <w:left w:val="nil"/>
              <w:bottom w:val="nil"/>
              <w:right w:val="nil"/>
            </w:tcBorders>
            <w:shd w:val="clear" w:color="auto" w:fill="auto"/>
            <w:noWrap/>
            <w:vAlign w:val="bottom"/>
            <w:hideMark/>
          </w:tcPr>
          <w:p w14:paraId="2DD18B78"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Week</w:t>
            </w:r>
          </w:p>
        </w:tc>
        <w:tc>
          <w:tcPr>
            <w:tcW w:w="1260" w:type="dxa"/>
            <w:tcBorders>
              <w:top w:val="nil"/>
              <w:left w:val="nil"/>
              <w:bottom w:val="nil"/>
              <w:right w:val="nil"/>
            </w:tcBorders>
            <w:shd w:val="clear" w:color="auto" w:fill="auto"/>
            <w:noWrap/>
            <w:vAlign w:val="center"/>
            <w:hideMark/>
          </w:tcPr>
          <w:p w14:paraId="5AE038EF"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-0.64</w:t>
            </w:r>
          </w:p>
        </w:tc>
        <w:tc>
          <w:tcPr>
            <w:tcW w:w="1167" w:type="dxa"/>
            <w:tcBorders>
              <w:top w:val="nil"/>
              <w:left w:val="nil"/>
              <w:bottom w:val="nil"/>
              <w:right w:val="nil"/>
            </w:tcBorders>
            <w:shd w:val="clear" w:color="auto" w:fill="auto"/>
            <w:noWrap/>
            <w:vAlign w:val="center"/>
            <w:hideMark/>
          </w:tcPr>
          <w:p w14:paraId="66F50775"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14.98</w:t>
            </w:r>
          </w:p>
        </w:tc>
        <w:tc>
          <w:tcPr>
            <w:tcW w:w="1153" w:type="dxa"/>
            <w:tcBorders>
              <w:top w:val="nil"/>
              <w:left w:val="nil"/>
              <w:bottom w:val="nil"/>
              <w:right w:val="nil"/>
            </w:tcBorders>
            <w:shd w:val="clear" w:color="auto" w:fill="auto"/>
            <w:noWrap/>
            <w:vAlign w:val="center"/>
            <w:hideMark/>
          </w:tcPr>
          <w:p w14:paraId="612BFD27"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-26</w:t>
            </w:r>
          </w:p>
        </w:tc>
        <w:tc>
          <w:tcPr>
            <w:tcW w:w="1319" w:type="dxa"/>
            <w:tcBorders>
              <w:top w:val="nil"/>
              <w:left w:val="nil"/>
              <w:bottom w:val="nil"/>
              <w:right w:val="nil"/>
            </w:tcBorders>
            <w:shd w:val="clear" w:color="auto" w:fill="auto"/>
            <w:noWrap/>
            <w:vAlign w:val="center"/>
            <w:hideMark/>
          </w:tcPr>
          <w:p w14:paraId="6F9B9F5A"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25</w:t>
            </w:r>
          </w:p>
        </w:tc>
        <w:tc>
          <w:tcPr>
            <w:tcW w:w="1845" w:type="dxa"/>
            <w:tcBorders>
              <w:top w:val="nil"/>
              <w:left w:val="nil"/>
              <w:bottom w:val="nil"/>
              <w:right w:val="nil"/>
            </w:tcBorders>
            <w:shd w:val="clear" w:color="auto" w:fill="auto"/>
            <w:noWrap/>
            <w:vAlign w:val="bottom"/>
            <w:hideMark/>
          </w:tcPr>
          <w:p w14:paraId="403D25E6"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Integers</w:t>
            </w:r>
          </w:p>
        </w:tc>
        <w:tc>
          <w:tcPr>
            <w:tcW w:w="1980" w:type="dxa"/>
            <w:tcBorders>
              <w:top w:val="nil"/>
              <w:left w:val="nil"/>
              <w:bottom w:val="nil"/>
              <w:right w:val="nil"/>
            </w:tcBorders>
            <w:shd w:val="clear" w:color="auto" w:fill="auto"/>
            <w:noWrap/>
            <w:vAlign w:val="bottom"/>
            <w:hideMark/>
          </w:tcPr>
          <w:p w14:paraId="04E3B91B"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1548</w:t>
            </w:r>
          </w:p>
        </w:tc>
      </w:tr>
      <w:tr w:rsidR="002F5D47" w:rsidRPr="000B66DA" w14:paraId="4FD12979" w14:textId="77777777" w:rsidTr="00C04359">
        <w:trPr>
          <w:trHeight w:val="300"/>
        </w:trPr>
        <w:tc>
          <w:tcPr>
            <w:tcW w:w="2880" w:type="dxa"/>
            <w:tcBorders>
              <w:top w:val="nil"/>
              <w:left w:val="nil"/>
              <w:bottom w:val="nil"/>
              <w:right w:val="nil"/>
            </w:tcBorders>
            <w:shd w:val="clear" w:color="auto" w:fill="auto"/>
            <w:noWrap/>
            <w:vAlign w:val="bottom"/>
            <w:hideMark/>
          </w:tcPr>
          <w:p w14:paraId="6B6C74BB"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Strike</w:t>
            </w:r>
          </w:p>
        </w:tc>
        <w:tc>
          <w:tcPr>
            <w:tcW w:w="1260" w:type="dxa"/>
            <w:tcBorders>
              <w:top w:val="nil"/>
              <w:left w:val="nil"/>
              <w:bottom w:val="nil"/>
              <w:right w:val="nil"/>
            </w:tcBorders>
            <w:shd w:val="clear" w:color="auto" w:fill="auto"/>
            <w:noWrap/>
            <w:vAlign w:val="center"/>
            <w:hideMark/>
          </w:tcPr>
          <w:p w14:paraId="3AC7166E"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0.10</w:t>
            </w:r>
          </w:p>
        </w:tc>
        <w:tc>
          <w:tcPr>
            <w:tcW w:w="1167" w:type="dxa"/>
            <w:tcBorders>
              <w:top w:val="nil"/>
              <w:left w:val="nil"/>
              <w:bottom w:val="nil"/>
              <w:right w:val="nil"/>
            </w:tcBorders>
            <w:shd w:val="clear" w:color="auto" w:fill="auto"/>
            <w:noWrap/>
            <w:vAlign w:val="center"/>
            <w:hideMark/>
          </w:tcPr>
          <w:p w14:paraId="02B45467"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0.30</w:t>
            </w:r>
          </w:p>
        </w:tc>
        <w:tc>
          <w:tcPr>
            <w:tcW w:w="1153" w:type="dxa"/>
            <w:tcBorders>
              <w:top w:val="nil"/>
              <w:left w:val="nil"/>
              <w:bottom w:val="nil"/>
              <w:right w:val="nil"/>
            </w:tcBorders>
            <w:shd w:val="clear" w:color="auto" w:fill="auto"/>
            <w:noWrap/>
            <w:vAlign w:val="center"/>
            <w:hideMark/>
          </w:tcPr>
          <w:p w14:paraId="5B16B01C"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w:t>
            </w:r>
          </w:p>
        </w:tc>
        <w:tc>
          <w:tcPr>
            <w:tcW w:w="1319" w:type="dxa"/>
            <w:tcBorders>
              <w:top w:val="nil"/>
              <w:left w:val="nil"/>
              <w:bottom w:val="nil"/>
              <w:right w:val="nil"/>
            </w:tcBorders>
            <w:shd w:val="clear" w:color="auto" w:fill="auto"/>
            <w:noWrap/>
            <w:vAlign w:val="center"/>
            <w:hideMark/>
          </w:tcPr>
          <w:p w14:paraId="106F00F6"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w:t>
            </w:r>
          </w:p>
        </w:tc>
        <w:tc>
          <w:tcPr>
            <w:tcW w:w="1845" w:type="dxa"/>
            <w:tcBorders>
              <w:top w:val="nil"/>
              <w:left w:val="nil"/>
              <w:bottom w:val="nil"/>
              <w:right w:val="nil"/>
            </w:tcBorders>
            <w:shd w:val="clear" w:color="auto" w:fill="auto"/>
            <w:noWrap/>
            <w:vAlign w:val="bottom"/>
            <w:hideMark/>
          </w:tcPr>
          <w:p w14:paraId="0D849F3C"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Binary</w:t>
            </w:r>
          </w:p>
        </w:tc>
        <w:tc>
          <w:tcPr>
            <w:tcW w:w="1980" w:type="dxa"/>
            <w:tcBorders>
              <w:top w:val="nil"/>
              <w:left w:val="nil"/>
              <w:bottom w:val="nil"/>
              <w:right w:val="nil"/>
            </w:tcBorders>
            <w:shd w:val="clear" w:color="auto" w:fill="auto"/>
            <w:noWrap/>
            <w:vAlign w:val="bottom"/>
            <w:hideMark/>
          </w:tcPr>
          <w:p w14:paraId="33DD6750"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1548</w:t>
            </w:r>
          </w:p>
        </w:tc>
      </w:tr>
      <w:tr w:rsidR="002F5D47" w:rsidRPr="000B66DA" w14:paraId="0C427C9D" w14:textId="77777777" w:rsidTr="00C04359">
        <w:trPr>
          <w:trHeight w:val="300"/>
        </w:trPr>
        <w:tc>
          <w:tcPr>
            <w:tcW w:w="2880" w:type="dxa"/>
            <w:tcBorders>
              <w:top w:val="nil"/>
              <w:left w:val="nil"/>
              <w:bottom w:val="nil"/>
              <w:right w:val="nil"/>
            </w:tcBorders>
            <w:shd w:val="clear" w:color="auto" w:fill="auto"/>
            <w:noWrap/>
            <w:vAlign w:val="bottom"/>
            <w:hideMark/>
          </w:tcPr>
          <w:p w14:paraId="2630F6C0"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Treat</w:t>
            </w:r>
          </w:p>
        </w:tc>
        <w:tc>
          <w:tcPr>
            <w:tcW w:w="1260" w:type="dxa"/>
            <w:tcBorders>
              <w:top w:val="nil"/>
              <w:left w:val="nil"/>
              <w:bottom w:val="nil"/>
              <w:right w:val="nil"/>
            </w:tcBorders>
            <w:shd w:val="clear" w:color="auto" w:fill="auto"/>
            <w:noWrap/>
            <w:vAlign w:val="center"/>
            <w:hideMark/>
          </w:tcPr>
          <w:p w14:paraId="3F76FDE4"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0.47</w:t>
            </w:r>
          </w:p>
        </w:tc>
        <w:tc>
          <w:tcPr>
            <w:tcW w:w="1167" w:type="dxa"/>
            <w:tcBorders>
              <w:top w:val="nil"/>
              <w:left w:val="nil"/>
              <w:bottom w:val="nil"/>
              <w:right w:val="nil"/>
            </w:tcBorders>
            <w:shd w:val="clear" w:color="auto" w:fill="auto"/>
            <w:noWrap/>
            <w:vAlign w:val="center"/>
            <w:hideMark/>
          </w:tcPr>
          <w:p w14:paraId="52F6DB02"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0.50</w:t>
            </w:r>
          </w:p>
        </w:tc>
        <w:tc>
          <w:tcPr>
            <w:tcW w:w="1153" w:type="dxa"/>
            <w:tcBorders>
              <w:top w:val="nil"/>
              <w:left w:val="nil"/>
              <w:bottom w:val="nil"/>
              <w:right w:val="nil"/>
            </w:tcBorders>
            <w:shd w:val="clear" w:color="auto" w:fill="auto"/>
            <w:noWrap/>
            <w:vAlign w:val="center"/>
            <w:hideMark/>
          </w:tcPr>
          <w:p w14:paraId="633CCAFE"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w:t>
            </w:r>
          </w:p>
        </w:tc>
        <w:tc>
          <w:tcPr>
            <w:tcW w:w="1319" w:type="dxa"/>
            <w:tcBorders>
              <w:top w:val="nil"/>
              <w:left w:val="nil"/>
              <w:bottom w:val="nil"/>
              <w:right w:val="nil"/>
            </w:tcBorders>
            <w:shd w:val="clear" w:color="auto" w:fill="auto"/>
            <w:noWrap/>
            <w:vAlign w:val="center"/>
            <w:hideMark/>
          </w:tcPr>
          <w:p w14:paraId="2E44685D"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w:t>
            </w:r>
          </w:p>
        </w:tc>
        <w:tc>
          <w:tcPr>
            <w:tcW w:w="1845" w:type="dxa"/>
            <w:tcBorders>
              <w:top w:val="nil"/>
              <w:left w:val="nil"/>
              <w:bottom w:val="nil"/>
              <w:right w:val="nil"/>
            </w:tcBorders>
            <w:shd w:val="clear" w:color="auto" w:fill="auto"/>
            <w:noWrap/>
            <w:vAlign w:val="bottom"/>
            <w:hideMark/>
          </w:tcPr>
          <w:p w14:paraId="11647574"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Binary</w:t>
            </w:r>
          </w:p>
        </w:tc>
        <w:tc>
          <w:tcPr>
            <w:tcW w:w="1980" w:type="dxa"/>
            <w:tcBorders>
              <w:top w:val="nil"/>
              <w:left w:val="nil"/>
              <w:bottom w:val="nil"/>
              <w:right w:val="nil"/>
            </w:tcBorders>
            <w:shd w:val="clear" w:color="auto" w:fill="auto"/>
            <w:noWrap/>
            <w:vAlign w:val="bottom"/>
            <w:hideMark/>
          </w:tcPr>
          <w:p w14:paraId="55FAA96C"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3107</w:t>
            </w:r>
          </w:p>
        </w:tc>
      </w:tr>
      <w:tr w:rsidR="002F5D47" w:rsidRPr="000B66DA" w14:paraId="6F62B7E4" w14:textId="77777777" w:rsidTr="00C04359">
        <w:trPr>
          <w:trHeight w:val="300"/>
        </w:trPr>
        <w:tc>
          <w:tcPr>
            <w:tcW w:w="2880" w:type="dxa"/>
            <w:tcBorders>
              <w:top w:val="nil"/>
              <w:left w:val="nil"/>
              <w:bottom w:val="nil"/>
              <w:right w:val="nil"/>
            </w:tcBorders>
            <w:shd w:val="clear" w:color="auto" w:fill="auto"/>
            <w:noWrap/>
            <w:vAlign w:val="bottom"/>
            <w:hideMark/>
          </w:tcPr>
          <w:p w14:paraId="6DB3477C"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Strike × Treat</w:t>
            </w:r>
          </w:p>
        </w:tc>
        <w:tc>
          <w:tcPr>
            <w:tcW w:w="1260" w:type="dxa"/>
            <w:tcBorders>
              <w:top w:val="nil"/>
              <w:left w:val="nil"/>
              <w:bottom w:val="nil"/>
              <w:right w:val="nil"/>
            </w:tcBorders>
            <w:shd w:val="clear" w:color="auto" w:fill="auto"/>
            <w:noWrap/>
            <w:vAlign w:val="center"/>
            <w:hideMark/>
          </w:tcPr>
          <w:p w14:paraId="11CA3F95"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0.04</w:t>
            </w:r>
          </w:p>
        </w:tc>
        <w:tc>
          <w:tcPr>
            <w:tcW w:w="1167" w:type="dxa"/>
            <w:tcBorders>
              <w:top w:val="nil"/>
              <w:left w:val="nil"/>
              <w:bottom w:val="nil"/>
              <w:right w:val="nil"/>
            </w:tcBorders>
            <w:shd w:val="clear" w:color="auto" w:fill="auto"/>
            <w:noWrap/>
            <w:vAlign w:val="center"/>
            <w:hideMark/>
          </w:tcPr>
          <w:p w14:paraId="16F60163"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0.21</w:t>
            </w:r>
          </w:p>
        </w:tc>
        <w:tc>
          <w:tcPr>
            <w:tcW w:w="1153" w:type="dxa"/>
            <w:tcBorders>
              <w:top w:val="nil"/>
              <w:left w:val="nil"/>
              <w:bottom w:val="nil"/>
              <w:right w:val="nil"/>
            </w:tcBorders>
            <w:shd w:val="clear" w:color="auto" w:fill="auto"/>
            <w:noWrap/>
            <w:vAlign w:val="center"/>
            <w:hideMark/>
          </w:tcPr>
          <w:p w14:paraId="769FE6AA"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w:t>
            </w:r>
          </w:p>
        </w:tc>
        <w:tc>
          <w:tcPr>
            <w:tcW w:w="1319" w:type="dxa"/>
            <w:tcBorders>
              <w:top w:val="nil"/>
              <w:left w:val="nil"/>
              <w:bottom w:val="nil"/>
              <w:right w:val="nil"/>
            </w:tcBorders>
            <w:shd w:val="clear" w:color="auto" w:fill="auto"/>
            <w:noWrap/>
            <w:vAlign w:val="center"/>
            <w:hideMark/>
          </w:tcPr>
          <w:p w14:paraId="6F60EE55"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w:t>
            </w:r>
          </w:p>
        </w:tc>
        <w:tc>
          <w:tcPr>
            <w:tcW w:w="1845" w:type="dxa"/>
            <w:tcBorders>
              <w:top w:val="nil"/>
              <w:left w:val="nil"/>
              <w:bottom w:val="nil"/>
              <w:right w:val="nil"/>
            </w:tcBorders>
            <w:shd w:val="clear" w:color="auto" w:fill="auto"/>
            <w:noWrap/>
            <w:vAlign w:val="bottom"/>
            <w:hideMark/>
          </w:tcPr>
          <w:p w14:paraId="74A42657"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Binary</w:t>
            </w:r>
          </w:p>
        </w:tc>
        <w:tc>
          <w:tcPr>
            <w:tcW w:w="1980" w:type="dxa"/>
            <w:tcBorders>
              <w:top w:val="nil"/>
              <w:left w:val="nil"/>
              <w:bottom w:val="nil"/>
              <w:right w:val="nil"/>
            </w:tcBorders>
            <w:shd w:val="clear" w:color="auto" w:fill="auto"/>
            <w:noWrap/>
            <w:vAlign w:val="bottom"/>
            <w:hideMark/>
          </w:tcPr>
          <w:p w14:paraId="585FD45C"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1548</w:t>
            </w:r>
          </w:p>
        </w:tc>
      </w:tr>
      <w:tr w:rsidR="002F5D47" w:rsidRPr="000B66DA" w14:paraId="1F5D14E2" w14:textId="77777777" w:rsidTr="00C04359">
        <w:trPr>
          <w:trHeight w:val="300"/>
        </w:trPr>
        <w:tc>
          <w:tcPr>
            <w:tcW w:w="2880" w:type="dxa"/>
            <w:tcBorders>
              <w:top w:val="nil"/>
              <w:left w:val="nil"/>
              <w:bottom w:val="nil"/>
              <w:right w:val="nil"/>
            </w:tcBorders>
            <w:shd w:val="clear" w:color="auto" w:fill="auto"/>
            <w:noWrap/>
            <w:vAlign w:val="bottom"/>
            <w:hideMark/>
          </w:tcPr>
          <w:p w14:paraId="3935AA4D"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Strike × Week</w:t>
            </w:r>
          </w:p>
        </w:tc>
        <w:tc>
          <w:tcPr>
            <w:tcW w:w="1260" w:type="dxa"/>
            <w:tcBorders>
              <w:top w:val="nil"/>
              <w:left w:val="nil"/>
              <w:bottom w:val="nil"/>
              <w:right w:val="nil"/>
            </w:tcBorders>
            <w:shd w:val="clear" w:color="auto" w:fill="auto"/>
            <w:noWrap/>
            <w:vAlign w:val="center"/>
            <w:hideMark/>
          </w:tcPr>
          <w:p w14:paraId="5AD32B35"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0.19</w:t>
            </w:r>
          </w:p>
        </w:tc>
        <w:tc>
          <w:tcPr>
            <w:tcW w:w="1167" w:type="dxa"/>
            <w:tcBorders>
              <w:top w:val="nil"/>
              <w:left w:val="nil"/>
              <w:bottom w:val="nil"/>
              <w:right w:val="nil"/>
            </w:tcBorders>
            <w:shd w:val="clear" w:color="auto" w:fill="auto"/>
            <w:noWrap/>
            <w:vAlign w:val="center"/>
            <w:hideMark/>
          </w:tcPr>
          <w:p w14:paraId="722D64EC"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0.73</w:t>
            </w:r>
          </w:p>
        </w:tc>
        <w:tc>
          <w:tcPr>
            <w:tcW w:w="1153" w:type="dxa"/>
            <w:tcBorders>
              <w:top w:val="nil"/>
              <w:left w:val="nil"/>
              <w:bottom w:val="nil"/>
              <w:right w:val="nil"/>
            </w:tcBorders>
            <w:shd w:val="clear" w:color="auto" w:fill="auto"/>
            <w:noWrap/>
            <w:vAlign w:val="center"/>
            <w:hideMark/>
          </w:tcPr>
          <w:p w14:paraId="52859550"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w:t>
            </w:r>
          </w:p>
        </w:tc>
        <w:tc>
          <w:tcPr>
            <w:tcW w:w="1319" w:type="dxa"/>
            <w:tcBorders>
              <w:top w:val="nil"/>
              <w:left w:val="nil"/>
              <w:bottom w:val="nil"/>
              <w:right w:val="nil"/>
            </w:tcBorders>
            <w:shd w:val="clear" w:color="auto" w:fill="auto"/>
            <w:noWrap/>
            <w:vAlign w:val="center"/>
            <w:hideMark/>
          </w:tcPr>
          <w:p w14:paraId="69BE0756"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4</w:t>
            </w:r>
          </w:p>
        </w:tc>
        <w:tc>
          <w:tcPr>
            <w:tcW w:w="1845" w:type="dxa"/>
            <w:tcBorders>
              <w:top w:val="nil"/>
              <w:left w:val="nil"/>
              <w:bottom w:val="nil"/>
              <w:right w:val="nil"/>
            </w:tcBorders>
            <w:shd w:val="clear" w:color="auto" w:fill="auto"/>
            <w:noWrap/>
            <w:vAlign w:val="bottom"/>
            <w:hideMark/>
          </w:tcPr>
          <w:p w14:paraId="3A2C4FF3"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Integers</w:t>
            </w:r>
          </w:p>
        </w:tc>
        <w:tc>
          <w:tcPr>
            <w:tcW w:w="1980" w:type="dxa"/>
            <w:tcBorders>
              <w:top w:val="nil"/>
              <w:left w:val="nil"/>
              <w:bottom w:val="nil"/>
              <w:right w:val="nil"/>
            </w:tcBorders>
            <w:shd w:val="clear" w:color="auto" w:fill="auto"/>
            <w:noWrap/>
            <w:vAlign w:val="bottom"/>
            <w:hideMark/>
          </w:tcPr>
          <w:p w14:paraId="5103F1B9"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1548</w:t>
            </w:r>
          </w:p>
        </w:tc>
      </w:tr>
      <w:tr w:rsidR="002F5D47" w:rsidRPr="000B66DA" w14:paraId="130995EF" w14:textId="77777777" w:rsidTr="00C04359">
        <w:trPr>
          <w:trHeight w:val="300"/>
        </w:trPr>
        <w:tc>
          <w:tcPr>
            <w:tcW w:w="2880" w:type="dxa"/>
            <w:tcBorders>
              <w:top w:val="nil"/>
              <w:left w:val="nil"/>
              <w:bottom w:val="nil"/>
              <w:right w:val="nil"/>
            </w:tcBorders>
            <w:shd w:val="clear" w:color="auto" w:fill="auto"/>
            <w:noWrap/>
            <w:vAlign w:val="bottom"/>
            <w:hideMark/>
          </w:tcPr>
          <w:p w14:paraId="50F6F14D"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Treat × Week</w:t>
            </w:r>
          </w:p>
        </w:tc>
        <w:tc>
          <w:tcPr>
            <w:tcW w:w="1260" w:type="dxa"/>
            <w:tcBorders>
              <w:top w:val="nil"/>
              <w:left w:val="nil"/>
              <w:bottom w:val="nil"/>
              <w:right w:val="nil"/>
            </w:tcBorders>
            <w:shd w:val="clear" w:color="auto" w:fill="auto"/>
            <w:noWrap/>
            <w:vAlign w:val="center"/>
            <w:hideMark/>
          </w:tcPr>
          <w:p w14:paraId="2C93F097"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-0.25</w:t>
            </w:r>
          </w:p>
        </w:tc>
        <w:tc>
          <w:tcPr>
            <w:tcW w:w="1167" w:type="dxa"/>
            <w:tcBorders>
              <w:top w:val="nil"/>
              <w:left w:val="nil"/>
              <w:bottom w:val="nil"/>
              <w:right w:val="nil"/>
            </w:tcBorders>
            <w:shd w:val="clear" w:color="auto" w:fill="auto"/>
            <w:noWrap/>
            <w:vAlign w:val="center"/>
            <w:hideMark/>
          </w:tcPr>
          <w:p w14:paraId="42818D9F"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10.28</w:t>
            </w:r>
          </w:p>
        </w:tc>
        <w:tc>
          <w:tcPr>
            <w:tcW w:w="1153" w:type="dxa"/>
            <w:tcBorders>
              <w:top w:val="nil"/>
              <w:left w:val="nil"/>
              <w:bottom w:val="nil"/>
              <w:right w:val="nil"/>
            </w:tcBorders>
            <w:shd w:val="clear" w:color="auto" w:fill="auto"/>
            <w:noWrap/>
            <w:vAlign w:val="center"/>
            <w:hideMark/>
          </w:tcPr>
          <w:p w14:paraId="7F22F283"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-26</w:t>
            </w:r>
          </w:p>
        </w:tc>
        <w:tc>
          <w:tcPr>
            <w:tcW w:w="1319" w:type="dxa"/>
            <w:tcBorders>
              <w:top w:val="nil"/>
              <w:left w:val="nil"/>
              <w:bottom w:val="nil"/>
              <w:right w:val="nil"/>
            </w:tcBorders>
            <w:shd w:val="clear" w:color="auto" w:fill="auto"/>
            <w:noWrap/>
            <w:vAlign w:val="center"/>
            <w:hideMark/>
          </w:tcPr>
          <w:p w14:paraId="7ABE7F0D"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25</w:t>
            </w:r>
          </w:p>
        </w:tc>
        <w:tc>
          <w:tcPr>
            <w:tcW w:w="1845" w:type="dxa"/>
            <w:tcBorders>
              <w:top w:val="nil"/>
              <w:left w:val="nil"/>
              <w:bottom w:val="nil"/>
              <w:right w:val="nil"/>
            </w:tcBorders>
            <w:shd w:val="clear" w:color="auto" w:fill="auto"/>
            <w:noWrap/>
            <w:vAlign w:val="bottom"/>
            <w:hideMark/>
          </w:tcPr>
          <w:p w14:paraId="791D127A"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Integers</w:t>
            </w:r>
          </w:p>
        </w:tc>
        <w:tc>
          <w:tcPr>
            <w:tcW w:w="1980" w:type="dxa"/>
            <w:tcBorders>
              <w:top w:val="nil"/>
              <w:left w:val="nil"/>
              <w:bottom w:val="nil"/>
              <w:right w:val="nil"/>
            </w:tcBorders>
            <w:shd w:val="clear" w:color="auto" w:fill="auto"/>
            <w:noWrap/>
            <w:vAlign w:val="bottom"/>
            <w:hideMark/>
          </w:tcPr>
          <w:p w14:paraId="6B5ABCCB"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1548</w:t>
            </w:r>
          </w:p>
        </w:tc>
      </w:tr>
      <w:tr w:rsidR="002F5D47" w:rsidRPr="000B66DA" w14:paraId="1127A0F6" w14:textId="77777777" w:rsidTr="00C04359">
        <w:trPr>
          <w:trHeight w:val="320"/>
        </w:trPr>
        <w:tc>
          <w:tcPr>
            <w:tcW w:w="2880" w:type="dxa"/>
            <w:tcBorders>
              <w:top w:val="nil"/>
              <w:left w:val="nil"/>
              <w:bottom w:val="double" w:sz="6" w:space="0" w:color="auto"/>
              <w:right w:val="nil"/>
            </w:tcBorders>
            <w:shd w:val="clear" w:color="auto" w:fill="auto"/>
            <w:noWrap/>
            <w:vAlign w:val="bottom"/>
            <w:hideMark/>
          </w:tcPr>
          <w:p w14:paraId="71C9B1BC"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Strike × Treat × Week</w:t>
            </w:r>
          </w:p>
        </w:tc>
        <w:tc>
          <w:tcPr>
            <w:tcW w:w="1260" w:type="dxa"/>
            <w:tcBorders>
              <w:top w:val="nil"/>
              <w:left w:val="nil"/>
              <w:bottom w:val="double" w:sz="6" w:space="0" w:color="auto"/>
              <w:right w:val="nil"/>
            </w:tcBorders>
            <w:shd w:val="clear" w:color="auto" w:fill="auto"/>
            <w:noWrap/>
            <w:vAlign w:val="center"/>
            <w:hideMark/>
          </w:tcPr>
          <w:p w14:paraId="61B4772D"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0.09</w:t>
            </w:r>
          </w:p>
        </w:tc>
        <w:tc>
          <w:tcPr>
            <w:tcW w:w="1167" w:type="dxa"/>
            <w:tcBorders>
              <w:top w:val="nil"/>
              <w:left w:val="nil"/>
              <w:bottom w:val="double" w:sz="6" w:space="0" w:color="auto"/>
              <w:right w:val="nil"/>
            </w:tcBorders>
            <w:shd w:val="clear" w:color="auto" w:fill="auto"/>
            <w:noWrap/>
            <w:vAlign w:val="center"/>
            <w:hideMark/>
          </w:tcPr>
          <w:p w14:paraId="634CD92E"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0.50</w:t>
            </w:r>
          </w:p>
        </w:tc>
        <w:tc>
          <w:tcPr>
            <w:tcW w:w="1153" w:type="dxa"/>
            <w:tcBorders>
              <w:top w:val="nil"/>
              <w:left w:val="nil"/>
              <w:bottom w:val="double" w:sz="6" w:space="0" w:color="auto"/>
              <w:right w:val="nil"/>
            </w:tcBorders>
            <w:shd w:val="clear" w:color="auto" w:fill="auto"/>
            <w:noWrap/>
            <w:vAlign w:val="center"/>
            <w:hideMark/>
          </w:tcPr>
          <w:p w14:paraId="16349FC4"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0</w:t>
            </w:r>
          </w:p>
        </w:tc>
        <w:tc>
          <w:tcPr>
            <w:tcW w:w="1319" w:type="dxa"/>
            <w:tcBorders>
              <w:top w:val="nil"/>
              <w:left w:val="nil"/>
              <w:bottom w:val="double" w:sz="6" w:space="0" w:color="auto"/>
              <w:right w:val="nil"/>
            </w:tcBorders>
            <w:shd w:val="clear" w:color="auto" w:fill="auto"/>
            <w:noWrap/>
            <w:vAlign w:val="center"/>
            <w:hideMark/>
          </w:tcPr>
          <w:p w14:paraId="7BE1E4D0" w14:textId="77777777" w:rsidR="002F5D47" w:rsidRPr="000B66DA" w:rsidRDefault="002F5D47" w:rsidP="00C04359">
            <w:pPr>
              <w:jc w:val="center"/>
              <w:rPr>
                <w:rFonts w:ascii="Calibri" w:eastAsia="Times New Roman" w:hAnsi="Calibri" w:cs="Times New Roman"/>
                <w:color w:val="000000"/>
              </w:rPr>
            </w:pPr>
            <w:r w:rsidRPr="000B66DA">
              <w:rPr>
                <w:rFonts w:ascii="Calibri" w:eastAsia="Times New Roman" w:hAnsi="Calibri" w:cs="Times New Roman"/>
                <w:color w:val="000000"/>
              </w:rPr>
              <w:t>4</w:t>
            </w:r>
          </w:p>
        </w:tc>
        <w:tc>
          <w:tcPr>
            <w:tcW w:w="1845" w:type="dxa"/>
            <w:tcBorders>
              <w:top w:val="nil"/>
              <w:left w:val="nil"/>
              <w:bottom w:val="double" w:sz="6" w:space="0" w:color="auto"/>
              <w:right w:val="nil"/>
            </w:tcBorders>
            <w:shd w:val="clear" w:color="auto" w:fill="auto"/>
            <w:noWrap/>
            <w:vAlign w:val="bottom"/>
            <w:hideMark/>
          </w:tcPr>
          <w:p w14:paraId="2413EBC3" w14:textId="77777777" w:rsidR="002F5D47" w:rsidRPr="000B66DA" w:rsidRDefault="002F5D47" w:rsidP="00C04359">
            <w:pPr>
              <w:rPr>
                <w:rFonts w:ascii="Calibri" w:eastAsia="Times New Roman" w:hAnsi="Calibri" w:cs="Times New Roman"/>
                <w:color w:val="000000"/>
              </w:rPr>
            </w:pPr>
            <w:r w:rsidRPr="000B66DA">
              <w:rPr>
                <w:rFonts w:ascii="Calibri" w:eastAsia="Times New Roman" w:hAnsi="Calibri" w:cs="Times New Roman"/>
                <w:color w:val="000000"/>
              </w:rPr>
              <w:t>Integers</w:t>
            </w:r>
          </w:p>
        </w:tc>
        <w:tc>
          <w:tcPr>
            <w:tcW w:w="1980" w:type="dxa"/>
            <w:tcBorders>
              <w:top w:val="nil"/>
              <w:left w:val="nil"/>
              <w:bottom w:val="double" w:sz="6" w:space="0" w:color="auto"/>
              <w:right w:val="nil"/>
            </w:tcBorders>
            <w:shd w:val="clear" w:color="auto" w:fill="auto"/>
            <w:noWrap/>
            <w:vAlign w:val="bottom"/>
            <w:hideMark/>
          </w:tcPr>
          <w:p w14:paraId="2B485668" w14:textId="77777777" w:rsidR="002F5D47" w:rsidRPr="000B66DA" w:rsidRDefault="002F5D47" w:rsidP="00C04359">
            <w:pPr>
              <w:jc w:val="right"/>
              <w:rPr>
                <w:rFonts w:ascii="Calibri" w:eastAsia="Times New Roman" w:hAnsi="Calibri" w:cs="Times New Roman"/>
                <w:color w:val="000000"/>
              </w:rPr>
            </w:pPr>
            <w:r w:rsidRPr="000B66DA">
              <w:rPr>
                <w:rFonts w:ascii="Calibri" w:eastAsia="Times New Roman" w:hAnsi="Calibri" w:cs="Times New Roman"/>
                <w:color w:val="000000"/>
              </w:rPr>
              <w:t>1548</w:t>
            </w:r>
          </w:p>
        </w:tc>
      </w:tr>
      <w:tr w:rsidR="002F5D47" w:rsidRPr="000B66DA" w14:paraId="714F5A30" w14:textId="77777777" w:rsidTr="00C04359">
        <w:trPr>
          <w:trHeight w:val="300"/>
        </w:trPr>
        <w:tc>
          <w:tcPr>
            <w:tcW w:w="11604" w:type="dxa"/>
            <w:gridSpan w:val="7"/>
            <w:tcBorders>
              <w:top w:val="double" w:sz="6" w:space="0" w:color="auto"/>
              <w:left w:val="nil"/>
              <w:bottom w:val="nil"/>
              <w:right w:val="nil"/>
            </w:tcBorders>
            <w:shd w:val="clear" w:color="auto" w:fill="auto"/>
            <w:vAlign w:val="bottom"/>
            <w:hideMark/>
          </w:tcPr>
          <w:p w14:paraId="3856B44A" w14:textId="77777777" w:rsidR="002F5D47" w:rsidRPr="000B66DA" w:rsidRDefault="002F5D47" w:rsidP="00C04359">
            <w:pPr>
              <w:rPr>
                <w:rFonts w:ascii="Calibri" w:eastAsia="Times New Roman" w:hAnsi="Calibri" w:cs="Times New Roman"/>
                <w:color w:val="000000"/>
                <w:sz w:val="16"/>
                <w:szCs w:val="16"/>
              </w:rPr>
            </w:pPr>
            <w:r w:rsidRPr="000B66DA">
              <w:rPr>
                <w:rFonts w:ascii="Calibri" w:eastAsia="Times New Roman" w:hAnsi="Calibri" w:cs="Times New Roman"/>
                <w:color w:val="000000"/>
                <w:sz w:val="16"/>
                <w:szCs w:val="16"/>
              </w:rPr>
              <w:lastRenderedPageBreak/>
              <w:t>For all 30 monitors in Los Angeles, Orange, Kern and Ventura counties. Observations are at the week-monitor level for April 15, 2002 - April 13, 2003 and April 15, 2003 - April 13, 2004.</w:t>
            </w:r>
          </w:p>
        </w:tc>
      </w:tr>
    </w:tbl>
    <w:p w14:paraId="0C43E571" w14:textId="77777777" w:rsidR="002F5D47" w:rsidRDefault="002F5D47" w:rsidP="002F5D47">
      <w:pPr>
        <w:spacing w:line="480" w:lineRule="auto"/>
        <w:jc w:val="both"/>
      </w:pPr>
    </w:p>
    <w:p w14:paraId="23C5D939" w14:textId="77777777" w:rsidR="002F5D47" w:rsidRDefault="002F5D47" w:rsidP="002F5D47">
      <w:pPr>
        <w:spacing w:line="480" w:lineRule="auto"/>
        <w:ind w:firstLine="360"/>
        <w:jc w:val="both"/>
      </w:pPr>
    </w:p>
    <w:p w14:paraId="782B29E2" w14:textId="77777777" w:rsidR="002F5D47" w:rsidRDefault="002F5D47" w:rsidP="002F5D47">
      <w:pPr>
        <w:spacing w:line="480" w:lineRule="auto"/>
        <w:ind w:firstLine="360"/>
        <w:jc w:val="both"/>
      </w:pPr>
    </w:p>
    <w:p w14:paraId="2AF2BC90" w14:textId="77777777" w:rsidR="002F5D47" w:rsidRDefault="002F5D47" w:rsidP="002F5D47">
      <w:pPr>
        <w:spacing w:line="480" w:lineRule="auto"/>
        <w:ind w:firstLine="360"/>
        <w:jc w:val="both"/>
      </w:pPr>
    </w:p>
    <w:p w14:paraId="3D38A4B9" w14:textId="77777777" w:rsidR="002F5D47" w:rsidRDefault="002F5D47" w:rsidP="002F5D47">
      <w:pPr>
        <w:spacing w:line="480" w:lineRule="auto"/>
        <w:ind w:firstLine="360"/>
        <w:jc w:val="both"/>
      </w:pPr>
    </w:p>
    <w:p w14:paraId="411420D4" w14:textId="77777777" w:rsidR="002F5D47" w:rsidRDefault="002F5D47" w:rsidP="002F5D47">
      <w:pPr>
        <w:spacing w:line="480" w:lineRule="auto"/>
        <w:ind w:firstLine="360"/>
        <w:jc w:val="both"/>
      </w:pPr>
    </w:p>
    <w:p w14:paraId="3C3C33C4" w14:textId="77777777" w:rsidR="002F5D47" w:rsidRDefault="002F5D47" w:rsidP="002F5D47">
      <w:pPr>
        <w:spacing w:line="480" w:lineRule="auto"/>
        <w:ind w:firstLine="360"/>
        <w:jc w:val="both"/>
      </w:pPr>
    </w:p>
    <w:p w14:paraId="6C9ABC5E" w14:textId="77777777" w:rsidR="002F5D47" w:rsidRDefault="002F5D47" w:rsidP="002F5D47">
      <w:pPr>
        <w:spacing w:line="480" w:lineRule="auto"/>
        <w:ind w:firstLine="360"/>
        <w:jc w:val="both"/>
      </w:pPr>
    </w:p>
    <w:p w14:paraId="07395E02" w14:textId="77777777" w:rsidR="002F5D47" w:rsidRDefault="002F5D47" w:rsidP="002F5D47">
      <w:pPr>
        <w:spacing w:line="480" w:lineRule="auto"/>
        <w:ind w:firstLine="360"/>
        <w:jc w:val="both"/>
      </w:pPr>
    </w:p>
    <w:p w14:paraId="3ED82FF2" w14:textId="77777777" w:rsidR="002F5D47" w:rsidRDefault="002F5D47" w:rsidP="002F5D47">
      <w:pPr>
        <w:spacing w:line="480" w:lineRule="auto"/>
        <w:ind w:firstLine="360"/>
        <w:jc w:val="both"/>
      </w:pPr>
    </w:p>
    <w:p w14:paraId="06B419C1" w14:textId="77777777" w:rsidR="002F5D47" w:rsidRDefault="002F5D47" w:rsidP="002F5D47">
      <w:pPr>
        <w:spacing w:line="480" w:lineRule="auto"/>
        <w:ind w:firstLine="360"/>
        <w:jc w:val="both"/>
      </w:pPr>
    </w:p>
    <w:tbl>
      <w:tblPr>
        <w:tblpPr w:leftFromText="180" w:rightFromText="180" w:vertAnchor="text" w:horzAnchor="margin" w:tblpXSpec="center" w:tblpY="286"/>
        <w:tblW w:w="10657" w:type="dxa"/>
        <w:tblLook w:val="04A0" w:firstRow="1" w:lastRow="0" w:firstColumn="1" w:lastColumn="0" w:noHBand="0" w:noVBand="1"/>
      </w:tblPr>
      <w:tblGrid>
        <w:gridCol w:w="1728"/>
        <w:gridCol w:w="1149"/>
        <w:gridCol w:w="1821"/>
        <w:gridCol w:w="1350"/>
        <w:gridCol w:w="1510"/>
        <w:gridCol w:w="1405"/>
        <w:gridCol w:w="843"/>
        <w:gridCol w:w="851"/>
      </w:tblGrid>
      <w:tr w:rsidR="002F5D47" w:rsidRPr="00070557" w14:paraId="07DB54FB" w14:textId="77777777" w:rsidTr="00C04359">
        <w:trPr>
          <w:trHeight w:val="396"/>
        </w:trPr>
        <w:tc>
          <w:tcPr>
            <w:tcW w:w="10657" w:type="dxa"/>
            <w:gridSpan w:val="8"/>
            <w:tcBorders>
              <w:top w:val="nil"/>
              <w:left w:val="nil"/>
              <w:bottom w:val="single" w:sz="8" w:space="0" w:color="auto"/>
              <w:right w:val="nil"/>
            </w:tcBorders>
            <w:shd w:val="clear" w:color="auto" w:fill="auto"/>
            <w:vAlign w:val="center"/>
            <w:hideMark/>
          </w:tcPr>
          <w:p w14:paraId="464CB57D" w14:textId="77777777" w:rsidR="002F5D47" w:rsidRPr="000701CF" w:rsidRDefault="002F5D47" w:rsidP="00C04359">
            <w:pPr>
              <w:jc w:val="center"/>
              <w:rPr>
                <w:rFonts w:eastAsia="Times New Roman" w:cs="Times New Roman"/>
                <w:b/>
                <w:bCs/>
                <w:color w:val="000000"/>
              </w:rPr>
            </w:pPr>
            <w:r w:rsidRPr="000701CF">
              <w:rPr>
                <w:rFonts w:eastAsia="Times New Roman" w:cs="Times New Roman"/>
                <w:b/>
                <w:bCs/>
                <w:color w:val="000000"/>
              </w:rPr>
              <w:t>Table 3</w:t>
            </w:r>
            <w:r w:rsidRPr="000701CF">
              <w:rPr>
                <w:rFonts w:eastAsia="Times New Roman" w:cs="Times New Roman"/>
                <w:b/>
                <w:bCs/>
                <w:color w:val="000000"/>
              </w:rPr>
              <w:br/>
              <w:t>Five-Week Averages for 2003</w:t>
            </w:r>
          </w:p>
        </w:tc>
      </w:tr>
      <w:tr w:rsidR="002F5D47" w:rsidRPr="00070557" w14:paraId="0294DDD9" w14:textId="77777777" w:rsidTr="007D1283">
        <w:trPr>
          <w:trHeight w:val="220"/>
        </w:trPr>
        <w:tc>
          <w:tcPr>
            <w:tcW w:w="1728" w:type="dxa"/>
            <w:tcBorders>
              <w:top w:val="nil"/>
              <w:left w:val="nil"/>
              <w:bottom w:val="nil"/>
              <w:right w:val="nil"/>
            </w:tcBorders>
            <w:shd w:val="clear" w:color="auto" w:fill="auto"/>
            <w:noWrap/>
            <w:vAlign w:val="bottom"/>
            <w:hideMark/>
          </w:tcPr>
          <w:p w14:paraId="0457C920" w14:textId="77777777" w:rsidR="002F5D47" w:rsidRPr="00B60F79" w:rsidRDefault="002F5D47" w:rsidP="00C04359">
            <w:pPr>
              <w:jc w:val="center"/>
              <w:rPr>
                <w:rFonts w:ascii="Calibri" w:eastAsia="Times New Roman" w:hAnsi="Calibri" w:cs="Times New Roman"/>
                <w:b/>
                <w:bCs/>
                <w:color w:val="000000"/>
                <w:sz w:val="22"/>
                <w:szCs w:val="22"/>
              </w:rPr>
            </w:pPr>
          </w:p>
        </w:tc>
        <w:tc>
          <w:tcPr>
            <w:tcW w:w="1149" w:type="dxa"/>
            <w:tcBorders>
              <w:top w:val="nil"/>
              <w:left w:val="nil"/>
              <w:bottom w:val="nil"/>
              <w:right w:val="nil"/>
            </w:tcBorders>
            <w:shd w:val="clear" w:color="auto" w:fill="auto"/>
            <w:noWrap/>
            <w:vAlign w:val="center"/>
            <w:hideMark/>
          </w:tcPr>
          <w:p w14:paraId="36CB7CFC"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(1)</w:t>
            </w:r>
          </w:p>
        </w:tc>
        <w:tc>
          <w:tcPr>
            <w:tcW w:w="1821" w:type="dxa"/>
            <w:tcBorders>
              <w:top w:val="nil"/>
              <w:left w:val="nil"/>
              <w:bottom w:val="nil"/>
              <w:right w:val="nil"/>
            </w:tcBorders>
            <w:shd w:val="clear" w:color="auto" w:fill="auto"/>
            <w:noWrap/>
            <w:vAlign w:val="center"/>
            <w:hideMark/>
          </w:tcPr>
          <w:p w14:paraId="37869767"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(2)</w:t>
            </w:r>
          </w:p>
        </w:tc>
        <w:tc>
          <w:tcPr>
            <w:tcW w:w="1350" w:type="dxa"/>
            <w:tcBorders>
              <w:top w:val="nil"/>
              <w:left w:val="nil"/>
              <w:bottom w:val="nil"/>
              <w:right w:val="nil"/>
            </w:tcBorders>
            <w:shd w:val="clear" w:color="auto" w:fill="auto"/>
            <w:noWrap/>
            <w:vAlign w:val="center"/>
            <w:hideMark/>
          </w:tcPr>
          <w:p w14:paraId="416B2BAD"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(3)</w:t>
            </w:r>
          </w:p>
        </w:tc>
        <w:tc>
          <w:tcPr>
            <w:tcW w:w="1510" w:type="dxa"/>
            <w:tcBorders>
              <w:top w:val="nil"/>
              <w:left w:val="nil"/>
              <w:bottom w:val="nil"/>
              <w:right w:val="nil"/>
            </w:tcBorders>
            <w:shd w:val="clear" w:color="auto" w:fill="auto"/>
            <w:noWrap/>
            <w:vAlign w:val="center"/>
            <w:hideMark/>
          </w:tcPr>
          <w:p w14:paraId="47775CD8"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(4)</w:t>
            </w:r>
          </w:p>
        </w:tc>
        <w:tc>
          <w:tcPr>
            <w:tcW w:w="1405" w:type="dxa"/>
            <w:tcBorders>
              <w:top w:val="nil"/>
              <w:left w:val="nil"/>
              <w:bottom w:val="nil"/>
              <w:right w:val="nil"/>
            </w:tcBorders>
            <w:shd w:val="clear" w:color="auto" w:fill="auto"/>
            <w:noWrap/>
            <w:vAlign w:val="center"/>
            <w:hideMark/>
          </w:tcPr>
          <w:p w14:paraId="4931B1DF"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(5)</w:t>
            </w:r>
          </w:p>
        </w:tc>
        <w:tc>
          <w:tcPr>
            <w:tcW w:w="843" w:type="dxa"/>
            <w:tcBorders>
              <w:top w:val="nil"/>
              <w:left w:val="nil"/>
              <w:bottom w:val="nil"/>
              <w:right w:val="nil"/>
            </w:tcBorders>
            <w:shd w:val="clear" w:color="auto" w:fill="auto"/>
            <w:noWrap/>
            <w:vAlign w:val="center"/>
            <w:hideMark/>
          </w:tcPr>
          <w:p w14:paraId="128184F7"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(6)</w:t>
            </w:r>
          </w:p>
        </w:tc>
        <w:tc>
          <w:tcPr>
            <w:tcW w:w="851" w:type="dxa"/>
            <w:tcBorders>
              <w:top w:val="nil"/>
              <w:left w:val="nil"/>
              <w:bottom w:val="nil"/>
              <w:right w:val="nil"/>
            </w:tcBorders>
            <w:shd w:val="clear" w:color="auto" w:fill="auto"/>
            <w:noWrap/>
            <w:vAlign w:val="center"/>
            <w:hideMark/>
          </w:tcPr>
          <w:p w14:paraId="0DD6C01D"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(7)</w:t>
            </w:r>
          </w:p>
        </w:tc>
      </w:tr>
      <w:tr w:rsidR="002F5D47" w:rsidRPr="00070557" w14:paraId="26BF9C78" w14:textId="77777777" w:rsidTr="007D1283">
        <w:trPr>
          <w:trHeight w:val="230"/>
        </w:trPr>
        <w:tc>
          <w:tcPr>
            <w:tcW w:w="1728" w:type="dxa"/>
            <w:tcBorders>
              <w:top w:val="nil"/>
              <w:left w:val="nil"/>
              <w:bottom w:val="double" w:sz="6" w:space="0" w:color="auto"/>
              <w:right w:val="nil"/>
            </w:tcBorders>
            <w:shd w:val="clear" w:color="auto" w:fill="auto"/>
            <w:noWrap/>
            <w:vAlign w:val="bottom"/>
            <w:hideMark/>
          </w:tcPr>
          <w:p w14:paraId="240F81FC" w14:textId="2C4045E3" w:rsidR="002F5D47" w:rsidRPr="005B6F75" w:rsidRDefault="005B6F75" w:rsidP="00C04359">
            <w:pPr>
              <w:rPr>
                <w:rFonts w:ascii="Calibri" w:eastAsia="Times New Roman" w:hAnsi="Calibri" w:cs="Times New Roman"/>
                <w:bCs/>
                <w:color w:val="000000"/>
                <w:sz w:val="22"/>
                <w:szCs w:val="22"/>
              </w:rPr>
            </w:pPr>
            <w:r w:rsidRPr="005B6F75">
              <w:rPr>
                <w:rFonts w:ascii="Calibri" w:eastAsia="Times New Roman" w:hAnsi="Calibri" w:cs="Times New Roman"/>
                <w:bCs/>
                <w:color w:val="000000"/>
              </w:rPr>
              <w:t>Variable</w:t>
            </w:r>
          </w:p>
        </w:tc>
        <w:tc>
          <w:tcPr>
            <w:tcW w:w="1149" w:type="dxa"/>
            <w:tcBorders>
              <w:top w:val="nil"/>
              <w:left w:val="nil"/>
              <w:bottom w:val="double" w:sz="6" w:space="0" w:color="auto"/>
              <w:right w:val="nil"/>
            </w:tcBorders>
            <w:shd w:val="clear" w:color="auto" w:fill="auto"/>
            <w:noWrap/>
            <w:vAlign w:val="center"/>
            <w:hideMark/>
          </w:tcPr>
          <w:p w14:paraId="01FA643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xml:space="preserve"> 9/9/03 - 10/13/03</w:t>
            </w:r>
          </w:p>
        </w:tc>
        <w:tc>
          <w:tcPr>
            <w:tcW w:w="1821" w:type="dxa"/>
            <w:tcBorders>
              <w:top w:val="nil"/>
              <w:left w:val="nil"/>
              <w:bottom w:val="double" w:sz="6" w:space="0" w:color="auto"/>
              <w:right w:val="nil"/>
            </w:tcBorders>
            <w:shd w:val="clear" w:color="auto" w:fill="auto"/>
            <w:noWrap/>
            <w:vAlign w:val="center"/>
            <w:hideMark/>
          </w:tcPr>
          <w:p w14:paraId="7DE336E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xml:space="preserve"> 10/14/03 - 11/18/03</w:t>
            </w:r>
          </w:p>
        </w:tc>
        <w:tc>
          <w:tcPr>
            <w:tcW w:w="1350" w:type="dxa"/>
            <w:tcBorders>
              <w:top w:val="nil"/>
              <w:left w:val="nil"/>
              <w:bottom w:val="double" w:sz="6" w:space="0" w:color="auto"/>
              <w:right w:val="nil"/>
            </w:tcBorders>
            <w:shd w:val="clear" w:color="auto" w:fill="auto"/>
            <w:noWrap/>
            <w:vAlign w:val="center"/>
            <w:hideMark/>
          </w:tcPr>
          <w:p w14:paraId="10BEC44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11/19/03 - 12/22/03</w:t>
            </w:r>
          </w:p>
        </w:tc>
        <w:tc>
          <w:tcPr>
            <w:tcW w:w="1510" w:type="dxa"/>
            <w:tcBorders>
              <w:top w:val="nil"/>
              <w:left w:val="nil"/>
              <w:bottom w:val="double" w:sz="6" w:space="0" w:color="auto"/>
              <w:right w:val="nil"/>
            </w:tcBorders>
            <w:shd w:val="clear" w:color="auto" w:fill="auto"/>
            <w:noWrap/>
            <w:vAlign w:val="center"/>
            <w:hideMark/>
          </w:tcPr>
          <w:p w14:paraId="017C4F0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Difference: (2)-(1)</w:t>
            </w:r>
          </w:p>
        </w:tc>
        <w:tc>
          <w:tcPr>
            <w:tcW w:w="1405" w:type="dxa"/>
            <w:tcBorders>
              <w:top w:val="nil"/>
              <w:left w:val="nil"/>
              <w:bottom w:val="double" w:sz="6" w:space="0" w:color="auto"/>
              <w:right w:val="nil"/>
            </w:tcBorders>
            <w:shd w:val="clear" w:color="auto" w:fill="auto"/>
            <w:noWrap/>
            <w:vAlign w:val="center"/>
            <w:hideMark/>
          </w:tcPr>
          <w:p w14:paraId="18F08FB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Difference: (3)-(2)</w:t>
            </w:r>
          </w:p>
        </w:tc>
        <w:tc>
          <w:tcPr>
            <w:tcW w:w="843" w:type="dxa"/>
            <w:tcBorders>
              <w:top w:val="nil"/>
              <w:left w:val="nil"/>
              <w:bottom w:val="double" w:sz="6" w:space="0" w:color="auto"/>
              <w:right w:val="nil"/>
            </w:tcBorders>
            <w:shd w:val="clear" w:color="auto" w:fill="auto"/>
            <w:noWrap/>
            <w:vAlign w:val="center"/>
            <w:hideMark/>
          </w:tcPr>
          <w:p w14:paraId="5FC646F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%Δ: (2)-(1)</w:t>
            </w:r>
          </w:p>
        </w:tc>
        <w:tc>
          <w:tcPr>
            <w:tcW w:w="851" w:type="dxa"/>
            <w:tcBorders>
              <w:top w:val="nil"/>
              <w:left w:val="nil"/>
              <w:bottom w:val="double" w:sz="6" w:space="0" w:color="auto"/>
              <w:right w:val="nil"/>
            </w:tcBorders>
            <w:shd w:val="clear" w:color="auto" w:fill="auto"/>
            <w:noWrap/>
            <w:vAlign w:val="center"/>
            <w:hideMark/>
          </w:tcPr>
          <w:p w14:paraId="549D046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%Δ: (3)-(2)</w:t>
            </w:r>
          </w:p>
        </w:tc>
      </w:tr>
      <w:tr w:rsidR="002F5D47" w:rsidRPr="00070557" w14:paraId="65B25A26" w14:textId="77777777" w:rsidTr="007D1283">
        <w:trPr>
          <w:trHeight w:val="230"/>
        </w:trPr>
        <w:tc>
          <w:tcPr>
            <w:tcW w:w="1728" w:type="dxa"/>
            <w:tcBorders>
              <w:top w:val="nil"/>
              <w:left w:val="nil"/>
              <w:bottom w:val="nil"/>
              <w:right w:val="nil"/>
            </w:tcBorders>
            <w:shd w:val="clear" w:color="auto" w:fill="auto"/>
            <w:noWrap/>
            <w:vAlign w:val="center"/>
            <w:hideMark/>
          </w:tcPr>
          <w:p w14:paraId="1FE27D64"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CO</w:t>
            </w:r>
          </w:p>
        </w:tc>
        <w:tc>
          <w:tcPr>
            <w:tcW w:w="1149" w:type="dxa"/>
            <w:tcBorders>
              <w:top w:val="nil"/>
              <w:left w:val="nil"/>
              <w:bottom w:val="nil"/>
              <w:right w:val="nil"/>
            </w:tcBorders>
            <w:shd w:val="clear" w:color="auto" w:fill="auto"/>
            <w:noWrap/>
            <w:vAlign w:val="center"/>
            <w:hideMark/>
          </w:tcPr>
          <w:p w14:paraId="4EF117F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0.74</w:t>
            </w:r>
          </w:p>
        </w:tc>
        <w:tc>
          <w:tcPr>
            <w:tcW w:w="1821" w:type="dxa"/>
            <w:tcBorders>
              <w:top w:val="nil"/>
              <w:left w:val="nil"/>
              <w:bottom w:val="nil"/>
              <w:right w:val="nil"/>
            </w:tcBorders>
            <w:shd w:val="clear" w:color="auto" w:fill="auto"/>
            <w:noWrap/>
            <w:vAlign w:val="center"/>
            <w:hideMark/>
          </w:tcPr>
          <w:p w14:paraId="1231C9E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1.12</w:t>
            </w:r>
          </w:p>
        </w:tc>
        <w:tc>
          <w:tcPr>
            <w:tcW w:w="1350" w:type="dxa"/>
            <w:tcBorders>
              <w:top w:val="nil"/>
              <w:left w:val="nil"/>
              <w:bottom w:val="nil"/>
              <w:right w:val="nil"/>
            </w:tcBorders>
            <w:shd w:val="clear" w:color="auto" w:fill="auto"/>
            <w:noWrap/>
            <w:vAlign w:val="center"/>
            <w:hideMark/>
          </w:tcPr>
          <w:p w14:paraId="1B1C8FD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1.33</w:t>
            </w:r>
          </w:p>
        </w:tc>
        <w:tc>
          <w:tcPr>
            <w:tcW w:w="1510" w:type="dxa"/>
            <w:tcBorders>
              <w:top w:val="nil"/>
              <w:left w:val="nil"/>
              <w:bottom w:val="nil"/>
              <w:right w:val="nil"/>
            </w:tcBorders>
            <w:shd w:val="clear" w:color="auto" w:fill="auto"/>
            <w:noWrap/>
            <w:vAlign w:val="center"/>
            <w:hideMark/>
          </w:tcPr>
          <w:p w14:paraId="31C6356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0.38***</w:t>
            </w:r>
          </w:p>
        </w:tc>
        <w:tc>
          <w:tcPr>
            <w:tcW w:w="1405" w:type="dxa"/>
            <w:tcBorders>
              <w:top w:val="nil"/>
              <w:left w:val="nil"/>
              <w:bottom w:val="nil"/>
              <w:right w:val="nil"/>
            </w:tcBorders>
            <w:shd w:val="clear" w:color="auto" w:fill="auto"/>
            <w:noWrap/>
            <w:vAlign w:val="center"/>
            <w:hideMark/>
          </w:tcPr>
          <w:p w14:paraId="1BFB2FD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0.21**</w:t>
            </w:r>
          </w:p>
        </w:tc>
        <w:tc>
          <w:tcPr>
            <w:tcW w:w="843" w:type="dxa"/>
            <w:tcBorders>
              <w:top w:val="nil"/>
              <w:left w:val="nil"/>
              <w:bottom w:val="nil"/>
              <w:right w:val="nil"/>
            </w:tcBorders>
            <w:shd w:val="clear" w:color="auto" w:fill="auto"/>
            <w:noWrap/>
            <w:vAlign w:val="center"/>
            <w:hideMark/>
          </w:tcPr>
          <w:p w14:paraId="0E6653C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52%</w:t>
            </w:r>
          </w:p>
        </w:tc>
        <w:tc>
          <w:tcPr>
            <w:tcW w:w="851" w:type="dxa"/>
            <w:tcBorders>
              <w:top w:val="nil"/>
              <w:left w:val="nil"/>
              <w:bottom w:val="nil"/>
              <w:right w:val="nil"/>
            </w:tcBorders>
            <w:shd w:val="clear" w:color="auto" w:fill="auto"/>
            <w:noWrap/>
            <w:vAlign w:val="center"/>
            <w:hideMark/>
          </w:tcPr>
          <w:p w14:paraId="06A792A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18%</w:t>
            </w:r>
          </w:p>
        </w:tc>
      </w:tr>
      <w:tr w:rsidR="002F5D47" w:rsidRPr="00070557" w14:paraId="03E66C47" w14:textId="77777777" w:rsidTr="007D1283">
        <w:trPr>
          <w:trHeight w:val="363"/>
        </w:trPr>
        <w:tc>
          <w:tcPr>
            <w:tcW w:w="1728" w:type="dxa"/>
            <w:tcBorders>
              <w:top w:val="nil"/>
              <w:left w:val="nil"/>
              <w:bottom w:val="nil"/>
              <w:right w:val="nil"/>
            </w:tcBorders>
            <w:shd w:val="clear" w:color="auto" w:fill="auto"/>
            <w:noWrap/>
            <w:vAlign w:val="center"/>
            <w:hideMark/>
          </w:tcPr>
          <w:p w14:paraId="06394E35" w14:textId="77777777" w:rsidR="002F5D47" w:rsidRPr="00B60F79" w:rsidRDefault="002F5D47" w:rsidP="00C04359">
            <w:pPr>
              <w:jc w:val="center"/>
              <w:rPr>
                <w:rFonts w:ascii="Calibri" w:eastAsia="Times New Roman" w:hAnsi="Calibri" w:cs="Times New Roman"/>
                <w:color w:val="000000"/>
                <w:sz w:val="22"/>
                <w:szCs w:val="22"/>
              </w:rPr>
            </w:pPr>
          </w:p>
        </w:tc>
        <w:tc>
          <w:tcPr>
            <w:tcW w:w="1149" w:type="dxa"/>
            <w:tcBorders>
              <w:top w:val="nil"/>
              <w:left w:val="nil"/>
              <w:bottom w:val="nil"/>
              <w:right w:val="nil"/>
            </w:tcBorders>
            <w:shd w:val="clear" w:color="auto" w:fill="auto"/>
            <w:noWrap/>
            <w:vAlign w:val="center"/>
            <w:hideMark/>
          </w:tcPr>
          <w:p w14:paraId="5F79F80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(0.04)</w:t>
            </w:r>
          </w:p>
        </w:tc>
        <w:tc>
          <w:tcPr>
            <w:tcW w:w="1821" w:type="dxa"/>
            <w:tcBorders>
              <w:top w:val="nil"/>
              <w:left w:val="nil"/>
              <w:bottom w:val="nil"/>
              <w:right w:val="nil"/>
            </w:tcBorders>
            <w:shd w:val="clear" w:color="auto" w:fill="auto"/>
            <w:noWrap/>
            <w:vAlign w:val="center"/>
            <w:hideMark/>
          </w:tcPr>
          <w:p w14:paraId="652D2E4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(0.06)</w:t>
            </w:r>
          </w:p>
        </w:tc>
        <w:tc>
          <w:tcPr>
            <w:tcW w:w="1350" w:type="dxa"/>
            <w:tcBorders>
              <w:top w:val="nil"/>
              <w:left w:val="nil"/>
              <w:bottom w:val="nil"/>
              <w:right w:val="nil"/>
            </w:tcBorders>
            <w:shd w:val="clear" w:color="auto" w:fill="auto"/>
            <w:noWrap/>
            <w:vAlign w:val="center"/>
            <w:hideMark/>
          </w:tcPr>
          <w:p w14:paraId="115494A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(0.07)</w:t>
            </w:r>
          </w:p>
        </w:tc>
        <w:tc>
          <w:tcPr>
            <w:tcW w:w="1510" w:type="dxa"/>
            <w:tcBorders>
              <w:top w:val="nil"/>
              <w:left w:val="nil"/>
              <w:bottom w:val="nil"/>
              <w:right w:val="nil"/>
            </w:tcBorders>
            <w:shd w:val="clear" w:color="auto" w:fill="auto"/>
            <w:noWrap/>
            <w:vAlign w:val="center"/>
            <w:hideMark/>
          </w:tcPr>
          <w:p w14:paraId="74D6F1F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(0.07)</w:t>
            </w:r>
          </w:p>
        </w:tc>
        <w:tc>
          <w:tcPr>
            <w:tcW w:w="1405" w:type="dxa"/>
            <w:tcBorders>
              <w:top w:val="nil"/>
              <w:left w:val="nil"/>
              <w:bottom w:val="nil"/>
              <w:right w:val="nil"/>
            </w:tcBorders>
            <w:shd w:val="clear" w:color="auto" w:fill="auto"/>
            <w:noWrap/>
            <w:vAlign w:val="center"/>
            <w:hideMark/>
          </w:tcPr>
          <w:p w14:paraId="750CF51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(0.09)</w:t>
            </w:r>
          </w:p>
        </w:tc>
        <w:tc>
          <w:tcPr>
            <w:tcW w:w="843" w:type="dxa"/>
            <w:tcBorders>
              <w:top w:val="nil"/>
              <w:left w:val="nil"/>
              <w:bottom w:val="nil"/>
              <w:right w:val="nil"/>
            </w:tcBorders>
            <w:shd w:val="clear" w:color="auto" w:fill="auto"/>
            <w:noWrap/>
            <w:vAlign w:val="center"/>
            <w:hideMark/>
          </w:tcPr>
          <w:p w14:paraId="0D22FF92" w14:textId="77777777" w:rsidR="002F5D47" w:rsidRPr="00B60F79" w:rsidRDefault="002F5D47" w:rsidP="00C04359">
            <w:pPr>
              <w:jc w:val="center"/>
              <w:rPr>
                <w:rFonts w:ascii="Calibri" w:eastAsia="Times New Roman" w:hAnsi="Calibri" w:cs="Times New Roman"/>
                <w:color w:val="000000"/>
                <w:sz w:val="22"/>
                <w:szCs w:val="22"/>
              </w:rPr>
            </w:pPr>
          </w:p>
        </w:tc>
        <w:tc>
          <w:tcPr>
            <w:tcW w:w="851" w:type="dxa"/>
            <w:tcBorders>
              <w:top w:val="nil"/>
              <w:left w:val="nil"/>
              <w:bottom w:val="nil"/>
              <w:right w:val="nil"/>
            </w:tcBorders>
            <w:shd w:val="clear" w:color="auto" w:fill="auto"/>
            <w:noWrap/>
            <w:vAlign w:val="center"/>
            <w:hideMark/>
          </w:tcPr>
          <w:p w14:paraId="12B34EE5" w14:textId="77777777" w:rsidR="002F5D47" w:rsidRPr="00B60F79" w:rsidRDefault="002F5D47" w:rsidP="00C04359">
            <w:pPr>
              <w:jc w:val="center"/>
              <w:rPr>
                <w:rFonts w:eastAsia="Times New Roman" w:cs="Times New Roman"/>
                <w:sz w:val="22"/>
                <w:szCs w:val="22"/>
              </w:rPr>
            </w:pPr>
          </w:p>
        </w:tc>
      </w:tr>
      <w:tr w:rsidR="002F5D47" w:rsidRPr="00070557" w14:paraId="3ECBD5E5" w14:textId="77777777" w:rsidTr="007D1283">
        <w:trPr>
          <w:trHeight w:val="220"/>
        </w:trPr>
        <w:tc>
          <w:tcPr>
            <w:tcW w:w="1728" w:type="dxa"/>
            <w:tcBorders>
              <w:top w:val="nil"/>
              <w:left w:val="nil"/>
              <w:bottom w:val="nil"/>
              <w:right w:val="nil"/>
            </w:tcBorders>
            <w:shd w:val="clear" w:color="auto" w:fill="auto"/>
            <w:noWrap/>
            <w:vAlign w:val="bottom"/>
            <w:hideMark/>
          </w:tcPr>
          <w:p w14:paraId="39D4A567"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NO</w:t>
            </w:r>
            <w:r w:rsidRPr="00B60F79">
              <w:rPr>
                <w:rFonts w:ascii="Calibri" w:hAnsi="Calibri"/>
                <w:color w:val="000000"/>
                <w:sz w:val="22"/>
                <w:szCs w:val="22"/>
                <w:vertAlign w:val="subscript"/>
              </w:rPr>
              <w:t>2</w:t>
            </w:r>
          </w:p>
        </w:tc>
        <w:tc>
          <w:tcPr>
            <w:tcW w:w="1149" w:type="dxa"/>
            <w:tcBorders>
              <w:top w:val="nil"/>
              <w:left w:val="nil"/>
              <w:bottom w:val="nil"/>
              <w:right w:val="nil"/>
            </w:tcBorders>
            <w:shd w:val="clear" w:color="auto" w:fill="auto"/>
            <w:noWrap/>
            <w:vAlign w:val="center"/>
            <w:hideMark/>
          </w:tcPr>
          <w:p w14:paraId="2DDA3071"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32.95</w:t>
            </w:r>
          </w:p>
        </w:tc>
        <w:tc>
          <w:tcPr>
            <w:tcW w:w="1821" w:type="dxa"/>
            <w:tcBorders>
              <w:top w:val="nil"/>
              <w:left w:val="nil"/>
              <w:bottom w:val="nil"/>
              <w:right w:val="nil"/>
            </w:tcBorders>
            <w:shd w:val="clear" w:color="auto" w:fill="auto"/>
            <w:noWrap/>
            <w:vAlign w:val="center"/>
            <w:hideMark/>
          </w:tcPr>
          <w:p w14:paraId="2681389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39.76</w:t>
            </w:r>
          </w:p>
        </w:tc>
        <w:tc>
          <w:tcPr>
            <w:tcW w:w="1350" w:type="dxa"/>
            <w:tcBorders>
              <w:top w:val="nil"/>
              <w:left w:val="nil"/>
              <w:bottom w:val="nil"/>
              <w:right w:val="nil"/>
            </w:tcBorders>
            <w:shd w:val="clear" w:color="auto" w:fill="auto"/>
            <w:noWrap/>
            <w:vAlign w:val="center"/>
            <w:hideMark/>
          </w:tcPr>
          <w:p w14:paraId="4664D50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38.61</w:t>
            </w:r>
          </w:p>
        </w:tc>
        <w:tc>
          <w:tcPr>
            <w:tcW w:w="1510" w:type="dxa"/>
            <w:tcBorders>
              <w:top w:val="nil"/>
              <w:left w:val="nil"/>
              <w:bottom w:val="nil"/>
              <w:right w:val="nil"/>
            </w:tcBorders>
            <w:shd w:val="clear" w:color="auto" w:fill="auto"/>
            <w:noWrap/>
            <w:vAlign w:val="center"/>
            <w:hideMark/>
          </w:tcPr>
          <w:p w14:paraId="254CE45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6.81***</w:t>
            </w:r>
          </w:p>
        </w:tc>
        <w:tc>
          <w:tcPr>
            <w:tcW w:w="1405" w:type="dxa"/>
            <w:tcBorders>
              <w:top w:val="nil"/>
              <w:left w:val="nil"/>
              <w:bottom w:val="nil"/>
              <w:right w:val="nil"/>
            </w:tcBorders>
            <w:shd w:val="clear" w:color="auto" w:fill="auto"/>
            <w:noWrap/>
            <w:vAlign w:val="center"/>
            <w:hideMark/>
          </w:tcPr>
          <w:p w14:paraId="11E0373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-1.15</w:t>
            </w:r>
          </w:p>
        </w:tc>
        <w:tc>
          <w:tcPr>
            <w:tcW w:w="843" w:type="dxa"/>
            <w:tcBorders>
              <w:top w:val="nil"/>
              <w:left w:val="nil"/>
              <w:bottom w:val="nil"/>
              <w:right w:val="nil"/>
            </w:tcBorders>
            <w:shd w:val="clear" w:color="auto" w:fill="auto"/>
            <w:noWrap/>
            <w:vAlign w:val="center"/>
            <w:hideMark/>
          </w:tcPr>
          <w:p w14:paraId="61B41F5C"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21%</w:t>
            </w:r>
          </w:p>
        </w:tc>
        <w:tc>
          <w:tcPr>
            <w:tcW w:w="851" w:type="dxa"/>
            <w:tcBorders>
              <w:top w:val="nil"/>
              <w:left w:val="nil"/>
              <w:bottom w:val="nil"/>
              <w:right w:val="nil"/>
            </w:tcBorders>
            <w:shd w:val="clear" w:color="auto" w:fill="auto"/>
            <w:noWrap/>
            <w:vAlign w:val="center"/>
            <w:hideMark/>
          </w:tcPr>
          <w:p w14:paraId="5624047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w:t>
            </w:r>
          </w:p>
        </w:tc>
      </w:tr>
      <w:tr w:rsidR="002F5D47" w:rsidRPr="00070557" w14:paraId="178B72CB" w14:textId="77777777" w:rsidTr="007D1283">
        <w:trPr>
          <w:trHeight w:val="372"/>
        </w:trPr>
        <w:tc>
          <w:tcPr>
            <w:tcW w:w="1728" w:type="dxa"/>
            <w:tcBorders>
              <w:top w:val="nil"/>
              <w:left w:val="nil"/>
              <w:bottom w:val="nil"/>
              <w:right w:val="nil"/>
            </w:tcBorders>
            <w:shd w:val="clear" w:color="auto" w:fill="auto"/>
            <w:noWrap/>
            <w:vAlign w:val="center"/>
            <w:hideMark/>
          </w:tcPr>
          <w:p w14:paraId="2CD9806B" w14:textId="77777777" w:rsidR="002F5D47" w:rsidRPr="00B60F79" w:rsidRDefault="002F5D47" w:rsidP="00C04359">
            <w:pPr>
              <w:jc w:val="center"/>
              <w:rPr>
                <w:rFonts w:ascii="Calibri" w:eastAsia="Times New Roman" w:hAnsi="Calibri" w:cs="Times New Roman"/>
                <w:color w:val="000000"/>
                <w:sz w:val="22"/>
                <w:szCs w:val="22"/>
              </w:rPr>
            </w:pPr>
          </w:p>
        </w:tc>
        <w:tc>
          <w:tcPr>
            <w:tcW w:w="1149" w:type="dxa"/>
            <w:tcBorders>
              <w:top w:val="nil"/>
              <w:left w:val="nil"/>
              <w:bottom w:val="nil"/>
              <w:right w:val="nil"/>
            </w:tcBorders>
            <w:shd w:val="clear" w:color="auto" w:fill="auto"/>
            <w:noWrap/>
            <w:vAlign w:val="center"/>
            <w:hideMark/>
          </w:tcPr>
          <w:p w14:paraId="2F2054A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(1.39)</w:t>
            </w:r>
          </w:p>
        </w:tc>
        <w:tc>
          <w:tcPr>
            <w:tcW w:w="1821" w:type="dxa"/>
            <w:tcBorders>
              <w:top w:val="nil"/>
              <w:left w:val="nil"/>
              <w:bottom w:val="nil"/>
              <w:right w:val="nil"/>
            </w:tcBorders>
            <w:shd w:val="clear" w:color="auto" w:fill="auto"/>
            <w:noWrap/>
            <w:vAlign w:val="center"/>
            <w:hideMark/>
          </w:tcPr>
          <w:p w14:paraId="065B4A1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(1.62)</w:t>
            </w:r>
          </w:p>
        </w:tc>
        <w:tc>
          <w:tcPr>
            <w:tcW w:w="1350" w:type="dxa"/>
            <w:tcBorders>
              <w:top w:val="nil"/>
              <w:left w:val="nil"/>
              <w:bottom w:val="nil"/>
              <w:right w:val="nil"/>
            </w:tcBorders>
            <w:shd w:val="clear" w:color="auto" w:fill="auto"/>
            <w:noWrap/>
            <w:vAlign w:val="center"/>
            <w:hideMark/>
          </w:tcPr>
          <w:p w14:paraId="7736A85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(1.25)</w:t>
            </w:r>
          </w:p>
        </w:tc>
        <w:tc>
          <w:tcPr>
            <w:tcW w:w="1510" w:type="dxa"/>
            <w:tcBorders>
              <w:top w:val="nil"/>
              <w:left w:val="nil"/>
              <w:bottom w:val="nil"/>
              <w:right w:val="nil"/>
            </w:tcBorders>
            <w:shd w:val="clear" w:color="auto" w:fill="auto"/>
            <w:noWrap/>
            <w:vAlign w:val="center"/>
            <w:hideMark/>
          </w:tcPr>
          <w:p w14:paraId="06E4730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(2.13)</w:t>
            </w:r>
          </w:p>
        </w:tc>
        <w:tc>
          <w:tcPr>
            <w:tcW w:w="1405" w:type="dxa"/>
            <w:tcBorders>
              <w:top w:val="nil"/>
              <w:left w:val="nil"/>
              <w:bottom w:val="nil"/>
              <w:right w:val="nil"/>
            </w:tcBorders>
            <w:shd w:val="clear" w:color="auto" w:fill="auto"/>
            <w:noWrap/>
            <w:vAlign w:val="center"/>
            <w:hideMark/>
          </w:tcPr>
          <w:p w14:paraId="051DF5E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(2.04)</w:t>
            </w:r>
          </w:p>
        </w:tc>
        <w:tc>
          <w:tcPr>
            <w:tcW w:w="843" w:type="dxa"/>
            <w:tcBorders>
              <w:top w:val="nil"/>
              <w:left w:val="nil"/>
              <w:bottom w:val="nil"/>
              <w:right w:val="nil"/>
            </w:tcBorders>
            <w:shd w:val="clear" w:color="auto" w:fill="auto"/>
            <w:noWrap/>
            <w:vAlign w:val="center"/>
            <w:hideMark/>
          </w:tcPr>
          <w:p w14:paraId="696FDD15" w14:textId="77777777" w:rsidR="002F5D47" w:rsidRPr="00B60F79" w:rsidRDefault="002F5D47" w:rsidP="00C04359">
            <w:pPr>
              <w:jc w:val="center"/>
              <w:rPr>
                <w:rFonts w:ascii="Calibri" w:eastAsia="Times New Roman" w:hAnsi="Calibri" w:cs="Times New Roman"/>
                <w:color w:val="000000"/>
                <w:sz w:val="22"/>
                <w:szCs w:val="22"/>
              </w:rPr>
            </w:pPr>
          </w:p>
        </w:tc>
        <w:tc>
          <w:tcPr>
            <w:tcW w:w="851" w:type="dxa"/>
            <w:tcBorders>
              <w:top w:val="nil"/>
              <w:left w:val="nil"/>
              <w:bottom w:val="nil"/>
              <w:right w:val="nil"/>
            </w:tcBorders>
            <w:shd w:val="clear" w:color="auto" w:fill="auto"/>
            <w:noWrap/>
            <w:vAlign w:val="center"/>
            <w:hideMark/>
          </w:tcPr>
          <w:p w14:paraId="03816EFC" w14:textId="77777777" w:rsidR="002F5D47" w:rsidRPr="00B60F79" w:rsidRDefault="002F5D47" w:rsidP="00C04359">
            <w:pPr>
              <w:jc w:val="center"/>
              <w:rPr>
                <w:rFonts w:eastAsia="Times New Roman" w:cs="Times New Roman"/>
                <w:sz w:val="22"/>
                <w:szCs w:val="22"/>
              </w:rPr>
            </w:pPr>
          </w:p>
        </w:tc>
      </w:tr>
      <w:tr w:rsidR="002F5D47" w:rsidRPr="00070557" w14:paraId="655974FE" w14:textId="77777777" w:rsidTr="007D1283">
        <w:trPr>
          <w:trHeight w:val="220"/>
        </w:trPr>
        <w:tc>
          <w:tcPr>
            <w:tcW w:w="1728" w:type="dxa"/>
            <w:tcBorders>
              <w:top w:val="nil"/>
              <w:left w:val="nil"/>
              <w:bottom w:val="nil"/>
              <w:right w:val="nil"/>
            </w:tcBorders>
            <w:shd w:val="clear" w:color="auto" w:fill="auto"/>
            <w:noWrap/>
            <w:vAlign w:val="bottom"/>
            <w:hideMark/>
          </w:tcPr>
          <w:p w14:paraId="5BBFA6E4"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NO</w:t>
            </w:r>
            <w:r w:rsidRPr="00B60F79">
              <w:rPr>
                <w:rFonts w:ascii="Calibri" w:hAnsi="Calibri"/>
                <w:color w:val="000000"/>
                <w:sz w:val="22"/>
                <w:szCs w:val="22"/>
                <w:vertAlign w:val="subscript"/>
              </w:rPr>
              <w:t>x</w:t>
            </w:r>
          </w:p>
        </w:tc>
        <w:tc>
          <w:tcPr>
            <w:tcW w:w="1149" w:type="dxa"/>
            <w:tcBorders>
              <w:top w:val="nil"/>
              <w:left w:val="nil"/>
              <w:bottom w:val="nil"/>
              <w:right w:val="nil"/>
            </w:tcBorders>
            <w:shd w:val="clear" w:color="auto" w:fill="auto"/>
            <w:noWrap/>
            <w:vAlign w:val="center"/>
            <w:hideMark/>
          </w:tcPr>
          <w:p w14:paraId="62726E2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46.76</w:t>
            </w:r>
          </w:p>
        </w:tc>
        <w:tc>
          <w:tcPr>
            <w:tcW w:w="1821" w:type="dxa"/>
            <w:tcBorders>
              <w:top w:val="nil"/>
              <w:left w:val="nil"/>
              <w:bottom w:val="nil"/>
              <w:right w:val="nil"/>
            </w:tcBorders>
            <w:shd w:val="clear" w:color="auto" w:fill="auto"/>
            <w:noWrap/>
            <w:vAlign w:val="center"/>
            <w:hideMark/>
          </w:tcPr>
          <w:p w14:paraId="5AF92C5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84.66</w:t>
            </w:r>
          </w:p>
        </w:tc>
        <w:tc>
          <w:tcPr>
            <w:tcW w:w="1350" w:type="dxa"/>
            <w:tcBorders>
              <w:top w:val="nil"/>
              <w:left w:val="nil"/>
              <w:bottom w:val="nil"/>
              <w:right w:val="nil"/>
            </w:tcBorders>
            <w:shd w:val="clear" w:color="auto" w:fill="auto"/>
            <w:noWrap/>
            <w:vAlign w:val="center"/>
            <w:hideMark/>
          </w:tcPr>
          <w:p w14:paraId="2426820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113.72</w:t>
            </w:r>
          </w:p>
        </w:tc>
        <w:tc>
          <w:tcPr>
            <w:tcW w:w="1510" w:type="dxa"/>
            <w:tcBorders>
              <w:top w:val="nil"/>
              <w:left w:val="nil"/>
              <w:bottom w:val="nil"/>
              <w:right w:val="nil"/>
            </w:tcBorders>
            <w:shd w:val="clear" w:color="auto" w:fill="auto"/>
            <w:noWrap/>
            <w:vAlign w:val="center"/>
            <w:hideMark/>
          </w:tcPr>
          <w:p w14:paraId="74566B5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37.90***</w:t>
            </w:r>
          </w:p>
        </w:tc>
        <w:tc>
          <w:tcPr>
            <w:tcW w:w="1405" w:type="dxa"/>
            <w:tcBorders>
              <w:top w:val="nil"/>
              <w:left w:val="nil"/>
              <w:bottom w:val="nil"/>
              <w:right w:val="nil"/>
            </w:tcBorders>
            <w:shd w:val="clear" w:color="auto" w:fill="auto"/>
            <w:noWrap/>
            <w:vAlign w:val="center"/>
            <w:hideMark/>
          </w:tcPr>
          <w:p w14:paraId="326159B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29.06***</w:t>
            </w:r>
          </w:p>
        </w:tc>
        <w:tc>
          <w:tcPr>
            <w:tcW w:w="843" w:type="dxa"/>
            <w:tcBorders>
              <w:top w:val="nil"/>
              <w:left w:val="nil"/>
              <w:bottom w:val="nil"/>
              <w:right w:val="nil"/>
            </w:tcBorders>
            <w:shd w:val="clear" w:color="auto" w:fill="auto"/>
            <w:noWrap/>
            <w:vAlign w:val="center"/>
            <w:hideMark/>
          </w:tcPr>
          <w:p w14:paraId="5BBBFC2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81%</w:t>
            </w:r>
          </w:p>
        </w:tc>
        <w:tc>
          <w:tcPr>
            <w:tcW w:w="851" w:type="dxa"/>
            <w:tcBorders>
              <w:top w:val="nil"/>
              <w:left w:val="nil"/>
              <w:bottom w:val="nil"/>
              <w:right w:val="nil"/>
            </w:tcBorders>
            <w:shd w:val="clear" w:color="auto" w:fill="auto"/>
            <w:noWrap/>
            <w:vAlign w:val="center"/>
            <w:hideMark/>
          </w:tcPr>
          <w:p w14:paraId="55C4435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34%</w:t>
            </w:r>
          </w:p>
        </w:tc>
      </w:tr>
      <w:tr w:rsidR="002F5D47" w:rsidRPr="00070557" w14:paraId="4DA7A21D" w14:textId="77777777" w:rsidTr="007D1283">
        <w:trPr>
          <w:trHeight w:val="390"/>
        </w:trPr>
        <w:tc>
          <w:tcPr>
            <w:tcW w:w="1728" w:type="dxa"/>
            <w:tcBorders>
              <w:top w:val="nil"/>
              <w:left w:val="nil"/>
              <w:bottom w:val="nil"/>
              <w:right w:val="nil"/>
            </w:tcBorders>
            <w:shd w:val="clear" w:color="auto" w:fill="auto"/>
            <w:noWrap/>
            <w:vAlign w:val="center"/>
            <w:hideMark/>
          </w:tcPr>
          <w:p w14:paraId="33EA1A2D" w14:textId="77777777" w:rsidR="002F5D47" w:rsidRPr="00B60F79" w:rsidRDefault="002F5D47" w:rsidP="00C04359">
            <w:pPr>
              <w:jc w:val="center"/>
              <w:rPr>
                <w:rFonts w:ascii="Calibri" w:eastAsia="Times New Roman" w:hAnsi="Calibri" w:cs="Times New Roman"/>
                <w:color w:val="000000"/>
                <w:sz w:val="22"/>
                <w:szCs w:val="22"/>
              </w:rPr>
            </w:pPr>
          </w:p>
        </w:tc>
        <w:tc>
          <w:tcPr>
            <w:tcW w:w="1149" w:type="dxa"/>
            <w:tcBorders>
              <w:top w:val="nil"/>
              <w:left w:val="nil"/>
              <w:bottom w:val="nil"/>
              <w:right w:val="nil"/>
            </w:tcBorders>
            <w:shd w:val="clear" w:color="auto" w:fill="auto"/>
            <w:noWrap/>
            <w:vAlign w:val="center"/>
            <w:hideMark/>
          </w:tcPr>
          <w:p w14:paraId="36FB0B6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(2.16)</w:t>
            </w:r>
          </w:p>
        </w:tc>
        <w:tc>
          <w:tcPr>
            <w:tcW w:w="1821" w:type="dxa"/>
            <w:tcBorders>
              <w:top w:val="nil"/>
              <w:left w:val="nil"/>
              <w:bottom w:val="nil"/>
              <w:right w:val="nil"/>
            </w:tcBorders>
            <w:shd w:val="clear" w:color="auto" w:fill="auto"/>
            <w:noWrap/>
            <w:vAlign w:val="center"/>
            <w:hideMark/>
          </w:tcPr>
          <w:p w14:paraId="57F0A30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(4.66)</w:t>
            </w:r>
          </w:p>
        </w:tc>
        <w:tc>
          <w:tcPr>
            <w:tcW w:w="1350" w:type="dxa"/>
            <w:tcBorders>
              <w:top w:val="nil"/>
              <w:left w:val="nil"/>
              <w:bottom w:val="nil"/>
              <w:right w:val="nil"/>
            </w:tcBorders>
            <w:shd w:val="clear" w:color="auto" w:fill="auto"/>
            <w:noWrap/>
            <w:vAlign w:val="center"/>
            <w:hideMark/>
          </w:tcPr>
          <w:p w14:paraId="45AB9AD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(6.08)</w:t>
            </w:r>
          </w:p>
        </w:tc>
        <w:tc>
          <w:tcPr>
            <w:tcW w:w="1510" w:type="dxa"/>
            <w:tcBorders>
              <w:top w:val="nil"/>
              <w:left w:val="nil"/>
              <w:bottom w:val="nil"/>
              <w:right w:val="nil"/>
            </w:tcBorders>
            <w:shd w:val="clear" w:color="auto" w:fill="auto"/>
            <w:noWrap/>
            <w:vAlign w:val="center"/>
            <w:hideMark/>
          </w:tcPr>
          <w:p w14:paraId="635EF1C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(5.11)</w:t>
            </w:r>
          </w:p>
        </w:tc>
        <w:tc>
          <w:tcPr>
            <w:tcW w:w="1405" w:type="dxa"/>
            <w:tcBorders>
              <w:top w:val="nil"/>
              <w:left w:val="nil"/>
              <w:bottom w:val="nil"/>
              <w:right w:val="nil"/>
            </w:tcBorders>
            <w:shd w:val="clear" w:color="auto" w:fill="auto"/>
            <w:noWrap/>
            <w:vAlign w:val="center"/>
            <w:hideMark/>
          </w:tcPr>
          <w:p w14:paraId="4C6E65C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(7.67)</w:t>
            </w:r>
          </w:p>
        </w:tc>
        <w:tc>
          <w:tcPr>
            <w:tcW w:w="843" w:type="dxa"/>
            <w:tcBorders>
              <w:top w:val="nil"/>
              <w:left w:val="nil"/>
              <w:bottom w:val="nil"/>
              <w:right w:val="nil"/>
            </w:tcBorders>
            <w:shd w:val="clear" w:color="auto" w:fill="auto"/>
            <w:noWrap/>
            <w:vAlign w:val="center"/>
            <w:hideMark/>
          </w:tcPr>
          <w:p w14:paraId="4243D1F2" w14:textId="77777777" w:rsidR="002F5D47" w:rsidRPr="00B60F79" w:rsidRDefault="002F5D47" w:rsidP="00C04359">
            <w:pPr>
              <w:jc w:val="center"/>
              <w:rPr>
                <w:rFonts w:ascii="Calibri" w:eastAsia="Times New Roman" w:hAnsi="Calibri" w:cs="Times New Roman"/>
                <w:color w:val="000000"/>
                <w:sz w:val="22"/>
                <w:szCs w:val="22"/>
              </w:rPr>
            </w:pPr>
          </w:p>
        </w:tc>
        <w:tc>
          <w:tcPr>
            <w:tcW w:w="851" w:type="dxa"/>
            <w:tcBorders>
              <w:top w:val="nil"/>
              <w:left w:val="nil"/>
              <w:bottom w:val="nil"/>
              <w:right w:val="nil"/>
            </w:tcBorders>
            <w:shd w:val="clear" w:color="auto" w:fill="auto"/>
            <w:noWrap/>
            <w:vAlign w:val="center"/>
            <w:hideMark/>
          </w:tcPr>
          <w:p w14:paraId="3EDA0968" w14:textId="77777777" w:rsidR="002F5D47" w:rsidRPr="00B60F79" w:rsidRDefault="002F5D47" w:rsidP="00C04359">
            <w:pPr>
              <w:jc w:val="center"/>
              <w:rPr>
                <w:rFonts w:eastAsia="Times New Roman" w:cs="Times New Roman"/>
                <w:sz w:val="22"/>
                <w:szCs w:val="22"/>
              </w:rPr>
            </w:pPr>
          </w:p>
        </w:tc>
      </w:tr>
      <w:tr w:rsidR="002F5D47" w:rsidRPr="00070557" w14:paraId="3442A4E3" w14:textId="77777777" w:rsidTr="007D1283">
        <w:trPr>
          <w:trHeight w:val="220"/>
        </w:trPr>
        <w:tc>
          <w:tcPr>
            <w:tcW w:w="1728" w:type="dxa"/>
            <w:tcBorders>
              <w:top w:val="nil"/>
              <w:left w:val="nil"/>
              <w:bottom w:val="nil"/>
              <w:right w:val="nil"/>
            </w:tcBorders>
            <w:shd w:val="clear" w:color="auto" w:fill="auto"/>
            <w:noWrap/>
            <w:vAlign w:val="bottom"/>
            <w:hideMark/>
          </w:tcPr>
          <w:p w14:paraId="33030961"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O</w:t>
            </w:r>
            <w:r w:rsidRPr="00B60F79">
              <w:rPr>
                <w:rFonts w:ascii="Calibri" w:hAnsi="Calibri"/>
                <w:color w:val="000000"/>
                <w:sz w:val="22"/>
                <w:szCs w:val="22"/>
                <w:vertAlign w:val="subscript"/>
              </w:rPr>
              <w:t>3</w:t>
            </w:r>
          </w:p>
        </w:tc>
        <w:tc>
          <w:tcPr>
            <w:tcW w:w="1149" w:type="dxa"/>
            <w:tcBorders>
              <w:top w:val="nil"/>
              <w:left w:val="nil"/>
              <w:bottom w:val="nil"/>
              <w:right w:val="nil"/>
            </w:tcBorders>
            <w:shd w:val="clear" w:color="auto" w:fill="auto"/>
            <w:noWrap/>
            <w:vAlign w:val="center"/>
            <w:hideMark/>
          </w:tcPr>
          <w:p w14:paraId="168B95B9"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0.0344</w:t>
            </w:r>
          </w:p>
        </w:tc>
        <w:tc>
          <w:tcPr>
            <w:tcW w:w="1821" w:type="dxa"/>
            <w:tcBorders>
              <w:top w:val="nil"/>
              <w:left w:val="nil"/>
              <w:bottom w:val="nil"/>
              <w:right w:val="nil"/>
            </w:tcBorders>
            <w:shd w:val="clear" w:color="auto" w:fill="auto"/>
            <w:noWrap/>
            <w:vAlign w:val="center"/>
            <w:hideMark/>
          </w:tcPr>
          <w:p w14:paraId="03FB98A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0.0193</w:t>
            </w:r>
          </w:p>
        </w:tc>
        <w:tc>
          <w:tcPr>
            <w:tcW w:w="1350" w:type="dxa"/>
            <w:tcBorders>
              <w:top w:val="nil"/>
              <w:left w:val="nil"/>
              <w:bottom w:val="nil"/>
              <w:right w:val="nil"/>
            </w:tcBorders>
            <w:shd w:val="clear" w:color="auto" w:fill="auto"/>
            <w:noWrap/>
            <w:vAlign w:val="center"/>
            <w:hideMark/>
          </w:tcPr>
          <w:p w14:paraId="661AF15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0.0109</w:t>
            </w:r>
          </w:p>
        </w:tc>
        <w:tc>
          <w:tcPr>
            <w:tcW w:w="1510" w:type="dxa"/>
            <w:tcBorders>
              <w:top w:val="nil"/>
              <w:left w:val="nil"/>
              <w:bottom w:val="nil"/>
              <w:right w:val="nil"/>
            </w:tcBorders>
            <w:shd w:val="clear" w:color="auto" w:fill="auto"/>
            <w:noWrap/>
            <w:vAlign w:val="center"/>
            <w:hideMark/>
          </w:tcPr>
          <w:p w14:paraId="32AA625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-0.0152***</w:t>
            </w:r>
          </w:p>
        </w:tc>
        <w:tc>
          <w:tcPr>
            <w:tcW w:w="1405" w:type="dxa"/>
            <w:tcBorders>
              <w:top w:val="nil"/>
              <w:left w:val="nil"/>
              <w:bottom w:val="nil"/>
              <w:right w:val="nil"/>
            </w:tcBorders>
            <w:shd w:val="clear" w:color="auto" w:fill="auto"/>
            <w:noWrap/>
            <w:vAlign w:val="center"/>
            <w:hideMark/>
          </w:tcPr>
          <w:p w14:paraId="4D8A759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-0.0083***</w:t>
            </w:r>
          </w:p>
        </w:tc>
        <w:tc>
          <w:tcPr>
            <w:tcW w:w="843" w:type="dxa"/>
            <w:tcBorders>
              <w:top w:val="nil"/>
              <w:left w:val="nil"/>
              <w:bottom w:val="nil"/>
              <w:right w:val="nil"/>
            </w:tcBorders>
            <w:shd w:val="clear" w:color="auto" w:fill="auto"/>
            <w:noWrap/>
            <w:vAlign w:val="center"/>
            <w:hideMark/>
          </w:tcPr>
          <w:p w14:paraId="53CF3771"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-44%</w:t>
            </w:r>
          </w:p>
        </w:tc>
        <w:tc>
          <w:tcPr>
            <w:tcW w:w="851" w:type="dxa"/>
            <w:tcBorders>
              <w:top w:val="nil"/>
              <w:left w:val="nil"/>
              <w:bottom w:val="nil"/>
              <w:right w:val="nil"/>
            </w:tcBorders>
            <w:shd w:val="clear" w:color="auto" w:fill="auto"/>
            <w:noWrap/>
            <w:vAlign w:val="center"/>
            <w:hideMark/>
          </w:tcPr>
          <w:p w14:paraId="4F8ECC5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-43%</w:t>
            </w:r>
          </w:p>
        </w:tc>
      </w:tr>
      <w:tr w:rsidR="002F5D47" w:rsidRPr="00070557" w14:paraId="16421934" w14:textId="77777777" w:rsidTr="007D1283">
        <w:trPr>
          <w:trHeight w:val="390"/>
        </w:trPr>
        <w:tc>
          <w:tcPr>
            <w:tcW w:w="1728" w:type="dxa"/>
            <w:tcBorders>
              <w:top w:val="nil"/>
              <w:left w:val="nil"/>
              <w:bottom w:val="double" w:sz="6" w:space="0" w:color="auto"/>
              <w:right w:val="nil"/>
            </w:tcBorders>
            <w:shd w:val="clear" w:color="auto" w:fill="auto"/>
            <w:noWrap/>
            <w:vAlign w:val="bottom"/>
            <w:hideMark/>
          </w:tcPr>
          <w:p w14:paraId="7BBC6C88" w14:textId="77777777" w:rsidR="002F5D47" w:rsidRPr="00B60F79" w:rsidRDefault="002F5D47" w:rsidP="00C04359">
            <w:pP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w:t>
            </w:r>
          </w:p>
        </w:tc>
        <w:tc>
          <w:tcPr>
            <w:tcW w:w="1149" w:type="dxa"/>
            <w:tcBorders>
              <w:top w:val="nil"/>
              <w:left w:val="nil"/>
              <w:bottom w:val="double" w:sz="6" w:space="0" w:color="auto"/>
              <w:right w:val="nil"/>
            </w:tcBorders>
            <w:shd w:val="clear" w:color="auto" w:fill="auto"/>
            <w:noWrap/>
            <w:vAlign w:val="center"/>
            <w:hideMark/>
          </w:tcPr>
          <w:p w14:paraId="069C95F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(0.0011)</w:t>
            </w:r>
          </w:p>
        </w:tc>
        <w:tc>
          <w:tcPr>
            <w:tcW w:w="1821" w:type="dxa"/>
            <w:tcBorders>
              <w:top w:val="nil"/>
              <w:left w:val="nil"/>
              <w:bottom w:val="double" w:sz="6" w:space="0" w:color="auto"/>
              <w:right w:val="nil"/>
            </w:tcBorders>
            <w:shd w:val="clear" w:color="auto" w:fill="auto"/>
            <w:noWrap/>
            <w:vAlign w:val="center"/>
            <w:hideMark/>
          </w:tcPr>
          <w:p w14:paraId="4032089C"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(0.0009)</w:t>
            </w:r>
          </w:p>
        </w:tc>
        <w:tc>
          <w:tcPr>
            <w:tcW w:w="1350" w:type="dxa"/>
            <w:tcBorders>
              <w:top w:val="nil"/>
              <w:left w:val="nil"/>
              <w:bottom w:val="double" w:sz="6" w:space="0" w:color="auto"/>
              <w:right w:val="nil"/>
            </w:tcBorders>
            <w:shd w:val="clear" w:color="auto" w:fill="auto"/>
            <w:noWrap/>
            <w:vAlign w:val="center"/>
            <w:hideMark/>
          </w:tcPr>
          <w:p w14:paraId="5A812761"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(0.0007)</w:t>
            </w:r>
          </w:p>
        </w:tc>
        <w:tc>
          <w:tcPr>
            <w:tcW w:w="1510" w:type="dxa"/>
            <w:tcBorders>
              <w:top w:val="nil"/>
              <w:left w:val="nil"/>
              <w:bottom w:val="double" w:sz="6" w:space="0" w:color="auto"/>
              <w:right w:val="nil"/>
            </w:tcBorders>
            <w:shd w:val="clear" w:color="auto" w:fill="auto"/>
            <w:noWrap/>
            <w:vAlign w:val="center"/>
            <w:hideMark/>
          </w:tcPr>
          <w:p w14:paraId="27D0A4D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(0.0014)</w:t>
            </w:r>
          </w:p>
        </w:tc>
        <w:tc>
          <w:tcPr>
            <w:tcW w:w="1405" w:type="dxa"/>
            <w:tcBorders>
              <w:top w:val="nil"/>
              <w:left w:val="nil"/>
              <w:bottom w:val="double" w:sz="6" w:space="0" w:color="auto"/>
              <w:right w:val="nil"/>
            </w:tcBorders>
            <w:shd w:val="clear" w:color="auto" w:fill="auto"/>
            <w:noWrap/>
            <w:vAlign w:val="center"/>
            <w:hideMark/>
          </w:tcPr>
          <w:p w14:paraId="0A513FA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(0.0011)</w:t>
            </w:r>
          </w:p>
        </w:tc>
        <w:tc>
          <w:tcPr>
            <w:tcW w:w="843" w:type="dxa"/>
            <w:tcBorders>
              <w:top w:val="nil"/>
              <w:left w:val="nil"/>
              <w:bottom w:val="double" w:sz="6" w:space="0" w:color="auto"/>
              <w:right w:val="nil"/>
            </w:tcBorders>
            <w:shd w:val="clear" w:color="auto" w:fill="auto"/>
            <w:noWrap/>
            <w:vAlign w:val="bottom"/>
            <w:hideMark/>
          </w:tcPr>
          <w:p w14:paraId="6A029D56" w14:textId="77777777" w:rsidR="002F5D47" w:rsidRPr="00B60F79" w:rsidRDefault="002F5D47" w:rsidP="00C04359">
            <w:pP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w:t>
            </w:r>
          </w:p>
        </w:tc>
        <w:tc>
          <w:tcPr>
            <w:tcW w:w="851" w:type="dxa"/>
            <w:tcBorders>
              <w:top w:val="nil"/>
              <w:left w:val="nil"/>
              <w:bottom w:val="double" w:sz="6" w:space="0" w:color="auto"/>
              <w:right w:val="nil"/>
            </w:tcBorders>
            <w:shd w:val="clear" w:color="auto" w:fill="auto"/>
            <w:noWrap/>
            <w:vAlign w:val="bottom"/>
            <w:hideMark/>
          </w:tcPr>
          <w:p w14:paraId="015ADFA3" w14:textId="77777777" w:rsidR="002F5D47" w:rsidRPr="00B60F79" w:rsidRDefault="002F5D47" w:rsidP="00C04359">
            <w:pP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w:t>
            </w:r>
          </w:p>
        </w:tc>
      </w:tr>
      <w:tr w:rsidR="002F5D47" w:rsidRPr="00070557" w14:paraId="6BA962A7" w14:textId="77777777" w:rsidTr="00C04359">
        <w:trPr>
          <w:trHeight w:val="230"/>
        </w:trPr>
        <w:tc>
          <w:tcPr>
            <w:tcW w:w="10657" w:type="dxa"/>
            <w:gridSpan w:val="8"/>
            <w:vMerge w:val="restart"/>
            <w:tcBorders>
              <w:top w:val="nil"/>
              <w:left w:val="nil"/>
              <w:bottom w:val="nil"/>
              <w:right w:val="nil"/>
            </w:tcBorders>
            <w:shd w:val="clear" w:color="auto" w:fill="auto"/>
            <w:hideMark/>
          </w:tcPr>
          <w:p w14:paraId="00CDA115" w14:textId="77777777" w:rsidR="002F5D47" w:rsidRPr="00070557" w:rsidRDefault="002F5D47" w:rsidP="00C04359">
            <w:pPr>
              <w:rPr>
                <w:rFonts w:ascii="Calibri" w:eastAsia="Times New Roman" w:hAnsi="Calibri" w:cs="Times New Roman"/>
                <w:color w:val="000000"/>
                <w:sz w:val="16"/>
                <w:szCs w:val="16"/>
              </w:rPr>
            </w:pPr>
            <w:r w:rsidRPr="00070557">
              <w:rPr>
                <w:rFonts w:ascii="Calibri" w:eastAsia="Times New Roman" w:hAnsi="Calibri" w:cs="Times New Roman"/>
                <w:color w:val="000000"/>
                <w:sz w:val="16"/>
                <w:szCs w:val="16"/>
              </w:rPr>
              <w:t>Observations are at the weekly-monitor level.</w:t>
            </w:r>
            <w:r>
              <w:rPr>
                <w:rFonts w:ascii="Calibri" w:eastAsia="Times New Roman" w:hAnsi="Calibri" w:cs="Times New Roman"/>
                <w:color w:val="000000"/>
                <w:sz w:val="16"/>
                <w:szCs w:val="16"/>
              </w:rPr>
              <w:t xml:space="preserve"> The 14 monitors in Los Angeles County are used.</w:t>
            </w:r>
            <w:r w:rsidRPr="00070557">
              <w:rPr>
                <w:rFonts w:ascii="Calibri" w:eastAsia="Times New Roman" w:hAnsi="Calibri" w:cs="Times New Roman"/>
                <w:color w:val="000000"/>
                <w:sz w:val="16"/>
                <w:szCs w:val="16"/>
              </w:rPr>
              <w:t xml:space="preserve"> Standard errors are in parentheses. Intervals are in </w:t>
            </w:r>
            <w:r>
              <w:rPr>
                <w:rFonts w:ascii="Calibri" w:eastAsia="Times New Roman" w:hAnsi="Calibri" w:cs="Times New Roman"/>
                <w:color w:val="000000"/>
                <w:sz w:val="16"/>
                <w:szCs w:val="16"/>
              </w:rPr>
              <w:t>five-week</w:t>
            </w:r>
            <w:r w:rsidRPr="00070557">
              <w:rPr>
                <w:rFonts w:ascii="Calibri" w:eastAsia="Times New Roman" w:hAnsi="Calibri" w:cs="Times New Roman"/>
                <w:color w:val="000000"/>
                <w:sz w:val="16"/>
                <w:szCs w:val="16"/>
              </w:rPr>
              <w:t xml:space="preserve"> increments. *** indicates significance at the 1% level, ** indicates significance at the 5% level and * indicates significance at the 10% level.</w:t>
            </w:r>
          </w:p>
        </w:tc>
      </w:tr>
      <w:tr w:rsidR="002F5D47" w:rsidRPr="00070557" w14:paraId="4E926B56" w14:textId="77777777" w:rsidTr="00C04359">
        <w:trPr>
          <w:trHeight w:val="385"/>
        </w:trPr>
        <w:tc>
          <w:tcPr>
            <w:tcW w:w="10657" w:type="dxa"/>
            <w:gridSpan w:val="8"/>
            <w:vMerge/>
            <w:tcBorders>
              <w:top w:val="nil"/>
              <w:left w:val="nil"/>
              <w:bottom w:val="nil"/>
              <w:right w:val="nil"/>
            </w:tcBorders>
            <w:vAlign w:val="center"/>
            <w:hideMark/>
          </w:tcPr>
          <w:p w14:paraId="5C3A95D1" w14:textId="77777777" w:rsidR="002F5D47" w:rsidRPr="00070557" w:rsidRDefault="002F5D47" w:rsidP="00C04359">
            <w:pPr>
              <w:rPr>
                <w:rFonts w:ascii="Calibri" w:eastAsia="Times New Roman" w:hAnsi="Calibri" w:cs="Times New Roman"/>
                <w:color w:val="000000"/>
                <w:sz w:val="16"/>
                <w:szCs w:val="16"/>
              </w:rPr>
            </w:pPr>
          </w:p>
        </w:tc>
      </w:tr>
    </w:tbl>
    <w:p w14:paraId="622C981C" w14:textId="77777777" w:rsidR="002F5D47" w:rsidRDefault="002F5D47" w:rsidP="002F5D47">
      <w:pPr>
        <w:spacing w:line="480" w:lineRule="auto"/>
        <w:jc w:val="both"/>
      </w:pPr>
    </w:p>
    <w:p w14:paraId="63D44A27" w14:textId="77777777" w:rsidR="002F5D47" w:rsidRDefault="002F5D47" w:rsidP="002F5D47">
      <w:pPr>
        <w:spacing w:line="480" w:lineRule="auto"/>
        <w:jc w:val="both"/>
      </w:pPr>
    </w:p>
    <w:tbl>
      <w:tblPr>
        <w:tblpPr w:leftFromText="180" w:rightFromText="180" w:vertAnchor="text" w:horzAnchor="margin" w:tblpXSpec="center" w:tblpY="440"/>
        <w:tblW w:w="10688" w:type="dxa"/>
        <w:tblLook w:val="04A0" w:firstRow="1" w:lastRow="0" w:firstColumn="1" w:lastColumn="0" w:noHBand="0" w:noVBand="1"/>
      </w:tblPr>
      <w:tblGrid>
        <w:gridCol w:w="1728"/>
        <w:gridCol w:w="1156"/>
        <w:gridCol w:w="1904"/>
        <w:gridCol w:w="1260"/>
        <w:gridCol w:w="1531"/>
        <w:gridCol w:w="1410"/>
        <w:gridCol w:w="847"/>
        <w:gridCol w:w="852"/>
      </w:tblGrid>
      <w:tr w:rsidR="002F5D47" w:rsidRPr="00DC4879" w14:paraId="0D7F1544" w14:textId="77777777" w:rsidTr="00C04359">
        <w:trPr>
          <w:trHeight w:val="426"/>
        </w:trPr>
        <w:tc>
          <w:tcPr>
            <w:tcW w:w="10688" w:type="dxa"/>
            <w:gridSpan w:val="8"/>
            <w:tcBorders>
              <w:top w:val="nil"/>
              <w:left w:val="nil"/>
              <w:bottom w:val="single" w:sz="8" w:space="0" w:color="auto"/>
              <w:right w:val="nil"/>
            </w:tcBorders>
            <w:shd w:val="clear" w:color="auto" w:fill="auto"/>
            <w:vAlign w:val="center"/>
            <w:hideMark/>
          </w:tcPr>
          <w:p w14:paraId="622DAE28" w14:textId="77777777" w:rsidR="002F5D47" w:rsidRPr="000701CF" w:rsidRDefault="002F5D47" w:rsidP="00C04359">
            <w:pPr>
              <w:jc w:val="center"/>
              <w:rPr>
                <w:rFonts w:eastAsia="Times New Roman" w:cs="Times New Roman"/>
                <w:b/>
                <w:bCs/>
                <w:color w:val="000000"/>
              </w:rPr>
            </w:pPr>
            <w:r w:rsidRPr="000701CF">
              <w:rPr>
                <w:rFonts w:eastAsia="Times New Roman" w:cs="Times New Roman"/>
                <w:b/>
                <w:bCs/>
                <w:color w:val="000000"/>
              </w:rPr>
              <w:lastRenderedPageBreak/>
              <w:t>Table 4</w:t>
            </w:r>
            <w:r w:rsidRPr="000701CF">
              <w:rPr>
                <w:rFonts w:eastAsia="Times New Roman" w:cs="Times New Roman"/>
                <w:b/>
                <w:bCs/>
                <w:color w:val="000000"/>
              </w:rPr>
              <w:br/>
              <w:t>Five-Week Averages for 2002</w:t>
            </w:r>
          </w:p>
        </w:tc>
      </w:tr>
      <w:tr w:rsidR="002F5D47" w:rsidRPr="00DC4879" w14:paraId="25033CCD" w14:textId="77777777" w:rsidTr="00237225">
        <w:trPr>
          <w:trHeight w:val="236"/>
        </w:trPr>
        <w:tc>
          <w:tcPr>
            <w:tcW w:w="1728" w:type="dxa"/>
            <w:tcBorders>
              <w:top w:val="nil"/>
              <w:left w:val="nil"/>
              <w:bottom w:val="nil"/>
              <w:right w:val="nil"/>
            </w:tcBorders>
            <w:shd w:val="clear" w:color="auto" w:fill="auto"/>
            <w:noWrap/>
            <w:vAlign w:val="bottom"/>
            <w:hideMark/>
          </w:tcPr>
          <w:p w14:paraId="5F5F9849" w14:textId="77777777" w:rsidR="002F5D47" w:rsidRPr="00B60F79" w:rsidRDefault="002F5D47" w:rsidP="00C04359">
            <w:pPr>
              <w:jc w:val="center"/>
              <w:rPr>
                <w:rFonts w:ascii="Calibri" w:eastAsia="Times New Roman" w:hAnsi="Calibri" w:cs="Times New Roman"/>
                <w:b/>
                <w:bCs/>
                <w:color w:val="000000"/>
                <w:sz w:val="22"/>
                <w:szCs w:val="22"/>
              </w:rPr>
            </w:pPr>
          </w:p>
        </w:tc>
        <w:tc>
          <w:tcPr>
            <w:tcW w:w="1156" w:type="dxa"/>
            <w:tcBorders>
              <w:top w:val="nil"/>
              <w:left w:val="nil"/>
              <w:bottom w:val="nil"/>
              <w:right w:val="nil"/>
            </w:tcBorders>
            <w:shd w:val="clear" w:color="auto" w:fill="auto"/>
            <w:noWrap/>
            <w:vAlign w:val="center"/>
            <w:hideMark/>
          </w:tcPr>
          <w:p w14:paraId="71620667"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(1)</w:t>
            </w:r>
          </w:p>
        </w:tc>
        <w:tc>
          <w:tcPr>
            <w:tcW w:w="1904" w:type="dxa"/>
            <w:tcBorders>
              <w:top w:val="nil"/>
              <w:left w:val="nil"/>
              <w:bottom w:val="nil"/>
              <w:right w:val="nil"/>
            </w:tcBorders>
            <w:shd w:val="clear" w:color="auto" w:fill="auto"/>
            <w:noWrap/>
            <w:vAlign w:val="center"/>
            <w:hideMark/>
          </w:tcPr>
          <w:p w14:paraId="589C8E1C"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(2)</w:t>
            </w:r>
          </w:p>
        </w:tc>
        <w:tc>
          <w:tcPr>
            <w:tcW w:w="1260" w:type="dxa"/>
            <w:tcBorders>
              <w:top w:val="nil"/>
              <w:left w:val="nil"/>
              <w:bottom w:val="nil"/>
              <w:right w:val="nil"/>
            </w:tcBorders>
            <w:shd w:val="clear" w:color="auto" w:fill="auto"/>
            <w:noWrap/>
            <w:vAlign w:val="center"/>
            <w:hideMark/>
          </w:tcPr>
          <w:p w14:paraId="0904A935"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(3)</w:t>
            </w:r>
          </w:p>
        </w:tc>
        <w:tc>
          <w:tcPr>
            <w:tcW w:w="1531" w:type="dxa"/>
            <w:tcBorders>
              <w:top w:val="nil"/>
              <w:left w:val="nil"/>
              <w:bottom w:val="nil"/>
              <w:right w:val="nil"/>
            </w:tcBorders>
            <w:shd w:val="clear" w:color="auto" w:fill="auto"/>
            <w:noWrap/>
            <w:vAlign w:val="center"/>
            <w:hideMark/>
          </w:tcPr>
          <w:p w14:paraId="12DC1259"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(4)</w:t>
            </w:r>
          </w:p>
        </w:tc>
        <w:tc>
          <w:tcPr>
            <w:tcW w:w="1410" w:type="dxa"/>
            <w:tcBorders>
              <w:top w:val="nil"/>
              <w:left w:val="nil"/>
              <w:bottom w:val="nil"/>
              <w:right w:val="nil"/>
            </w:tcBorders>
            <w:shd w:val="clear" w:color="auto" w:fill="auto"/>
            <w:noWrap/>
            <w:vAlign w:val="center"/>
            <w:hideMark/>
          </w:tcPr>
          <w:p w14:paraId="1FB8ADBC"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(5)</w:t>
            </w:r>
          </w:p>
        </w:tc>
        <w:tc>
          <w:tcPr>
            <w:tcW w:w="847" w:type="dxa"/>
            <w:tcBorders>
              <w:top w:val="nil"/>
              <w:left w:val="nil"/>
              <w:bottom w:val="nil"/>
              <w:right w:val="nil"/>
            </w:tcBorders>
            <w:shd w:val="clear" w:color="auto" w:fill="auto"/>
            <w:noWrap/>
            <w:vAlign w:val="center"/>
            <w:hideMark/>
          </w:tcPr>
          <w:p w14:paraId="0AEDD121"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(6)</w:t>
            </w:r>
          </w:p>
        </w:tc>
        <w:tc>
          <w:tcPr>
            <w:tcW w:w="852" w:type="dxa"/>
            <w:tcBorders>
              <w:top w:val="nil"/>
              <w:left w:val="nil"/>
              <w:bottom w:val="nil"/>
              <w:right w:val="nil"/>
            </w:tcBorders>
            <w:shd w:val="clear" w:color="auto" w:fill="auto"/>
            <w:noWrap/>
            <w:vAlign w:val="center"/>
            <w:hideMark/>
          </w:tcPr>
          <w:p w14:paraId="607C8B92" w14:textId="77777777" w:rsidR="002F5D47" w:rsidRPr="00B60F79" w:rsidRDefault="002F5D47" w:rsidP="00C04359">
            <w:pPr>
              <w:jc w:val="center"/>
              <w:rPr>
                <w:rFonts w:ascii="Calibri" w:eastAsia="Times New Roman" w:hAnsi="Calibri" w:cs="Times New Roman"/>
                <w:b/>
                <w:bCs/>
                <w:color w:val="000000"/>
                <w:sz w:val="22"/>
                <w:szCs w:val="22"/>
              </w:rPr>
            </w:pPr>
            <w:r w:rsidRPr="00B60F79">
              <w:rPr>
                <w:rFonts w:ascii="Calibri" w:eastAsia="Times New Roman" w:hAnsi="Calibri" w:cs="Times New Roman"/>
                <w:b/>
                <w:bCs/>
                <w:color w:val="000000"/>
                <w:sz w:val="22"/>
                <w:szCs w:val="22"/>
              </w:rPr>
              <w:t>(7)</w:t>
            </w:r>
          </w:p>
        </w:tc>
      </w:tr>
      <w:tr w:rsidR="002F5D47" w:rsidRPr="00DC4879" w14:paraId="1189102D" w14:textId="77777777" w:rsidTr="00237225">
        <w:trPr>
          <w:trHeight w:val="248"/>
        </w:trPr>
        <w:tc>
          <w:tcPr>
            <w:tcW w:w="1728" w:type="dxa"/>
            <w:tcBorders>
              <w:top w:val="nil"/>
              <w:left w:val="nil"/>
              <w:bottom w:val="double" w:sz="6" w:space="0" w:color="auto"/>
              <w:right w:val="nil"/>
            </w:tcBorders>
            <w:shd w:val="clear" w:color="auto" w:fill="auto"/>
            <w:noWrap/>
            <w:vAlign w:val="bottom"/>
            <w:hideMark/>
          </w:tcPr>
          <w:p w14:paraId="0840595F" w14:textId="1C2418E4" w:rsidR="002F5D47" w:rsidRPr="005B6F75" w:rsidRDefault="005B6F75" w:rsidP="00C04359">
            <w:pPr>
              <w:rPr>
                <w:rFonts w:ascii="Calibri" w:eastAsia="Times New Roman" w:hAnsi="Calibri" w:cs="Times New Roman"/>
                <w:bCs/>
                <w:color w:val="000000"/>
                <w:sz w:val="22"/>
                <w:szCs w:val="22"/>
              </w:rPr>
            </w:pPr>
            <w:r w:rsidRPr="005B6F75">
              <w:rPr>
                <w:rFonts w:ascii="Calibri" w:eastAsia="Times New Roman" w:hAnsi="Calibri" w:cs="Times New Roman"/>
                <w:bCs/>
                <w:color w:val="000000"/>
              </w:rPr>
              <w:t>Variable</w:t>
            </w:r>
          </w:p>
        </w:tc>
        <w:tc>
          <w:tcPr>
            <w:tcW w:w="1156" w:type="dxa"/>
            <w:tcBorders>
              <w:top w:val="nil"/>
              <w:left w:val="nil"/>
              <w:bottom w:val="double" w:sz="6" w:space="0" w:color="auto"/>
              <w:right w:val="nil"/>
            </w:tcBorders>
            <w:shd w:val="clear" w:color="auto" w:fill="auto"/>
            <w:noWrap/>
            <w:vAlign w:val="center"/>
            <w:hideMark/>
          </w:tcPr>
          <w:p w14:paraId="27B13D46"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xml:space="preserve"> 9/9/02 - 10/13/02</w:t>
            </w:r>
          </w:p>
        </w:tc>
        <w:tc>
          <w:tcPr>
            <w:tcW w:w="1904" w:type="dxa"/>
            <w:tcBorders>
              <w:top w:val="nil"/>
              <w:left w:val="nil"/>
              <w:bottom w:val="double" w:sz="6" w:space="0" w:color="auto"/>
              <w:right w:val="nil"/>
            </w:tcBorders>
            <w:shd w:val="clear" w:color="auto" w:fill="auto"/>
            <w:noWrap/>
            <w:vAlign w:val="center"/>
            <w:hideMark/>
          </w:tcPr>
          <w:p w14:paraId="55885CE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xml:space="preserve"> 10/14/02 - 11/18/02</w:t>
            </w:r>
          </w:p>
        </w:tc>
        <w:tc>
          <w:tcPr>
            <w:tcW w:w="1260" w:type="dxa"/>
            <w:tcBorders>
              <w:top w:val="nil"/>
              <w:left w:val="nil"/>
              <w:bottom w:val="double" w:sz="6" w:space="0" w:color="auto"/>
              <w:right w:val="nil"/>
            </w:tcBorders>
            <w:shd w:val="clear" w:color="auto" w:fill="auto"/>
            <w:noWrap/>
            <w:vAlign w:val="center"/>
            <w:hideMark/>
          </w:tcPr>
          <w:p w14:paraId="6B60E5C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11/19/03 - 12/22/02</w:t>
            </w:r>
          </w:p>
        </w:tc>
        <w:tc>
          <w:tcPr>
            <w:tcW w:w="1531" w:type="dxa"/>
            <w:tcBorders>
              <w:top w:val="nil"/>
              <w:left w:val="nil"/>
              <w:bottom w:val="double" w:sz="6" w:space="0" w:color="auto"/>
              <w:right w:val="nil"/>
            </w:tcBorders>
            <w:shd w:val="clear" w:color="auto" w:fill="auto"/>
            <w:noWrap/>
            <w:vAlign w:val="center"/>
            <w:hideMark/>
          </w:tcPr>
          <w:p w14:paraId="7F5BF7A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Difference: (2)-(1)</w:t>
            </w:r>
          </w:p>
        </w:tc>
        <w:tc>
          <w:tcPr>
            <w:tcW w:w="1410" w:type="dxa"/>
            <w:tcBorders>
              <w:top w:val="nil"/>
              <w:left w:val="nil"/>
              <w:bottom w:val="double" w:sz="6" w:space="0" w:color="auto"/>
              <w:right w:val="nil"/>
            </w:tcBorders>
            <w:shd w:val="clear" w:color="auto" w:fill="auto"/>
            <w:noWrap/>
            <w:vAlign w:val="center"/>
            <w:hideMark/>
          </w:tcPr>
          <w:p w14:paraId="0638C55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Difference: (3)-(2)</w:t>
            </w:r>
          </w:p>
        </w:tc>
        <w:tc>
          <w:tcPr>
            <w:tcW w:w="847" w:type="dxa"/>
            <w:tcBorders>
              <w:top w:val="nil"/>
              <w:left w:val="nil"/>
              <w:bottom w:val="double" w:sz="6" w:space="0" w:color="auto"/>
              <w:right w:val="nil"/>
            </w:tcBorders>
            <w:shd w:val="clear" w:color="auto" w:fill="auto"/>
            <w:noWrap/>
            <w:vAlign w:val="center"/>
            <w:hideMark/>
          </w:tcPr>
          <w:p w14:paraId="4AF693C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%Δ: (2)-(1)</w:t>
            </w:r>
          </w:p>
        </w:tc>
        <w:tc>
          <w:tcPr>
            <w:tcW w:w="852" w:type="dxa"/>
            <w:tcBorders>
              <w:top w:val="nil"/>
              <w:left w:val="nil"/>
              <w:bottom w:val="double" w:sz="6" w:space="0" w:color="auto"/>
              <w:right w:val="nil"/>
            </w:tcBorders>
            <w:shd w:val="clear" w:color="auto" w:fill="auto"/>
            <w:noWrap/>
            <w:vAlign w:val="center"/>
            <w:hideMark/>
          </w:tcPr>
          <w:p w14:paraId="70914EC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%Δ: (3)-(2)</w:t>
            </w:r>
          </w:p>
        </w:tc>
      </w:tr>
      <w:tr w:rsidR="002F5D47" w:rsidRPr="00DC4879" w14:paraId="6AEA12F6" w14:textId="77777777" w:rsidTr="00237225">
        <w:trPr>
          <w:trHeight w:val="248"/>
        </w:trPr>
        <w:tc>
          <w:tcPr>
            <w:tcW w:w="1728" w:type="dxa"/>
            <w:tcBorders>
              <w:top w:val="nil"/>
              <w:left w:val="nil"/>
              <w:bottom w:val="nil"/>
              <w:right w:val="nil"/>
            </w:tcBorders>
            <w:shd w:val="clear" w:color="auto" w:fill="auto"/>
            <w:noWrap/>
            <w:vAlign w:val="center"/>
            <w:hideMark/>
          </w:tcPr>
          <w:p w14:paraId="523E5202"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CO</w:t>
            </w:r>
          </w:p>
        </w:tc>
        <w:tc>
          <w:tcPr>
            <w:tcW w:w="1156" w:type="dxa"/>
            <w:tcBorders>
              <w:top w:val="nil"/>
              <w:left w:val="nil"/>
              <w:bottom w:val="nil"/>
              <w:right w:val="nil"/>
            </w:tcBorders>
            <w:shd w:val="clear" w:color="auto" w:fill="auto"/>
            <w:noWrap/>
            <w:vAlign w:val="center"/>
            <w:hideMark/>
          </w:tcPr>
          <w:p w14:paraId="3BDCF16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0.88</w:t>
            </w:r>
          </w:p>
        </w:tc>
        <w:tc>
          <w:tcPr>
            <w:tcW w:w="1904" w:type="dxa"/>
            <w:tcBorders>
              <w:top w:val="nil"/>
              <w:left w:val="nil"/>
              <w:bottom w:val="nil"/>
              <w:right w:val="nil"/>
            </w:tcBorders>
            <w:shd w:val="clear" w:color="auto" w:fill="auto"/>
            <w:noWrap/>
            <w:vAlign w:val="center"/>
            <w:hideMark/>
          </w:tcPr>
          <w:p w14:paraId="26255AE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1.05</w:t>
            </w:r>
          </w:p>
        </w:tc>
        <w:tc>
          <w:tcPr>
            <w:tcW w:w="1260" w:type="dxa"/>
            <w:tcBorders>
              <w:top w:val="nil"/>
              <w:left w:val="nil"/>
              <w:bottom w:val="nil"/>
              <w:right w:val="nil"/>
            </w:tcBorders>
            <w:shd w:val="clear" w:color="auto" w:fill="auto"/>
            <w:noWrap/>
            <w:vAlign w:val="center"/>
            <w:hideMark/>
          </w:tcPr>
          <w:p w14:paraId="021E0886"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1.37</w:t>
            </w:r>
          </w:p>
        </w:tc>
        <w:tc>
          <w:tcPr>
            <w:tcW w:w="1531" w:type="dxa"/>
            <w:tcBorders>
              <w:top w:val="nil"/>
              <w:left w:val="nil"/>
              <w:bottom w:val="nil"/>
              <w:right w:val="nil"/>
            </w:tcBorders>
            <w:shd w:val="clear" w:color="auto" w:fill="auto"/>
            <w:noWrap/>
            <w:vAlign w:val="center"/>
            <w:hideMark/>
          </w:tcPr>
          <w:p w14:paraId="5539A8A9"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0.18**</w:t>
            </w:r>
          </w:p>
        </w:tc>
        <w:tc>
          <w:tcPr>
            <w:tcW w:w="1410" w:type="dxa"/>
            <w:tcBorders>
              <w:top w:val="nil"/>
              <w:left w:val="nil"/>
              <w:bottom w:val="nil"/>
              <w:right w:val="nil"/>
            </w:tcBorders>
            <w:shd w:val="clear" w:color="auto" w:fill="auto"/>
            <w:noWrap/>
            <w:vAlign w:val="center"/>
            <w:hideMark/>
          </w:tcPr>
          <w:p w14:paraId="20084D2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0.32***</w:t>
            </w:r>
          </w:p>
        </w:tc>
        <w:tc>
          <w:tcPr>
            <w:tcW w:w="847" w:type="dxa"/>
            <w:tcBorders>
              <w:top w:val="nil"/>
              <w:left w:val="nil"/>
              <w:bottom w:val="nil"/>
              <w:right w:val="nil"/>
            </w:tcBorders>
            <w:shd w:val="clear" w:color="auto" w:fill="auto"/>
            <w:noWrap/>
            <w:vAlign w:val="center"/>
            <w:hideMark/>
          </w:tcPr>
          <w:p w14:paraId="79841E3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20%</w:t>
            </w:r>
          </w:p>
        </w:tc>
        <w:tc>
          <w:tcPr>
            <w:tcW w:w="852" w:type="dxa"/>
            <w:tcBorders>
              <w:top w:val="nil"/>
              <w:left w:val="nil"/>
              <w:bottom w:val="nil"/>
              <w:right w:val="nil"/>
            </w:tcBorders>
            <w:shd w:val="clear" w:color="auto" w:fill="auto"/>
            <w:noWrap/>
            <w:vAlign w:val="center"/>
            <w:hideMark/>
          </w:tcPr>
          <w:p w14:paraId="5C881066"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30%</w:t>
            </w:r>
          </w:p>
        </w:tc>
      </w:tr>
      <w:tr w:rsidR="002F5D47" w:rsidRPr="00DC4879" w14:paraId="5B0885DA" w14:textId="77777777" w:rsidTr="00237225">
        <w:trPr>
          <w:trHeight w:val="360"/>
        </w:trPr>
        <w:tc>
          <w:tcPr>
            <w:tcW w:w="1728" w:type="dxa"/>
            <w:tcBorders>
              <w:top w:val="nil"/>
              <w:left w:val="nil"/>
              <w:bottom w:val="nil"/>
              <w:right w:val="nil"/>
            </w:tcBorders>
            <w:shd w:val="clear" w:color="auto" w:fill="auto"/>
            <w:noWrap/>
            <w:vAlign w:val="center"/>
            <w:hideMark/>
          </w:tcPr>
          <w:p w14:paraId="30E65583" w14:textId="77777777" w:rsidR="002F5D47" w:rsidRPr="00B60F79"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center"/>
            <w:hideMark/>
          </w:tcPr>
          <w:p w14:paraId="0F6B5D0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(0.04)</w:t>
            </w:r>
          </w:p>
        </w:tc>
        <w:tc>
          <w:tcPr>
            <w:tcW w:w="1904" w:type="dxa"/>
            <w:tcBorders>
              <w:top w:val="nil"/>
              <w:left w:val="nil"/>
              <w:bottom w:val="nil"/>
              <w:right w:val="nil"/>
            </w:tcBorders>
            <w:shd w:val="clear" w:color="auto" w:fill="auto"/>
            <w:noWrap/>
            <w:vAlign w:val="center"/>
            <w:hideMark/>
          </w:tcPr>
          <w:p w14:paraId="24DCB89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(0.07)</w:t>
            </w:r>
          </w:p>
        </w:tc>
        <w:tc>
          <w:tcPr>
            <w:tcW w:w="1260" w:type="dxa"/>
            <w:tcBorders>
              <w:top w:val="nil"/>
              <w:left w:val="nil"/>
              <w:bottom w:val="nil"/>
              <w:right w:val="nil"/>
            </w:tcBorders>
            <w:shd w:val="clear" w:color="auto" w:fill="auto"/>
            <w:noWrap/>
            <w:vAlign w:val="center"/>
            <w:hideMark/>
          </w:tcPr>
          <w:p w14:paraId="42A2A45E"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(0.09)</w:t>
            </w:r>
          </w:p>
        </w:tc>
        <w:tc>
          <w:tcPr>
            <w:tcW w:w="1531" w:type="dxa"/>
            <w:tcBorders>
              <w:top w:val="nil"/>
              <w:left w:val="nil"/>
              <w:bottom w:val="nil"/>
              <w:right w:val="nil"/>
            </w:tcBorders>
            <w:shd w:val="clear" w:color="auto" w:fill="auto"/>
            <w:noWrap/>
            <w:vAlign w:val="center"/>
            <w:hideMark/>
          </w:tcPr>
          <w:p w14:paraId="74887B5E"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(0.08)</w:t>
            </w:r>
          </w:p>
        </w:tc>
        <w:tc>
          <w:tcPr>
            <w:tcW w:w="1410" w:type="dxa"/>
            <w:tcBorders>
              <w:top w:val="nil"/>
              <w:left w:val="nil"/>
              <w:bottom w:val="nil"/>
              <w:right w:val="nil"/>
            </w:tcBorders>
            <w:shd w:val="clear" w:color="auto" w:fill="auto"/>
            <w:noWrap/>
            <w:vAlign w:val="center"/>
            <w:hideMark/>
          </w:tcPr>
          <w:p w14:paraId="32F1C17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(0.11)</w:t>
            </w:r>
          </w:p>
        </w:tc>
        <w:tc>
          <w:tcPr>
            <w:tcW w:w="847" w:type="dxa"/>
            <w:tcBorders>
              <w:top w:val="nil"/>
              <w:left w:val="nil"/>
              <w:bottom w:val="nil"/>
              <w:right w:val="nil"/>
            </w:tcBorders>
            <w:shd w:val="clear" w:color="auto" w:fill="auto"/>
            <w:noWrap/>
            <w:vAlign w:val="center"/>
            <w:hideMark/>
          </w:tcPr>
          <w:p w14:paraId="7F97662A" w14:textId="77777777" w:rsidR="002F5D47" w:rsidRPr="00B60F79" w:rsidRDefault="002F5D47" w:rsidP="00C04359">
            <w:pPr>
              <w:jc w:val="center"/>
              <w:rPr>
                <w:rFonts w:ascii="Calibri" w:eastAsia="Times New Roman" w:hAnsi="Calibri" w:cs="Times New Roman"/>
                <w:color w:val="000000"/>
                <w:sz w:val="22"/>
                <w:szCs w:val="22"/>
              </w:rPr>
            </w:pPr>
          </w:p>
        </w:tc>
        <w:tc>
          <w:tcPr>
            <w:tcW w:w="852" w:type="dxa"/>
            <w:tcBorders>
              <w:top w:val="nil"/>
              <w:left w:val="nil"/>
              <w:bottom w:val="nil"/>
              <w:right w:val="nil"/>
            </w:tcBorders>
            <w:shd w:val="clear" w:color="auto" w:fill="auto"/>
            <w:noWrap/>
            <w:vAlign w:val="center"/>
            <w:hideMark/>
          </w:tcPr>
          <w:p w14:paraId="6E375017" w14:textId="77777777" w:rsidR="002F5D47" w:rsidRPr="00B60F79" w:rsidRDefault="002F5D47" w:rsidP="00C04359">
            <w:pPr>
              <w:jc w:val="center"/>
              <w:rPr>
                <w:rFonts w:eastAsia="Times New Roman" w:cs="Times New Roman"/>
                <w:sz w:val="22"/>
                <w:szCs w:val="22"/>
              </w:rPr>
            </w:pPr>
          </w:p>
        </w:tc>
      </w:tr>
      <w:tr w:rsidR="002F5D47" w:rsidRPr="00DC4879" w14:paraId="457D8786" w14:textId="77777777" w:rsidTr="00237225">
        <w:trPr>
          <w:trHeight w:val="236"/>
        </w:trPr>
        <w:tc>
          <w:tcPr>
            <w:tcW w:w="1728" w:type="dxa"/>
            <w:tcBorders>
              <w:top w:val="nil"/>
              <w:left w:val="nil"/>
              <w:bottom w:val="nil"/>
              <w:right w:val="nil"/>
            </w:tcBorders>
            <w:shd w:val="clear" w:color="auto" w:fill="auto"/>
            <w:noWrap/>
            <w:vAlign w:val="bottom"/>
            <w:hideMark/>
          </w:tcPr>
          <w:p w14:paraId="7103F401"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NO</w:t>
            </w:r>
            <w:r w:rsidRPr="00B60F79">
              <w:rPr>
                <w:rFonts w:ascii="Calibri" w:hAnsi="Calibri"/>
                <w:color w:val="000000"/>
                <w:sz w:val="22"/>
                <w:szCs w:val="22"/>
                <w:vertAlign w:val="subscript"/>
              </w:rPr>
              <w:t>2</w:t>
            </w:r>
          </w:p>
        </w:tc>
        <w:tc>
          <w:tcPr>
            <w:tcW w:w="1156" w:type="dxa"/>
            <w:tcBorders>
              <w:top w:val="nil"/>
              <w:left w:val="nil"/>
              <w:bottom w:val="nil"/>
              <w:right w:val="nil"/>
            </w:tcBorders>
            <w:shd w:val="clear" w:color="auto" w:fill="auto"/>
            <w:noWrap/>
            <w:vAlign w:val="center"/>
            <w:hideMark/>
          </w:tcPr>
          <w:p w14:paraId="3FB4B536"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36.49</w:t>
            </w:r>
          </w:p>
        </w:tc>
        <w:tc>
          <w:tcPr>
            <w:tcW w:w="1904" w:type="dxa"/>
            <w:tcBorders>
              <w:top w:val="nil"/>
              <w:left w:val="nil"/>
              <w:bottom w:val="nil"/>
              <w:right w:val="nil"/>
            </w:tcBorders>
            <w:shd w:val="clear" w:color="auto" w:fill="auto"/>
            <w:noWrap/>
            <w:vAlign w:val="center"/>
            <w:hideMark/>
          </w:tcPr>
          <w:p w14:paraId="1298B35C"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37.94</w:t>
            </w:r>
          </w:p>
        </w:tc>
        <w:tc>
          <w:tcPr>
            <w:tcW w:w="1260" w:type="dxa"/>
            <w:tcBorders>
              <w:top w:val="nil"/>
              <w:left w:val="nil"/>
              <w:bottom w:val="nil"/>
              <w:right w:val="nil"/>
            </w:tcBorders>
            <w:shd w:val="clear" w:color="auto" w:fill="auto"/>
            <w:noWrap/>
            <w:vAlign w:val="center"/>
            <w:hideMark/>
          </w:tcPr>
          <w:p w14:paraId="072582A1"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37.46</w:t>
            </w:r>
          </w:p>
        </w:tc>
        <w:tc>
          <w:tcPr>
            <w:tcW w:w="1531" w:type="dxa"/>
            <w:tcBorders>
              <w:top w:val="nil"/>
              <w:left w:val="nil"/>
              <w:bottom w:val="nil"/>
              <w:right w:val="nil"/>
            </w:tcBorders>
            <w:shd w:val="clear" w:color="auto" w:fill="auto"/>
            <w:noWrap/>
            <w:vAlign w:val="center"/>
            <w:hideMark/>
          </w:tcPr>
          <w:p w14:paraId="4511026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1.45</w:t>
            </w:r>
          </w:p>
        </w:tc>
        <w:tc>
          <w:tcPr>
            <w:tcW w:w="1410" w:type="dxa"/>
            <w:tcBorders>
              <w:top w:val="nil"/>
              <w:left w:val="nil"/>
              <w:bottom w:val="nil"/>
              <w:right w:val="nil"/>
            </w:tcBorders>
            <w:shd w:val="clear" w:color="auto" w:fill="auto"/>
            <w:noWrap/>
            <w:vAlign w:val="center"/>
            <w:hideMark/>
          </w:tcPr>
          <w:p w14:paraId="3896E25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-0.48</w:t>
            </w:r>
          </w:p>
        </w:tc>
        <w:tc>
          <w:tcPr>
            <w:tcW w:w="847" w:type="dxa"/>
            <w:tcBorders>
              <w:top w:val="nil"/>
              <w:left w:val="nil"/>
              <w:bottom w:val="nil"/>
              <w:right w:val="nil"/>
            </w:tcBorders>
            <w:shd w:val="clear" w:color="auto" w:fill="auto"/>
            <w:noWrap/>
            <w:vAlign w:val="center"/>
            <w:hideMark/>
          </w:tcPr>
          <w:p w14:paraId="0F752BA6"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4%</w:t>
            </w:r>
          </w:p>
        </w:tc>
        <w:tc>
          <w:tcPr>
            <w:tcW w:w="852" w:type="dxa"/>
            <w:tcBorders>
              <w:top w:val="nil"/>
              <w:left w:val="nil"/>
              <w:bottom w:val="nil"/>
              <w:right w:val="nil"/>
            </w:tcBorders>
            <w:shd w:val="clear" w:color="auto" w:fill="auto"/>
            <w:noWrap/>
            <w:vAlign w:val="center"/>
            <w:hideMark/>
          </w:tcPr>
          <w:p w14:paraId="1D183A3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w:t>
            </w:r>
          </w:p>
        </w:tc>
      </w:tr>
      <w:tr w:rsidR="002F5D47" w:rsidRPr="00DC4879" w14:paraId="067422C9" w14:textId="77777777" w:rsidTr="00237225">
        <w:trPr>
          <w:trHeight w:val="378"/>
        </w:trPr>
        <w:tc>
          <w:tcPr>
            <w:tcW w:w="1728" w:type="dxa"/>
            <w:tcBorders>
              <w:top w:val="nil"/>
              <w:left w:val="nil"/>
              <w:bottom w:val="nil"/>
              <w:right w:val="nil"/>
            </w:tcBorders>
            <w:shd w:val="clear" w:color="auto" w:fill="auto"/>
            <w:noWrap/>
            <w:vAlign w:val="center"/>
            <w:hideMark/>
          </w:tcPr>
          <w:p w14:paraId="7BC50714" w14:textId="77777777" w:rsidR="002F5D47" w:rsidRPr="00B60F79"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center"/>
            <w:hideMark/>
          </w:tcPr>
          <w:p w14:paraId="50AD7D94"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(1.81)</w:t>
            </w:r>
          </w:p>
        </w:tc>
        <w:tc>
          <w:tcPr>
            <w:tcW w:w="1904" w:type="dxa"/>
            <w:tcBorders>
              <w:top w:val="nil"/>
              <w:left w:val="nil"/>
              <w:bottom w:val="nil"/>
              <w:right w:val="nil"/>
            </w:tcBorders>
            <w:shd w:val="clear" w:color="auto" w:fill="auto"/>
            <w:noWrap/>
            <w:vAlign w:val="center"/>
            <w:hideMark/>
          </w:tcPr>
          <w:p w14:paraId="2AB78596"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(1.38)</w:t>
            </w:r>
          </w:p>
        </w:tc>
        <w:tc>
          <w:tcPr>
            <w:tcW w:w="1260" w:type="dxa"/>
            <w:tcBorders>
              <w:top w:val="nil"/>
              <w:left w:val="nil"/>
              <w:bottom w:val="nil"/>
              <w:right w:val="nil"/>
            </w:tcBorders>
            <w:shd w:val="clear" w:color="auto" w:fill="auto"/>
            <w:noWrap/>
            <w:vAlign w:val="center"/>
            <w:hideMark/>
          </w:tcPr>
          <w:p w14:paraId="5D8C97C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(1.64)</w:t>
            </w:r>
          </w:p>
        </w:tc>
        <w:tc>
          <w:tcPr>
            <w:tcW w:w="1531" w:type="dxa"/>
            <w:tcBorders>
              <w:top w:val="nil"/>
              <w:left w:val="nil"/>
              <w:bottom w:val="nil"/>
              <w:right w:val="nil"/>
            </w:tcBorders>
            <w:shd w:val="clear" w:color="auto" w:fill="auto"/>
            <w:noWrap/>
            <w:vAlign w:val="center"/>
            <w:hideMark/>
          </w:tcPr>
          <w:p w14:paraId="75A736F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(2.27)</w:t>
            </w:r>
          </w:p>
        </w:tc>
        <w:tc>
          <w:tcPr>
            <w:tcW w:w="1410" w:type="dxa"/>
            <w:tcBorders>
              <w:top w:val="nil"/>
              <w:left w:val="nil"/>
              <w:bottom w:val="nil"/>
              <w:right w:val="nil"/>
            </w:tcBorders>
            <w:shd w:val="clear" w:color="auto" w:fill="auto"/>
            <w:noWrap/>
            <w:vAlign w:val="center"/>
            <w:hideMark/>
          </w:tcPr>
          <w:p w14:paraId="2AF43F6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(2.15)</w:t>
            </w:r>
          </w:p>
        </w:tc>
        <w:tc>
          <w:tcPr>
            <w:tcW w:w="847" w:type="dxa"/>
            <w:tcBorders>
              <w:top w:val="nil"/>
              <w:left w:val="nil"/>
              <w:bottom w:val="nil"/>
              <w:right w:val="nil"/>
            </w:tcBorders>
            <w:shd w:val="clear" w:color="auto" w:fill="auto"/>
            <w:noWrap/>
            <w:vAlign w:val="center"/>
            <w:hideMark/>
          </w:tcPr>
          <w:p w14:paraId="7731298E" w14:textId="77777777" w:rsidR="002F5D47" w:rsidRPr="00B60F79" w:rsidRDefault="002F5D47" w:rsidP="00C04359">
            <w:pPr>
              <w:jc w:val="center"/>
              <w:rPr>
                <w:rFonts w:ascii="Calibri" w:eastAsia="Times New Roman" w:hAnsi="Calibri" w:cs="Times New Roman"/>
                <w:color w:val="000000"/>
                <w:sz w:val="22"/>
                <w:szCs w:val="22"/>
              </w:rPr>
            </w:pPr>
          </w:p>
        </w:tc>
        <w:tc>
          <w:tcPr>
            <w:tcW w:w="852" w:type="dxa"/>
            <w:tcBorders>
              <w:top w:val="nil"/>
              <w:left w:val="nil"/>
              <w:bottom w:val="nil"/>
              <w:right w:val="nil"/>
            </w:tcBorders>
            <w:shd w:val="clear" w:color="auto" w:fill="auto"/>
            <w:noWrap/>
            <w:vAlign w:val="center"/>
            <w:hideMark/>
          </w:tcPr>
          <w:p w14:paraId="3414364E" w14:textId="77777777" w:rsidR="002F5D47" w:rsidRPr="00B60F79" w:rsidRDefault="002F5D47" w:rsidP="00C04359">
            <w:pPr>
              <w:jc w:val="center"/>
              <w:rPr>
                <w:rFonts w:eastAsia="Times New Roman" w:cs="Times New Roman"/>
                <w:sz w:val="22"/>
                <w:szCs w:val="22"/>
              </w:rPr>
            </w:pPr>
          </w:p>
        </w:tc>
      </w:tr>
      <w:tr w:rsidR="002F5D47" w:rsidRPr="00DC4879" w14:paraId="554147E7" w14:textId="77777777" w:rsidTr="00237225">
        <w:trPr>
          <w:trHeight w:val="236"/>
        </w:trPr>
        <w:tc>
          <w:tcPr>
            <w:tcW w:w="1728" w:type="dxa"/>
            <w:tcBorders>
              <w:top w:val="nil"/>
              <w:left w:val="nil"/>
              <w:bottom w:val="nil"/>
              <w:right w:val="nil"/>
            </w:tcBorders>
            <w:shd w:val="clear" w:color="auto" w:fill="auto"/>
            <w:noWrap/>
            <w:vAlign w:val="bottom"/>
            <w:hideMark/>
          </w:tcPr>
          <w:p w14:paraId="30672155"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NO</w:t>
            </w:r>
            <w:r w:rsidRPr="00B60F79">
              <w:rPr>
                <w:rFonts w:ascii="Calibri" w:hAnsi="Calibri"/>
                <w:color w:val="000000"/>
                <w:sz w:val="22"/>
                <w:szCs w:val="22"/>
                <w:vertAlign w:val="subscript"/>
              </w:rPr>
              <w:t>x</w:t>
            </w:r>
          </w:p>
        </w:tc>
        <w:tc>
          <w:tcPr>
            <w:tcW w:w="1156" w:type="dxa"/>
            <w:tcBorders>
              <w:top w:val="nil"/>
              <w:left w:val="nil"/>
              <w:bottom w:val="nil"/>
              <w:right w:val="nil"/>
            </w:tcBorders>
            <w:shd w:val="clear" w:color="auto" w:fill="auto"/>
            <w:noWrap/>
            <w:vAlign w:val="center"/>
            <w:hideMark/>
          </w:tcPr>
          <w:p w14:paraId="7F76891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57.42</w:t>
            </w:r>
          </w:p>
        </w:tc>
        <w:tc>
          <w:tcPr>
            <w:tcW w:w="1904" w:type="dxa"/>
            <w:tcBorders>
              <w:top w:val="nil"/>
              <w:left w:val="nil"/>
              <w:bottom w:val="nil"/>
              <w:right w:val="nil"/>
            </w:tcBorders>
            <w:shd w:val="clear" w:color="auto" w:fill="auto"/>
            <w:noWrap/>
            <w:vAlign w:val="center"/>
            <w:hideMark/>
          </w:tcPr>
          <w:p w14:paraId="01759DE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73.84</w:t>
            </w:r>
          </w:p>
        </w:tc>
        <w:tc>
          <w:tcPr>
            <w:tcW w:w="1260" w:type="dxa"/>
            <w:tcBorders>
              <w:top w:val="nil"/>
              <w:left w:val="nil"/>
              <w:bottom w:val="nil"/>
              <w:right w:val="nil"/>
            </w:tcBorders>
            <w:shd w:val="clear" w:color="auto" w:fill="auto"/>
            <w:noWrap/>
            <w:vAlign w:val="center"/>
            <w:hideMark/>
          </w:tcPr>
          <w:p w14:paraId="1836A3D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111.08</w:t>
            </w:r>
          </w:p>
        </w:tc>
        <w:tc>
          <w:tcPr>
            <w:tcW w:w="1531" w:type="dxa"/>
            <w:tcBorders>
              <w:top w:val="nil"/>
              <w:left w:val="nil"/>
              <w:bottom w:val="nil"/>
              <w:right w:val="nil"/>
            </w:tcBorders>
            <w:shd w:val="clear" w:color="auto" w:fill="auto"/>
            <w:noWrap/>
            <w:vAlign w:val="center"/>
            <w:hideMark/>
          </w:tcPr>
          <w:p w14:paraId="0339616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16.43***</w:t>
            </w:r>
          </w:p>
        </w:tc>
        <w:tc>
          <w:tcPr>
            <w:tcW w:w="1410" w:type="dxa"/>
            <w:tcBorders>
              <w:top w:val="nil"/>
              <w:left w:val="nil"/>
              <w:bottom w:val="nil"/>
              <w:right w:val="nil"/>
            </w:tcBorders>
            <w:shd w:val="clear" w:color="auto" w:fill="auto"/>
            <w:noWrap/>
            <w:vAlign w:val="center"/>
            <w:hideMark/>
          </w:tcPr>
          <w:p w14:paraId="4B5A8505"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37.24***</w:t>
            </w:r>
          </w:p>
        </w:tc>
        <w:tc>
          <w:tcPr>
            <w:tcW w:w="847" w:type="dxa"/>
            <w:tcBorders>
              <w:top w:val="nil"/>
              <w:left w:val="nil"/>
              <w:bottom w:val="nil"/>
              <w:right w:val="nil"/>
            </w:tcBorders>
            <w:shd w:val="clear" w:color="auto" w:fill="auto"/>
            <w:noWrap/>
            <w:vAlign w:val="center"/>
            <w:hideMark/>
          </w:tcPr>
          <w:p w14:paraId="6AADF5C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29%</w:t>
            </w:r>
          </w:p>
        </w:tc>
        <w:tc>
          <w:tcPr>
            <w:tcW w:w="852" w:type="dxa"/>
            <w:tcBorders>
              <w:top w:val="nil"/>
              <w:left w:val="nil"/>
              <w:bottom w:val="nil"/>
              <w:right w:val="nil"/>
            </w:tcBorders>
            <w:shd w:val="clear" w:color="auto" w:fill="auto"/>
            <w:noWrap/>
            <w:vAlign w:val="center"/>
            <w:hideMark/>
          </w:tcPr>
          <w:p w14:paraId="2EBAF477"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50%</w:t>
            </w:r>
          </w:p>
        </w:tc>
      </w:tr>
      <w:tr w:rsidR="002F5D47" w:rsidRPr="00DC4879" w14:paraId="27F3203D" w14:textId="77777777" w:rsidTr="00237225">
        <w:trPr>
          <w:trHeight w:val="387"/>
        </w:trPr>
        <w:tc>
          <w:tcPr>
            <w:tcW w:w="1728" w:type="dxa"/>
            <w:tcBorders>
              <w:top w:val="nil"/>
              <w:left w:val="nil"/>
              <w:bottom w:val="nil"/>
              <w:right w:val="nil"/>
            </w:tcBorders>
            <w:shd w:val="clear" w:color="auto" w:fill="auto"/>
            <w:noWrap/>
            <w:vAlign w:val="center"/>
            <w:hideMark/>
          </w:tcPr>
          <w:p w14:paraId="44705E7B" w14:textId="77777777" w:rsidR="002F5D47" w:rsidRPr="00B60F79"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center"/>
            <w:hideMark/>
          </w:tcPr>
          <w:p w14:paraId="25E56E4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(3.17)</w:t>
            </w:r>
          </w:p>
        </w:tc>
        <w:tc>
          <w:tcPr>
            <w:tcW w:w="1904" w:type="dxa"/>
            <w:tcBorders>
              <w:top w:val="nil"/>
              <w:left w:val="nil"/>
              <w:bottom w:val="nil"/>
              <w:right w:val="nil"/>
            </w:tcBorders>
            <w:shd w:val="clear" w:color="auto" w:fill="auto"/>
            <w:noWrap/>
            <w:vAlign w:val="center"/>
            <w:hideMark/>
          </w:tcPr>
          <w:p w14:paraId="6DC53CBD"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(5.42)</w:t>
            </w:r>
          </w:p>
        </w:tc>
        <w:tc>
          <w:tcPr>
            <w:tcW w:w="1260" w:type="dxa"/>
            <w:tcBorders>
              <w:top w:val="nil"/>
              <w:left w:val="nil"/>
              <w:bottom w:val="nil"/>
              <w:right w:val="nil"/>
            </w:tcBorders>
            <w:shd w:val="clear" w:color="auto" w:fill="auto"/>
            <w:noWrap/>
            <w:vAlign w:val="center"/>
            <w:hideMark/>
          </w:tcPr>
          <w:p w14:paraId="42B8046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(7.61)</w:t>
            </w:r>
          </w:p>
        </w:tc>
        <w:tc>
          <w:tcPr>
            <w:tcW w:w="1531" w:type="dxa"/>
            <w:tcBorders>
              <w:top w:val="nil"/>
              <w:left w:val="nil"/>
              <w:bottom w:val="nil"/>
              <w:right w:val="nil"/>
            </w:tcBorders>
            <w:shd w:val="clear" w:color="auto" w:fill="auto"/>
            <w:noWrap/>
            <w:vAlign w:val="center"/>
            <w:hideMark/>
          </w:tcPr>
          <w:p w14:paraId="288E23C3"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(6.30)</w:t>
            </w:r>
          </w:p>
        </w:tc>
        <w:tc>
          <w:tcPr>
            <w:tcW w:w="1410" w:type="dxa"/>
            <w:tcBorders>
              <w:top w:val="nil"/>
              <w:left w:val="nil"/>
              <w:bottom w:val="nil"/>
              <w:right w:val="nil"/>
            </w:tcBorders>
            <w:shd w:val="clear" w:color="auto" w:fill="auto"/>
            <w:noWrap/>
            <w:vAlign w:val="center"/>
            <w:hideMark/>
          </w:tcPr>
          <w:p w14:paraId="6FFEADB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(9.35)</w:t>
            </w:r>
          </w:p>
        </w:tc>
        <w:tc>
          <w:tcPr>
            <w:tcW w:w="847" w:type="dxa"/>
            <w:tcBorders>
              <w:top w:val="nil"/>
              <w:left w:val="nil"/>
              <w:bottom w:val="nil"/>
              <w:right w:val="nil"/>
            </w:tcBorders>
            <w:shd w:val="clear" w:color="auto" w:fill="auto"/>
            <w:noWrap/>
            <w:vAlign w:val="center"/>
            <w:hideMark/>
          </w:tcPr>
          <w:p w14:paraId="185BBA20" w14:textId="77777777" w:rsidR="002F5D47" w:rsidRPr="00B60F79" w:rsidRDefault="002F5D47" w:rsidP="00C04359">
            <w:pPr>
              <w:jc w:val="center"/>
              <w:rPr>
                <w:rFonts w:ascii="Calibri" w:eastAsia="Times New Roman" w:hAnsi="Calibri" w:cs="Times New Roman"/>
                <w:color w:val="000000"/>
                <w:sz w:val="22"/>
                <w:szCs w:val="22"/>
              </w:rPr>
            </w:pPr>
          </w:p>
        </w:tc>
        <w:tc>
          <w:tcPr>
            <w:tcW w:w="852" w:type="dxa"/>
            <w:tcBorders>
              <w:top w:val="nil"/>
              <w:left w:val="nil"/>
              <w:bottom w:val="nil"/>
              <w:right w:val="nil"/>
            </w:tcBorders>
            <w:shd w:val="clear" w:color="auto" w:fill="auto"/>
            <w:noWrap/>
            <w:vAlign w:val="center"/>
            <w:hideMark/>
          </w:tcPr>
          <w:p w14:paraId="1200135A" w14:textId="77777777" w:rsidR="002F5D47" w:rsidRPr="00B60F79" w:rsidRDefault="002F5D47" w:rsidP="00C04359">
            <w:pPr>
              <w:jc w:val="center"/>
              <w:rPr>
                <w:rFonts w:eastAsia="Times New Roman" w:cs="Times New Roman"/>
                <w:sz w:val="22"/>
                <w:szCs w:val="22"/>
              </w:rPr>
            </w:pPr>
          </w:p>
        </w:tc>
      </w:tr>
      <w:tr w:rsidR="002F5D47" w:rsidRPr="00DC4879" w14:paraId="703325E3" w14:textId="77777777" w:rsidTr="00237225">
        <w:trPr>
          <w:trHeight w:val="236"/>
        </w:trPr>
        <w:tc>
          <w:tcPr>
            <w:tcW w:w="1728" w:type="dxa"/>
            <w:tcBorders>
              <w:top w:val="nil"/>
              <w:left w:val="nil"/>
              <w:bottom w:val="nil"/>
              <w:right w:val="nil"/>
            </w:tcBorders>
            <w:shd w:val="clear" w:color="auto" w:fill="auto"/>
            <w:noWrap/>
            <w:vAlign w:val="bottom"/>
            <w:hideMark/>
          </w:tcPr>
          <w:p w14:paraId="35289502" w14:textId="77777777" w:rsidR="002F5D47" w:rsidRPr="00B60F79" w:rsidRDefault="002F5D47" w:rsidP="00C04359">
            <w:pPr>
              <w:rPr>
                <w:rFonts w:ascii="Calibri" w:eastAsia="Times New Roman" w:hAnsi="Calibri" w:cs="Times New Roman"/>
                <w:color w:val="000000"/>
                <w:sz w:val="22"/>
                <w:szCs w:val="22"/>
              </w:rPr>
            </w:pPr>
            <w:r w:rsidRPr="00B60F79">
              <w:rPr>
                <w:rFonts w:ascii="Calibri" w:hAnsi="Calibri"/>
                <w:color w:val="000000"/>
                <w:sz w:val="22"/>
                <w:szCs w:val="22"/>
              </w:rPr>
              <w:t>O</w:t>
            </w:r>
            <w:r w:rsidRPr="00B60F79">
              <w:rPr>
                <w:rFonts w:ascii="Calibri" w:hAnsi="Calibri"/>
                <w:color w:val="000000"/>
                <w:sz w:val="22"/>
                <w:szCs w:val="22"/>
                <w:vertAlign w:val="subscript"/>
              </w:rPr>
              <w:t>3</w:t>
            </w:r>
          </w:p>
        </w:tc>
        <w:tc>
          <w:tcPr>
            <w:tcW w:w="1156" w:type="dxa"/>
            <w:tcBorders>
              <w:top w:val="nil"/>
              <w:left w:val="nil"/>
              <w:bottom w:val="nil"/>
              <w:right w:val="nil"/>
            </w:tcBorders>
            <w:shd w:val="clear" w:color="auto" w:fill="auto"/>
            <w:noWrap/>
            <w:vAlign w:val="center"/>
            <w:hideMark/>
          </w:tcPr>
          <w:p w14:paraId="70E94730"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0.0311</w:t>
            </w:r>
          </w:p>
        </w:tc>
        <w:tc>
          <w:tcPr>
            <w:tcW w:w="1904" w:type="dxa"/>
            <w:tcBorders>
              <w:top w:val="nil"/>
              <w:left w:val="nil"/>
              <w:bottom w:val="nil"/>
              <w:right w:val="nil"/>
            </w:tcBorders>
            <w:shd w:val="clear" w:color="auto" w:fill="auto"/>
            <w:noWrap/>
            <w:vAlign w:val="center"/>
            <w:hideMark/>
          </w:tcPr>
          <w:p w14:paraId="405CF7F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0.0213</w:t>
            </w:r>
          </w:p>
        </w:tc>
        <w:tc>
          <w:tcPr>
            <w:tcW w:w="1260" w:type="dxa"/>
            <w:tcBorders>
              <w:top w:val="nil"/>
              <w:left w:val="nil"/>
              <w:bottom w:val="nil"/>
              <w:right w:val="nil"/>
            </w:tcBorders>
            <w:shd w:val="clear" w:color="auto" w:fill="auto"/>
            <w:noWrap/>
            <w:vAlign w:val="center"/>
            <w:hideMark/>
          </w:tcPr>
          <w:p w14:paraId="49A2B95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0.0137</w:t>
            </w:r>
          </w:p>
        </w:tc>
        <w:tc>
          <w:tcPr>
            <w:tcW w:w="1531" w:type="dxa"/>
            <w:tcBorders>
              <w:top w:val="nil"/>
              <w:left w:val="nil"/>
              <w:bottom w:val="nil"/>
              <w:right w:val="nil"/>
            </w:tcBorders>
            <w:shd w:val="clear" w:color="auto" w:fill="auto"/>
            <w:noWrap/>
            <w:vAlign w:val="center"/>
            <w:hideMark/>
          </w:tcPr>
          <w:p w14:paraId="02AD384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-0.0098***</w:t>
            </w:r>
          </w:p>
        </w:tc>
        <w:tc>
          <w:tcPr>
            <w:tcW w:w="1410" w:type="dxa"/>
            <w:tcBorders>
              <w:top w:val="nil"/>
              <w:left w:val="nil"/>
              <w:bottom w:val="nil"/>
              <w:right w:val="nil"/>
            </w:tcBorders>
            <w:shd w:val="clear" w:color="auto" w:fill="auto"/>
            <w:noWrap/>
            <w:vAlign w:val="center"/>
            <w:hideMark/>
          </w:tcPr>
          <w:p w14:paraId="4A55481F"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-0.0076***</w:t>
            </w:r>
          </w:p>
        </w:tc>
        <w:tc>
          <w:tcPr>
            <w:tcW w:w="847" w:type="dxa"/>
            <w:tcBorders>
              <w:top w:val="nil"/>
              <w:left w:val="nil"/>
              <w:bottom w:val="nil"/>
              <w:right w:val="nil"/>
            </w:tcBorders>
            <w:shd w:val="clear" w:color="auto" w:fill="auto"/>
            <w:noWrap/>
            <w:vAlign w:val="center"/>
            <w:hideMark/>
          </w:tcPr>
          <w:p w14:paraId="44BCB3E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-31%</w:t>
            </w:r>
          </w:p>
        </w:tc>
        <w:tc>
          <w:tcPr>
            <w:tcW w:w="852" w:type="dxa"/>
            <w:tcBorders>
              <w:top w:val="nil"/>
              <w:left w:val="nil"/>
              <w:bottom w:val="nil"/>
              <w:right w:val="nil"/>
            </w:tcBorders>
            <w:shd w:val="clear" w:color="auto" w:fill="auto"/>
            <w:noWrap/>
            <w:vAlign w:val="center"/>
            <w:hideMark/>
          </w:tcPr>
          <w:p w14:paraId="164F0302"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-36%</w:t>
            </w:r>
          </w:p>
        </w:tc>
      </w:tr>
      <w:tr w:rsidR="002F5D47" w:rsidRPr="00DC4879" w14:paraId="4C93101E" w14:textId="77777777" w:rsidTr="00237225">
        <w:trPr>
          <w:trHeight w:val="387"/>
        </w:trPr>
        <w:tc>
          <w:tcPr>
            <w:tcW w:w="1728" w:type="dxa"/>
            <w:tcBorders>
              <w:top w:val="nil"/>
              <w:left w:val="nil"/>
              <w:bottom w:val="double" w:sz="6" w:space="0" w:color="auto"/>
              <w:right w:val="nil"/>
            </w:tcBorders>
            <w:shd w:val="clear" w:color="auto" w:fill="auto"/>
            <w:noWrap/>
            <w:vAlign w:val="bottom"/>
            <w:hideMark/>
          </w:tcPr>
          <w:p w14:paraId="75415E36" w14:textId="77777777" w:rsidR="002F5D47" w:rsidRPr="00B60F79" w:rsidRDefault="002F5D47" w:rsidP="00C04359">
            <w:pP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w:t>
            </w:r>
          </w:p>
        </w:tc>
        <w:tc>
          <w:tcPr>
            <w:tcW w:w="1156" w:type="dxa"/>
            <w:tcBorders>
              <w:top w:val="nil"/>
              <w:left w:val="nil"/>
              <w:bottom w:val="double" w:sz="6" w:space="0" w:color="auto"/>
              <w:right w:val="nil"/>
            </w:tcBorders>
            <w:shd w:val="clear" w:color="auto" w:fill="auto"/>
            <w:noWrap/>
            <w:vAlign w:val="center"/>
            <w:hideMark/>
          </w:tcPr>
          <w:p w14:paraId="67C83B6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(0.0011)</w:t>
            </w:r>
          </w:p>
        </w:tc>
        <w:tc>
          <w:tcPr>
            <w:tcW w:w="1904" w:type="dxa"/>
            <w:tcBorders>
              <w:top w:val="nil"/>
              <w:left w:val="nil"/>
              <w:bottom w:val="double" w:sz="6" w:space="0" w:color="auto"/>
              <w:right w:val="nil"/>
            </w:tcBorders>
            <w:shd w:val="clear" w:color="auto" w:fill="auto"/>
            <w:noWrap/>
            <w:vAlign w:val="center"/>
            <w:hideMark/>
          </w:tcPr>
          <w:p w14:paraId="079C772E"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(0.0012)</w:t>
            </w:r>
          </w:p>
        </w:tc>
        <w:tc>
          <w:tcPr>
            <w:tcW w:w="1260" w:type="dxa"/>
            <w:tcBorders>
              <w:top w:val="nil"/>
              <w:left w:val="nil"/>
              <w:bottom w:val="double" w:sz="6" w:space="0" w:color="auto"/>
              <w:right w:val="nil"/>
            </w:tcBorders>
            <w:shd w:val="clear" w:color="auto" w:fill="auto"/>
            <w:noWrap/>
            <w:vAlign w:val="center"/>
            <w:hideMark/>
          </w:tcPr>
          <w:p w14:paraId="1894C421"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(0.0008)</w:t>
            </w:r>
          </w:p>
        </w:tc>
        <w:tc>
          <w:tcPr>
            <w:tcW w:w="1531" w:type="dxa"/>
            <w:tcBorders>
              <w:top w:val="nil"/>
              <w:left w:val="nil"/>
              <w:bottom w:val="double" w:sz="6" w:space="0" w:color="auto"/>
              <w:right w:val="nil"/>
            </w:tcBorders>
            <w:shd w:val="clear" w:color="auto" w:fill="auto"/>
            <w:noWrap/>
            <w:vAlign w:val="center"/>
            <w:hideMark/>
          </w:tcPr>
          <w:p w14:paraId="1E34E41B"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(0.0016)</w:t>
            </w:r>
          </w:p>
        </w:tc>
        <w:tc>
          <w:tcPr>
            <w:tcW w:w="1410" w:type="dxa"/>
            <w:tcBorders>
              <w:top w:val="nil"/>
              <w:left w:val="nil"/>
              <w:bottom w:val="double" w:sz="6" w:space="0" w:color="auto"/>
              <w:right w:val="nil"/>
            </w:tcBorders>
            <w:shd w:val="clear" w:color="auto" w:fill="auto"/>
            <w:noWrap/>
            <w:vAlign w:val="center"/>
            <w:hideMark/>
          </w:tcPr>
          <w:p w14:paraId="6E1FA989"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(0.0014)</w:t>
            </w:r>
          </w:p>
        </w:tc>
        <w:tc>
          <w:tcPr>
            <w:tcW w:w="847" w:type="dxa"/>
            <w:tcBorders>
              <w:top w:val="nil"/>
              <w:left w:val="nil"/>
              <w:bottom w:val="double" w:sz="6" w:space="0" w:color="auto"/>
              <w:right w:val="nil"/>
            </w:tcBorders>
            <w:shd w:val="clear" w:color="auto" w:fill="auto"/>
            <w:noWrap/>
            <w:vAlign w:val="bottom"/>
            <w:hideMark/>
          </w:tcPr>
          <w:p w14:paraId="4FB7E2C8"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w:t>
            </w:r>
          </w:p>
        </w:tc>
        <w:tc>
          <w:tcPr>
            <w:tcW w:w="852" w:type="dxa"/>
            <w:tcBorders>
              <w:top w:val="nil"/>
              <w:left w:val="nil"/>
              <w:bottom w:val="double" w:sz="6" w:space="0" w:color="auto"/>
              <w:right w:val="nil"/>
            </w:tcBorders>
            <w:shd w:val="clear" w:color="auto" w:fill="auto"/>
            <w:noWrap/>
            <w:vAlign w:val="bottom"/>
            <w:hideMark/>
          </w:tcPr>
          <w:p w14:paraId="5C83EFCA" w14:textId="77777777" w:rsidR="002F5D47" w:rsidRPr="00B60F79" w:rsidRDefault="002F5D47" w:rsidP="00C04359">
            <w:pPr>
              <w:jc w:val="center"/>
              <w:rPr>
                <w:rFonts w:ascii="Calibri" w:eastAsia="Times New Roman" w:hAnsi="Calibri" w:cs="Times New Roman"/>
                <w:color w:val="000000"/>
                <w:sz w:val="22"/>
                <w:szCs w:val="22"/>
              </w:rPr>
            </w:pPr>
            <w:r w:rsidRPr="00B60F79">
              <w:rPr>
                <w:rFonts w:ascii="Calibri" w:eastAsia="Times New Roman" w:hAnsi="Calibri" w:cs="Times New Roman"/>
                <w:color w:val="000000"/>
                <w:sz w:val="22"/>
                <w:szCs w:val="22"/>
              </w:rPr>
              <w:t> </w:t>
            </w:r>
          </w:p>
        </w:tc>
      </w:tr>
      <w:tr w:rsidR="002F5D47" w:rsidRPr="00DC4879" w14:paraId="274EDB01" w14:textId="77777777" w:rsidTr="00C04359">
        <w:trPr>
          <w:trHeight w:val="236"/>
        </w:trPr>
        <w:tc>
          <w:tcPr>
            <w:tcW w:w="10688" w:type="dxa"/>
            <w:gridSpan w:val="8"/>
            <w:vMerge w:val="restart"/>
            <w:tcBorders>
              <w:top w:val="nil"/>
              <w:left w:val="nil"/>
              <w:bottom w:val="nil"/>
              <w:right w:val="nil"/>
            </w:tcBorders>
            <w:shd w:val="clear" w:color="auto" w:fill="auto"/>
            <w:hideMark/>
          </w:tcPr>
          <w:p w14:paraId="40DE32C7" w14:textId="77777777" w:rsidR="002F5D47" w:rsidRPr="00DC4879" w:rsidRDefault="002F5D47" w:rsidP="00C04359">
            <w:pPr>
              <w:rPr>
                <w:rFonts w:ascii="Calibri" w:eastAsia="Times New Roman" w:hAnsi="Calibri" w:cs="Times New Roman"/>
                <w:color w:val="000000"/>
                <w:sz w:val="16"/>
                <w:szCs w:val="16"/>
              </w:rPr>
            </w:pPr>
            <w:r w:rsidRPr="00070557">
              <w:rPr>
                <w:rFonts w:ascii="Calibri" w:eastAsia="Times New Roman" w:hAnsi="Calibri" w:cs="Times New Roman"/>
                <w:color w:val="000000"/>
                <w:sz w:val="16"/>
                <w:szCs w:val="16"/>
              </w:rPr>
              <w:t>Observations are at the weekly-monitor level.</w:t>
            </w:r>
            <w:r>
              <w:rPr>
                <w:rFonts w:ascii="Calibri" w:eastAsia="Times New Roman" w:hAnsi="Calibri" w:cs="Times New Roman"/>
                <w:color w:val="000000"/>
                <w:sz w:val="16"/>
                <w:szCs w:val="16"/>
              </w:rPr>
              <w:t xml:space="preserve"> The 14 monitors in Los Angeles County are used.</w:t>
            </w:r>
            <w:r w:rsidRPr="00070557">
              <w:rPr>
                <w:rFonts w:ascii="Calibri" w:eastAsia="Times New Roman" w:hAnsi="Calibri" w:cs="Times New Roman"/>
                <w:color w:val="000000"/>
                <w:sz w:val="16"/>
                <w:szCs w:val="16"/>
              </w:rPr>
              <w:t xml:space="preserve"> Standard errors are in parentheses. Intervals are in </w:t>
            </w:r>
            <w:r>
              <w:rPr>
                <w:rFonts w:ascii="Calibri" w:eastAsia="Times New Roman" w:hAnsi="Calibri" w:cs="Times New Roman"/>
                <w:color w:val="000000"/>
                <w:sz w:val="16"/>
                <w:szCs w:val="16"/>
              </w:rPr>
              <w:t>five-week</w:t>
            </w:r>
            <w:r w:rsidRPr="00070557">
              <w:rPr>
                <w:rFonts w:ascii="Calibri" w:eastAsia="Times New Roman" w:hAnsi="Calibri" w:cs="Times New Roman"/>
                <w:color w:val="000000"/>
                <w:sz w:val="16"/>
                <w:szCs w:val="16"/>
              </w:rPr>
              <w:t xml:space="preserve"> increments. *** indicates significance at the 1% level, ** indicates significance at the 5% level and * indicates significance at the 10% level.</w:t>
            </w:r>
          </w:p>
        </w:tc>
      </w:tr>
      <w:tr w:rsidR="002F5D47" w:rsidRPr="00DC4879" w14:paraId="5410AA76" w14:textId="77777777" w:rsidTr="00C04359">
        <w:trPr>
          <w:trHeight w:val="236"/>
        </w:trPr>
        <w:tc>
          <w:tcPr>
            <w:tcW w:w="10688" w:type="dxa"/>
            <w:gridSpan w:val="8"/>
            <w:vMerge/>
            <w:tcBorders>
              <w:top w:val="nil"/>
              <w:left w:val="nil"/>
              <w:bottom w:val="nil"/>
              <w:right w:val="nil"/>
            </w:tcBorders>
            <w:vAlign w:val="center"/>
            <w:hideMark/>
          </w:tcPr>
          <w:p w14:paraId="17347F9F" w14:textId="77777777" w:rsidR="002F5D47" w:rsidRPr="00DC4879" w:rsidRDefault="002F5D47" w:rsidP="00C04359">
            <w:pPr>
              <w:rPr>
                <w:rFonts w:ascii="Calibri" w:eastAsia="Times New Roman" w:hAnsi="Calibri" w:cs="Times New Roman"/>
                <w:color w:val="000000"/>
                <w:sz w:val="16"/>
                <w:szCs w:val="16"/>
              </w:rPr>
            </w:pPr>
          </w:p>
        </w:tc>
      </w:tr>
    </w:tbl>
    <w:p w14:paraId="2C48E8CA" w14:textId="77777777" w:rsidR="007F333D" w:rsidRDefault="007F333D" w:rsidP="003F3FFC">
      <w:pPr>
        <w:spacing w:line="480" w:lineRule="auto"/>
      </w:pPr>
    </w:p>
    <w:p w14:paraId="751654B8" w14:textId="77777777" w:rsidR="003F3FFC" w:rsidRDefault="003F3FFC" w:rsidP="003F3FFC">
      <w:pPr>
        <w:spacing w:line="480" w:lineRule="auto"/>
      </w:pPr>
    </w:p>
    <w:p w14:paraId="74BD0A15" w14:textId="77777777" w:rsidR="003F3FFC" w:rsidRDefault="003F3FFC" w:rsidP="003F3FFC">
      <w:pPr>
        <w:spacing w:line="480" w:lineRule="auto"/>
      </w:pPr>
    </w:p>
    <w:tbl>
      <w:tblPr>
        <w:tblW w:w="11862" w:type="dxa"/>
        <w:tblInd w:w="-1152" w:type="dxa"/>
        <w:tblLayout w:type="fixed"/>
        <w:tblLook w:val="04A0" w:firstRow="1" w:lastRow="0" w:firstColumn="1" w:lastColumn="0" w:noHBand="0" w:noVBand="1"/>
      </w:tblPr>
      <w:tblGrid>
        <w:gridCol w:w="1540"/>
        <w:gridCol w:w="1294"/>
        <w:gridCol w:w="1294"/>
        <w:gridCol w:w="1354"/>
        <w:gridCol w:w="1354"/>
        <w:gridCol w:w="1354"/>
        <w:gridCol w:w="1183"/>
        <w:gridCol w:w="1312"/>
        <w:gridCol w:w="1177"/>
      </w:tblGrid>
      <w:tr w:rsidR="002F5D47" w:rsidRPr="007933E2" w14:paraId="04C82DEB" w14:textId="77777777" w:rsidTr="00E30957">
        <w:trPr>
          <w:trHeight w:val="580"/>
        </w:trPr>
        <w:tc>
          <w:tcPr>
            <w:tcW w:w="11862" w:type="dxa"/>
            <w:gridSpan w:val="9"/>
            <w:tcBorders>
              <w:top w:val="nil"/>
              <w:left w:val="nil"/>
              <w:bottom w:val="single" w:sz="8" w:space="0" w:color="auto"/>
              <w:right w:val="nil"/>
            </w:tcBorders>
            <w:shd w:val="clear" w:color="auto" w:fill="auto"/>
            <w:vAlign w:val="center"/>
            <w:hideMark/>
          </w:tcPr>
          <w:p w14:paraId="79CE921C" w14:textId="77777777" w:rsidR="002F5D47" w:rsidRPr="000701CF" w:rsidRDefault="002F5D47" w:rsidP="00C04359">
            <w:pPr>
              <w:jc w:val="center"/>
              <w:rPr>
                <w:rFonts w:eastAsia="Times New Roman" w:cs="Times New Roman"/>
                <w:b/>
                <w:bCs/>
                <w:color w:val="000000"/>
              </w:rPr>
            </w:pPr>
            <w:r w:rsidRPr="000701CF">
              <w:rPr>
                <w:rFonts w:eastAsia="Times New Roman" w:cs="Times New Roman"/>
                <w:b/>
                <w:bCs/>
                <w:color w:val="000000"/>
              </w:rPr>
              <w:t>Table 5</w:t>
            </w:r>
            <w:r w:rsidRPr="000701CF">
              <w:rPr>
                <w:rFonts w:eastAsia="Times New Roman" w:cs="Times New Roman"/>
                <w:b/>
                <w:bCs/>
                <w:color w:val="000000"/>
              </w:rPr>
              <w:br/>
              <w:t>1 Year Difference-in-Differences Regression for 2003</w:t>
            </w:r>
          </w:p>
        </w:tc>
      </w:tr>
      <w:tr w:rsidR="002F5D47" w:rsidRPr="007933E2" w14:paraId="7DFF7DA8" w14:textId="77777777" w:rsidTr="00E30957">
        <w:trPr>
          <w:trHeight w:val="280"/>
        </w:trPr>
        <w:tc>
          <w:tcPr>
            <w:tcW w:w="1540" w:type="dxa"/>
            <w:tcBorders>
              <w:top w:val="nil"/>
              <w:left w:val="nil"/>
              <w:bottom w:val="nil"/>
              <w:right w:val="nil"/>
            </w:tcBorders>
            <w:shd w:val="clear" w:color="auto" w:fill="auto"/>
            <w:noWrap/>
            <w:vAlign w:val="center"/>
            <w:hideMark/>
          </w:tcPr>
          <w:p w14:paraId="0E9639A9" w14:textId="77777777" w:rsidR="002F5D47" w:rsidRPr="007933E2" w:rsidRDefault="002F5D47" w:rsidP="00C04359">
            <w:pP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342EBF1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w:t>
            </w:r>
          </w:p>
        </w:tc>
        <w:tc>
          <w:tcPr>
            <w:tcW w:w="1294" w:type="dxa"/>
            <w:tcBorders>
              <w:top w:val="nil"/>
              <w:left w:val="nil"/>
              <w:bottom w:val="nil"/>
              <w:right w:val="nil"/>
            </w:tcBorders>
            <w:shd w:val="clear" w:color="auto" w:fill="auto"/>
            <w:noWrap/>
            <w:vAlign w:val="bottom"/>
            <w:hideMark/>
          </w:tcPr>
          <w:p w14:paraId="0065C62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w:t>
            </w:r>
          </w:p>
        </w:tc>
        <w:tc>
          <w:tcPr>
            <w:tcW w:w="1354" w:type="dxa"/>
            <w:tcBorders>
              <w:top w:val="nil"/>
              <w:left w:val="nil"/>
              <w:bottom w:val="nil"/>
              <w:right w:val="nil"/>
            </w:tcBorders>
            <w:shd w:val="clear" w:color="auto" w:fill="auto"/>
            <w:noWrap/>
            <w:vAlign w:val="bottom"/>
            <w:hideMark/>
          </w:tcPr>
          <w:p w14:paraId="5B6E7B4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w:t>
            </w:r>
          </w:p>
        </w:tc>
        <w:tc>
          <w:tcPr>
            <w:tcW w:w="1354" w:type="dxa"/>
            <w:tcBorders>
              <w:top w:val="nil"/>
              <w:left w:val="nil"/>
              <w:bottom w:val="nil"/>
              <w:right w:val="nil"/>
            </w:tcBorders>
            <w:shd w:val="clear" w:color="auto" w:fill="auto"/>
            <w:noWrap/>
            <w:vAlign w:val="bottom"/>
            <w:hideMark/>
          </w:tcPr>
          <w:p w14:paraId="387B97A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(4)</w:t>
            </w:r>
          </w:p>
        </w:tc>
        <w:tc>
          <w:tcPr>
            <w:tcW w:w="1354" w:type="dxa"/>
            <w:tcBorders>
              <w:top w:val="nil"/>
              <w:left w:val="nil"/>
              <w:bottom w:val="nil"/>
              <w:right w:val="nil"/>
            </w:tcBorders>
            <w:shd w:val="clear" w:color="auto" w:fill="auto"/>
            <w:noWrap/>
            <w:vAlign w:val="bottom"/>
            <w:hideMark/>
          </w:tcPr>
          <w:p w14:paraId="7876A40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(5)</w:t>
            </w:r>
          </w:p>
        </w:tc>
        <w:tc>
          <w:tcPr>
            <w:tcW w:w="1183" w:type="dxa"/>
            <w:tcBorders>
              <w:top w:val="nil"/>
              <w:left w:val="nil"/>
              <w:bottom w:val="nil"/>
              <w:right w:val="nil"/>
            </w:tcBorders>
            <w:shd w:val="clear" w:color="auto" w:fill="auto"/>
            <w:noWrap/>
            <w:vAlign w:val="bottom"/>
            <w:hideMark/>
          </w:tcPr>
          <w:p w14:paraId="7A7ECA9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(6)</w:t>
            </w:r>
          </w:p>
        </w:tc>
        <w:tc>
          <w:tcPr>
            <w:tcW w:w="1312" w:type="dxa"/>
            <w:tcBorders>
              <w:top w:val="nil"/>
              <w:left w:val="nil"/>
              <w:bottom w:val="nil"/>
              <w:right w:val="nil"/>
            </w:tcBorders>
            <w:shd w:val="clear" w:color="auto" w:fill="auto"/>
            <w:noWrap/>
            <w:vAlign w:val="bottom"/>
            <w:hideMark/>
          </w:tcPr>
          <w:p w14:paraId="6D2F42B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(7)</w:t>
            </w:r>
          </w:p>
        </w:tc>
        <w:tc>
          <w:tcPr>
            <w:tcW w:w="1177" w:type="dxa"/>
            <w:tcBorders>
              <w:top w:val="nil"/>
              <w:left w:val="nil"/>
              <w:bottom w:val="nil"/>
              <w:right w:val="nil"/>
            </w:tcBorders>
            <w:shd w:val="clear" w:color="auto" w:fill="auto"/>
            <w:noWrap/>
            <w:vAlign w:val="bottom"/>
            <w:hideMark/>
          </w:tcPr>
          <w:p w14:paraId="49207A4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(8)</w:t>
            </w:r>
          </w:p>
        </w:tc>
      </w:tr>
      <w:tr w:rsidR="002F5D47" w:rsidRPr="007933E2" w14:paraId="63915DDF" w14:textId="77777777" w:rsidTr="00E30957">
        <w:trPr>
          <w:trHeight w:val="340"/>
        </w:trPr>
        <w:tc>
          <w:tcPr>
            <w:tcW w:w="1540" w:type="dxa"/>
            <w:tcBorders>
              <w:top w:val="nil"/>
              <w:left w:val="nil"/>
              <w:bottom w:val="nil"/>
              <w:right w:val="nil"/>
            </w:tcBorders>
            <w:shd w:val="clear" w:color="auto" w:fill="auto"/>
            <w:noWrap/>
            <w:vAlign w:val="center"/>
            <w:hideMark/>
          </w:tcPr>
          <w:p w14:paraId="4D849901"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Pollutant</w:t>
            </w:r>
          </w:p>
        </w:tc>
        <w:tc>
          <w:tcPr>
            <w:tcW w:w="1294" w:type="dxa"/>
            <w:tcBorders>
              <w:top w:val="nil"/>
              <w:left w:val="nil"/>
              <w:bottom w:val="nil"/>
              <w:right w:val="nil"/>
            </w:tcBorders>
            <w:shd w:val="clear" w:color="auto" w:fill="auto"/>
            <w:noWrap/>
            <w:vAlign w:val="center"/>
            <w:hideMark/>
          </w:tcPr>
          <w:p w14:paraId="72EEA8A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CO</w:t>
            </w:r>
          </w:p>
        </w:tc>
        <w:tc>
          <w:tcPr>
            <w:tcW w:w="1294" w:type="dxa"/>
            <w:tcBorders>
              <w:top w:val="nil"/>
              <w:left w:val="nil"/>
              <w:bottom w:val="nil"/>
              <w:right w:val="nil"/>
            </w:tcBorders>
            <w:shd w:val="clear" w:color="auto" w:fill="auto"/>
            <w:noWrap/>
            <w:vAlign w:val="center"/>
            <w:hideMark/>
          </w:tcPr>
          <w:p w14:paraId="48CA1BF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CO</w:t>
            </w:r>
          </w:p>
        </w:tc>
        <w:tc>
          <w:tcPr>
            <w:tcW w:w="1354" w:type="dxa"/>
            <w:tcBorders>
              <w:top w:val="nil"/>
              <w:left w:val="nil"/>
              <w:bottom w:val="nil"/>
              <w:right w:val="nil"/>
            </w:tcBorders>
            <w:shd w:val="clear" w:color="auto" w:fill="auto"/>
            <w:noWrap/>
            <w:vAlign w:val="center"/>
            <w:hideMark/>
          </w:tcPr>
          <w:p w14:paraId="0C9EA26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r w:rsidRPr="007933E2">
              <w:rPr>
                <w:rFonts w:ascii="Calibri" w:eastAsia="Times New Roman" w:hAnsi="Calibri" w:cs="Times New Roman"/>
                <w:color w:val="000000"/>
                <w:sz w:val="22"/>
                <w:szCs w:val="22"/>
                <w:vertAlign w:val="subscript"/>
              </w:rPr>
              <w:t>2</w:t>
            </w:r>
          </w:p>
        </w:tc>
        <w:tc>
          <w:tcPr>
            <w:tcW w:w="1354" w:type="dxa"/>
            <w:tcBorders>
              <w:top w:val="nil"/>
              <w:left w:val="nil"/>
              <w:bottom w:val="nil"/>
              <w:right w:val="nil"/>
            </w:tcBorders>
            <w:shd w:val="clear" w:color="auto" w:fill="auto"/>
            <w:noWrap/>
            <w:vAlign w:val="center"/>
            <w:hideMark/>
          </w:tcPr>
          <w:p w14:paraId="3CC9FA1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r w:rsidRPr="007933E2">
              <w:rPr>
                <w:rFonts w:ascii="Calibri" w:eastAsia="Times New Roman" w:hAnsi="Calibri" w:cs="Times New Roman"/>
                <w:color w:val="000000"/>
                <w:sz w:val="22"/>
                <w:szCs w:val="22"/>
                <w:vertAlign w:val="subscript"/>
              </w:rPr>
              <w:t>2</w:t>
            </w:r>
          </w:p>
        </w:tc>
        <w:tc>
          <w:tcPr>
            <w:tcW w:w="1354" w:type="dxa"/>
            <w:tcBorders>
              <w:top w:val="nil"/>
              <w:left w:val="nil"/>
              <w:bottom w:val="nil"/>
              <w:right w:val="nil"/>
            </w:tcBorders>
            <w:shd w:val="clear" w:color="auto" w:fill="auto"/>
            <w:noWrap/>
            <w:vAlign w:val="center"/>
            <w:hideMark/>
          </w:tcPr>
          <w:p w14:paraId="2B8B99D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r w:rsidRPr="007933E2">
              <w:rPr>
                <w:rFonts w:ascii="Calibri" w:eastAsia="Times New Roman" w:hAnsi="Calibri" w:cs="Times New Roman"/>
                <w:color w:val="000000"/>
                <w:sz w:val="22"/>
                <w:szCs w:val="22"/>
                <w:vertAlign w:val="subscript"/>
              </w:rPr>
              <w:t>x</w:t>
            </w:r>
          </w:p>
        </w:tc>
        <w:tc>
          <w:tcPr>
            <w:tcW w:w="1183" w:type="dxa"/>
            <w:tcBorders>
              <w:top w:val="nil"/>
              <w:left w:val="nil"/>
              <w:bottom w:val="nil"/>
              <w:right w:val="nil"/>
            </w:tcBorders>
            <w:shd w:val="clear" w:color="auto" w:fill="auto"/>
            <w:noWrap/>
            <w:vAlign w:val="center"/>
            <w:hideMark/>
          </w:tcPr>
          <w:p w14:paraId="259ADA3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r w:rsidRPr="007933E2">
              <w:rPr>
                <w:rFonts w:ascii="Calibri" w:eastAsia="Times New Roman" w:hAnsi="Calibri" w:cs="Times New Roman"/>
                <w:color w:val="000000"/>
                <w:sz w:val="22"/>
                <w:szCs w:val="22"/>
                <w:vertAlign w:val="subscript"/>
              </w:rPr>
              <w:t>x</w:t>
            </w:r>
          </w:p>
        </w:tc>
        <w:tc>
          <w:tcPr>
            <w:tcW w:w="1312" w:type="dxa"/>
            <w:tcBorders>
              <w:top w:val="nil"/>
              <w:left w:val="nil"/>
              <w:bottom w:val="nil"/>
              <w:right w:val="nil"/>
            </w:tcBorders>
            <w:shd w:val="clear" w:color="auto" w:fill="auto"/>
            <w:noWrap/>
            <w:vAlign w:val="center"/>
            <w:hideMark/>
          </w:tcPr>
          <w:p w14:paraId="40B2B13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O</w:t>
            </w:r>
            <w:r w:rsidRPr="007933E2">
              <w:rPr>
                <w:rFonts w:ascii="Calibri" w:eastAsia="Times New Roman" w:hAnsi="Calibri" w:cs="Times New Roman"/>
                <w:color w:val="000000"/>
                <w:sz w:val="22"/>
                <w:szCs w:val="22"/>
                <w:vertAlign w:val="subscript"/>
              </w:rPr>
              <w:t>3</w:t>
            </w:r>
          </w:p>
        </w:tc>
        <w:tc>
          <w:tcPr>
            <w:tcW w:w="1177" w:type="dxa"/>
            <w:tcBorders>
              <w:top w:val="nil"/>
              <w:left w:val="nil"/>
              <w:bottom w:val="nil"/>
              <w:right w:val="nil"/>
            </w:tcBorders>
            <w:shd w:val="clear" w:color="auto" w:fill="auto"/>
            <w:noWrap/>
            <w:vAlign w:val="center"/>
            <w:hideMark/>
          </w:tcPr>
          <w:p w14:paraId="22459C7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O</w:t>
            </w:r>
            <w:r w:rsidRPr="007933E2">
              <w:rPr>
                <w:rFonts w:ascii="Calibri" w:eastAsia="Times New Roman" w:hAnsi="Calibri" w:cs="Times New Roman"/>
                <w:color w:val="000000"/>
                <w:sz w:val="22"/>
                <w:szCs w:val="22"/>
                <w:vertAlign w:val="subscript"/>
              </w:rPr>
              <w:t>3</w:t>
            </w:r>
          </w:p>
        </w:tc>
      </w:tr>
      <w:tr w:rsidR="002F5D47" w:rsidRPr="007933E2" w14:paraId="47724B3B" w14:textId="77777777" w:rsidTr="00E30957">
        <w:trPr>
          <w:trHeight w:val="280"/>
        </w:trPr>
        <w:tc>
          <w:tcPr>
            <w:tcW w:w="1540" w:type="dxa"/>
            <w:tcBorders>
              <w:top w:val="single" w:sz="8" w:space="0" w:color="auto"/>
              <w:left w:val="nil"/>
              <w:bottom w:val="nil"/>
              <w:right w:val="nil"/>
            </w:tcBorders>
            <w:shd w:val="clear" w:color="auto" w:fill="auto"/>
            <w:noWrap/>
            <w:vAlign w:val="center"/>
            <w:hideMark/>
          </w:tcPr>
          <w:p w14:paraId="5ACB1485"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294" w:type="dxa"/>
            <w:tcBorders>
              <w:top w:val="single" w:sz="8" w:space="0" w:color="auto"/>
              <w:left w:val="nil"/>
              <w:bottom w:val="nil"/>
              <w:right w:val="nil"/>
            </w:tcBorders>
            <w:shd w:val="clear" w:color="auto" w:fill="auto"/>
            <w:noWrap/>
            <w:vAlign w:val="center"/>
            <w:hideMark/>
          </w:tcPr>
          <w:p w14:paraId="3BDF0A5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294" w:type="dxa"/>
            <w:tcBorders>
              <w:top w:val="single" w:sz="8" w:space="0" w:color="auto"/>
              <w:left w:val="nil"/>
              <w:bottom w:val="nil"/>
              <w:right w:val="nil"/>
            </w:tcBorders>
            <w:shd w:val="clear" w:color="auto" w:fill="auto"/>
            <w:noWrap/>
            <w:vAlign w:val="center"/>
            <w:hideMark/>
          </w:tcPr>
          <w:p w14:paraId="769D2F4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354" w:type="dxa"/>
            <w:tcBorders>
              <w:top w:val="single" w:sz="8" w:space="0" w:color="auto"/>
              <w:left w:val="nil"/>
              <w:bottom w:val="nil"/>
              <w:right w:val="nil"/>
            </w:tcBorders>
            <w:shd w:val="clear" w:color="auto" w:fill="auto"/>
            <w:noWrap/>
            <w:vAlign w:val="center"/>
            <w:hideMark/>
          </w:tcPr>
          <w:p w14:paraId="072CB2E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354" w:type="dxa"/>
            <w:tcBorders>
              <w:top w:val="single" w:sz="8" w:space="0" w:color="auto"/>
              <w:left w:val="nil"/>
              <w:bottom w:val="nil"/>
              <w:right w:val="nil"/>
            </w:tcBorders>
            <w:shd w:val="clear" w:color="auto" w:fill="auto"/>
            <w:noWrap/>
            <w:vAlign w:val="center"/>
            <w:hideMark/>
          </w:tcPr>
          <w:p w14:paraId="58D8339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354" w:type="dxa"/>
            <w:tcBorders>
              <w:top w:val="single" w:sz="8" w:space="0" w:color="auto"/>
              <w:left w:val="nil"/>
              <w:bottom w:val="nil"/>
              <w:right w:val="nil"/>
            </w:tcBorders>
            <w:shd w:val="clear" w:color="auto" w:fill="auto"/>
            <w:noWrap/>
            <w:vAlign w:val="center"/>
            <w:hideMark/>
          </w:tcPr>
          <w:p w14:paraId="7940025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183" w:type="dxa"/>
            <w:tcBorders>
              <w:top w:val="single" w:sz="8" w:space="0" w:color="auto"/>
              <w:left w:val="nil"/>
              <w:bottom w:val="nil"/>
              <w:right w:val="nil"/>
            </w:tcBorders>
            <w:shd w:val="clear" w:color="auto" w:fill="auto"/>
            <w:noWrap/>
            <w:vAlign w:val="center"/>
            <w:hideMark/>
          </w:tcPr>
          <w:p w14:paraId="27A7BA2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312" w:type="dxa"/>
            <w:tcBorders>
              <w:top w:val="single" w:sz="8" w:space="0" w:color="auto"/>
              <w:left w:val="nil"/>
              <w:bottom w:val="nil"/>
              <w:right w:val="nil"/>
            </w:tcBorders>
            <w:shd w:val="clear" w:color="auto" w:fill="auto"/>
            <w:noWrap/>
            <w:vAlign w:val="center"/>
            <w:hideMark/>
          </w:tcPr>
          <w:p w14:paraId="689E04B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c>
          <w:tcPr>
            <w:tcW w:w="1177" w:type="dxa"/>
            <w:tcBorders>
              <w:top w:val="single" w:sz="8" w:space="0" w:color="auto"/>
              <w:left w:val="nil"/>
              <w:bottom w:val="nil"/>
              <w:right w:val="nil"/>
            </w:tcBorders>
            <w:shd w:val="clear" w:color="auto" w:fill="auto"/>
            <w:noWrap/>
            <w:vAlign w:val="center"/>
            <w:hideMark/>
          </w:tcPr>
          <w:p w14:paraId="112805C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t>
            </w:r>
          </w:p>
        </w:tc>
      </w:tr>
      <w:tr w:rsidR="002F5D47" w:rsidRPr="007933E2" w14:paraId="7946A5E4" w14:textId="77777777" w:rsidTr="00E30957">
        <w:trPr>
          <w:trHeight w:val="280"/>
        </w:trPr>
        <w:tc>
          <w:tcPr>
            <w:tcW w:w="1540" w:type="dxa"/>
            <w:tcBorders>
              <w:top w:val="nil"/>
              <w:left w:val="nil"/>
              <w:bottom w:val="nil"/>
              <w:right w:val="nil"/>
            </w:tcBorders>
            <w:shd w:val="clear" w:color="auto" w:fill="auto"/>
            <w:noWrap/>
            <w:vAlign w:val="center"/>
            <w:hideMark/>
          </w:tcPr>
          <w:p w14:paraId="06BCE929"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Strike × Treat</w:t>
            </w:r>
          </w:p>
        </w:tc>
        <w:tc>
          <w:tcPr>
            <w:tcW w:w="1294" w:type="dxa"/>
            <w:tcBorders>
              <w:top w:val="nil"/>
              <w:left w:val="nil"/>
              <w:bottom w:val="nil"/>
              <w:right w:val="nil"/>
            </w:tcBorders>
            <w:shd w:val="clear" w:color="auto" w:fill="auto"/>
            <w:noWrap/>
            <w:vAlign w:val="bottom"/>
            <w:hideMark/>
          </w:tcPr>
          <w:p w14:paraId="18496B6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0.150</w:t>
            </w:r>
          </w:p>
        </w:tc>
        <w:tc>
          <w:tcPr>
            <w:tcW w:w="1294" w:type="dxa"/>
            <w:tcBorders>
              <w:top w:val="nil"/>
              <w:left w:val="nil"/>
              <w:bottom w:val="nil"/>
              <w:right w:val="nil"/>
            </w:tcBorders>
            <w:shd w:val="clear" w:color="auto" w:fill="auto"/>
            <w:noWrap/>
            <w:vAlign w:val="bottom"/>
            <w:hideMark/>
          </w:tcPr>
          <w:p w14:paraId="53A9963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0.125</w:t>
            </w:r>
          </w:p>
        </w:tc>
        <w:tc>
          <w:tcPr>
            <w:tcW w:w="1354" w:type="dxa"/>
            <w:tcBorders>
              <w:top w:val="nil"/>
              <w:left w:val="nil"/>
              <w:bottom w:val="nil"/>
              <w:right w:val="nil"/>
            </w:tcBorders>
            <w:shd w:val="clear" w:color="auto" w:fill="auto"/>
            <w:noWrap/>
            <w:vAlign w:val="bottom"/>
            <w:hideMark/>
          </w:tcPr>
          <w:p w14:paraId="2BF4D9B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9.417***</w:t>
            </w:r>
          </w:p>
        </w:tc>
        <w:tc>
          <w:tcPr>
            <w:tcW w:w="1354" w:type="dxa"/>
            <w:tcBorders>
              <w:top w:val="nil"/>
              <w:left w:val="nil"/>
              <w:bottom w:val="nil"/>
              <w:right w:val="nil"/>
            </w:tcBorders>
            <w:shd w:val="clear" w:color="auto" w:fill="auto"/>
            <w:noWrap/>
            <w:vAlign w:val="bottom"/>
            <w:hideMark/>
          </w:tcPr>
          <w:p w14:paraId="6B50B5C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9.045***</w:t>
            </w:r>
          </w:p>
        </w:tc>
        <w:tc>
          <w:tcPr>
            <w:tcW w:w="1354" w:type="dxa"/>
            <w:tcBorders>
              <w:top w:val="nil"/>
              <w:left w:val="nil"/>
              <w:bottom w:val="nil"/>
              <w:right w:val="nil"/>
            </w:tcBorders>
            <w:shd w:val="clear" w:color="auto" w:fill="auto"/>
            <w:noWrap/>
            <w:vAlign w:val="bottom"/>
            <w:hideMark/>
          </w:tcPr>
          <w:p w14:paraId="125AF9B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25.508***</w:t>
            </w:r>
          </w:p>
        </w:tc>
        <w:tc>
          <w:tcPr>
            <w:tcW w:w="1183" w:type="dxa"/>
            <w:tcBorders>
              <w:top w:val="nil"/>
              <w:left w:val="nil"/>
              <w:bottom w:val="nil"/>
              <w:right w:val="nil"/>
            </w:tcBorders>
            <w:shd w:val="clear" w:color="auto" w:fill="auto"/>
            <w:noWrap/>
            <w:vAlign w:val="bottom"/>
            <w:hideMark/>
          </w:tcPr>
          <w:p w14:paraId="472A107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23.997***</w:t>
            </w:r>
          </w:p>
        </w:tc>
        <w:tc>
          <w:tcPr>
            <w:tcW w:w="1312" w:type="dxa"/>
            <w:tcBorders>
              <w:top w:val="nil"/>
              <w:left w:val="nil"/>
              <w:bottom w:val="nil"/>
              <w:right w:val="nil"/>
            </w:tcBorders>
            <w:shd w:val="clear" w:color="auto" w:fill="auto"/>
            <w:noWrap/>
            <w:vAlign w:val="bottom"/>
            <w:hideMark/>
          </w:tcPr>
          <w:p w14:paraId="33C7315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-0.007***</w:t>
            </w:r>
          </w:p>
        </w:tc>
        <w:tc>
          <w:tcPr>
            <w:tcW w:w="1177" w:type="dxa"/>
            <w:tcBorders>
              <w:top w:val="nil"/>
              <w:left w:val="nil"/>
              <w:bottom w:val="nil"/>
              <w:right w:val="nil"/>
            </w:tcBorders>
            <w:shd w:val="clear" w:color="auto" w:fill="auto"/>
            <w:noWrap/>
            <w:vAlign w:val="bottom"/>
            <w:hideMark/>
          </w:tcPr>
          <w:p w14:paraId="7BBC138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-0.006**</w:t>
            </w:r>
          </w:p>
        </w:tc>
      </w:tr>
      <w:tr w:rsidR="002F5D47" w:rsidRPr="007933E2" w14:paraId="25416993" w14:textId="77777777" w:rsidTr="00E30957">
        <w:trPr>
          <w:trHeight w:val="300"/>
        </w:trPr>
        <w:tc>
          <w:tcPr>
            <w:tcW w:w="1540" w:type="dxa"/>
            <w:tcBorders>
              <w:top w:val="nil"/>
              <w:left w:val="nil"/>
              <w:bottom w:val="nil"/>
              <w:right w:val="nil"/>
            </w:tcBorders>
            <w:shd w:val="clear" w:color="auto" w:fill="auto"/>
            <w:noWrap/>
            <w:vAlign w:val="bottom"/>
            <w:hideMark/>
          </w:tcPr>
          <w:p w14:paraId="26571956"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7673B54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(0.117)</w:t>
            </w:r>
          </w:p>
        </w:tc>
        <w:tc>
          <w:tcPr>
            <w:tcW w:w="1294" w:type="dxa"/>
            <w:tcBorders>
              <w:top w:val="nil"/>
              <w:left w:val="nil"/>
              <w:bottom w:val="nil"/>
              <w:right w:val="nil"/>
            </w:tcBorders>
            <w:shd w:val="clear" w:color="auto" w:fill="auto"/>
            <w:noWrap/>
            <w:vAlign w:val="bottom"/>
            <w:hideMark/>
          </w:tcPr>
          <w:p w14:paraId="4FFF72F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(0.114)</w:t>
            </w:r>
          </w:p>
        </w:tc>
        <w:tc>
          <w:tcPr>
            <w:tcW w:w="1354" w:type="dxa"/>
            <w:tcBorders>
              <w:top w:val="nil"/>
              <w:left w:val="nil"/>
              <w:bottom w:val="nil"/>
              <w:right w:val="nil"/>
            </w:tcBorders>
            <w:shd w:val="clear" w:color="auto" w:fill="auto"/>
            <w:noWrap/>
            <w:vAlign w:val="bottom"/>
            <w:hideMark/>
          </w:tcPr>
          <w:p w14:paraId="15EA2A8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(2.728)</w:t>
            </w:r>
          </w:p>
        </w:tc>
        <w:tc>
          <w:tcPr>
            <w:tcW w:w="1354" w:type="dxa"/>
            <w:tcBorders>
              <w:top w:val="nil"/>
              <w:left w:val="nil"/>
              <w:bottom w:val="nil"/>
              <w:right w:val="nil"/>
            </w:tcBorders>
            <w:shd w:val="clear" w:color="auto" w:fill="auto"/>
            <w:noWrap/>
            <w:vAlign w:val="bottom"/>
            <w:hideMark/>
          </w:tcPr>
          <w:p w14:paraId="536D2FE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(2.784)</w:t>
            </w:r>
          </w:p>
        </w:tc>
        <w:tc>
          <w:tcPr>
            <w:tcW w:w="1354" w:type="dxa"/>
            <w:tcBorders>
              <w:top w:val="nil"/>
              <w:left w:val="nil"/>
              <w:bottom w:val="nil"/>
              <w:right w:val="nil"/>
            </w:tcBorders>
            <w:shd w:val="clear" w:color="auto" w:fill="auto"/>
            <w:noWrap/>
            <w:vAlign w:val="bottom"/>
            <w:hideMark/>
          </w:tcPr>
          <w:p w14:paraId="1ED30AE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(5.603)</w:t>
            </w:r>
          </w:p>
        </w:tc>
        <w:tc>
          <w:tcPr>
            <w:tcW w:w="1183" w:type="dxa"/>
            <w:tcBorders>
              <w:top w:val="nil"/>
              <w:left w:val="nil"/>
              <w:bottom w:val="nil"/>
              <w:right w:val="nil"/>
            </w:tcBorders>
            <w:shd w:val="clear" w:color="auto" w:fill="auto"/>
            <w:noWrap/>
            <w:vAlign w:val="bottom"/>
            <w:hideMark/>
          </w:tcPr>
          <w:p w14:paraId="215722C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(5.576)</w:t>
            </w:r>
          </w:p>
        </w:tc>
        <w:tc>
          <w:tcPr>
            <w:tcW w:w="1312" w:type="dxa"/>
            <w:tcBorders>
              <w:top w:val="nil"/>
              <w:left w:val="nil"/>
              <w:bottom w:val="nil"/>
              <w:right w:val="nil"/>
            </w:tcBorders>
            <w:shd w:val="clear" w:color="auto" w:fill="auto"/>
            <w:noWrap/>
            <w:vAlign w:val="bottom"/>
            <w:hideMark/>
          </w:tcPr>
          <w:p w14:paraId="26DE0FB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(0.002)</w:t>
            </w:r>
          </w:p>
        </w:tc>
        <w:tc>
          <w:tcPr>
            <w:tcW w:w="1177" w:type="dxa"/>
            <w:tcBorders>
              <w:top w:val="nil"/>
              <w:left w:val="nil"/>
              <w:bottom w:val="nil"/>
              <w:right w:val="nil"/>
            </w:tcBorders>
            <w:shd w:val="clear" w:color="auto" w:fill="auto"/>
            <w:noWrap/>
            <w:vAlign w:val="bottom"/>
            <w:hideMark/>
          </w:tcPr>
          <w:p w14:paraId="300E077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(0.002)</w:t>
            </w:r>
          </w:p>
        </w:tc>
      </w:tr>
      <w:tr w:rsidR="002F5D47" w:rsidRPr="007933E2" w14:paraId="7C5DA01C" w14:textId="77777777" w:rsidTr="00E30957">
        <w:trPr>
          <w:trHeight w:val="300"/>
        </w:trPr>
        <w:tc>
          <w:tcPr>
            <w:tcW w:w="1540" w:type="dxa"/>
            <w:tcBorders>
              <w:top w:val="nil"/>
              <w:left w:val="nil"/>
              <w:bottom w:val="nil"/>
              <w:right w:val="nil"/>
            </w:tcBorders>
            <w:shd w:val="clear" w:color="auto" w:fill="auto"/>
            <w:noWrap/>
            <w:vAlign w:val="bottom"/>
            <w:hideMark/>
          </w:tcPr>
          <w:p w14:paraId="597C0438"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05BAADB1"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65A60E81"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2E875556"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18E1A25B"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231E35EE"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5907C021"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19629592"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7610C4DF"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2CE6240A" w14:textId="77777777" w:rsidTr="00E30957">
        <w:trPr>
          <w:trHeight w:val="280"/>
        </w:trPr>
        <w:tc>
          <w:tcPr>
            <w:tcW w:w="1540" w:type="dxa"/>
            <w:tcBorders>
              <w:top w:val="nil"/>
              <w:left w:val="nil"/>
              <w:bottom w:val="nil"/>
              <w:right w:val="nil"/>
            </w:tcBorders>
            <w:shd w:val="clear" w:color="auto" w:fill="auto"/>
            <w:noWrap/>
            <w:vAlign w:val="center"/>
            <w:hideMark/>
          </w:tcPr>
          <w:p w14:paraId="2ED4512D"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Treat</w:t>
            </w:r>
          </w:p>
        </w:tc>
        <w:tc>
          <w:tcPr>
            <w:tcW w:w="1294" w:type="dxa"/>
            <w:tcBorders>
              <w:top w:val="nil"/>
              <w:left w:val="nil"/>
              <w:bottom w:val="nil"/>
              <w:right w:val="nil"/>
            </w:tcBorders>
            <w:shd w:val="clear" w:color="auto" w:fill="auto"/>
            <w:noWrap/>
            <w:vAlign w:val="bottom"/>
            <w:hideMark/>
          </w:tcPr>
          <w:p w14:paraId="223B00B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0.292***</w:t>
            </w:r>
          </w:p>
        </w:tc>
        <w:tc>
          <w:tcPr>
            <w:tcW w:w="1294" w:type="dxa"/>
            <w:tcBorders>
              <w:top w:val="nil"/>
              <w:left w:val="nil"/>
              <w:bottom w:val="nil"/>
              <w:right w:val="nil"/>
            </w:tcBorders>
            <w:shd w:val="clear" w:color="auto" w:fill="auto"/>
            <w:noWrap/>
            <w:vAlign w:val="bottom"/>
            <w:hideMark/>
          </w:tcPr>
          <w:p w14:paraId="4C965BD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0.612***</w:t>
            </w:r>
          </w:p>
        </w:tc>
        <w:tc>
          <w:tcPr>
            <w:tcW w:w="1354" w:type="dxa"/>
            <w:tcBorders>
              <w:top w:val="nil"/>
              <w:left w:val="nil"/>
              <w:bottom w:val="nil"/>
              <w:right w:val="nil"/>
            </w:tcBorders>
            <w:shd w:val="clear" w:color="auto" w:fill="auto"/>
            <w:noWrap/>
            <w:vAlign w:val="bottom"/>
            <w:hideMark/>
          </w:tcPr>
          <w:p w14:paraId="3F4F3E1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13.700***</w:t>
            </w:r>
          </w:p>
        </w:tc>
        <w:tc>
          <w:tcPr>
            <w:tcW w:w="1354" w:type="dxa"/>
            <w:tcBorders>
              <w:top w:val="nil"/>
              <w:left w:val="nil"/>
              <w:bottom w:val="nil"/>
              <w:right w:val="nil"/>
            </w:tcBorders>
            <w:shd w:val="clear" w:color="auto" w:fill="auto"/>
            <w:noWrap/>
            <w:vAlign w:val="bottom"/>
            <w:hideMark/>
          </w:tcPr>
          <w:p w14:paraId="5E0F095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9.031***</w:t>
            </w:r>
          </w:p>
        </w:tc>
        <w:tc>
          <w:tcPr>
            <w:tcW w:w="1354" w:type="dxa"/>
            <w:tcBorders>
              <w:top w:val="nil"/>
              <w:left w:val="nil"/>
              <w:bottom w:val="nil"/>
              <w:right w:val="nil"/>
            </w:tcBorders>
            <w:shd w:val="clear" w:color="auto" w:fill="auto"/>
            <w:noWrap/>
            <w:vAlign w:val="bottom"/>
            <w:hideMark/>
          </w:tcPr>
          <w:p w14:paraId="01E760C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31.588***</w:t>
            </w:r>
          </w:p>
        </w:tc>
        <w:tc>
          <w:tcPr>
            <w:tcW w:w="1183" w:type="dxa"/>
            <w:tcBorders>
              <w:top w:val="nil"/>
              <w:left w:val="nil"/>
              <w:bottom w:val="nil"/>
              <w:right w:val="nil"/>
            </w:tcBorders>
            <w:shd w:val="clear" w:color="auto" w:fill="auto"/>
            <w:noWrap/>
            <w:vAlign w:val="bottom"/>
            <w:hideMark/>
          </w:tcPr>
          <w:p w14:paraId="2477540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21.144***</w:t>
            </w:r>
          </w:p>
        </w:tc>
        <w:tc>
          <w:tcPr>
            <w:tcW w:w="1312" w:type="dxa"/>
            <w:tcBorders>
              <w:top w:val="nil"/>
              <w:left w:val="nil"/>
              <w:bottom w:val="nil"/>
              <w:right w:val="nil"/>
            </w:tcBorders>
            <w:shd w:val="clear" w:color="auto" w:fill="auto"/>
            <w:noWrap/>
            <w:vAlign w:val="bottom"/>
            <w:hideMark/>
          </w:tcPr>
          <w:p w14:paraId="10E080A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-0.007***</w:t>
            </w:r>
          </w:p>
        </w:tc>
        <w:tc>
          <w:tcPr>
            <w:tcW w:w="1177" w:type="dxa"/>
            <w:tcBorders>
              <w:top w:val="nil"/>
              <w:left w:val="nil"/>
              <w:bottom w:val="nil"/>
              <w:right w:val="nil"/>
            </w:tcBorders>
            <w:shd w:val="clear" w:color="auto" w:fill="auto"/>
            <w:noWrap/>
            <w:vAlign w:val="bottom"/>
            <w:hideMark/>
          </w:tcPr>
          <w:p w14:paraId="0FB4F9F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-0.018***</w:t>
            </w:r>
          </w:p>
        </w:tc>
      </w:tr>
      <w:tr w:rsidR="002F5D47" w:rsidRPr="007933E2" w14:paraId="349CD5E8" w14:textId="77777777" w:rsidTr="00E30957">
        <w:trPr>
          <w:trHeight w:val="300"/>
        </w:trPr>
        <w:tc>
          <w:tcPr>
            <w:tcW w:w="1540" w:type="dxa"/>
            <w:tcBorders>
              <w:top w:val="nil"/>
              <w:left w:val="nil"/>
              <w:bottom w:val="nil"/>
              <w:right w:val="nil"/>
            </w:tcBorders>
            <w:shd w:val="clear" w:color="auto" w:fill="auto"/>
            <w:noWrap/>
            <w:vAlign w:val="bottom"/>
            <w:hideMark/>
          </w:tcPr>
          <w:p w14:paraId="14016D06"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15C04D6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(0.073)</w:t>
            </w:r>
          </w:p>
        </w:tc>
        <w:tc>
          <w:tcPr>
            <w:tcW w:w="1294" w:type="dxa"/>
            <w:tcBorders>
              <w:top w:val="nil"/>
              <w:left w:val="nil"/>
              <w:bottom w:val="nil"/>
              <w:right w:val="nil"/>
            </w:tcBorders>
            <w:shd w:val="clear" w:color="auto" w:fill="auto"/>
            <w:noWrap/>
            <w:vAlign w:val="bottom"/>
            <w:hideMark/>
          </w:tcPr>
          <w:p w14:paraId="0D665A8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(0.060)</w:t>
            </w:r>
          </w:p>
        </w:tc>
        <w:tc>
          <w:tcPr>
            <w:tcW w:w="1354" w:type="dxa"/>
            <w:tcBorders>
              <w:top w:val="nil"/>
              <w:left w:val="nil"/>
              <w:bottom w:val="nil"/>
              <w:right w:val="nil"/>
            </w:tcBorders>
            <w:shd w:val="clear" w:color="auto" w:fill="auto"/>
            <w:noWrap/>
            <w:vAlign w:val="bottom"/>
            <w:hideMark/>
          </w:tcPr>
          <w:p w14:paraId="2AAC05C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(1.143)</w:t>
            </w:r>
          </w:p>
        </w:tc>
        <w:tc>
          <w:tcPr>
            <w:tcW w:w="1354" w:type="dxa"/>
            <w:tcBorders>
              <w:top w:val="nil"/>
              <w:left w:val="nil"/>
              <w:bottom w:val="nil"/>
              <w:right w:val="nil"/>
            </w:tcBorders>
            <w:shd w:val="clear" w:color="auto" w:fill="auto"/>
            <w:noWrap/>
            <w:vAlign w:val="bottom"/>
            <w:hideMark/>
          </w:tcPr>
          <w:p w14:paraId="2465514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(0.634)</w:t>
            </w:r>
          </w:p>
        </w:tc>
        <w:tc>
          <w:tcPr>
            <w:tcW w:w="1354" w:type="dxa"/>
            <w:tcBorders>
              <w:top w:val="nil"/>
              <w:left w:val="nil"/>
              <w:bottom w:val="nil"/>
              <w:right w:val="nil"/>
            </w:tcBorders>
            <w:shd w:val="clear" w:color="auto" w:fill="auto"/>
            <w:noWrap/>
            <w:vAlign w:val="bottom"/>
            <w:hideMark/>
          </w:tcPr>
          <w:p w14:paraId="5DEB989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(4.653)</w:t>
            </w:r>
          </w:p>
        </w:tc>
        <w:tc>
          <w:tcPr>
            <w:tcW w:w="1183" w:type="dxa"/>
            <w:tcBorders>
              <w:top w:val="nil"/>
              <w:left w:val="nil"/>
              <w:bottom w:val="nil"/>
              <w:right w:val="nil"/>
            </w:tcBorders>
            <w:shd w:val="clear" w:color="auto" w:fill="auto"/>
            <w:noWrap/>
            <w:vAlign w:val="bottom"/>
            <w:hideMark/>
          </w:tcPr>
          <w:p w14:paraId="3249882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(2.460)</w:t>
            </w:r>
          </w:p>
        </w:tc>
        <w:tc>
          <w:tcPr>
            <w:tcW w:w="1312" w:type="dxa"/>
            <w:tcBorders>
              <w:top w:val="nil"/>
              <w:left w:val="nil"/>
              <w:bottom w:val="nil"/>
              <w:right w:val="nil"/>
            </w:tcBorders>
            <w:shd w:val="clear" w:color="auto" w:fill="auto"/>
            <w:noWrap/>
            <w:vAlign w:val="bottom"/>
            <w:hideMark/>
          </w:tcPr>
          <w:p w14:paraId="49F871C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177" w:type="dxa"/>
            <w:tcBorders>
              <w:top w:val="nil"/>
              <w:left w:val="nil"/>
              <w:bottom w:val="nil"/>
              <w:right w:val="nil"/>
            </w:tcBorders>
            <w:shd w:val="clear" w:color="auto" w:fill="auto"/>
            <w:noWrap/>
            <w:vAlign w:val="bottom"/>
            <w:hideMark/>
          </w:tcPr>
          <w:p w14:paraId="5B3252B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r>
      <w:tr w:rsidR="002F5D47" w:rsidRPr="007933E2" w14:paraId="44DF0183" w14:textId="77777777" w:rsidTr="00E30957">
        <w:trPr>
          <w:trHeight w:val="300"/>
        </w:trPr>
        <w:tc>
          <w:tcPr>
            <w:tcW w:w="1540" w:type="dxa"/>
            <w:tcBorders>
              <w:top w:val="nil"/>
              <w:left w:val="nil"/>
              <w:bottom w:val="nil"/>
              <w:right w:val="nil"/>
            </w:tcBorders>
            <w:shd w:val="clear" w:color="auto" w:fill="auto"/>
            <w:noWrap/>
            <w:vAlign w:val="bottom"/>
            <w:hideMark/>
          </w:tcPr>
          <w:p w14:paraId="7FC6F66D"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0EE8A8F0"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0EA5C40D"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085ED76E"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397B4CFC"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4A4537F6"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5C80BF18"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522FD6AE"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104BBEAF"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5A1A5685" w14:textId="77777777" w:rsidTr="00E30957">
        <w:trPr>
          <w:trHeight w:val="280"/>
        </w:trPr>
        <w:tc>
          <w:tcPr>
            <w:tcW w:w="1540" w:type="dxa"/>
            <w:tcBorders>
              <w:top w:val="nil"/>
              <w:left w:val="nil"/>
              <w:bottom w:val="nil"/>
              <w:right w:val="nil"/>
            </w:tcBorders>
            <w:shd w:val="clear" w:color="auto" w:fill="auto"/>
            <w:noWrap/>
            <w:vAlign w:val="center"/>
            <w:hideMark/>
          </w:tcPr>
          <w:p w14:paraId="3A49D26F"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Strike</w:t>
            </w:r>
          </w:p>
        </w:tc>
        <w:tc>
          <w:tcPr>
            <w:tcW w:w="1294" w:type="dxa"/>
            <w:tcBorders>
              <w:top w:val="nil"/>
              <w:left w:val="nil"/>
              <w:bottom w:val="nil"/>
              <w:right w:val="nil"/>
            </w:tcBorders>
            <w:shd w:val="clear" w:color="auto" w:fill="auto"/>
            <w:noWrap/>
            <w:vAlign w:val="bottom"/>
            <w:hideMark/>
          </w:tcPr>
          <w:p w14:paraId="3D1ACFF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0.217**</w:t>
            </w:r>
          </w:p>
        </w:tc>
        <w:tc>
          <w:tcPr>
            <w:tcW w:w="1294" w:type="dxa"/>
            <w:tcBorders>
              <w:top w:val="nil"/>
              <w:left w:val="nil"/>
              <w:bottom w:val="nil"/>
              <w:right w:val="nil"/>
            </w:tcBorders>
            <w:shd w:val="clear" w:color="auto" w:fill="auto"/>
            <w:noWrap/>
            <w:vAlign w:val="bottom"/>
            <w:hideMark/>
          </w:tcPr>
          <w:p w14:paraId="48A999F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0.292***</w:t>
            </w:r>
          </w:p>
        </w:tc>
        <w:tc>
          <w:tcPr>
            <w:tcW w:w="1354" w:type="dxa"/>
            <w:tcBorders>
              <w:top w:val="nil"/>
              <w:left w:val="nil"/>
              <w:bottom w:val="nil"/>
              <w:right w:val="nil"/>
            </w:tcBorders>
            <w:shd w:val="clear" w:color="auto" w:fill="auto"/>
            <w:noWrap/>
            <w:vAlign w:val="bottom"/>
            <w:hideMark/>
          </w:tcPr>
          <w:p w14:paraId="2D85558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9.131***</w:t>
            </w:r>
          </w:p>
        </w:tc>
        <w:tc>
          <w:tcPr>
            <w:tcW w:w="1354" w:type="dxa"/>
            <w:tcBorders>
              <w:top w:val="nil"/>
              <w:left w:val="nil"/>
              <w:bottom w:val="nil"/>
              <w:right w:val="nil"/>
            </w:tcBorders>
            <w:shd w:val="clear" w:color="auto" w:fill="auto"/>
            <w:noWrap/>
            <w:vAlign w:val="bottom"/>
            <w:hideMark/>
          </w:tcPr>
          <w:p w14:paraId="6F2EF4F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7.750***</w:t>
            </w:r>
          </w:p>
        </w:tc>
        <w:tc>
          <w:tcPr>
            <w:tcW w:w="1354" w:type="dxa"/>
            <w:tcBorders>
              <w:top w:val="nil"/>
              <w:left w:val="nil"/>
              <w:bottom w:val="nil"/>
              <w:right w:val="nil"/>
            </w:tcBorders>
            <w:shd w:val="clear" w:color="auto" w:fill="auto"/>
            <w:noWrap/>
            <w:vAlign w:val="bottom"/>
            <w:hideMark/>
          </w:tcPr>
          <w:p w14:paraId="7779325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6.844*</w:t>
            </w:r>
          </w:p>
        </w:tc>
        <w:tc>
          <w:tcPr>
            <w:tcW w:w="1183" w:type="dxa"/>
            <w:tcBorders>
              <w:top w:val="nil"/>
              <w:left w:val="nil"/>
              <w:bottom w:val="nil"/>
              <w:right w:val="nil"/>
            </w:tcBorders>
            <w:shd w:val="clear" w:color="auto" w:fill="auto"/>
            <w:noWrap/>
            <w:vAlign w:val="bottom"/>
            <w:hideMark/>
          </w:tcPr>
          <w:p w14:paraId="7F8C7EC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14.196***</w:t>
            </w:r>
          </w:p>
        </w:tc>
        <w:tc>
          <w:tcPr>
            <w:tcW w:w="1312" w:type="dxa"/>
            <w:tcBorders>
              <w:top w:val="nil"/>
              <w:left w:val="nil"/>
              <w:bottom w:val="nil"/>
              <w:right w:val="nil"/>
            </w:tcBorders>
            <w:shd w:val="clear" w:color="auto" w:fill="auto"/>
            <w:noWrap/>
            <w:vAlign w:val="bottom"/>
            <w:hideMark/>
          </w:tcPr>
          <w:p w14:paraId="4BE8966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0.005**</w:t>
            </w:r>
          </w:p>
        </w:tc>
        <w:tc>
          <w:tcPr>
            <w:tcW w:w="1177" w:type="dxa"/>
            <w:tcBorders>
              <w:top w:val="nil"/>
              <w:left w:val="nil"/>
              <w:bottom w:val="nil"/>
              <w:right w:val="nil"/>
            </w:tcBorders>
            <w:shd w:val="clear" w:color="auto" w:fill="auto"/>
            <w:noWrap/>
            <w:vAlign w:val="bottom"/>
            <w:hideMark/>
          </w:tcPr>
          <w:p w14:paraId="34DE958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r>
      <w:tr w:rsidR="002F5D47" w:rsidRPr="007933E2" w14:paraId="38496AEE" w14:textId="77777777" w:rsidTr="00E30957">
        <w:trPr>
          <w:trHeight w:val="300"/>
        </w:trPr>
        <w:tc>
          <w:tcPr>
            <w:tcW w:w="1540" w:type="dxa"/>
            <w:tcBorders>
              <w:top w:val="nil"/>
              <w:left w:val="nil"/>
              <w:bottom w:val="nil"/>
              <w:right w:val="nil"/>
            </w:tcBorders>
            <w:shd w:val="clear" w:color="auto" w:fill="auto"/>
            <w:noWrap/>
            <w:vAlign w:val="bottom"/>
            <w:hideMark/>
          </w:tcPr>
          <w:p w14:paraId="3F76124B"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2FA8A94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(0.083)</w:t>
            </w:r>
          </w:p>
        </w:tc>
        <w:tc>
          <w:tcPr>
            <w:tcW w:w="1294" w:type="dxa"/>
            <w:tcBorders>
              <w:top w:val="nil"/>
              <w:left w:val="nil"/>
              <w:bottom w:val="nil"/>
              <w:right w:val="nil"/>
            </w:tcBorders>
            <w:shd w:val="clear" w:color="auto" w:fill="auto"/>
            <w:noWrap/>
            <w:vAlign w:val="bottom"/>
            <w:hideMark/>
          </w:tcPr>
          <w:p w14:paraId="7471EC9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(0.085)</w:t>
            </w:r>
          </w:p>
        </w:tc>
        <w:tc>
          <w:tcPr>
            <w:tcW w:w="1354" w:type="dxa"/>
            <w:tcBorders>
              <w:top w:val="nil"/>
              <w:left w:val="nil"/>
              <w:bottom w:val="nil"/>
              <w:right w:val="nil"/>
            </w:tcBorders>
            <w:shd w:val="clear" w:color="auto" w:fill="auto"/>
            <w:noWrap/>
            <w:vAlign w:val="bottom"/>
            <w:hideMark/>
          </w:tcPr>
          <w:p w14:paraId="518D5B3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(1.973)</w:t>
            </w:r>
          </w:p>
        </w:tc>
        <w:tc>
          <w:tcPr>
            <w:tcW w:w="1354" w:type="dxa"/>
            <w:tcBorders>
              <w:top w:val="nil"/>
              <w:left w:val="nil"/>
              <w:bottom w:val="nil"/>
              <w:right w:val="nil"/>
            </w:tcBorders>
            <w:shd w:val="clear" w:color="auto" w:fill="auto"/>
            <w:noWrap/>
            <w:vAlign w:val="bottom"/>
            <w:hideMark/>
          </w:tcPr>
          <w:p w14:paraId="36F1B74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(2.262)</w:t>
            </w:r>
          </w:p>
        </w:tc>
        <w:tc>
          <w:tcPr>
            <w:tcW w:w="1354" w:type="dxa"/>
            <w:tcBorders>
              <w:top w:val="nil"/>
              <w:left w:val="nil"/>
              <w:bottom w:val="nil"/>
              <w:right w:val="nil"/>
            </w:tcBorders>
            <w:shd w:val="clear" w:color="auto" w:fill="auto"/>
            <w:noWrap/>
            <w:vAlign w:val="bottom"/>
            <w:hideMark/>
          </w:tcPr>
          <w:p w14:paraId="72111E9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(3.344)</w:t>
            </w:r>
          </w:p>
        </w:tc>
        <w:tc>
          <w:tcPr>
            <w:tcW w:w="1183" w:type="dxa"/>
            <w:tcBorders>
              <w:top w:val="nil"/>
              <w:left w:val="nil"/>
              <w:bottom w:val="nil"/>
              <w:right w:val="nil"/>
            </w:tcBorders>
            <w:shd w:val="clear" w:color="auto" w:fill="auto"/>
            <w:noWrap/>
            <w:vAlign w:val="bottom"/>
            <w:hideMark/>
          </w:tcPr>
          <w:p w14:paraId="15D08EF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(3.947)</w:t>
            </w:r>
          </w:p>
        </w:tc>
        <w:tc>
          <w:tcPr>
            <w:tcW w:w="1312" w:type="dxa"/>
            <w:tcBorders>
              <w:top w:val="nil"/>
              <w:left w:val="nil"/>
              <w:bottom w:val="nil"/>
              <w:right w:val="nil"/>
            </w:tcBorders>
            <w:shd w:val="clear" w:color="auto" w:fill="auto"/>
            <w:noWrap/>
            <w:vAlign w:val="bottom"/>
            <w:hideMark/>
          </w:tcPr>
          <w:p w14:paraId="7D0914B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(0.002)</w:t>
            </w:r>
          </w:p>
        </w:tc>
        <w:tc>
          <w:tcPr>
            <w:tcW w:w="1177" w:type="dxa"/>
            <w:tcBorders>
              <w:top w:val="nil"/>
              <w:left w:val="nil"/>
              <w:bottom w:val="nil"/>
              <w:right w:val="nil"/>
            </w:tcBorders>
            <w:shd w:val="clear" w:color="auto" w:fill="auto"/>
            <w:noWrap/>
            <w:vAlign w:val="bottom"/>
            <w:hideMark/>
          </w:tcPr>
          <w:p w14:paraId="606C5D7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(0.002)</w:t>
            </w:r>
          </w:p>
        </w:tc>
      </w:tr>
      <w:tr w:rsidR="002F5D47" w:rsidRPr="007933E2" w14:paraId="034D7962" w14:textId="77777777" w:rsidTr="00E30957">
        <w:trPr>
          <w:trHeight w:val="300"/>
        </w:trPr>
        <w:tc>
          <w:tcPr>
            <w:tcW w:w="1540" w:type="dxa"/>
            <w:tcBorders>
              <w:top w:val="nil"/>
              <w:left w:val="nil"/>
              <w:bottom w:val="nil"/>
              <w:right w:val="nil"/>
            </w:tcBorders>
            <w:shd w:val="clear" w:color="auto" w:fill="auto"/>
            <w:noWrap/>
            <w:vAlign w:val="bottom"/>
            <w:hideMark/>
          </w:tcPr>
          <w:p w14:paraId="7397ECBF"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266255BF"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25804BB1"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45E48DD5"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6C21F79F"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6E258765"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30C8189E"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076520AC"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4DA30D99"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65787BB0" w14:textId="77777777" w:rsidTr="00E30957">
        <w:trPr>
          <w:trHeight w:val="280"/>
        </w:trPr>
        <w:tc>
          <w:tcPr>
            <w:tcW w:w="1540" w:type="dxa"/>
            <w:tcBorders>
              <w:top w:val="nil"/>
              <w:left w:val="nil"/>
              <w:bottom w:val="nil"/>
              <w:right w:val="nil"/>
            </w:tcBorders>
            <w:shd w:val="clear" w:color="auto" w:fill="auto"/>
            <w:noWrap/>
            <w:vAlign w:val="center"/>
            <w:hideMark/>
          </w:tcPr>
          <w:p w14:paraId="4E364D10"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Week</w:t>
            </w:r>
          </w:p>
        </w:tc>
        <w:tc>
          <w:tcPr>
            <w:tcW w:w="1294" w:type="dxa"/>
            <w:tcBorders>
              <w:top w:val="nil"/>
              <w:left w:val="nil"/>
              <w:bottom w:val="nil"/>
              <w:right w:val="nil"/>
            </w:tcBorders>
            <w:shd w:val="clear" w:color="auto" w:fill="auto"/>
            <w:noWrap/>
            <w:vAlign w:val="bottom"/>
            <w:hideMark/>
          </w:tcPr>
          <w:p w14:paraId="14373BF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0.006***</w:t>
            </w:r>
          </w:p>
        </w:tc>
        <w:tc>
          <w:tcPr>
            <w:tcW w:w="1294" w:type="dxa"/>
            <w:tcBorders>
              <w:top w:val="nil"/>
              <w:left w:val="nil"/>
              <w:bottom w:val="nil"/>
              <w:right w:val="nil"/>
            </w:tcBorders>
            <w:shd w:val="clear" w:color="auto" w:fill="auto"/>
            <w:noWrap/>
            <w:vAlign w:val="bottom"/>
            <w:hideMark/>
          </w:tcPr>
          <w:p w14:paraId="2603C1A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0.005</w:t>
            </w:r>
          </w:p>
        </w:tc>
        <w:tc>
          <w:tcPr>
            <w:tcW w:w="1354" w:type="dxa"/>
            <w:tcBorders>
              <w:top w:val="nil"/>
              <w:left w:val="nil"/>
              <w:bottom w:val="nil"/>
              <w:right w:val="nil"/>
            </w:tcBorders>
            <w:shd w:val="clear" w:color="auto" w:fill="auto"/>
            <w:noWrap/>
            <w:vAlign w:val="bottom"/>
            <w:hideMark/>
          </w:tcPr>
          <w:p w14:paraId="7928FE7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0.145***</w:t>
            </w:r>
          </w:p>
        </w:tc>
        <w:tc>
          <w:tcPr>
            <w:tcW w:w="1354" w:type="dxa"/>
            <w:tcBorders>
              <w:top w:val="nil"/>
              <w:left w:val="nil"/>
              <w:bottom w:val="nil"/>
              <w:right w:val="nil"/>
            </w:tcBorders>
            <w:shd w:val="clear" w:color="auto" w:fill="auto"/>
            <w:noWrap/>
            <w:vAlign w:val="bottom"/>
            <w:hideMark/>
          </w:tcPr>
          <w:p w14:paraId="34B7943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0.311***</w:t>
            </w:r>
          </w:p>
        </w:tc>
        <w:tc>
          <w:tcPr>
            <w:tcW w:w="1354" w:type="dxa"/>
            <w:tcBorders>
              <w:top w:val="nil"/>
              <w:left w:val="nil"/>
              <w:bottom w:val="nil"/>
              <w:right w:val="nil"/>
            </w:tcBorders>
            <w:shd w:val="clear" w:color="auto" w:fill="auto"/>
            <w:noWrap/>
            <w:vAlign w:val="bottom"/>
            <w:hideMark/>
          </w:tcPr>
          <w:p w14:paraId="01BDF29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0.383***</w:t>
            </w:r>
          </w:p>
        </w:tc>
        <w:tc>
          <w:tcPr>
            <w:tcW w:w="1183" w:type="dxa"/>
            <w:tcBorders>
              <w:top w:val="nil"/>
              <w:left w:val="nil"/>
              <w:bottom w:val="nil"/>
              <w:right w:val="nil"/>
            </w:tcBorders>
            <w:shd w:val="clear" w:color="auto" w:fill="auto"/>
            <w:noWrap/>
            <w:vAlign w:val="bottom"/>
            <w:hideMark/>
          </w:tcPr>
          <w:p w14:paraId="6F10B1A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1.751***</w:t>
            </w:r>
          </w:p>
        </w:tc>
        <w:tc>
          <w:tcPr>
            <w:tcW w:w="1312" w:type="dxa"/>
            <w:tcBorders>
              <w:top w:val="nil"/>
              <w:left w:val="nil"/>
              <w:bottom w:val="nil"/>
              <w:right w:val="nil"/>
            </w:tcBorders>
            <w:shd w:val="clear" w:color="auto" w:fill="auto"/>
            <w:noWrap/>
            <w:vAlign w:val="bottom"/>
            <w:hideMark/>
          </w:tcPr>
          <w:p w14:paraId="6E7BED8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177" w:type="dxa"/>
            <w:tcBorders>
              <w:top w:val="nil"/>
              <w:left w:val="nil"/>
              <w:bottom w:val="nil"/>
              <w:right w:val="nil"/>
            </w:tcBorders>
            <w:shd w:val="clear" w:color="auto" w:fill="auto"/>
            <w:noWrap/>
            <w:vAlign w:val="bottom"/>
            <w:hideMark/>
          </w:tcPr>
          <w:p w14:paraId="2353EB5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r>
      <w:tr w:rsidR="002F5D47" w:rsidRPr="007933E2" w14:paraId="10F6624A" w14:textId="77777777" w:rsidTr="00E30957">
        <w:trPr>
          <w:trHeight w:val="300"/>
        </w:trPr>
        <w:tc>
          <w:tcPr>
            <w:tcW w:w="1540" w:type="dxa"/>
            <w:tcBorders>
              <w:top w:val="nil"/>
              <w:left w:val="nil"/>
              <w:bottom w:val="nil"/>
              <w:right w:val="nil"/>
            </w:tcBorders>
            <w:shd w:val="clear" w:color="auto" w:fill="auto"/>
            <w:noWrap/>
            <w:vAlign w:val="bottom"/>
            <w:hideMark/>
          </w:tcPr>
          <w:p w14:paraId="5A2DFE48"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3180E6D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(0.002)</w:t>
            </w:r>
          </w:p>
        </w:tc>
        <w:tc>
          <w:tcPr>
            <w:tcW w:w="1294" w:type="dxa"/>
            <w:tcBorders>
              <w:top w:val="nil"/>
              <w:left w:val="nil"/>
              <w:bottom w:val="nil"/>
              <w:right w:val="nil"/>
            </w:tcBorders>
            <w:shd w:val="clear" w:color="auto" w:fill="auto"/>
            <w:noWrap/>
            <w:vAlign w:val="bottom"/>
            <w:hideMark/>
          </w:tcPr>
          <w:p w14:paraId="3924F2B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(0.004)</w:t>
            </w:r>
          </w:p>
        </w:tc>
        <w:tc>
          <w:tcPr>
            <w:tcW w:w="1354" w:type="dxa"/>
            <w:tcBorders>
              <w:top w:val="nil"/>
              <w:left w:val="nil"/>
              <w:bottom w:val="nil"/>
              <w:right w:val="nil"/>
            </w:tcBorders>
            <w:shd w:val="clear" w:color="auto" w:fill="auto"/>
            <w:noWrap/>
            <w:vAlign w:val="bottom"/>
            <w:hideMark/>
          </w:tcPr>
          <w:p w14:paraId="598129A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(0.023)</w:t>
            </w:r>
          </w:p>
        </w:tc>
        <w:tc>
          <w:tcPr>
            <w:tcW w:w="1354" w:type="dxa"/>
            <w:tcBorders>
              <w:top w:val="nil"/>
              <w:left w:val="nil"/>
              <w:bottom w:val="nil"/>
              <w:right w:val="nil"/>
            </w:tcBorders>
            <w:shd w:val="clear" w:color="auto" w:fill="auto"/>
            <w:noWrap/>
            <w:vAlign w:val="bottom"/>
            <w:hideMark/>
          </w:tcPr>
          <w:p w14:paraId="4B28DD1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(0.069)</w:t>
            </w:r>
          </w:p>
        </w:tc>
        <w:tc>
          <w:tcPr>
            <w:tcW w:w="1354" w:type="dxa"/>
            <w:tcBorders>
              <w:top w:val="nil"/>
              <w:left w:val="nil"/>
              <w:bottom w:val="nil"/>
              <w:right w:val="nil"/>
            </w:tcBorders>
            <w:shd w:val="clear" w:color="auto" w:fill="auto"/>
            <w:noWrap/>
            <w:vAlign w:val="bottom"/>
            <w:hideMark/>
          </w:tcPr>
          <w:p w14:paraId="79B59B6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(0.096)</w:t>
            </w:r>
          </w:p>
        </w:tc>
        <w:tc>
          <w:tcPr>
            <w:tcW w:w="1183" w:type="dxa"/>
            <w:tcBorders>
              <w:top w:val="nil"/>
              <w:left w:val="nil"/>
              <w:bottom w:val="nil"/>
              <w:right w:val="nil"/>
            </w:tcBorders>
            <w:shd w:val="clear" w:color="auto" w:fill="auto"/>
            <w:noWrap/>
            <w:vAlign w:val="bottom"/>
            <w:hideMark/>
          </w:tcPr>
          <w:p w14:paraId="4716E00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(0.308)</w:t>
            </w:r>
          </w:p>
        </w:tc>
        <w:tc>
          <w:tcPr>
            <w:tcW w:w="1312" w:type="dxa"/>
            <w:tcBorders>
              <w:top w:val="nil"/>
              <w:left w:val="nil"/>
              <w:bottom w:val="nil"/>
              <w:right w:val="nil"/>
            </w:tcBorders>
            <w:shd w:val="clear" w:color="auto" w:fill="auto"/>
            <w:noWrap/>
            <w:vAlign w:val="bottom"/>
            <w:hideMark/>
          </w:tcPr>
          <w:p w14:paraId="539C8BA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c>
          <w:tcPr>
            <w:tcW w:w="1177" w:type="dxa"/>
            <w:tcBorders>
              <w:top w:val="nil"/>
              <w:left w:val="nil"/>
              <w:bottom w:val="nil"/>
              <w:right w:val="nil"/>
            </w:tcBorders>
            <w:shd w:val="clear" w:color="auto" w:fill="auto"/>
            <w:noWrap/>
            <w:vAlign w:val="bottom"/>
            <w:hideMark/>
          </w:tcPr>
          <w:p w14:paraId="37A6B18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r>
      <w:tr w:rsidR="002F5D47" w:rsidRPr="007933E2" w14:paraId="6D13C97E" w14:textId="77777777" w:rsidTr="00E30957">
        <w:trPr>
          <w:trHeight w:val="300"/>
        </w:trPr>
        <w:tc>
          <w:tcPr>
            <w:tcW w:w="1540" w:type="dxa"/>
            <w:tcBorders>
              <w:top w:val="nil"/>
              <w:left w:val="nil"/>
              <w:bottom w:val="nil"/>
              <w:right w:val="nil"/>
            </w:tcBorders>
            <w:shd w:val="clear" w:color="auto" w:fill="auto"/>
            <w:noWrap/>
            <w:vAlign w:val="bottom"/>
            <w:hideMark/>
          </w:tcPr>
          <w:p w14:paraId="57257238"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529BB72B"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3ACECAE2"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2A4A06E9"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74F7E512"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651BC7DE"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75CF71E0"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3250A399"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5AA0FCEC"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34C2AEB2" w14:textId="77777777" w:rsidTr="00E30957">
        <w:trPr>
          <w:trHeight w:val="280"/>
        </w:trPr>
        <w:tc>
          <w:tcPr>
            <w:tcW w:w="1540" w:type="dxa"/>
            <w:tcBorders>
              <w:top w:val="nil"/>
              <w:left w:val="nil"/>
              <w:bottom w:val="nil"/>
              <w:right w:val="nil"/>
            </w:tcBorders>
            <w:shd w:val="clear" w:color="auto" w:fill="auto"/>
            <w:noWrap/>
            <w:vAlign w:val="center"/>
            <w:hideMark/>
          </w:tcPr>
          <w:p w14:paraId="2B25C5DC"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Strike × Week</w:t>
            </w:r>
          </w:p>
        </w:tc>
        <w:tc>
          <w:tcPr>
            <w:tcW w:w="1294" w:type="dxa"/>
            <w:tcBorders>
              <w:top w:val="nil"/>
              <w:left w:val="nil"/>
              <w:bottom w:val="nil"/>
              <w:right w:val="nil"/>
            </w:tcBorders>
            <w:shd w:val="clear" w:color="auto" w:fill="auto"/>
            <w:noWrap/>
            <w:vAlign w:val="bottom"/>
            <w:hideMark/>
          </w:tcPr>
          <w:p w14:paraId="63244FB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-0.047**</w:t>
            </w:r>
          </w:p>
        </w:tc>
        <w:tc>
          <w:tcPr>
            <w:tcW w:w="1294" w:type="dxa"/>
            <w:tcBorders>
              <w:top w:val="nil"/>
              <w:left w:val="nil"/>
              <w:bottom w:val="nil"/>
              <w:right w:val="nil"/>
            </w:tcBorders>
            <w:shd w:val="clear" w:color="auto" w:fill="auto"/>
            <w:noWrap/>
            <w:vAlign w:val="bottom"/>
            <w:hideMark/>
          </w:tcPr>
          <w:p w14:paraId="0313855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-0.083***</w:t>
            </w:r>
          </w:p>
        </w:tc>
        <w:tc>
          <w:tcPr>
            <w:tcW w:w="1354" w:type="dxa"/>
            <w:tcBorders>
              <w:top w:val="nil"/>
              <w:left w:val="nil"/>
              <w:bottom w:val="nil"/>
              <w:right w:val="nil"/>
            </w:tcBorders>
            <w:shd w:val="clear" w:color="auto" w:fill="auto"/>
            <w:noWrap/>
            <w:vAlign w:val="bottom"/>
            <w:hideMark/>
          </w:tcPr>
          <w:p w14:paraId="1EEFFEC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-2.186***</w:t>
            </w:r>
          </w:p>
        </w:tc>
        <w:tc>
          <w:tcPr>
            <w:tcW w:w="1354" w:type="dxa"/>
            <w:tcBorders>
              <w:top w:val="nil"/>
              <w:left w:val="nil"/>
              <w:bottom w:val="nil"/>
              <w:right w:val="nil"/>
            </w:tcBorders>
            <w:shd w:val="clear" w:color="auto" w:fill="auto"/>
            <w:noWrap/>
            <w:vAlign w:val="bottom"/>
            <w:hideMark/>
          </w:tcPr>
          <w:p w14:paraId="780CEDE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-2.451***</w:t>
            </w:r>
          </w:p>
        </w:tc>
        <w:tc>
          <w:tcPr>
            <w:tcW w:w="1354" w:type="dxa"/>
            <w:tcBorders>
              <w:top w:val="nil"/>
              <w:left w:val="nil"/>
              <w:bottom w:val="nil"/>
              <w:right w:val="nil"/>
            </w:tcBorders>
            <w:shd w:val="clear" w:color="auto" w:fill="auto"/>
            <w:noWrap/>
            <w:vAlign w:val="bottom"/>
            <w:hideMark/>
          </w:tcPr>
          <w:p w14:paraId="230FCC2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-1.395*</w:t>
            </w:r>
          </w:p>
        </w:tc>
        <w:tc>
          <w:tcPr>
            <w:tcW w:w="1183" w:type="dxa"/>
            <w:tcBorders>
              <w:top w:val="nil"/>
              <w:left w:val="nil"/>
              <w:bottom w:val="nil"/>
              <w:right w:val="nil"/>
            </w:tcBorders>
            <w:shd w:val="clear" w:color="auto" w:fill="auto"/>
            <w:noWrap/>
            <w:vAlign w:val="bottom"/>
            <w:hideMark/>
          </w:tcPr>
          <w:p w14:paraId="3018AD9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-5.820***</w:t>
            </w:r>
          </w:p>
        </w:tc>
        <w:tc>
          <w:tcPr>
            <w:tcW w:w="1312" w:type="dxa"/>
            <w:tcBorders>
              <w:top w:val="nil"/>
              <w:left w:val="nil"/>
              <w:bottom w:val="nil"/>
              <w:right w:val="nil"/>
            </w:tcBorders>
            <w:shd w:val="clear" w:color="auto" w:fill="auto"/>
            <w:noWrap/>
            <w:vAlign w:val="bottom"/>
            <w:hideMark/>
          </w:tcPr>
          <w:p w14:paraId="3DC8727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-0.005***</w:t>
            </w:r>
          </w:p>
        </w:tc>
        <w:tc>
          <w:tcPr>
            <w:tcW w:w="1177" w:type="dxa"/>
            <w:tcBorders>
              <w:top w:val="nil"/>
              <w:left w:val="nil"/>
              <w:bottom w:val="nil"/>
              <w:right w:val="nil"/>
            </w:tcBorders>
            <w:shd w:val="clear" w:color="auto" w:fill="auto"/>
            <w:noWrap/>
            <w:vAlign w:val="bottom"/>
            <w:hideMark/>
          </w:tcPr>
          <w:p w14:paraId="4DDD102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r>
      <w:tr w:rsidR="002F5D47" w:rsidRPr="007933E2" w14:paraId="4D83C14E" w14:textId="77777777" w:rsidTr="00E30957">
        <w:trPr>
          <w:trHeight w:val="300"/>
        </w:trPr>
        <w:tc>
          <w:tcPr>
            <w:tcW w:w="1540" w:type="dxa"/>
            <w:tcBorders>
              <w:top w:val="nil"/>
              <w:left w:val="nil"/>
              <w:bottom w:val="nil"/>
              <w:right w:val="nil"/>
            </w:tcBorders>
            <w:shd w:val="clear" w:color="auto" w:fill="auto"/>
            <w:noWrap/>
            <w:vAlign w:val="bottom"/>
            <w:hideMark/>
          </w:tcPr>
          <w:p w14:paraId="2BB4B16A"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4E0705A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(0.020)</w:t>
            </w:r>
          </w:p>
        </w:tc>
        <w:tc>
          <w:tcPr>
            <w:tcW w:w="1294" w:type="dxa"/>
            <w:tcBorders>
              <w:top w:val="nil"/>
              <w:left w:val="nil"/>
              <w:bottom w:val="nil"/>
              <w:right w:val="nil"/>
            </w:tcBorders>
            <w:shd w:val="clear" w:color="auto" w:fill="auto"/>
            <w:noWrap/>
            <w:vAlign w:val="bottom"/>
            <w:hideMark/>
          </w:tcPr>
          <w:p w14:paraId="7E71935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(0.025)</w:t>
            </w:r>
          </w:p>
        </w:tc>
        <w:tc>
          <w:tcPr>
            <w:tcW w:w="1354" w:type="dxa"/>
            <w:tcBorders>
              <w:top w:val="nil"/>
              <w:left w:val="nil"/>
              <w:bottom w:val="nil"/>
              <w:right w:val="nil"/>
            </w:tcBorders>
            <w:shd w:val="clear" w:color="auto" w:fill="auto"/>
            <w:noWrap/>
            <w:vAlign w:val="bottom"/>
            <w:hideMark/>
          </w:tcPr>
          <w:p w14:paraId="662E541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(0.526)</w:t>
            </w:r>
          </w:p>
        </w:tc>
        <w:tc>
          <w:tcPr>
            <w:tcW w:w="1354" w:type="dxa"/>
            <w:tcBorders>
              <w:top w:val="nil"/>
              <w:left w:val="nil"/>
              <w:bottom w:val="nil"/>
              <w:right w:val="nil"/>
            </w:tcBorders>
            <w:shd w:val="clear" w:color="auto" w:fill="auto"/>
            <w:noWrap/>
            <w:vAlign w:val="bottom"/>
            <w:hideMark/>
          </w:tcPr>
          <w:p w14:paraId="1A5D986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(0.587)</w:t>
            </w:r>
          </w:p>
        </w:tc>
        <w:tc>
          <w:tcPr>
            <w:tcW w:w="1354" w:type="dxa"/>
            <w:tcBorders>
              <w:top w:val="nil"/>
              <w:left w:val="nil"/>
              <w:bottom w:val="nil"/>
              <w:right w:val="nil"/>
            </w:tcBorders>
            <w:shd w:val="clear" w:color="auto" w:fill="auto"/>
            <w:noWrap/>
            <w:vAlign w:val="bottom"/>
            <w:hideMark/>
          </w:tcPr>
          <w:p w14:paraId="13AC864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(0.730)</w:t>
            </w:r>
          </w:p>
        </w:tc>
        <w:tc>
          <w:tcPr>
            <w:tcW w:w="1183" w:type="dxa"/>
            <w:tcBorders>
              <w:top w:val="nil"/>
              <w:left w:val="nil"/>
              <w:bottom w:val="nil"/>
              <w:right w:val="nil"/>
            </w:tcBorders>
            <w:shd w:val="clear" w:color="auto" w:fill="auto"/>
            <w:noWrap/>
            <w:vAlign w:val="bottom"/>
            <w:hideMark/>
          </w:tcPr>
          <w:p w14:paraId="5CA829F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(1.114)</w:t>
            </w:r>
          </w:p>
        </w:tc>
        <w:tc>
          <w:tcPr>
            <w:tcW w:w="1312" w:type="dxa"/>
            <w:tcBorders>
              <w:top w:val="nil"/>
              <w:left w:val="nil"/>
              <w:bottom w:val="nil"/>
              <w:right w:val="nil"/>
            </w:tcBorders>
            <w:shd w:val="clear" w:color="auto" w:fill="auto"/>
            <w:noWrap/>
            <w:vAlign w:val="bottom"/>
            <w:hideMark/>
          </w:tcPr>
          <w:p w14:paraId="3A5F7A5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177" w:type="dxa"/>
            <w:tcBorders>
              <w:top w:val="nil"/>
              <w:left w:val="nil"/>
              <w:bottom w:val="nil"/>
              <w:right w:val="nil"/>
            </w:tcBorders>
            <w:shd w:val="clear" w:color="auto" w:fill="auto"/>
            <w:noWrap/>
            <w:vAlign w:val="bottom"/>
            <w:hideMark/>
          </w:tcPr>
          <w:p w14:paraId="7BE64F7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r>
      <w:tr w:rsidR="002F5D47" w:rsidRPr="007933E2" w14:paraId="4C3A83DE" w14:textId="77777777" w:rsidTr="00E30957">
        <w:trPr>
          <w:trHeight w:val="300"/>
        </w:trPr>
        <w:tc>
          <w:tcPr>
            <w:tcW w:w="1540" w:type="dxa"/>
            <w:tcBorders>
              <w:top w:val="nil"/>
              <w:left w:val="nil"/>
              <w:bottom w:val="nil"/>
              <w:right w:val="nil"/>
            </w:tcBorders>
            <w:shd w:val="clear" w:color="auto" w:fill="auto"/>
            <w:noWrap/>
            <w:vAlign w:val="bottom"/>
            <w:hideMark/>
          </w:tcPr>
          <w:p w14:paraId="529B99FD"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366F51C8"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67A13B72"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2F7283CB"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5736D47E"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6D82C621"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4CF7D075"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5A04E4B4"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08C6C32E"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6F954664" w14:textId="77777777" w:rsidTr="00E30957">
        <w:trPr>
          <w:trHeight w:val="280"/>
        </w:trPr>
        <w:tc>
          <w:tcPr>
            <w:tcW w:w="1540" w:type="dxa"/>
            <w:tcBorders>
              <w:top w:val="nil"/>
              <w:left w:val="nil"/>
              <w:bottom w:val="nil"/>
              <w:right w:val="nil"/>
            </w:tcBorders>
            <w:shd w:val="clear" w:color="auto" w:fill="auto"/>
            <w:noWrap/>
            <w:vAlign w:val="center"/>
            <w:hideMark/>
          </w:tcPr>
          <w:p w14:paraId="7BE1B269"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Treat × Week</w:t>
            </w:r>
          </w:p>
        </w:tc>
        <w:tc>
          <w:tcPr>
            <w:tcW w:w="1294" w:type="dxa"/>
            <w:tcBorders>
              <w:top w:val="nil"/>
              <w:left w:val="nil"/>
              <w:bottom w:val="nil"/>
              <w:right w:val="nil"/>
            </w:tcBorders>
            <w:shd w:val="clear" w:color="auto" w:fill="auto"/>
            <w:noWrap/>
            <w:vAlign w:val="bottom"/>
            <w:hideMark/>
          </w:tcPr>
          <w:p w14:paraId="1C86736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294" w:type="dxa"/>
            <w:tcBorders>
              <w:top w:val="nil"/>
              <w:left w:val="nil"/>
              <w:bottom w:val="nil"/>
              <w:right w:val="nil"/>
            </w:tcBorders>
            <w:shd w:val="clear" w:color="auto" w:fill="auto"/>
            <w:noWrap/>
            <w:vAlign w:val="bottom"/>
            <w:hideMark/>
          </w:tcPr>
          <w:p w14:paraId="6D055F9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0.009***</w:t>
            </w:r>
          </w:p>
        </w:tc>
        <w:tc>
          <w:tcPr>
            <w:tcW w:w="1354" w:type="dxa"/>
            <w:tcBorders>
              <w:top w:val="nil"/>
              <w:left w:val="nil"/>
              <w:bottom w:val="nil"/>
              <w:right w:val="nil"/>
            </w:tcBorders>
            <w:shd w:val="clear" w:color="auto" w:fill="auto"/>
            <w:noWrap/>
            <w:vAlign w:val="bottom"/>
            <w:hideMark/>
          </w:tcPr>
          <w:p w14:paraId="0230769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0.014</w:t>
            </w:r>
          </w:p>
        </w:tc>
        <w:tc>
          <w:tcPr>
            <w:tcW w:w="1354" w:type="dxa"/>
            <w:tcBorders>
              <w:top w:val="nil"/>
              <w:left w:val="nil"/>
              <w:bottom w:val="nil"/>
              <w:right w:val="nil"/>
            </w:tcBorders>
            <w:shd w:val="clear" w:color="auto" w:fill="auto"/>
            <w:noWrap/>
            <w:vAlign w:val="bottom"/>
            <w:hideMark/>
          </w:tcPr>
          <w:p w14:paraId="1842B08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-0.220***</w:t>
            </w:r>
          </w:p>
        </w:tc>
        <w:tc>
          <w:tcPr>
            <w:tcW w:w="1354" w:type="dxa"/>
            <w:tcBorders>
              <w:top w:val="nil"/>
              <w:left w:val="nil"/>
              <w:bottom w:val="nil"/>
              <w:right w:val="nil"/>
            </w:tcBorders>
            <w:shd w:val="clear" w:color="auto" w:fill="auto"/>
            <w:noWrap/>
            <w:vAlign w:val="bottom"/>
            <w:hideMark/>
          </w:tcPr>
          <w:p w14:paraId="517A5EC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0.556***</w:t>
            </w:r>
          </w:p>
        </w:tc>
        <w:tc>
          <w:tcPr>
            <w:tcW w:w="1183" w:type="dxa"/>
            <w:tcBorders>
              <w:top w:val="nil"/>
              <w:left w:val="nil"/>
              <w:bottom w:val="nil"/>
              <w:right w:val="nil"/>
            </w:tcBorders>
            <w:shd w:val="clear" w:color="auto" w:fill="auto"/>
            <w:noWrap/>
            <w:vAlign w:val="bottom"/>
            <w:hideMark/>
          </w:tcPr>
          <w:p w14:paraId="5E92797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-0.165***</w:t>
            </w:r>
          </w:p>
        </w:tc>
        <w:tc>
          <w:tcPr>
            <w:tcW w:w="1312" w:type="dxa"/>
            <w:tcBorders>
              <w:top w:val="nil"/>
              <w:left w:val="nil"/>
              <w:bottom w:val="nil"/>
              <w:right w:val="nil"/>
            </w:tcBorders>
            <w:shd w:val="clear" w:color="auto" w:fill="auto"/>
            <w:noWrap/>
            <w:vAlign w:val="bottom"/>
            <w:hideMark/>
          </w:tcPr>
          <w:p w14:paraId="344BAD0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c>
          <w:tcPr>
            <w:tcW w:w="1177" w:type="dxa"/>
            <w:tcBorders>
              <w:top w:val="nil"/>
              <w:left w:val="nil"/>
              <w:bottom w:val="nil"/>
              <w:right w:val="nil"/>
            </w:tcBorders>
            <w:shd w:val="clear" w:color="auto" w:fill="auto"/>
            <w:noWrap/>
            <w:vAlign w:val="bottom"/>
            <w:hideMark/>
          </w:tcPr>
          <w:p w14:paraId="56394EE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r>
      <w:tr w:rsidR="002F5D47" w:rsidRPr="007933E2" w14:paraId="421B792A" w14:textId="77777777" w:rsidTr="00E30957">
        <w:trPr>
          <w:trHeight w:val="300"/>
        </w:trPr>
        <w:tc>
          <w:tcPr>
            <w:tcW w:w="1540" w:type="dxa"/>
            <w:tcBorders>
              <w:top w:val="nil"/>
              <w:left w:val="nil"/>
              <w:bottom w:val="nil"/>
              <w:right w:val="nil"/>
            </w:tcBorders>
            <w:shd w:val="clear" w:color="auto" w:fill="auto"/>
            <w:noWrap/>
            <w:vAlign w:val="bottom"/>
            <w:hideMark/>
          </w:tcPr>
          <w:p w14:paraId="4CBA4CEF"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2226482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(0.003)</w:t>
            </w:r>
          </w:p>
        </w:tc>
        <w:tc>
          <w:tcPr>
            <w:tcW w:w="1294" w:type="dxa"/>
            <w:tcBorders>
              <w:top w:val="nil"/>
              <w:left w:val="nil"/>
              <w:bottom w:val="nil"/>
              <w:right w:val="nil"/>
            </w:tcBorders>
            <w:shd w:val="clear" w:color="auto" w:fill="auto"/>
            <w:noWrap/>
            <w:vAlign w:val="bottom"/>
            <w:hideMark/>
          </w:tcPr>
          <w:p w14:paraId="31AB36D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354" w:type="dxa"/>
            <w:tcBorders>
              <w:top w:val="nil"/>
              <w:left w:val="nil"/>
              <w:bottom w:val="nil"/>
              <w:right w:val="nil"/>
            </w:tcBorders>
            <w:shd w:val="clear" w:color="auto" w:fill="auto"/>
            <w:noWrap/>
            <w:vAlign w:val="bottom"/>
            <w:hideMark/>
          </w:tcPr>
          <w:p w14:paraId="1063D02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(0.058)</w:t>
            </w:r>
          </w:p>
        </w:tc>
        <w:tc>
          <w:tcPr>
            <w:tcW w:w="1354" w:type="dxa"/>
            <w:tcBorders>
              <w:top w:val="nil"/>
              <w:left w:val="nil"/>
              <w:bottom w:val="nil"/>
              <w:right w:val="nil"/>
            </w:tcBorders>
            <w:shd w:val="clear" w:color="auto" w:fill="auto"/>
            <w:noWrap/>
            <w:vAlign w:val="bottom"/>
            <w:hideMark/>
          </w:tcPr>
          <w:p w14:paraId="6035B0F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(0.013)</w:t>
            </w:r>
          </w:p>
        </w:tc>
        <w:tc>
          <w:tcPr>
            <w:tcW w:w="1354" w:type="dxa"/>
            <w:tcBorders>
              <w:top w:val="nil"/>
              <w:left w:val="nil"/>
              <w:bottom w:val="nil"/>
              <w:right w:val="nil"/>
            </w:tcBorders>
            <w:shd w:val="clear" w:color="auto" w:fill="auto"/>
            <w:noWrap/>
            <w:vAlign w:val="bottom"/>
            <w:hideMark/>
          </w:tcPr>
          <w:p w14:paraId="06D338D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(0.186)</w:t>
            </w:r>
          </w:p>
        </w:tc>
        <w:tc>
          <w:tcPr>
            <w:tcW w:w="1183" w:type="dxa"/>
            <w:tcBorders>
              <w:top w:val="nil"/>
              <w:left w:val="nil"/>
              <w:bottom w:val="nil"/>
              <w:right w:val="nil"/>
            </w:tcBorders>
            <w:shd w:val="clear" w:color="auto" w:fill="auto"/>
            <w:noWrap/>
            <w:vAlign w:val="bottom"/>
            <w:hideMark/>
          </w:tcPr>
          <w:p w14:paraId="7039728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(0.054)</w:t>
            </w:r>
          </w:p>
        </w:tc>
        <w:tc>
          <w:tcPr>
            <w:tcW w:w="1312" w:type="dxa"/>
            <w:tcBorders>
              <w:top w:val="nil"/>
              <w:left w:val="nil"/>
              <w:bottom w:val="nil"/>
              <w:right w:val="nil"/>
            </w:tcBorders>
            <w:shd w:val="clear" w:color="auto" w:fill="auto"/>
            <w:noWrap/>
            <w:vAlign w:val="bottom"/>
            <w:hideMark/>
          </w:tcPr>
          <w:p w14:paraId="66EB11E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c>
          <w:tcPr>
            <w:tcW w:w="1177" w:type="dxa"/>
            <w:tcBorders>
              <w:top w:val="nil"/>
              <w:left w:val="nil"/>
              <w:bottom w:val="nil"/>
              <w:right w:val="nil"/>
            </w:tcBorders>
            <w:shd w:val="clear" w:color="auto" w:fill="auto"/>
            <w:noWrap/>
            <w:vAlign w:val="bottom"/>
            <w:hideMark/>
          </w:tcPr>
          <w:p w14:paraId="631BF1E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(0.000)</w:t>
            </w:r>
          </w:p>
        </w:tc>
      </w:tr>
      <w:tr w:rsidR="002F5D47" w:rsidRPr="007933E2" w14:paraId="4D28AA0A" w14:textId="77777777" w:rsidTr="00E30957">
        <w:trPr>
          <w:trHeight w:val="300"/>
        </w:trPr>
        <w:tc>
          <w:tcPr>
            <w:tcW w:w="1540" w:type="dxa"/>
            <w:tcBorders>
              <w:top w:val="nil"/>
              <w:left w:val="nil"/>
              <w:bottom w:val="nil"/>
              <w:right w:val="nil"/>
            </w:tcBorders>
            <w:shd w:val="clear" w:color="auto" w:fill="auto"/>
            <w:noWrap/>
            <w:vAlign w:val="bottom"/>
            <w:hideMark/>
          </w:tcPr>
          <w:p w14:paraId="33042915"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41A8E8E4"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07FB39A4"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4BDEEEA4"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4275EDE8"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4134BF70"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1FA10395"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7F132113"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1BE8CDB7"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42F0EF5F" w14:textId="77777777" w:rsidTr="00E30957">
        <w:trPr>
          <w:trHeight w:val="280"/>
        </w:trPr>
        <w:tc>
          <w:tcPr>
            <w:tcW w:w="1540" w:type="dxa"/>
            <w:tcBorders>
              <w:top w:val="nil"/>
              <w:left w:val="nil"/>
              <w:bottom w:val="nil"/>
              <w:right w:val="nil"/>
            </w:tcBorders>
            <w:shd w:val="clear" w:color="auto" w:fill="auto"/>
            <w:noWrap/>
            <w:vAlign w:val="center"/>
            <w:hideMark/>
          </w:tcPr>
          <w:p w14:paraId="2C102331"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Strike × Treat</w:t>
            </w:r>
          </w:p>
        </w:tc>
        <w:tc>
          <w:tcPr>
            <w:tcW w:w="1294" w:type="dxa"/>
            <w:tcBorders>
              <w:top w:val="nil"/>
              <w:left w:val="nil"/>
              <w:bottom w:val="nil"/>
              <w:right w:val="nil"/>
            </w:tcBorders>
            <w:shd w:val="clear" w:color="auto" w:fill="auto"/>
            <w:noWrap/>
            <w:vAlign w:val="bottom"/>
            <w:hideMark/>
          </w:tcPr>
          <w:p w14:paraId="0222D55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-0.037</w:t>
            </w:r>
          </w:p>
        </w:tc>
        <w:tc>
          <w:tcPr>
            <w:tcW w:w="1294" w:type="dxa"/>
            <w:tcBorders>
              <w:top w:val="nil"/>
              <w:left w:val="nil"/>
              <w:bottom w:val="nil"/>
              <w:right w:val="nil"/>
            </w:tcBorders>
            <w:shd w:val="clear" w:color="auto" w:fill="auto"/>
            <w:noWrap/>
            <w:vAlign w:val="bottom"/>
            <w:hideMark/>
          </w:tcPr>
          <w:p w14:paraId="0D5E0E9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-0.027</w:t>
            </w:r>
          </w:p>
        </w:tc>
        <w:tc>
          <w:tcPr>
            <w:tcW w:w="1354" w:type="dxa"/>
            <w:tcBorders>
              <w:top w:val="nil"/>
              <w:left w:val="nil"/>
              <w:bottom w:val="nil"/>
              <w:right w:val="nil"/>
            </w:tcBorders>
            <w:shd w:val="clear" w:color="auto" w:fill="auto"/>
            <w:noWrap/>
            <w:vAlign w:val="bottom"/>
            <w:hideMark/>
          </w:tcPr>
          <w:p w14:paraId="6C6391D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-3.303***</w:t>
            </w:r>
          </w:p>
        </w:tc>
        <w:tc>
          <w:tcPr>
            <w:tcW w:w="1354" w:type="dxa"/>
            <w:tcBorders>
              <w:top w:val="nil"/>
              <w:left w:val="nil"/>
              <w:bottom w:val="nil"/>
              <w:right w:val="nil"/>
            </w:tcBorders>
            <w:shd w:val="clear" w:color="auto" w:fill="auto"/>
            <w:noWrap/>
            <w:vAlign w:val="bottom"/>
            <w:hideMark/>
          </w:tcPr>
          <w:p w14:paraId="42DF297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-3.193***</w:t>
            </w:r>
          </w:p>
        </w:tc>
        <w:tc>
          <w:tcPr>
            <w:tcW w:w="1354" w:type="dxa"/>
            <w:tcBorders>
              <w:top w:val="nil"/>
              <w:left w:val="nil"/>
              <w:bottom w:val="nil"/>
              <w:right w:val="nil"/>
            </w:tcBorders>
            <w:shd w:val="clear" w:color="auto" w:fill="auto"/>
            <w:noWrap/>
            <w:vAlign w:val="bottom"/>
            <w:hideMark/>
          </w:tcPr>
          <w:p w14:paraId="0647A3C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-5.484***</w:t>
            </w:r>
          </w:p>
        </w:tc>
        <w:tc>
          <w:tcPr>
            <w:tcW w:w="1183" w:type="dxa"/>
            <w:tcBorders>
              <w:top w:val="nil"/>
              <w:left w:val="nil"/>
              <w:bottom w:val="nil"/>
              <w:right w:val="nil"/>
            </w:tcBorders>
            <w:shd w:val="clear" w:color="auto" w:fill="auto"/>
            <w:noWrap/>
            <w:vAlign w:val="bottom"/>
            <w:hideMark/>
          </w:tcPr>
          <w:p w14:paraId="0562334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-5.004***</w:t>
            </w:r>
          </w:p>
        </w:tc>
        <w:tc>
          <w:tcPr>
            <w:tcW w:w="1312" w:type="dxa"/>
            <w:tcBorders>
              <w:top w:val="nil"/>
              <w:left w:val="nil"/>
              <w:bottom w:val="nil"/>
              <w:right w:val="nil"/>
            </w:tcBorders>
            <w:shd w:val="clear" w:color="auto" w:fill="auto"/>
            <w:noWrap/>
            <w:vAlign w:val="bottom"/>
            <w:hideMark/>
          </w:tcPr>
          <w:p w14:paraId="2355F08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0.003***</w:t>
            </w:r>
          </w:p>
        </w:tc>
        <w:tc>
          <w:tcPr>
            <w:tcW w:w="1177" w:type="dxa"/>
            <w:tcBorders>
              <w:top w:val="nil"/>
              <w:left w:val="nil"/>
              <w:bottom w:val="nil"/>
              <w:right w:val="nil"/>
            </w:tcBorders>
            <w:shd w:val="clear" w:color="auto" w:fill="auto"/>
            <w:noWrap/>
            <w:vAlign w:val="bottom"/>
            <w:hideMark/>
          </w:tcPr>
          <w:p w14:paraId="32FA2F2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0.002***</w:t>
            </w:r>
          </w:p>
        </w:tc>
      </w:tr>
      <w:tr w:rsidR="002F5D47" w:rsidRPr="007933E2" w14:paraId="02712F36" w14:textId="77777777" w:rsidTr="00E30957">
        <w:trPr>
          <w:trHeight w:val="280"/>
        </w:trPr>
        <w:tc>
          <w:tcPr>
            <w:tcW w:w="1540" w:type="dxa"/>
            <w:tcBorders>
              <w:top w:val="nil"/>
              <w:left w:val="nil"/>
              <w:bottom w:val="nil"/>
              <w:right w:val="nil"/>
            </w:tcBorders>
            <w:shd w:val="clear" w:color="auto" w:fill="auto"/>
            <w:noWrap/>
            <w:vAlign w:val="bottom"/>
            <w:hideMark/>
          </w:tcPr>
          <w:p w14:paraId="301BEC6D"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 Week</w:t>
            </w:r>
          </w:p>
        </w:tc>
        <w:tc>
          <w:tcPr>
            <w:tcW w:w="1294" w:type="dxa"/>
            <w:tcBorders>
              <w:top w:val="nil"/>
              <w:left w:val="nil"/>
              <w:bottom w:val="nil"/>
              <w:right w:val="nil"/>
            </w:tcBorders>
            <w:shd w:val="clear" w:color="auto" w:fill="auto"/>
            <w:noWrap/>
            <w:vAlign w:val="bottom"/>
            <w:hideMark/>
          </w:tcPr>
          <w:p w14:paraId="3A49CE1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(0.030)</w:t>
            </w:r>
          </w:p>
        </w:tc>
        <w:tc>
          <w:tcPr>
            <w:tcW w:w="1294" w:type="dxa"/>
            <w:tcBorders>
              <w:top w:val="nil"/>
              <w:left w:val="nil"/>
              <w:bottom w:val="nil"/>
              <w:right w:val="nil"/>
            </w:tcBorders>
            <w:shd w:val="clear" w:color="auto" w:fill="auto"/>
            <w:noWrap/>
            <w:vAlign w:val="bottom"/>
            <w:hideMark/>
          </w:tcPr>
          <w:p w14:paraId="3C732C0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(0.029)</w:t>
            </w:r>
          </w:p>
        </w:tc>
        <w:tc>
          <w:tcPr>
            <w:tcW w:w="1354" w:type="dxa"/>
            <w:tcBorders>
              <w:top w:val="nil"/>
              <w:left w:val="nil"/>
              <w:bottom w:val="nil"/>
              <w:right w:val="nil"/>
            </w:tcBorders>
            <w:shd w:val="clear" w:color="auto" w:fill="auto"/>
            <w:noWrap/>
            <w:vAlign w:val="bottom"/>
            <w:hideMark/>
          </w:tcPr>
          <w:p w14:paraId="296DF2A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(0.917)</w:t>
            </w:r>
          </w:p>
        </w:tc>
        <w:tc>
          <w:tcPr>
            <w:tcW w:w="1354" w:type="dxa"/>
            <w:tcBorders>
              <w:top w:val="nil"/>
              <w:left w:val="nil"/>
              <w:bottom w:val="nil"/>
              <w:right w:val="nil"/>
            </w:tcBorders>
            <w:shd w:val="clear" w:color="auto" w:fill="auto"/>
            <w:noWrap/>
            <w:vAlign w:val="bottom"/>
            <w:hideMark/>
          </w:tcPr>
          <w:p w14:paraId="7A03854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(0.925)</w:t>
            </w:r>
          </w:p>
        </w:tc>
        <w:tc>
          <w:tcPr>
            <w:tcW w:w="1354" w:type="dxa"/>
            <w:tcBorders>
              <w:top w:val="nil"/>
              <w:left w:val="nil"/>
              <w:bottom w:val="nil"/>
              <w:right w:val="nil"/>
            </w:tcBorders>
            <w:shd w:val="clear" w:color="auto" w:fill="auto"/>
            <w:noWrap/>
            <w:vAlign w:val="bottom"/>
            <w:hideMark/>
          </w:tcPr>
          <w:p w14:paraId="741DCC7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(1.547)</w:t>
            </w:r>
          </w:p>
        </w:tc>
        <w:tc>
          <w:tcPr>
            <w:tcW w:w="1183" w:type="dxa"/>
            <w:tcBorders>
              <w:top w:val="nil"/>
              <w:left w:val="nil"/>
              <w:bottom w:val="nil"/>
              <w:right w:val="nil"/>
            </w:tcBorders>
            <w:shd w:val="clear" w:color="auto" w:fill="auto"/>
            <w:noWrap/>
            <w:vAlign w:val="bottom"/>
            <w:hideMark/>
          </w:tcPr>
          <w:p w14:paraId="363AB87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(1.544)</w:t>
            </w:r>
          </w:p>
        </w:tc>
        <w:tc>
          <w:tcPr>
            <w:tcW w:w="1312" w:type="dxa"/>
            <w:tcBorders>
              <w:top w:val="nil"/>
              <w:left w:val="nil"/>
              <w:bottom w:val="nil"/>
              <w:right w:val="nil"/>
            </w:tcBorders>
            <w:shd w:val="clear" w:color="auto" w:fill="auto"/>
            <w:noWrap/>
            <w:vAlign w:val="bottom"/>
            <w:hideMark/>
          </w:tcPr>
          <w:p w14:paraId="05C2A99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177" w:type="dxa"/>
            <w:tcBorders>
              <w:top w:val="nil"/>
              <w:left w:val="nil"/>
              <w:bottom w:val="nil"/>
              <w:right w:val="nil"/>
            </w:tcBorders>
            <w:shd w:val="clear" w:color="auto" w:fill="auto"/>
            <w:noWrap/>
            <w:vAlign w:val="bottom"/>
            <w:hideMark/>
          </w:tcPr>
          <w:p w14:paraId="17F08D8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r>
      <w:tr w:rsidR="002F5D47" w:rsidRPr="007933E2" w14:paraId="56A7BFCB" w14:textId="77777777" w:rsidTr="00E30957">
        <w:trPr>
          <w:trHeight w:val="300"/>
        </w:trPr>
        <w:tc>
          <w:tcPr>
            <w:tcW w:w="1540" w:type="dxa"/>
            <w:tcBorders>
              <w:top w:val="nil"/>
              <w:left w:val="nil"/>
              <w:bottom w:val="nil"/>
              <w:right w:val="nil"/>
            </w:tcBorders>
            <w:shd w:val="clear" w:color="auto" w:fill="auto"/>
            <w:noWrap/>
            <w:vAlign w:val="bottom"/>
            <w:hideMark/>
          </w:tcPr>
          <w:p w14:paraId="4B2CD793"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1256FBA6"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2E00C03C"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6DDB88B9"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1A1913A0"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4F12A2B0"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18F8114E"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7FBCAF3B"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049B58BB"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2BBC2802" w14:textId="77777777" w:rsidTr="00E30957">
        <w:trPr>
          <w:trHeight w:val="280"/>
        </w:trPr>
        <w:tc>
          <w:tcPr>
            <w:tcW w:w="1540" w:type="dxa"/>
            <w:tcBorders>
              <w:top w:val="nil"/>
              <w:left w:val="nil"/>
              <w:bottom w:val="nil"/>
              <w:right w:val="nil"/>
            </w:tcBorders>
            <w:shd w:val="clear" w:color="auto" w:fill="auto"/>
            <w:noWrap/>
            <w:vAlign w:val="center"/>
            <w:hideMark/>
          </w:tcPr>
          <w:p w14:paraId="7C75C1FC"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Wind Speed</w:t>
            </w:r>
          </w:p>
        </w:tc>
        <w:tc>
          <w:tcPr>
            <w:tcW w:w="1294" w:type="dxa"/>
            <w:tcBorders>
              <w:top w:val="nil"/>
              <w:left w:val="nil"/>
              <w:bottom w:val="nil"/>
              <w:right w:val="nil"/>
            </w:tcBorders>
            <w:shd w:val="clear" w:color="auto" w:fill="auto"/>
            <w:noWrap/>
            <w:vAlign w:val="bottom"/>
            <w:hideMark/>
          </w:tcPr>
          <w:p w14:paraId="4C9FC85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-0.151***</w:t>
            </w:r>
          </w:p>
        </w:tc>
        <w:tc>
          <w:tcPr>
            <w:tcW w:w="1294" w:type="dxa"/>
            <w:tcBorders>
              <w:top w:val="nil"/>
              <w:left w:val="nil"/>
              <w:bottom w:val="nil"/>
              <w:right w:val="nil"/>
            </w:tcBorders>
            <w:shd w:val="clear" w:color="auto" w:fill="auto"/>
            <w:noWrap/>
            <w:vAlign w:val="bottom"/>
            <w:hideMark/>
          </w:tcPr>
          <w:p w14:paraId="28D4E1A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-0.074**</w:t>
            </w:r>
          </w:p>
        </w:tc>
        <w:tc>
          <w:tcPr>
            <w:tcW w:w="1354" w:type="dxa"/>
            <w:tcBorders>
              <w:top w:val="nil"/>
              <w:left w:val="nil"/>
              <w:bottom w:val="nil"/>
              <w:right w:val="nil"/>
            </w:tcBorders>
            <w:shd w:val="clear" w:color="auto" w:fill="auto"/>
            <w:noWrap/>
            <w:vAlign w:val="bottom"/>
            <w:hideMark/>
          </w:tcPr>
          <w:p w14:paraId="09E1CB2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-1.997**</w:t>
            </w:r>
          </w:p>
        </w:tc>
        <w:tc>
          <w:tcPr>
            <w:tcW w:w="1354" w:type="dxa"/>
            <w:tcBorders>
              <w:top w:val="nil"/>
              <w:left w:val="nil"/>
              <w:bottom w:val="nil"/>
              <w:right w:val="nil"/>
            </w:tcBorders>
            <w:shd w:val="clear" w:color="auto" w:fill="auto"/>
            <w:noWrap/>
            <w:vAlign w:val="bottom"/>
            <w:hideMark/>
          </w:tcPr>
          <w:p w14:paraId="363AE72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-1.036*</w:t>
            </w:r>
          </w:p>
        </w:tc>
        <w:tc>
          <w:tcPr>
            <w:tcW w:w="1354" w:type="dxa"/>
            <w:tcBorders>
              <w:top w:val="nil"/>
              <w:left w:val="nil"/>
              <w:bottom w:val="nil"/>
              <w:right w:val="nil"/>
            </w:tcBorders>
            <w:shd w:val="clear" w:color="auto" w:fill="auto"/>
            <w:noWrap/>
            <w:vAlign w:val="bottom"/>
            <w:hideMark/>
          </w:tcPr>
          <w:p w14:paraId="0CC2195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-7.458**</w:t>
            </w:r>
          </w:p>
        </w:tc>
        <w:tc>
          <w:tcPr>
            <w:tcW w:w="1183" w:type="dxa"/>
            <w:tcBorders>
              <w:top w:val="nil"/>
              <w:left w:val="nil"/>
              <w:bottom w:val="nil"/>
              <w:right w:val="nil"/>
            </w:tcBorders>
            <w:shd w:val="clear" w:color="auto" w:fill="auto"/>
            <w:noWrap/>
            <w:vAlign w:val="bottom"/>
            <w:hideMark/>
          </w:tcPr>
          <w:p w14:paraId="0D53AAA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-3.270</w:t>
            </w:r>
          </w:p>
        </w:tc>
        <w:tc>
          <w:tcPr>
            <w:tcW w:w="1312" w:type="dxa"/>
            <w:tcBorders>
              <w:top w:val="nil"/>
              <w:left w:val="nil"/>
              <w:bottom w:val="nil"/>
              <w:right w:val="nil"/>
            </w:tcBorders>
            <w:shd w:val="clear" w:color="auto" w:fill="auto"/>
            <w:noWrap/>
            <w:vAlign w:val="bottom"/>
            <w:hideMark/>
          </w:tcPr>
          <w:p w14:paraId="5DC58B8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0.003***</w:t>
            </w:r>
          </w:p>
        </w:tc>
        <w:tc>
          <w:tcPr>
            <w:tcW w:w="1177" w:type="dxa"/>
            <w:tcBorders>
              <w:top w:val="nil"/>
              <w:left w:val="nil"/>
              <w:bottom w:val="nil"/>
              <w:right w:val="nil"/>
            </w:tcBorders>
            <w:shd w:val="clear" w:color="auto" w:fill="auto"/>
            <w:noWrap/>
            <w:vAlign w:val="bottom"/>
            <w:hideMark/>
          </w:tcPr>
          <w:p w14:paraId="7E87686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r>
      <w:tr w:rsidR="002F5D47" w:rsidRPr="007933E2" w14:paraId="11F4108A" w14:textId="77777777" w:rsidTr="00E30957">
        <w:trPr>
          <w:trHeight w:val="300"/>
        </w:trPr>
        <w:tc>
          <w:tcPr>
            <w:tcW w:w="1540" w:type="dxa"/>
            <w:tcBorders>
              <w:top w:val="nil"/>
              <w:left w:val="nil"/>
              <w:bottom w:val="nil"/>
              <w:right w:val="nil"/>
            </w:tcBorders>
            <w:shd w:val="clear" w:color="auto" w:fill="auto"/>
            <w:noWrap/>
            <w:vAlign w:val="bottom"/>
            <w:hideMark/>
          </w:tcPr>
          <w:p w14:paraId="6C579563"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770AEDC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(0.041)</w:t>
            </w:r>
          </w:p>
        </w:tc>
        <w:tc>
          <w:tcPr>
            <w:tcW w:w="1294" w:type="dxa"/>
            <w:tcBorders>
              <w:top w:val="nil"/>
              <w:left w:val="nil"/>
              <w:bottom w:val="nil"/>
              <w:right w:val="nil"/>
            </w:tcBorders>
            <w:shd w:val="clear" w:color="auto" w:fill="auto"/>
            <w:noWrap/>
            <w:vAlign w:val="bottom"/>
            <w:hideMark/>
          </w:tcPr>
          <w:p w14:paraId="7951AE9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(0.029)</w:t>
            </w:r>
          </w:p>
        </w:tc>
        <w:tc>
          <w:tcPr>
            <w:tcW w:w="1354" w:type="dxa"/>
            <w:tcBorders>
              <w:top w:val="nil"/>
              <w:left w:val="nil"/>
              <w:bottom w:val="nil"/>
              <w:right w:val="nil"/>
            </w:tcBorders>
            <w:shd w:val="clear" w:color="auto" w:fill="auto"/>
            <w:noWrap/>
            <w:vAlign w:val="bottom"/>
            <w:hideMark/>
          </w:tcPr>
          <w:p w14:paraId="4DA4681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(0.775)</w:t>
            </w:r>
          </w:p>
        </w:tc>
        <w:tc>
          <w:tcPr>
            <w:tcW w:w="1354" w:type="dxa"/>
            <w:tcBorders>
              <w:top w:val="nil"/>
              <w:left w:val="nil"/>
              <w:bottom w:val="nil"/>
              <w:right w:val="nil"/>
            </w:tcBorders>
            <w:shd w:val="clear" w:color="auto" w:fill="auto"/>
            <w:noWrap/>
            <w:vAlign w:val="bottom"/>
            <w:hideMark/>
          </w:tcPr>
          <w:p w14:paraId="373B31D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(0.557)</w:t>
            </w:r>
          </w:p>
        </w:tc>
        <w:tc>
          <w:tcPr>
            <w:tcW w:w="1354" w:type="dxa"/>
            <w:tcBorders>
              <w:top w:val="nil"/>
              <w:left w:val="nil"/>
              <w:bottom w:val="nil"/>
              <w:right w:val="nil"/>
            </w:tcBorders>
            <w:shd w:val="clear" w:color="auto" w:fill="auto"/>
            <w:noWrap/>
            <w:vAlign w:val="bottom"/>
            <w:hideMark/>
          </w:tcPr>
          <w:p w14:paraId="74F326D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(3.265)</w:t>
            </w:r>
          </w:p>
        </w:tc>
        <w:tc>
          <w:tcPr>
            <w:tcW w:w="1183" w:type="dxa"/>
            <w:tcBorders>
              <w:top w:val="nil"/>
              <w:left w:val="nil"/>
              <w:bottom w:val="nil"/>
              <w:right w:val="nil"/>
            </w:tcBorders>
            <w:shd w:val="clear" w:color="auto" w:fill="auto"/>
            <w:noWrap/>
            <w:vAlign w:val="bottom"/>
            <w:hideMark/>
          </w:tcPr>
          <w:p w14:paraId="2F26195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(2.243)</w:t>
            </w:r>
          </w:p>
        </w:tc>
        <w:tc>
          <w:tcPr>
            <w:tcW w:w="1312" w:type="dxa"/>
            <w:tcBorders>
              <w:top w:val="nil"/>
              <w:left w:val="nil"/>
              <w:bottom w:val="nil"/>
              <w:right w:val="nil"/>
            </w:tcBorders>
            <w:shd w:val="clear" w:color="auto" w:fill="auto"/>
            <w:noWrap/>
            <w:vAlign w:val="bottom"/>
            <w:hideMark/>
          </w:tcPr>
          <w:p w14:paraId="63A6F59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c>
          <w:tcPr>
            <w:tcW w:w="1177" w:type="dxa"/>
            <w:tcBorders>
              <w:top w:val="nil"/>
              <w:left w:val="nil"/>
              <w:bottom w:val="nil"/>
              <w:right w:val="nil"/>
            </w:tcBorders>
            <w:shd w:val="clear" w:color="auto" w:fill="auto"/>
            <w:noWrap/>
            <w:vAlign w:val="bottom"/>
            <w:hideMark/>
          </w:tcPr>
          <w:p w14:paraId="1728C40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(0.001)</w:t>
            </w:r>
          </w:p>
        </w:tc>
      </w:tr>
      <w:tr w:rsidR="002F5D47" w:rsidRPr="007933E2" w14:paraId="4EC0913E" w14:textId="77777777" w:rsidTr="00E30957">
        <w:trPr>
          <w:trHeight w:val="300"/>
        </w:trPr>
        <w:tc>
          <w:tcPr>
            <w:tcW w:w="1540" w:type="dxa"/>
            <w:tcBorders>
              <w:top w:val="nil"/>
              <w:left w:val="nil"/>
              <w:bottom w:val="nil"/>
              <w:right w:val="nil"/>
            </w:tcBorders>
            <w:shd w:val="clear" w:color="auto" w:fill="auto"/>
            <w:noWrap/>
            <w:vAlign w:val="bottom"/>
            <w:hideMark/>
          </w:tcPr>
          <w:p w14:paraId="5B2B3E1F" w14:textId="77777777" w:rsidR="002F5D47" w:rsidRPr="007933E2" w:rsidRDefault="002F5D47" w:rsidP="00C04359">
            <w:pPr>
              <w:rPr>
                <w:rFonts w:eastAsia="Times New Roman" w:cs="Times New Roman"/>
                <w:color w:val="000000"/>
              </w:rPr>
            </w:pPr>
          </w:p>
        </w:tc>
        <w:tc>
          <w:tcPr>
            <w:tcW w:w="1294" w:type="dxa"/>
            <w:tcBorders>
              <w:top w:val="nil"/>
              <w:left w:val="nil"/>
              <w:bottom w:val="nil"/>
              <w:right w:val="nil"/>
            </w:tcBorders>
            <w:shd w:val="clear" w:color="auto" w:fill="auto"/>
            <w:noWrap/>
            <w:vAlign w:val="bottom"/>
            <w:hideMark/>
          </w:tcPr>
          <w:p w14:paraId="24FB09C0"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bottom"/>
            <w:hideMark/>
          </w:tcPr>
          <w:p w14:paraId="4DB1C019"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37236583"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63FA11AD"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bottom"/>
            <w:hideMark/>
          </w:tcPr>
          <w:p w14:paraId="0B8517CE"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bottom"/>
            <w:hideMark/>
          </w:tcPr>
          <w:p w14:paraId="0BEEFA47"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6A04315C"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bottom"/>
            <w:hideMark/>
          </w:tcPr>
          <w:p w14:paraId="3DE67FC6" w14:textId="77777777" w:rsidR="002F5D47" w:rsidRPr="007933E2" w:rsidRDefault="002F5D47" w:rsidP="00C04359">
            <w:pPr>
              <w:jc w:val="center"/>
              <w:rPr>
                <w:rFonts w:ascii="Calibri" w:eastAsia="Times New Roman" w:hAnsi="Calibri" w:cs="Times New Roman"/>
                <w:color w:val="000000"/>
                <w:sz w:val="22"/>
                <w:szCs w:val="22"/>
              </w:rPr>
            </w:pPr>
          </w:p>
        </w:tc>
      </w:tr>
      <w:tr w:rsidR="008478E8" w:rsidRPr="007933E2" w14:paraId="16974BF4" w14:textId="77777777" w:rsidTr="00E30957">
        <w:trPr>
          <w:trHeight w:val="80"/>
        </w:trPr>
        <w:tc>
          <w:tcPr>
            <w:tcW w:w="1540" w:type="dxa"/>
            <w:tcBorders>
              <w:top w:val="nil"/>
              <w:left w:val="nil"/>
              <w:bottom w:val="nil"/>
              <w:right w:val="nil"/>
            </w:tcBorders>
            <w:shd w:val="clear" w:color="auto" w:fill="auto"/>
            <w:noWrap/>
            <w:vAlign w:val="center"/>
          </w:tcPr>
          <w:p w14:paraId="442C6582" w14:textId="624DCA60" w:rsidR="008478E8" w:rsidRPr="008478E8" w:rsidRDefault="009A4F89" w:rsidP="008478E8">
            <w:pPr>
              <w:rPr>
                <w:rFonts w:eastAsia="Times New Roman" w:cs="Times New Roman"/>
                <w:i/>
                <w:color w:val="000000"/>
                <w:sz w:val="22"/>
                <w:szCs w:val="22"/>
              </w:rPr>
            </w:pPr>
            <w:r w:rsidRPr="008478E8">
              <w:rPr>
                <w:rFonts w:ascii="Calibri" w:hAnsi="Calibri" w:cs="Arial"/>
                <w:i/>
                <w:color w:val="000000"/>
                <w:kern w:val="24"/>
                <w:sz w:val="22"/>
                <w:szCs w:val="22"/>
              </w:rPr>
              <w:t>Previous Week Mean</w:t>
            </w:r>
            <w:r>
              <w:rPr>
                <w:rFonts w:ascii="Calibri" w:hAnsi="Calibri" w:cs="Arial"/>
                <w:i/>
                <w:color w:val="000000"/>
                <w:kern w:val="24"/>
                <w:sz w:val="22"/>
                <w:szCs w:val="22"/>
              </w:rPr>
              <w:t xml:space="preserve"> in LA</w:t>
            </w:r>
          </w:p>
        </w:tc>
        <w:tc>
          <w:tcPr>
            <w:tcW w:w="1294" w:type="dxa"/>
            <w:tcBorders>
              <w:top w:val="nil"/>
              <w:left w:val="nil"/>
              <w:bottom w:val="nil"/>
              <w:right w:val="nil"/>
            </w:tcBorders>
            <w:shd w:val="clear" w:color="auto" w:fill="auto"/>
            <w:noWrap/>
            <w:vAlign w:val="center"/>
          </w:tcPr>
          <w:p w14:paraId="763EF581" w14:textId="7C67ECFD"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.877</w:t>
            </w:r>
          </w:p>
        </w:tc>
        <w:tc>
          <w:tcPr>
            <w:tcW w:w="1294" w:type="dxa"/>
            <w:tcBorders>
              <w:top w:val="nil"/>
              <w:left w:val="nil"/>
              <w:bottom w:val="nil"/>
              <w:right w:val="nil"/>
            </w:tcBorders>
            <w:shd w:val="clear" w:color="auto" w:fill="auto"/>
            <w:noWrap/>
            <w:vAlign w:val="center"/>
          </w:tcPr>
          <w:p w14:paraId="685D486D" w14:textId="39FB999A"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.877</w:t>
            </w:r>
          </w:p>
        </w:tc>
        <w:tc>
          <w:tcPr>
            <w:tcW w:w="1354" w:type="dxa"/>
            <w:tcBorders>
              <w:top w:val="nil"/>
              <w:left w:val="nil"/>
              <w:bottom w:val="nil"/>
              <w:right w:val="nil"/>
            </w:tcBorders>
            <w:shd w:val="clear" w:color="auto" w:fill="auto"/>
            <w:noWrap/>
            <w:vAlign w:val="center"/>
          </w:tcPr>
          <w:p w14:paraId="5DB07375" w14:textId="04406DCF"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36.202</w:t>
            </w:r>
          </w:p>
        </w:tc>
        <w:tc>
          <w:tcPr>
            <w:tcW w:w="1354" w:type="dxa"/>
            <w:tcBorders>
              <w:top w:val="nil"/>
              <w:left w:val="nil"/>
              <w:bottom w:val="nil"/>
              <w:right w:val="nil"/>
            </w:tcBorders>
            <w:shd w:val="clear" w:color="auto" w:fill="auto"/>
            <w:noWrap/>
            <w:vAlign w:val="center"/>
          </w:tcPr>
          <w:p w14:paraId="554A44FE" w14:textId="36C14EE7"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36.202</w:t>
            </w:r>
          </w:p>
        </w:tc>
        <w:tc>
          <w:tcPr>
            <w:tcW w:w="1354" w:type="dxa"/>
            <w:tcBorders>
              <w:top w:val="nil"/>
              <w:left w:val="nil"/>
              <w:bottom w:val="nil"/>
              <w:right w:val="nil"/>
            </w:tcBorders>
            <w:shd w:val="clear" w:color="auto" w:fill="auto"/>
            <w:noWrap/>
            <w:vAlign w:val="center"/>
          </w:tcPr>
          <w:p w14:paraId="1D4596EC" w14:textId="30FCD04E"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51.131</w:t>
            </w:r>
          </w:p>
        </w:tc>
        <w:tc>
          <w:tcPr>
            <w:tcW w:w="1183" w:type="dxa"/>
            <w:tcBorders>
              <w:top w:val="nil"/>
              <w:left w:val="nil"/>
              <w:bottom w:val="nil"/>
              <w:right w:val="nil"/>
            </w:tcBorders>
            <w:shd w:val="clear" w:color="auto" w:fill="auto"/>
            <w:noWrap/>
            <w:vAlign w:val="center"/>
          </w:tcPr>
          <w:p w14:paraId="11BB9CA0" w14:textId="6DD018C0"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51.131</w:t>
            </w:r>
          </w:p>
        </w:tc>
        <w:tc>
          <w:tcPr>
            <w:tcW w:w="1312" w:type="dxa"/>
            <w:tcBorders>
              <w:top w:val="nil"/>
              <w:left w:val="nil"/>
              <w:bottom w:val="nil"/>
              <w:right w:val="nil"/>
            </w:tcBorders>
            <w:shd w:val="clear" w:color="auto" w:fill="auto"/>
            <w:noWrap/>
            <w:vAlign w:val="center"/>
          </w:tcPr>
          <w:p w14:paraId="65746523" w14:textId="6352647A"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.037</w:t>
            </w:r>
          </w:p>
        </w:tc>
        <w:tc>
          <w:tcPr>
            <w:tcW w:w="1177" w:type="dxa"/>
            <w:tcBorders>
              <w:top w:val="nil"/>
              <w:left w:val="nil"/>
              <w:bottom w:val="nil"/>
              <w:right w:val="nil"/>
            </w:tcBorders>
            <w:shd w:val="clear" w:color="auto" w:fill="auto"/>
            <w:noWrap/>
            <w:vAlign w:val="center"/>
          </w:tcPr>
          <w:p w14:paraId="3D58E6B4" w14:textId="6AE5775B" w:rsidR="008478E8" w:rsidRPr="008478E8" w:rsidRDefault="008478E8" w:rsidP="008478E8">
            <w:pPr>
              <w:jc w:val="center"/>
              <w:rPr>
                <w:rFonts w:eastAsia="Times New Roman" w:cs="Times New Roman"/>
                <w:i/>
                <w:color w:val="000000"/>
                <w:sz w:val="22"/>
                <w:szCs w:val="22"/>
              </w:rPr>
            </w:pPr>
            <w:r w:rsidRPr="008478E8">
              <w:rPr>
                <w:rFonts w:ascii="Calibri" w:hAnsi="Calibri" w:cs="Arial"/>
                <w:i/>
                <w:color w:val="000000"/>
                <w:kern w:val="24"/>
                <w:sz w:val="22"/>
                <w:szCs w:val="22"/>
              </w:rPr>
              <w:t>.037</w:t>
            </w:r>
          </w:p>
        </w:tc>
      </w:tr>
      <w:tr w:rsidR="008478E8" w:rsidRPr="007933E2" w14:paraId="3EDB99C6" w14:textId="77777777" w:rsidTr="00E30957">
        <w:trPr>
          <w:trHeight w:val="80"/>
        </w:trPr>
        <w:tc>
          <w:tcPr>
            <w:tcW w:w="1540" w:type="dxa"/>
            <w:tcBorders>
              <w:top w:val="nil"/>
              <w:left w:val="nil"/>
              <w:bottom w:val="nil"/>
              <w:right w:val="nil"/>
            </w:tcBorders>
            <w:shd w:val="clear" w:color="auto" w:fill="auto"/>
            <w:noWrap/>
            <w:vAlign w:val="center"/>
          </w:tcPr>
          <w:p w14:paraId="35A06923" w14:textId="77777777" w:rsidR="008478E8" w:rsidRPr="008478E8" w:rsidRDefault="008478E8" w:rsidP="008478E8">
            <w:pPr>
              <w:rPr>
                <w:rFonts w:ascii="Calibri" w:hAnsi="Calibri" w:cs="Arial"/>
                <w:color w:val="000000"/>
                <w:kern w:val="24"/>
                <w:sz w:val="22"/>
                <w:szCs w:val="22"/>
              </w:rPr>
            </w:pPr>
          </w:p>
        </w:tc>
        <w:tc>
          <w:tcPr>
            <w:tcW w:w="1294" w:type="dxa"/>
            <w:tcBorders>
              <w:top w:val="nil"/>
              <w:left w:val="nil"/>
              <w:bottom w:val="nil"/>
              <w:right w:val="nil"/>
            </w:tcBorders>
            <w:shd w:val="clear" w:color="auto" w:fill="auto"/>
            <w:noWrap/>
            <w:vAlign w:val="center"/>
          </w:tcPr>
          <w:p w14:paraId="65EE3562" w14:textId="77777777" w:rsidR="008478E8" w:rsidRPr="008478E8" w:rsidRDefault="008478E8" w:rsidP="008478E8">
            <w:pPr>
              <w:jc w:val="center"/>
              <w:rPr>
                <w:rFonts w:ascii="Calibri" w:hAnsi="Calibri" w:cs="Arial"/>
                <w:color w:val="000000"/>
                <w:kern w:val="24"/>
                <w:sz w:val="22"/>
                <w:szCs w:val="22"/>
              </w:rPr>
            </w:pPr>
          </w:p>
        </w:tc>
        <w:tc>
          <w:tcPr>
            <w:tcW w:w="1294" w:type="dxa"/>
            <w:tcBorders>
              <w:top w:val="nil"/>
              <w:left w:val="nil"/>
              <w:bottom w:val="nil"/>
              <w:right w:val="nil"/>
            </w:tcBorders>
            <w:shd w:val="clear" w:color="auto" w:fill="auto"/>
            <w:noWrap/>
            <w:vAlign w:val="center"/>
          </w:tcPr>
          <w:p w14:paraId="7E82F05A" w14:textId="77777777" w:rsidR="008478E8" w:rsidRPr="008478E8" w:rsidRDefault="008478E8" w:rsidP="008478E8">
            <w:pPr>
              <w:jc w:val="center"/>
              <w:rPr>
                <w:rFonts w:ascii="Calibri" w:hAnsi="Calibri" w:cs="Arial"/>
                <w:color w:val="000000"/>
                <w:kern w:val="24"/>
                <w:sz w:val="22"/>
                <w:szCs w:val="22"/>
              </w:rPr>
            </w:pPr>
          </w:p>
        </w:tc>
        <w:tc>
          <w:tcPr>
            <w:tcW w:w="1354" w:type="dxa"/>
            <w:tcBorders>
              <w:top w:val="nil"/>
              <w:left w:val="nil"/>
              <w:bottom w:val="nil"/>
              <w:right w:val="nil"/>
            </w:tcBorders>
            <w:shd w:val="clear" w:color="auto" w:fill="auto"/>
            <w:noWrap/>
            <w:vAlign w:val="center"/>
          </w:tcPr>
          <w:p w14:paraId="004BA14A" w14:textId="77777777" w:rsidR="008478E8" w:rsidRPr="008478E8" w:rsidRDefault="008478E8" w:rsidP="008478E8">
            <w:pPr>
              <w:jc w:val="center"/>
              <w:rPr>
                <w:rFonts w:ascii="Calibri" w:hAnsi="Calibri" w:cs="Arial"/>
                <w:color w:val="000000"/>
                <w:kern w:val="24"/>
                <w:sz w:val="22"/>
                <w:szCs w:val="22"/>
              </w:rPr>
            </w:pPr>
          </w:p>
        </w:tc>
        <w:tc>
          <w:tcPr>
            <w:tcW w:w="1354" w:type="dxa"/>
            <w:tcBorders>
              <w:top w:val="nil"/>
              <w:left w:val="nil"/>
              <w:bottom w:val="nil"/>
              <w:right w:val="nil"/>
            </w:tcBorders>
            <w:shd w:val="clear" w:color="auto" w:fill="auto"/>
            <w:noWrap/>
            <w:vAlign w:val="center"/>
          </w:tcPr>
          <w:p w14:paraId="70773945" w14:textId="77777777" w:rsidR="008478E8" w:rsidRPr="008478E8" w:rsidRDefault="008478E8" w:rsidP="008478E8">
            <w:pPr>
              <w:jc w:val="center"/>
              <w:rPr>
                <w:rFonts w:ascii="Calibri" w:hAnsi="Calibri" w:cs="Arial"/>
                <w:color w:val="000000"/>
                <w:kern w:val="24"/>
                <w:sz w:val="22"/>
                <w:szCs w:val="22"/>
              </w:rPr>
            </w:pPr>
          </w:p>
        </w:tc>
        <w:tc>
          <w:tcPr>
            <w:tcW w:w="1354" w:type="dxa"/>
            <w:tcBorders>
              <w:top w:val="nil"/>
              <w:left w:val="nil"/>
              <w:bottom w:val="nil"/>
              <w:right w:val="nil"/>
            </w:tcBorders>
            <w:shd w:val="clear" w:color="auto" w:fill="auto"/>
            <w:noWrap/>
            <w:vAlign w:val="center"/>
          </w:tcPr>
          <w:p w14:paraId="28DCFE69" w14:textId="77777777" w:rsidR="008478E8" w:rsidRPr="008478E8" w:rsidRDefault="008478E8" w:rsidP="008478E8">
            <w:pPr>
              <w:jc w:val="center"/>
              <w:rPr>
                <w:rFonts w:ascii="Calibri" w:hAnsi="Calibri" w:cs="Arial"/>
                <w:color w:val="000000"/>
                <w:kern w:val="24"/>
                <w:sz w:val="22"/>
                <w:szCs w:val="22"/>
              </w:rPr>
            </w:pPr>
          </w:p>
        </w:tc>
        <w:tc>
          <w:tcPr>
            <w:tcW w:w="1183" w:type="dxa"/>
            <w:tcBorders>
              <w:top w:val="nil"/>
              <w:left w:val="nil"/>
              <w:bottom w:val="nil"/>
              <w:right w:val="nil"/>
            </w:tcBorders>
            <w:shd w:val="clear" w:color="auto" w:fill="auto"/>
            <w:noWrap/>
            <w:vAlign w:val="center"/>
          </w:tcPr>
          <w:p w14:paraId="4118CB0D" w14:textId="77777777" w:rsidR="008478E8" w:rsidRPr="008478E8" w:rsidRDefault="008478E8" w:rsidP="008478E8">
            <w:pPr>
              <w:jc w:val="center"/>
              <w:rPr>
                <w:rFonts w:ascii="Calibri" w:hAnsi="Calibri" w:cs="Arial"/>
                <w:color w:val="000000"/>
                <w:kern w:val="24"/>
                <w:sz w:val="22"/>
                <w:szCs w:val="22"/>
              </w:rPr>
            </w:pPr>
          </w:p>
        </w:tc>
        <w:tc>
          <w:tcPr>
            <w:tcW w:w="1312" w:type="dxa"/>
            <w:tcBorders>
              <w:top w:val="nil"/>
              <w:left w:val="nil"/>
              <w:bottom w:val="nil"/>
              <w:right w:val="nil"/>
            </w:tcBorders>
            <w:shd w:val="clear" w:color="auto" w:fill="auto"/>
            <w:noWrap/>
            <w:vAlign w:val="center"/>
          </w:tcPr>
          <w:p w14:paraId="6F328172" w14:textId="77777777" w:rsidR="008478E8" w:rsidRPr="008478E8" w:rsidRDefault="008478E8" w:rsidP="008478E8">
            <w:pPr>
              <w:jc w:val="center"/>
              <w:rPr>
                <w:rFonts w:ascii="Calibri" w:hAnsi="Calibri" w:cs="Arial"/>
                <w:color w:val="000000"/>
                <w:kern w:val="24"/>
                <w:sz w:val="22"/>
                <w:szCs w:val="22"/>
              </w:rPr>
            </w:pPr>
          </w:p>
        </w:tc>
        <w:tc>
          <w:tcPr>
            <w:tcW w:w="1177" w:type="dxa"/>
            <w:tcBorders>
              <w:top w:val="nil"/>
              <w:left w:val="nil"/>
              <w:bottom w:val="nil"/>
              <w:right w:val="nil"/>
            </w:tcBorders>
            <w:shd w:val="clear" w:color="auto" w:fill="auto"/>
            <w:noWrap/>
            <w:vAlign w:val="center"/>
          </w:tcPr>
          <w:p w14:paraId="7F9CD671" w14:textId="77777777" w:rsidR="008478E8" w:rsidRPr="008478E8" w:rsidRDefault="008478E8" w:rsidP="008478E8">
            <w:pPr>
              <w:jc w:val="center"/>
              <w:rPr>
                <w:rFonts w:ascii="Calibri" w:hAnsi="Calibri" w:cs="Arial"/>
                <w:color w:val="000000"/>
                <w:kern w:val="24"/>
                <w:sz w:val="22"/>
                <w:szCs w:val="22"/>
              </w:rPr>
            </w:pPr>
          </w:p>
        </w:tc>
      </w:tr>
      <w:tr w:rsidR="002F5D47" w:rsidRPr="007933E2" w14:paraId="02112E69" w14:textId="77777777" w:rsidTr="00E30957">
        <w:trPr>
          <w:trHeight w:val="280"/>
        </w:trPr>
        <w:tc>
          <w:tcPr>
            <w:tcW w:w="1540" w:type="dxa"/>
            <w:tcBorders>
              <w:top w:val="nil"/>
              <w:left w:val="nil"/>
              <w:bottom w:val="nil"/>
              <w:right w:val="nil"/>
            </w:tcBorders>
            <w:shd w:val="clear" w:color="auto" w:fill="auto"/>
            <w:noWrap/>
            <w:vAlign w:val="center"/>
            <w:hideMark/>
          </w:tcPr>
          <w:p w14:paraId="7CFF6E5E"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Monitor FE</w:t>
            </w:r>
          </w:p>
        </w:tc>
        <w:tc>
          <w:tcPr>
            <w:tcW w:w="1294" w:type="dxa"/>
            <w:tcBorders>
              <w:top w:val="nil"/>
              <w:left w:val="nil"/>
              <w:bottom w:val="nil"/>
              <w:right w:val="nil"/>
            </w:tcBorders>
            <w:shd w:val="clear" w:color="auto" w:fill="auto"/>
            <w:noWrap/>
            <w:vAlign w:val="center"/>
            <w:hideMark/>
          </w:tcPr>
          <w:p w14:paraId="6E39F439"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294" w:type="dxa"/>
            <w:tcBorders>
              <w:top w:val="nil"/>
              <w:left w:val="nil"/>
              <w:bottom w:val="nil"/>
              <w:right w:val="nil"/>
            </w:tcBorders>
            <w:shd w:val="clear" w:color="auto" w:fill="auto"/>
            <w:noWrap/>
            <w:vAlign w:val="center"/>
            <w:hideMark/>
          </w:tcPr>
          <w:p w14:paraId="405B141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011E60B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057031D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3C346F7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183" w:type="dxa"/>
            <w:tcBorders>
              <w:top w:val="nil"/>
              <w:left w:val="nil"/>
              <w:bottom w:val="nil"/>
              <w:right w:val="nil"/>
            </w:tcBorders>
            <w:shd w:val="clear" w:color="auto" w:fill="auto"/>
            <w:noWrap/>
            <w:vAlign w:val="center"/>
            <w:hideMark/>
          </w:tcPr>
          <w:p w14:paraId="42A48785"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3CEFD3C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177" w:type="dxa"/>
            <w:tcBorders>
              <w:top w:val="nil"/>
              <w:left w:val="nil"/>
              <w:bottom w:val="nil"/>
              <w:right w:val="nil"/>
            </w:tcBorders>
            <w:shd w:val="clear" w:color="auto" w:fill="auto"/>
            <w:noWrap/>
            <w:vAlign w:val="center"/>
            <w:hideMark/>
          </w:tcPr>
          <w:p w14:paraId="579B762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r>
      <w:tr w:rsidR="002F5D47" w:rsidRPr="007933E2" w14:paraId="1DBA4071" w14:textId="77777777" w:rsidTr="00E30957">
        <w:trPr>
          <w:trHeight w:val="280"/>
        </w:trPr>
        <w:tc>
          <w:tcPr>
            <w:tcW w:w="1540" w:type="dxa"/>
            <w:tcBorders>
              <w:top w:val="nil"/>
              <w:left w:val="nil"/>
              <w:bottom w:val="nil"/>
              <w:right w:val="nil"/>
            </w:tcBorders>
            <w:shd w:val="clear" w:color="auto" w:fill="auto"/>
            <w:noWrap/>
            <w:vAlign w:val="center"/>
            <w:hideMark/>
          </w:tcPr>
          <w:p w14:paraId="682E1D00"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Month FE</w:t>
            </w:r>
          </w:p>
        </w:tc>
        <w:tc>
          <w:tcPr>
            <w:tcW w:w="1294" w:type="dxa"/>
            <w:tcBorders>
              <w:top w:val="nil"/>
              <w:left w:val="nil"/>
              <w:bottom w:val="nil"/>
              <w:right w:val="nil"/>
            </w:tcBorders>
            <w:shd w:val="clear" w:color="auto" w:fill="auto"/>
            <w:noWrap/>
            <w:vAlign w:val="center"/>
            <w:hideMark/>
          </w:tcPr>
          <w:p w14:paraId="4C1B854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294" w:type="dxa"/>
            <w:tcBorders>
              <w:top w:val="nil"/>
              <w:left w:val="nil"/>
              <w:bottom w:val="nil"/>
              <w:right w:val="nil"/>
            </w:tcBorders>
            <w:shd w:val="clear" w:color="auto" w:fill="auto"/>
            <w:noWrap/>
            <w:vAlign w:val="center"/>
            <w:hideMark/>
          </w:tcPr>
          <w:p w14:paraId="56D5FF4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6AAFA0A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354" w:type="dxa"/>
            <w:tcBorders>
              <w:top w:val="nil"/>
              <w:left w:val="nil"/>
              <w:bottom w:val="nil"/>
              <w:right w:val="nil"/>
            </w:tcBorders>
            <w:shd w:val="clear" w:color="auto" w:fill="auto"/>
            <w:noWrap/>
            <w:vAlign w:val="center"/>
            <w:hideMark/>
          </w:tcPr>
          <w:p w14:paraId="6EB43B8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135BAD37"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183" w:type="dxa"/>
            <w:tcBorders>
              <w:top w:val="nil"/>
              <w:left w:val="nil"/>
              <w:bottom w:val="nil"/>
              <w:right w:val="nil"/>
            </w:tcBorders>
            <w:shd w:val="clear" w:color="auto" w:fill="auto"/>
            <w:noWrap/>
            <w:vAlign w:val="center"/>
            <w:hideMark/>
          </w:tcPr>
          <w:p w14:paraId="3F10D97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0472A25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177" w:type="dxa"/>
            <w:tcBorders>
              <w:top w:val="nil"/>
              <w:left w:val="nil"/>
              <w:bottom w:val="nil"/>
              <w:right w:val="nil"/>
            </w:tcBorders>
            <w:shd w:val="clear" w:color="auto" w:fill="auto"/>
            <w:noWrap/>
            <w:vAlign w:val="center"/>
            <w:hideMark/>
          </w:tcPr>
          <w:p w14:paraId="3CC99DD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r>
      <w:tr w:rsidR="002F5D47" w:rsidRPr="007933E2" w14:paraId="641D7F16" w14:textId="77777777" w:rsidTr="00E30957">
        <w:trPr>
          <w:trHeight w:val="280"/>
        </w:trPr>
        <w:tc>
          <w:tcPr>
            <w:tcW w:w="1540" w:type="dxa"/>
            <w:tcBorders>
              <w:top w:val="nil"/>
              <w:left w:val="nil"/>
              <w:bottom w:val="nil"/>
              <w:right w:val="nil"/>
            </w:tcBorders>
            <w:shd w:val="clear" w:color="auto" w:fill="auto"/>
            <w:noWrap/>
            <w:vAlign w:val="center"/>
            <w:hideMark/>
          </w:tcPr>
          <w:p w14:paraId="0D46ED05"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Time Trends</w:t>
            </w:r>
          </w:p>
        </w:tc>
        <w:tc>
          <w:tcPr>
            <w:tcW w:w="1294" w:type="dxa"/>
            <w:tcBorders>
              <w:top w:val="nil"/>
              <w:left w:val="nil"/>
              <w:bottom w:val="nil"/>
              <w:right w:val="nil"/>
            </w:tcBorders>
            <w:shd w:val="clear" w:color="auto" w:fill="auto"/>
            <w:noWrap/>
            <w:vAlign w:val="center"/>
            <w:hideMark/>
          </w:tcPr>
          <w:p w14:paraId="74FF949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294" w:type="dxa"/>
            <w:tcBorders>
              <w:top w:val="nil"/>
              <w:left w:val="nil"/>
              <w:bottom w:val="nil"/>
              <w:right w:val="nil"/>
            </w:tcBorders>
            <w:shd w:val="clear" w:color="auto" w:fill="auto"/>
            <w:noWrap/>
            <w:vAlign w:val="center"/>
            <w:hideMark/>
          </w:tcPr>
          <w:p w14:paraId="0BF4FC9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5089FCB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354" w:type="dxa"/>
            <w:tcBorders>
              <w:top w:val="nil"/>
              <w:left w:val="nil"/>
              <w:bottom w:val="nil"/>
              <w:right w:val="nil"/>
            </w:tcBorders>
            <w:shd w:val="clear" w:color="auto" w:fill="auto"/>
            <w:noWrap/>
            <w:vAlign w:val="center"/>
            <w:hideMark/>
          </w:tcPr>
          <w:p w14:paraId="58B03771"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54" w:type="dxa"/>
            <w:tcBorders>
              <w:top w:val="nil"/>
              <w:left w:val="nil"/>
              <w:bottom w:val="nil"/>
              <w:right w:val="nil"/>
            </w:tcBorders>
            <w:shd w:val="clear" w:color="auto" w:fill="auto"/>
            <w:noWrap/>
            <w:vAlign w:val="center"/>
            <w:hideMark/>
          </w:tcPr>
          <w:p w14:paraId="7B4BD0C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183" w:type="dxa"/>
            <w:tcBorders>
              <w:top w:val="nil"/>
              <w:left w:val="nil"/>
              <w:bottom w:val="nil"/>
              <w:right w:val="nil"/>
            </w:tcBorders>
            <w:shd w:val="clear" w:color="auto" w:fill="auto"/>
            <w:noWrap/>
            <w:vAlign w:val="center"/>
            <w:hideMark/>
          </w:tcPr>
          <w:p w14:paraId="26953D4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465BD43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No</w:t>
            </w:r>
          </w:p>
        </w:tc>
        <w:tc>
          <w:tcPr>
            <w:tcW w:w="1177" w:type="dxa"/>
            <w:tcBorders>
              <w:top w:val="nil"/>
              <w:left w:val="nil"/>
              <w:bottom w:val="nil"/>
              <w:right w:val="nil"/>
            </w:tcBorders>
            <w:shd w:val="clear" w:color="auto" w:fill="auto"/>
            <w:noWrap/>
            <w:vAlign w:val="center"/>
            <w:hideMark/>
          </w:tcPr>
          <w:p w14:paraId="4BE9D1AC"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Yes</w:t>
            </w:r>
          </w:p>
        </w:tc>
      </w:tr>
      <w:tr w:rsidR="002F5D47" w:rsidRPr="007933E2" w14:paraId="23820AA2" w14:textId="77777777" w:rsidTr="00E30957">
        <w:trPr>
          <w:trHeight w:val="280"/>
        </w:trPr>
        <w:tc>
          <w:tcPr>
            <w:tcW w:w="1540" w:type="dxa"/>
            <w:tcBorders>
              <w:top w:val="nil"/>
              <w:left w:val="nil"/>
              <w:bottom w:val="nil"/>
              <w:right w:val="nil"/>
            </w:tcBorders>
            <w:shd w:val="clear" w:color="auto" w:fill="auto"/>
            <w:noWrap/>
            <w:vAlign w:val="center"/>
            <w:hideMark/>
          </w:tcPr>
          <w:p w14:paraId="5AA15365" w14:textId="77777777" w:rsidR="002F5D47" w:rsidRPr="007933E2" w:rsidRDefault="002F5D47" w:rsidP="00C04359">
            <w:pP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center"/>
            <w:hideMark/>
          </w:tcPr>
          <w:p w14:paraId="7A0932D0" w14:textId="77777777" w:rsidR="002F5D47" w:rsidRPr="007933E2" w:rsidRDefault="002F5D47" w:rsidP="00C04359">
            <w:pPr>
              <w:jc w:val="center"/>
              <w:rPr>
                <w:rFonts w:ascii="Calibri" w:eastAsia="Times New Roman" w:hAnsi="Calibri" w:cs="Times New Roman"/>
                <w:color w:val="000000"/>
                <w:sz w:val="22"/>
                <w:szCs w:val="22"/>
              </w:rPr>
            </w:pPr>
          </w:p>
        </w:tc>
        <w:tc>
          <w:tcPr>
            <w:tcW w:w="1294" w:type="dxa"/>
            <w:tcBorders>
              <w:top w:val="nil"/>
              <w:left w:val="nil"/>
              <w:bottom w:val="nil"/>
              <w:right w:val="nil"/>
            </w:tcBorders>
            <w:shd w:val="clear" w:color="auto" w:fill="auto"/>
            <w:noWrap/>
            <w:vAlign w:val="center"/>
            <w:hideMark/>
          </w:tcPr>
          <w:p w14:paraId="4DEF4FB2"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center"/>
            <w:hideMark/>
          </w:tcPr>
          <w:p w14:paraId="70D13C7F"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center"/>
            <w:hideMark/>
          </w:tcPr>
          <w:p w14:paraId="260AD65D" w14:textId="77777777" w:rsidR="002F5D47" w:rsidRPr="007933E2" w:rsidRDefault="002F5D47" w:rsidP="00C04359">
            <w:pPr>
              <w:jc w:val="center"/>
              <w:rPr>
                <w:rFonts w:ascii="Calibri" w:eastAsia="Times New Roman" w:hAnsi="Calibri" w:cs="Times New Roman"/>
                <w:color w:val="000000"/>
                <w:sz w:val="22"/>
                <w:szCs w:val="22"/>
              </w:rPr>
            </w:pPr>
          </w:p>
        </w:tc>
        <w:tc>
          <w:tcPr>
            <w:tcW w:w="1354" w:type="dxa"/>
            <w:tcBorders>
              <w:top w:val="nil"/>
              <w:left w:val="nil"/>
              <w:bottom w:val="nil"/>
              <w:right w:val="nil"/>
            </w:tcBorders>
            <w:shd w:val="clear" w:color="auto" w:fill="auto"/>
            <w:noWrap/>
            <w:vAlign w:val="center"/>
            <w:hideMark/>
          </w:tcPr>
          <w:p w14:paraId="08CE7BF0" w14:textId="77777777" w:rsidR="002F5D47" w:rsidRPr="007933E2" w:rsidRDefault="002F5D47" w:rsidP="00C04359">
            <w:pPr>
              <w:jc w:val="center"/>
              <w:rPr>
                <w:rFonts w:ascii="Calibri" w:eastAsia="Times New Roman" w:hAnsi="Calibri" w:cs="Times New Roman"/>
                <w:color w:val="000000"/>
                <w:sz w:val="22"/>
                <w:szCs w:val="22"/>
              </w:rPr>
            </w:pPr>
          </w:p>
        </w:tc>
        <w:tc>
          <w:tcPr>
            <w:tcW w:w="1183" w:type="dxa"/>
            <w:tcBorders>
              <w:top w:val="nil"/>
              <w:left w:val="nil"/>
              <w:bottom w:val="nil"/>
              <w:right w:val="nil"/>
            </w:tcBorders>
            <w:shd w:val="clear" w:color="auto" w:fill="auto"/>
            <w:noWrap/>
            <w:vAlign w:val="center"/>
            <w:hideMark/>
          </w:tcPr>
          <w:p w14:paraId="74756AF8" w14:textId="77777777" w:rsidR="002F5D47" w:rsidRPr="007933E2"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center"/>
            <w:hideMark/>
          </w:tcPr>
          <w:p w14:paraId="5795A28E" w14:textId="77777777" w:rsidR="002F5D47" w:rsidRPr="007933E2" w:rsidRDefault="002F5D47" w:rsidP="00C04359">
            <w:pPr>
              <w:jc w:val="center"/>
              <w:rPr>
                <w:rFonts w:ascii="Calibri" w:eastAsia="Times New Roman" w:hAnsi="Calibri" w:cs="Times New Roman"/>
                <w:color w:val="000000"/>
                <w:sz w:val="22"/>
                <w:szCs w:val="22"/>
              </w:rPr>
            </w:pPr>
          </w:p>
        </w:tc>
        <w:tc>
          <w:tcPr>
            <w:tcW w:w="1177" w:type="dxa"/>
            <w:tcBorders>
              <w:top w:val="nil"/>
              <w:left w:val="nil"/>
              <w:bottom w:val="nil"/>
              <w:right w:val="nil"/>
            </w:tcBorders>
            <w:shd w:val="clear" w:color="auto" w:fill="auto"/>
            <w:noWrap/>
            <w:vAlign w:val="center"/>
            <w:hideMark/>
          </w:tcPr>
          <w:p w14:paraId="228A022C" w14:textId="77777777" w:rsidR="002F5D47" w:rsidRPr="007933E2" w:rsidRDefault="002F5D47" w:rsidP="00C04359">
            <w:pPr>
              <w:jc w:val="center"/>
              <w:rPr>
                <w:rFonts w:ascii="Calibri" w:eastAsia="Times New Roman" w:hAnsi="Calibri" w:cs="Times New Roman"/>
                <w:color w:val="000000"/>
                <w:sz w:val="22"/>
                <w:szCs w:val="22"/>
              </w:rPr>
            </w:pPr>
          </w:p>
        </w:tc>
      </w:tr>
      <w:tr w:rsidR="002F5D47" w:rsidRPr="007933E2" w14:paraId="010D87AA" w14:textId="77777777" w:rsidTr="00E30957">
        <w:trPr>
          <w:trHeight w:val="280"/>
        </w:trPr>
        <w:tc>
          <w:tcPr>
            <w:tcW w:w="1540" w:type="dxa"/>
            <w:tcBorders>
              <w:top w:val="nil"/>
              <w:left w:val="nil"/>
              <w:bottom w:val="nil"/>
              <w:right w:val="nil"/>
            </w:tcBorders>
            <w:shd w:val="clear" w:color="auto" w:fill="auto"/>
            <w:noWrap/>
            <w:vAlign w:val="center"/>
            <w:hideMark/>
          </w:tcPr>
          <w:p w14:paraId="4EDEA89D"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Observations</w:t>
            </w:r>
          </w:p>
        </w:tc>
        <w:tc>
          <w:tcPr>
            <w:tcW w:w="1294" w:type="dxa"/>
            <w:tcBorders>
              <w:top w:val="nil"/>
              <w:left w:val="nil"/>
              <w:bottom w:val="nil"/>
              <w:right w:val="nil"/>
            </w:tcBorders>
            <w:shd w:val="clear" w:color="auto" w:fill="auto"/>
            <w:noWrap/>
            <w:vAlign w:val="center"/>
            <w:hideMark/>
          </w:tcPr>
          <w:p w14:paraId="4EF77EF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961</w:t>
            </w:r>
          </w:p>
        </w:tc>
        <w:tc>
          <w:tcPr>
            <w:tcW w:w="1294" w:type="dxa"/>
            <w:tcBorders>
              <w:top w:val="nil"/>
              <w:left w:val="nil"/>
              <w:bottom w:val="nil"/>
              <w:right w:val="nil"/>
            </w:tcBorders>
            <w:shd w:val="clear" w:color="auto" w:fill="auto"/>
            <w:noWrap/>
            <w:vAlign w:val="center"/>
            <w:hideMark/>
          </w:tcPr>
          <w:p w14:paraId="07CF24E6"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961</w:t>
            </w:r>
          </w:p>
        </w:tc>
        <w:tc>
          <w:tcPr>
            <w:tcW w:w="1354" w:type="dxa"/>
            <w:tcBorders>
              <w:top w:val="nil"/>
              <w:left w:val="nil"/>
              <w:bottom w:val="nil"/>
              <w:right w:val="nil"/>
            </w:tcBorders>
            <w:shd w:val="clear" w:color="auto" w:fill="auto"/>
            <w:noWrap/>
            <w:vAlign w:val="center"/>
            <w:hideMark/>
          </w:tcPr>
          <w:p w14:paraId="30C74A7F"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1,388</w:t>
            </w:r>
          </w:p>
        </w:tc>
        <w:tc>
          <w:tcPr>
            <w:tcW w:w="1354" w:type="dxa"/>
            <w:tcBorders>
              <w:top w:val="nil"/>
              <w:left w:val="nil"/>
              <w:bottom w:val="nil"/>
              <w:right w:val="nil"/>
            </w:tcBorders>
            <w:shd w:val="clear" w:color="auto" w:fill="auto"/>
            <w:noWrap/>
            <w:vAlign w:val="center"/>
            <w:hideMark/>
          </w:tcPr>
          <w:p w14:paraId="6881B3CA"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1,388</w:t>
            </w:r>
          </w:p>
        </w:tc>
        <w:tc>
          <w:tcPr>
            <w:tcW w:w="1354" w:type="dxa"/>
            <w:tcBorders>
              <w:top w:val="nil"/>
              <w:left w:val="nil"/>
              <w:bottom w:val="nil"/>
              <w:right w:val="nil"/>
            </w:tcBorders>
            <w:shd w:val="clear" w:color="auto" w:fill="auto"/>
            <w:noWrap/>
            <w:vAlign w:val="center"/>
            <w:hideMark/>
          </w:tcPr>
          <w:p w14:paraId="52DB3B6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1,388</w:t>
            </w:r>
          </w:p>
        </w:tc>
        <w:tc>
          <w:tcPr>
            <w:tcW w:w="1183" w:type="dxa"/>
            <w:tcBorders>
              <w:top w:val="nil"/>
              <w:left w:val="nil"/>
              <w:bottom w:val="nil"/>
              <w:right w:val="nil"/>
            </w:tcBorders>
            <w:shd w:val="clear" w:color="auto" w:fill="auto"/>
            <w:noWrap/>
            <w:vAlign w:val="center"/>
            <w:hideMark/>
          </w:tcPr>
          <w:p w14:paraId="3F83A5C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1,388</w:t>
            </w:r>
          </w:p>
        </w:tc>
        <w:tc>
          <w:tcPr>
            <w:tcW w:w="1312" w:type="dxa"/>
            <w:tcBorders>
              <w:top w:val="nil"/>
              <w:left w:val="nil"/>
              <w:bottom w:val="nil"/>
              <w:right w:val="nil"/>
            </w:tcBorders>
            <w:shd w:val="clear" w:color="auto" w:fill="auto"/>
            <w:noWrap/>
            <w:vAlign w:val="center"/>
            <w:hideMark/>
          </w:tcPr>
          <w:p w14:paraId="387BB3B0"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1,443</w:t>
            </w:r>
          </w:p>
        </w:tc>
        <w:tc>
          <w:tcPr>
            <w:tcW w:w="1177" w:type="dxa"/>
            <w:tcBorders>
              <w:top w:val="nil"/>
              <w:left w:val="nil"/>
              <w:bottom w:val="nil"/>
              <w:right w:val="nil"/>
            </w:tcBorders>
            <w:shd w:val="clear" w:color="auto" w:fill="auto"/>
            <w:noWrap/>
            <w:vAlign w:val="center"/>
            <w:hideMark/>
          </w:tcPr>
          <w:p w14:paraId="7CA92C18"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1,443</w:t>
            </w:r>
          </w:p>
        </w:tc>
      </w:tr>
      <w:tr w:rsidR="002F5D47" w:rsidRPr="007933E2" w14:paraId="245C3866" w14:textId="77777777" w:rsidTr="00E30957">
        <w:trPr>
          <w:trHeight w:val="300"/>
        </w:trPr>
        <w:tc>
          <w:tcPr>
            <w:tcW w:w="1540" w:type="dxa"/>
            <w:tcBorders>
              <w:top w:val="nil"/>
              <w:left w:val="nil"/>
              <w:bottom w:val="single" w:sz="8" w:space="0" w:color="auto"/>
              <w:right w:val="nil"/>
            </w:tcBorders>
            <w:shd w:val="clear" w:color="auto" w:fill="auto"/>
            <w:noWrap/>
            <w:vAlign w:val="center"/>
            <w:hideMark/>
          </w:tcPr>
          <w:p w14:paraId="7F1A2A71" w14:textId="77777777" w:rsidR="002F5D47" w:rsidRPr="007933E2" w:rsidRDefault="002F5D47" w:rsidP="00C04359">
            <w:pP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R-squared</w:t>
            </w:r>
          </w:p>
        </w:tc>
        <w:tc>
          <w:tcPr>
            <w:tcW w:w="1294" w:type="dxa"/>
            <w:tcBorders>
              <w:top w:val="nil"/>
              <w:left w:val="nil"/>
              <w:bottom w:val="single" w:sz="8" w:space="0" w:color="000000"/>
              <w:right w:val="nil"/>
            </w:tcBorders>
            <w:shd w:val="clear" w:color="auto" w:fill="auto"/>
            <w:noWrap/>
            <w:vAlign w:val="center"/>
            <w:hideMark/>
          </w:tcPr>
          <w:p w14:paraId="29DB3F4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0.563</w:t>
            </w:r>
          </w:p>
        </w:tc>
        <w:tc>
          <w:tcPr>
            <w:tcW w:w="1294" w:type="dxa"/>
            <w:tcBorders>
              <w:top w:val="nil"/>
              <w:left w:val="nil"/>
              <w:bottom w:val="single" w:sz="8" w:space="0" w:color="000000"/>
              <w:right w:val="nil"/>
            </w:tcBorders>
            <w:shd w:val="clear" w:color="auto" w:fill="auto"/>
            <w:noWrap/>
            <w:vAlign w:val="center"/>
            <w:hideMark/>
          </w:tcPr>
          <w:p w14:paraId="5B16EFA4"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0.735</w:t>
            </w:r>
          </w:p>
        </w:tc>
        <w:tc>
          <w:tcPr>
            <w:tcW w:w="1354" w:type="dxa"/>
            <w:tcBorders>
              <w:top w:val="nil"/>
              <w:left w:val="nil"/>
              <w:bottom w:val="single" w:sz="8" w:space="0" w:color="000000"/>
              <w:right w:val="nil"/>
            </w:tcBorders>
            <w:shd w:val="clear" w:color="auto" w:fill="auto"/>
            <w:noWrap/>
            <w:vAlign w:val="center"/>
            <w:hideMark/>
          </w:tcPr>
          <w:p w14:paraId="19F43B8D"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0.72</w:t>
            </w:r>
          </w:p>
        </w:tc>
        <w:tc>
          <w:tcPr>
            <w:tcW w:w="1354" w:type="dxa"/>
            <w:tcBorders>
              <w:top w:val="nil"/>
              <w:left w:val="nil"/>
              <w:bottom w:val="single" w:sz="8" w:space="0" w:color="000000"/>
              <w:right w:val="nil"/>
            </w:tcBorders>
            <w:shd w:val="clear" w:color="auto" w:fill="auto"/>
            <w:noWrap/>
            <w:vAlign w:val="center"/>
            <w:hideMark/>
          </w:tcPr>
          <w:p w14:paraId="499D42F3"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0.795</w:t>
            </w:r>
          </w:p>
        </w:tc>
        <w:tc>
          <w:tcPr>
            <w:tcW w:w="1354" w:type="dxa"/>
            <w:tcBorders>
              <w:top w:val="nil"/>
              <w:left w:val="nil"/>
              <w:bottom w:val="single" w:sz="8" w:space="0" w:color="000000"/>
              <w:right w:val="nil"/>
            </w:tcBorders>
            <w:shd w:val="clear" w:color="auto" w:fill="auto"/>
            <w:noWrap/>
            <w:vAlign w:val="center"/>
            <w:hideMark/>
          </w:tcPr>
          <w:p w14:paraId="311E3CFE"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0.596</w:t>
            </w:r>
          </w:p>
        </w:tc>
        <w:tc>
          <w:tcPr>
            <w:tcW w:w="1183" w:type="dxa"/>
            <w:tcBorders>
              <w:top w:val="nil"/>
              <w:left w:val="nil"/>
              <w:bottom w:val="single" w:sz="8" w:space="0" w:color="000000"/>
              <w:right w:val="nil"/>
            </w:tcBorders>
            <w:shd w:val="clear" w:color="auto" w:fill="auto"/>
            <w:noWrap/>
            <w:vAlign w:val="center"/>
            <w:hideMark/>
          </w:tcPr>
          <w:p w14:paraId="7016B88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0.773</w:t>
            </w:r>
          </w:p>
        </w:tc>
        <w:tc>
          <w:tcPr>
            <w:tcW w:w="1312" w:type="dxa"/>
            <w:tcBorders>
              <w:top w:val="nil"/>
              <w:left w:val="nil"/>
              <w:bottom w:val="single" w:sz="8" w:space="0" w:color="000000"/>
              <w:right w:val="nil"/>
            </w:tcBorders>
            <w:shd w:val="clear" w:color="auto" w:fill="auto"/>
            <w:noWrap/>
            <w:vAlign w:val="center"/>
            <w:hideMark/>
          </w:tcPr>
          <w:p w14:paraId="32B14412"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0.582</w:t>
            </w:r>
          </w:p>
        </w:tc>
        <w:tc>
          <w:tcPr>
            <w:tcW w:w="1177" w:type="dxa"/>
            <w:tcBorders>
              <w:top w:val="nil"/>
              <w:left w:val="nil"/>
              <w:bottom w:val="single" w:sz="8" w:space="0" w:color="000000"/>
              <w:right w:val="nil"/>
            </w:tcBorders>
            <w:shd w:val="clear" w:color="auto" w:fill="auto"/>
            <w:noWrap/>
            <w:vAlign w:val="center"/>
            <w:hideMark/>
          </w:tcPr>
          <w:p w14:paraId="558D2F4B" w14:textId="77777777" w:rsidR="002F5D47" w:rsidRPr="007933E2" w:rsidRDefault="002F5D47" w:rsidP="00C04359">
            <w:pPr>
              <w:jc w:val="center"/>
              <w:rPr>
                <w:rFonts w:ascii="Calibri" w:eastAsia="Times New Roman" w:hAnsi="Calibri" w:cs="Times New Roman"/>
                <w:color w:val="000000"/>
                <w:sz w:val="22"/>
                <w:szCs w:val="22"/>
              </w:rPr>
            </w:pPr>
            <w:r w:rsidRPr="007933E2">
              <w:rPr>
                <w:rFonts w:ascii="Calibri" w:eastAsia="Times New Roman" w:hAnsi="Calibri" w:cs="Times New Roman"/>
                <w:color w:val="000000"/>
                <w:sz w:val="22"/>
                <w:szCs w:val="22"/>
              </w:rPr>
              <w:t>0.837</w:t>
            </w:r>
          </w:p>
        </w:tc>
      </w:tr>
      <w:tr w:rsidR="002F5D47" w:rsidRPr="007933E2" w14:paraId="0836D745" w14:textId="77777777" w:rsidTr="00E30957">
        <w:trPr>
          <w:trHeight w:val="280"/>
        </w:trPr>
        <w:tc>
          <w:tcPr>
            <w:tcW w:w="11862" w:type="dxa"/>
            <w:gridSpan w:val="9"/>
            <w:vMerge w:val="restart"/>
            <w:tcBorders>
              <w:top w:val="nil"/>
              <w:left w:val="nil"/>
              <w:bottom w:val="nil"/>
              <w:right w:val="nil"/>
            </w:tcBorders>
            <w:shd w:val="clear" w:color="auto" w:fill="auto"/>
            <w:vAlign w:val="center"/>
            <w:hideMark/>
          </w:tcPr>
          <w:p w14:paraId="00EC66F8" w14:textId="77777777" w:rsidR="002F5D47" w:rsidRPr="007933E2" w:rsidRDefault="002F5D47" w:rsidP="00C04359">
            <w:pPr>
              <w:rPr>
                <w:rFonts w:ascii="Calibri" w:eastAsia="Times New Roman" w:hAnsi="Calibri" w:cs="Times New Roman"/>
                <w:color w:val="000000"/>
                <w:sz w:val="20"/>
                <w:szCs w:val="20"/>
              </w:rPr>
            </w:pPr>
            <w:r w:rsidRPr="007933E2">
              <w:rPr>
                <w:rFonts w:ascii="Calibri" w:eastAsia="Times New Roman" w:hAnsi="Calibri" w:cs="Times New Roman"/>
                <w:color w:val="000000"/>
                <w:sz w:val="20"/>
                <w:szCs w:val="20"/>
              </w:rPr>
              <w:t>Observations are at the weekly-monitor level. All columns include monitor fixed effects. Columns 2, 4, 6 and 8 include month fixed effects and monitor-specific time trends. The sample of monitors is 30,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w:t>
            </w:r>
          </w:p>
        </w:tc>
      </w:tr>
      <w:tr w:rsidR="002F5D47" w:rsidRPr="007933E2" w14:paraId="34423FA4" w14:textId="77777777" w:rsidTr="00E30957">
        <w:trPr>
          <w:trHeight w:val="280"/>
        </w:trPr>
        <w:tc>
          <w:tcPr>
            <w:tcW w:w="11862" w:type="dxa"/>
            <w:gridSpan w:val="9"/>
            <w:vMerge/>
            <w:tcBorders>
              <w:top w:val="nil"/>
              <w:left w:val="nil"/>
              <w:bottom w:val="nil"/>
              <w:right w:val="nil"/>
            </w:tcBorders>
            <w:vAlign w:val="center"/>
            <w:hideMark/>
          </w:tcPr>
          <w:p w14:paraId="3AED14C3" w14:textId="77777777" w:rsidR="002F5D47" w:rsidRPr="007933E2" w:rsidRDefault="002F5D47" w:rsidP="00C04359">
            <w:pPr>
              <w:rPr>
                <w:rFonts w:ascii="Calibri" w:eastAsia="Times New Roman" w:hAnsi="Calibri" w:cs="Times New Roman"/>
                <w:color w:val="000000"/>
                <w:sz w:val="20"/>
                <w:szCs w:val="20"/>
              </w:rPr>
            </w:pPr>
          </w:p>
        </w:tc>
      </w:tr>
      <w:tr w:rsidR="002F5D47" w:rsidRPr="007933E2" w14:paraId="7425702D" w14:textId="77777777" w:rsidTr="00E30957">
        <w:trPr>
          <w:trHeight w:val="280"/>
        </w:trPr>
        <w:tc>
          <w:tcPr>
            <w:tcW w:w="11862" w:type="dxa"/>
            <w:gridSpan w:val="9"/>
            <w:vMerge/>
            <w:tcBorders>
              <w:top w:val="nil"/>
              <w:left w:val="nil"/>
              <w:bottom w:val="nil"/>
              <w:right w:val="nil"/>
            </w:tcBorders>
            <w:vAlign w:val="center"/>
            <w:hideMark/>
          </w:tcPr>
          <w:p w14:paraId="6C903A9C" w14:textId="77777777" w:rsidR="002F5D47" w:rsidRPr="007933E2" w:rsidRDefault="002F5D47" w:rsidP="00C04359">
            <w:pPr>
              <w:rPr>
                <w:rFonts w:ascii="Calibri" w:eastAsia="Times New Roman" w:hAnsi="Calibri" w:cs="Times New Roman"/>
                <w:color w:val="000000"/>
                <w:sz w:val="20"/>
                <w:szCs w:val="20"/>
              </w:rPr>
            </w:pPr>
          </w:p>
        </w:tc>
      </w:tr>
      <w:tr w:rsidR="002F5D47" w:rsidRPr="007933E2" w14:paraId="40471AA2" w14:textId="77777777" w:rsidTr="00E30957">
        <w:trPr>
          <w:trHeight w:val="280"/>
        </w:trPr>
        <w:tc>
          <w:tcPr>
            <w:tcW w:w="11862" w:type="dxa"/>
            <w:gridSpan w:val="9"/>
            <w:vMerge/>
            <w:tcBorders>
              <w:top w:val="nil"/>
              <w:left w:val="nil"/>
              <w:bottom w:val="nil"/>
              <w:right w:val="nil"/>
            </w:tcBorders>
            <w:vAlign w:val="center"/>
            <w:hideMark/>
          </w:tcPr>
          <w:p w14:paraId="5B4D51C7" w14:textId="77777777" w:rsidR="002F5D47" w:rsidRPr="007933E2" w:rsidRDefault="002F5D47" w:rsidP="00C04359">
            <w:pPr>
              <w:rPr>
                <w:rFonts w:ascii="Calibri" w:eastAsia="Times New Roman" w:hAnsi="Calibri" w:cs="Times New Roman"/>
                <w:color w:val="000000"/>
                <w:sz w:val="20"/>
                <w:szCs w:val="20"/>
              </w:rPr>
            </w:pPr>
          </w:p>
        </w:tc>
      </w:tr>
    </w:tbl>
    <w:tbl>
      <w:tblPr>
        <w:tblpPr w:leftFromText="180" w:rightFromText="180" w:vertAnchor="text" w:horzAnchor="margin" w:tblpXSpec="center" w:tblpY="-209"/>
        <w:tblW w:w="11862" w:type="dxa"/>
        <w:tblLayout w:type="fixed"/>
        <w:tblLook w:val="04A0" w:firstRow="1" w:lastRow="0" w:firstColumn="1" w:lastColumn="0" w:noHBand="0" w:noVBand="1"/>
      </w:tblPr>
      <w:tblGrid>
        <w:gridCol w:w="1530"/>
        <w:gridCol w:w="1266"/>
        <w:gridCol w:w="1266"/>
        <w:gridCol w:w="1326"/>
        <w:gridCol w:w="1326"/>
        <w:gridCol w:w="1419"/>
        <w:gridCol w:w="1419"/>
        <w:gridCol w:w="1158"/>
        <w:gridCol w:w="1152"/>
      </w:tblGrid>
      <w:tr w:rsidR="003F3FFC" w:rsidRPr="00C83E27" w14:paraId="05D4B7C6" w14:textId="77777777" w:rsidTr="003F3FFC">
        <w:trPr>
          <w:trHeight w:val="580"/>
        </w:trPr>
        <w:tc>
          <w:tcPr>
            <w:tcW w:w="11862" w:type="dxa"/>
            <w:gridSpan w:val="9"/>
            <w:tcBorders>
              <w:top w:val="nil"/>
              <w:left w:val="nil"/>
              <w:bottom w:val="single" w:sz="8" w:space="0" w:color="auto"/>
              <w:right w:val="nil"/>
            </w:tcBorders>
            <w:shd w:val="clear" w:color="auto" w:fill="auto"/>
            <w:vAlign w:val="center"/>
            <w:hideMark/>
          </w:tcPr>
          <w:p w14:paraId="37A9BD6C" w14:textId="77777777" w:rsidR="003F3FFC" w:rsidRPr="000701CF" w:rsidRDefault="003F3FFC" w:rsidP="003F3FFC">
            <w:pPr>
              <w:tabs>
                <w:tab w:val="left" w:pos="1332"/>
              </w:tabs>
              <w:jc w:val="center"/>
              <w:rPr>
                <w:rFonts w:eastAsia="Times New Roman" w:cs="Times New Roman"/>
                <w:b/>
                <w:bCs/>
                <w:color w:val="000000"/>
              </w:rPr>
            </w:pPr>
            <w:r w:rsidRPr="000701CF">
              <w:rPr>
                <w:rFonts w:eastAsia="Times New Roman" w:cs="Times New Roman"/>
                <w:b/>
                <w:bCs/>
                <w:color w:val="000000"/>
              </w:rPr>
              <w:lastRenderedPageBreak/>
              <w:t>Table 6</w:t>
            </w:r>
            <w:r w:rsidRPr="000701CF">
              <w:rPr>
                <w:rFonts w:eastAsia="Times New Roman" w:cs="Times New Roman"/>
                <w:b/>
                <w:bCs/>
                <w:color w:val="000000"/>
              </w:rPr>
              <w:br/>
              <w:t>1 Year Difference-in-Differences Placebo Test for 2002</w:t>
            </w:r>
          </w:p>
        </w:tc>
      </w:tr>
      <w:tr w:rsidR="003F3FFC" w:rsidRPr="00C83E27" w14:paraId="0DF2F859" w14:textId="77777777" w:rsidTr="003F3FFC">
        <w:trPr>
          <w:trHeight w:val="280"/>
        </w:trPr>
        <w:tc>
          <w:tcPr>
            <w:tcW w:w="1530" w:type="dxa"/>
            <w:tcBorders>
              <w:top w:val="nil"/>
              <w:left w:val="nil"/>
              <w:bottom w:val="nil"/>
              <w:right w:val="nil"/>
            </w:tcBorders>
            <w:shd w:val="clear" w:color="auto" w:fill="auto"/>
            <w:noWrap/>
            <w:vAlign w:val="bottom"/>
            <w:hideMark/>
          </w:tcPr>
          <w:p w14:paraId="4C9ACABF" w14:textId="77777777" w:rsidR="003F3FFC" w:rsidRPr="00C83E27" w:rsidRDefault="003F3FFC" w:rsidP="003F3FFC">
            <w:pPr>
              <w:tabs>
                <w:tab w:val="left" w:pos="1332"/>
              </w:tabs>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6960D47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w:t>
            </w:r>
          </w:p>
        </w:tc>
        <w:tc>
          <w:tcPr>
            <w:tcW w:w="1266" w:type="dxa"/>
            <w:tcBorders>
              <w:top w:val="nil"/>
              <w:left w:val="nil"/>
              <w:bottom w:val="nil"/>
              <w:right w:val="nil"/>
            </w:tcBorders>
            <w:shd w:val="clear" w:color="auto" w:fill="auto"/>
            <w:noWrap/>
            <w:vAlign w:val="bottom"/>
            <w:hideMark/>
          </w:tcPr>
          <w:p w14:paraId="42C45D6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w:t>
            </w:r>
          </w:p>
        </w:tc>
        <w:tc>
          <w:tcPr>
            <w:tcW w:w="1326" w:type="dxa"/>
            <w:tcBorders>
              <w:top w:val="nil"/>
              <w:left w:val="nil"/>
              <w:bottom w:val="nil"/>
              <w:right w:val="nil"/>
            </w:tcBorders>
            <w:shd w:val="clear" w:color="auto" w:fill="auto"/>
            <w:noWrap/>
            <w:vAlign w:val="bottom"/>
            <w:hideMark/>
          </w:tcPr>
          <w:p w14:paraId="023F454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w:t>
            </w:r>
          </w:p>
        </w:tc>
        <w:tc>
          <w:tcPr>
            <w:tcW w:w="1326" w:type="dxa"/>
            <w:tcBorders>
              <w:top w:val="nil"/>
              <w:left w:val="nil"/>
              <w:bottom w:val="nil"/>
              <w:right w:val="nil"/>
            </w:tcBorders>
            <w:shd w:val="clear" w:color="auto" w:fill="auto"/>
            <w:noWrap/>
            <w:vAlign w:val="bottom"/>
            <w:hideMark/>
          </w:tcPr>
          <w:p w14:paraId="5050A17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(4)</w:t>
            </w:r>
          </w:p>
        </w:tc>
        <w:tc>
          <w:tcPr>
            <w:tcW w:w="1419" w:type="dxa"/>
            <w:tcBorders>
              <w:top w:val="nil"/>
              <w:left w:val="nil"/>
              <w:bottom w:val="nil"/>
              <w:right w:val="nil"/>
            </w:tcBorders>
            <w:shd w:val="clear" w:color="auto" w:fill="auto"/>
            <w:noWrap/>
            <w:vAlign w:val="bottom"/>
            <w:hideMark/>
          </w:tcPr>
          <w:p w14:paraId="404FE7D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(5)</w:t>
            </w:r>
          </w:p>
        </w:tc>
        <w:tc>
          <w:tcPr>
            <w:tcW w:w="1419" w:type="dxa"/>
            <w:tcBorders>
              <w:top w:val="nil"/>
              <w:left w:val="nil"/>
              <w:bottom w:val="nil"/>
              <w:right w:val="nil"/>
            </w:tcBorders>
            <w:shd w:val="clear" w:color="auto" w:fill="auto"/>
            <w:noWrap/>
            <w:vAlign w:val="bottom"/>
            <w:hideMark/>
          </w:tcPr>
          <w:p w14:paraId="547E131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(6)</w:t>
            </w:r>
          </w:p>
        </w:tc>
        <w:tc>
          <w:tcPr>
            <w:tcW w:w="1158" w:type="dxa"/>
            <w:tcBorders>
              <w:top w:val="nil"/>
              <w:left w:val="nil"/>
              <w:bottom w:val="nil"/>
              <w:right w:val="nil"/>
            </w:tcBorders>
            <w:shd w:val="clear" w:color="auto" w:fill="auto"/>
            <w:noWrap/>
            <w:vAlign w:val="bottom"/>
            <w:hideMark/>
          </w:tcPr>
          <w:p w14:paraId="03B07B4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w:t>
            </w:r>
          </w:p>
        </w:tc>
        <w:tc>
          <w:tcPr>
            <w:tcW w:w="1152" w:type="dxa"/>
            <w:tcBorders>
              <w:top w:val="nil"/>
              <w:left w:val="nil"/>
              <w:bottom w:val="nil"/>
              <w:right w:val="nil"/>
            </w:tcBorders>
            <w:shd w:val="clear" w:color="auto" w:fill="auto"/>
            <w:noWrap/>
            <w:vAlign w:val="bottom"/>
            <w:hideMark/>
          </w:tcPr>
          <w:p w14:paraId="2477408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(8)</w:t>
            </w:r>
          </w:p>
        </w:tc>
      </w:tr>
      <w:tr w:rsidR="003F3FFC" w:rsidRPr="00C83E27" w14:paraId="667D3EF2" w14:textId="77777777" w:rsidTr="003F3FFC">
        <w:trPr>
          <w:trHeight w:val="340"/>
        </w:trPr>
        <w:tc>
          <w:tcPr>
            <w:tcW w:w="1530" w:type="dxa"/>
            <w:tcBorders>
              <w:top w:val="nil"/>
              <w:left w:val="nil"/>
              <w:bottom w:val="nil"/>
              <w:right w:val="nil"/>
            </w:tcBorders>
            <w:shd w:val="clear" w:color="auto" w:fill="auto"/>
            <w:noWrap/>
            <w:vAlign w:val="bottom"/>
            <w:hideMark/>
          </w:tcPr>
          <w:p w14:paraId="3D2E337E"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Pollutant</w:t>
            </w:r>
          </w:p>
        </w:tc>
        <w:tc>
          <w:tcPr>
            <w:tcW w:w="1266" w:type="dxa"/>
            <w:tcBorders>
              <w:top w:val="nil"/>
              <w:left w:val="nil"/>
              <w:bottom w:val="nil"/>
              <w:right w:val="nil"/>
            </w:tcBorders>
            <w:shd w:val="clear" w:color="auto" w:fill="auto"/>
            <w:noWrap/>
            <w:vAlign w:val="bottom"/>
            <w:hideMark/>
          </w:tcPr>
          <w:p w14:paraId="307A355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CO</w:t>
            </w:r>
          </w:p>
        </w:tc>
        <w:tc>
          <w:tcPr>
            <w:tcW w:w="1266" w:type="dxa"/>
            <w:tcBorders>
              <w:top w:val="nil"/>
              <w:left w:val="nil"/>
              <w:bottom w:val="nil"/>
              <w:right w:val="nil"/>
            </w:tcBorders>
            <w:shd w:val="clear" w:color="auto" w:fill="auto"/>
            <w:noWrap/>
            <w:vAlign w:val="bottom"/>
            <w:hideMark/>
          </w:tcPr>
          <w:p w14:paraId="5B5D899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CO</w:t>
            </w:r>
          </w:p>
        </w:tc>
        <w:tc>
          <w:tcPr>
            <w:tcW w:w="1326" w:type="dxa"/>
            <w:tcBorders>
              <w:top w:val="nil"/>
              <w:left w:val="nil"/>
              <w:bottom w:val="nil"/>
              <w:right w:val="nil"/>
            </w:tcBorders>
            <w:shd w:val="clear" w:color="auto" w:fill="auto"/>
            <w:noWrap/>
            <w:vAlign w:val="bottom"/>
            <w:hideMark/>
          </w:tcPr>
          <w:p w14:paraId="2E748C7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r w:rsidRPr="00C83E27">
              <w:rPr>
                <w:rFonts w:ascii="Calibri" w:eastAsia="Times New Roman" w:hAnsi="Calibri" w:cs="Times New Roman"/>
                <w:color w:val="000000"/>
                <w:sz w:val="22"/>
                <w:szCs w:val="22"/>
                <w:vertAlign w:val="subscript"/>
              </w:rPr>
              <w:t>2</w:t>
            </w:r>
          </w:p>
        </w:tc>
        <w:tc>
          <w:tcPr>
            <w:tcW w:w="1326" w:type="dxa"/>
            <w:tcBorders>
              <w:top w:val="nil"/>
              <w:left w:val="nil"/>
              <w:bottom w:val="nil"/>
              <w:right w:val="nil"/>
            </w:tcBorders>
            <w:shd w:val="clear" w:color="auto" w:fill="auto"/>
            <w:noWrap/>
            <w:vAlign w:val="bottom"/>
            <w:hideMark/>
          </w:tcPr>
          <w:p w14:paraId="483EBCC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r w:rsidRPr="00C83E27">
              <w:rPr>
                <w:rFonts w:ascii="Calibri" w:eastAsia="Times New Roman" w:hAnsi="Calibri" w:cs="Times New Roman"/>
                <w:color w:val="000000"/>
                <w:sz w:val="22"/>
                <w:szCs w:val="22"/>
                <w:vertAlign w:val="subscript"/>
              </w:rPr>
              <w:t>2</w:t>
            </w:r>
          </w:p>
        </w:tc>
        <w:tc>
          <w:tcPr>
            <w:tcW w:w="1419" w:type="dxa"/>
            <w:tcBorders>
              <w:top w:val="nil"/>
              <w:left w:val="nil"/>
              <w:bottom w:val="nil"/>
              <w:right w:val="nil"/>
            </w:tcBorders>
            <w:shd w:val="clear" w:color="auto" w:fill="auto"/>
            <w:noWrap/>
            <w:vAlign w:val="bottom"/>
            <w:hideMark/>
          </w:tcPr>
          <w:p w14:paraId="29DCF39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r w:rsidRPr="00C83E27">
              <w:rPr>
                <w:rFonts w:ascii="Calibri" w:eastAsia="Times New Roman" w:hAnsi="Calibri" w:cs="Times New Roman"/>
                <w:color w:val="000000"/>
                <w:sz w:val="22"/>
                <w:szCs w:val="22"/>
                <w:vertAlign w:val="subscript"/>
              </w:rPr>
              <w:t>x</w:t>
            </w:r>
          </w:p>
        </w:tc>
        <w:tc>
          <w:tcPr>
            <w:tcW w:w="1419" w:type="dxa"/>
            <w:tcBorders>
              <w:top w:val="nil"/>
              <w:left w:val="nil"/>
              <w:bottom w:val="nil"/>
              <w:right w:val="nil"/>
            </w:tcBorders>
            <w:shd w:val="clear" w:color="auto" w:fill="auto"/>
            <w:noWrap/>
            <w:vAlign w:val="bottom"/>
            <w:hideMark/>
          </w:tcPr>
          <w:p w14:paraId="1C78A9E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r w:rsidRPr="00C83E27">
              <w:rPr>
                <w:rFonts w:ascii="Calibri" w:eastAsia="Times New Roman" w:hAnsi="Calibri" w:cs="Times New Roman"/>
                <w:color w:val="000000"/>
                <w:sz w:val="22"/>
                <w:szCs w:val="22"/>
                <w:vertAlign w:val="subscript"/>
              </w:rPr>
              <w:t>x</w:t>
            </w:r>
          </w:p>
        </w:tc>
        <w:tc>
          <w:tcPr>
            <w:tcW w:w="1158" w:type="dxa"/>
            <w:tcBorders>
              <w:top w:val="nil"/>
              <w:left w:val="nil"/>
              <w:bottom w:val="nil"/>
              <w:right w:val="nil"/>
            </w:tcBorders>
            <w:shd w:val="clear" w:color="auto" w:fill="auto"/>
            <w:noWrap/>
            <w:vAlign w:val="bottom"/>
            <w:hideMark/>
          </w:tcPr>
          <w:p w14:paraId="5C1B3E3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O</w:t>
            </w:r>
            <w:r w:rsidRPr="00C83E27">
              <w:rPr>
                <w:rFonts w:ascii="Calibri" w:eastAsia="Times New Roman" w:hAnsi="Calibri" w:cs="Times New Roman"/>
                <w:color w:val="000000"/>
                <w:sz w:val="22"/>
                <w:szCs w:val="22"/>
                <w:vertAlign w:val="subscript"/>
              </w:rPr>
              <w:t>3</w:t>
            </w:r>
          </w:p>
        </w:tc>
        <w:tc>
          <w:tcPr>
            <w:tcW w:w="1152" w:type="dxa"/>
            <w:tcBorders>
              <w:top w:val="nil"/>
              <w:left w:val="nil"/>
              <w:bottom w:val="nil"/>
              <w:right w:val="nil"/>
            </w:tcBorders>
            <w:shd w:val="clear" w:color="auto" w:fill="auto"/>
            <w:noWrap/>
            <w:vAlign w:val="bottom"/>
            <w:hideMark/>
          </w:tcPr>
          <w:p w14:paraId="1C2F87E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O</w:t>
            </w:r>
            <w:r w:rsidRPr="00C83E27">
              <w:rPr>
                <w:rFonts w:ascii="Calibri" w:eastAsia="Times New Roman" w:hAnsi="Calibri" w:cs="Times New Roman"/>
                <w:color w:val="000000"/>
                <w:sz w:val="22"/>
                <w:szCs w:val="22"/>
                <w:vertAlign w:val="subscript"/>
              </w:rPr>
              <w:t>3</w:t>
            </w:r>
          </w:p>
        </w:tc>
      </w:tr>
      <w:tr w:rsidR="003F3FFC" w:rsidRPr="00C83E27" w14:paraId="42B46827" w14:textId="77777777" w:rsidTr="003F3FFC">
        <w:trPr>
          <w:trHeight w:val="280"/>
        </w:trPr>
        <w:tc>
          <w:tcPr>
            <w:tcW w:w="1530" w:type="dxa"/>
            <w:tcBorders>
              <w:top w:val="single" w:sz="8" w:space="0" w:color="auto"/>
              <w:left w:val="nil"/>
              <w:bottom w:val="nil"/>
              <w:right w:val="nil"/>
            </w:tcBorders>
            <w:shd w:val="clear" w:color="auto" w:fill="auto"/>
            <w:noWrap/>
            <w:vAlign w:val="center"/>
            <w:hideMark/>
          </w:tcPr>
          <w:p w14:paraId="6DE4B330"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266" w:type="dxa"/>
            <w:tcBorders>
              <w:top w:val="single" w:sz="8" w:space="0" w:color="auto"/>
              <w:left w:val="nil"/>
              <w:bottom w:val="nil"/>
              <w:right w:val="nil"/>
            </w:tcBorders>
            <w:shd w:val="clear" w:color="auto" w:fill="auto"/>
            <w:noWrap/>
            <w:vAlign w:val="center"/>
            <w:hideMark/>
          </w:tcPr>
          <w:p w14:paraId="79BB1A2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266" w:type="dxa"/>
            <w:tcBorders>
              <w:top w:val="single" w:sz="8" w:space="0" w:color="auto"/>
              <w:left w:val="nil"/>
              <w:bottom w:val="nil"/>
              <w:right w:val="nil"/>
            </w:tcBorders>
            <w:shd w:val="clear" w:color="auto" w:fill="auto"/>
            <w:noWrap/>
            <w:vAlign w:val="center"/>
            <w:hideMark/>
          </w:tcPr>
          <w:p w14:paraId="19E6D1E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326" w:type="dxa"/>
            <w:tcBorders>
              <w:top w:val="single" w:sz="8" w:space="0" w:color="auto"/>
              <w:left w:val="nil"/>
              <w:bottom w:val="nil"/>
              <w:right w:val="nil"/>
            </w:tcBorders>
            <w:shd w:val="clear" w:color="auto" w:fill="auto"/>
            <w:noWrap/>
            <w:vAlign w:val="center"/>
            <w:hideMark/>
          </w:tcPr>
          <w:p w14:paraId="470EC03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326" w:type="dxa"/>
            <w:tcBorders>
              <w:top w:val="single" w:sz="8" w:space="0" w:color="auto"/>
              <w:left w:val="nil"/>
              <w:bottom w:val="nil"/>
              <w:right w:val="nil"/>
            </w:tcBorders>
            <w:shd w:val="clear" w:color="auto" w:fill="auto"/>
            <w:noWrap/>
            <w:vAlign w:val="center"/>
            <w:hideMark/>
          </w:tcPr>
          <w:p w14:paraId="1BF0D42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419" w:type="dxa"/>
            <w:tcBorders>
              <w:top w:val="single" w:sz="8" w:space="0" w:color="auto"/>
              <w:left w:val="nil"/>
              <w:bottom w:val="nil"/>
              <w:right w:val="nil"/>
            </w:tcBorders>
            <w:shd w:val="clear" w:color="auto" w:fill="auto"/>
            <w:noWrap/>
            <w:vAlign w:val="center"/>
            <w:hideMark/>
          </w:tcPr>
          <w:p w14:paraId="01078B4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419" w:type="dxa"/>
            <w:tcBorders>
              <w:top w:val="single" w:sz="8" w:space="0" w:color="auto"/>
              <w:left w:val="nil"/>
              <w:bottom w:val="nil"/>
              <w:right w:val="nil"/>
            </w:tcBorders>
            <w:shd w:val="clear" w:color="auto" w:fill="auto"/>
            <w:noWrap/>
            <w:vAlign w:val="center"/>
            <w:hideMark/>
          </w:tcPr>
          <w:p w14:paraId="1977C61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158" w:type="dxa"/>
            <w:tcBorders>
              <w:top w:val="single" w:sz="8" w:space="0" w:color="auto"/>
              <w:left w:val="nil"/>
              <w:bottom w:val="nil"/>
              <w:right w:val="nil"/>
            </w:tcBorders>
            <w:shd w:val="clear" w:color="auto" w:fill="auto"/>
            <w:noWrap/>
            <w:vAlign w:val="center"/>
            <w:hideMark/>
          </w:tcPr>
          <w:p w14:paraId="22F828C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c>
          <w:tcPr>
            <w:tcW w:w="1152" w:type="dxa"/>
            <w:tcBorders>
              <w:top w:val="single" w:sz="8" w:space="0" w:color="auto"/>
              <w:left w:val="nil"/>
              <w:bottom w:val="nil"/>
              <w:right w:val="nil"/>
            </w:tcBorders>
            <w:shd w:val="clear" w:color="auto" w:fill="auto"/>
            <w:noWrap/>
            <w:vAlign w:val="center"/>
            <w:hideMark/>
          </w:tcPr>
          <w:p w14:paraId="2540D19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t>
            </w:r>
          </w:p>
        </w:tc>
      </w:tr>
      <w:tr w:rsidR="003F3FFC" w:rsidRPr="00C83E27" w14:paraId="7069127F" w14:textId="77777777" w:rsidTr="003F3FFC">
        <w:trPr>
          <w:trHeight w:val="280"/>
        </w:trPr>
        <w:tc>
          <w:tcPr>
            <w:tcW w:w="1530" w:type="dxa"/>
            <w:tcBorders>
              <w:top w:val="nil"/>
              <w:left w:val="nil"/>
              <w:bottom w:val="nil"/>
              <w:right w:val="nil"/>
            </w:tcBorders>
            <w:shd w:val="clear" w:color="auto" w:fill="auto"/>
            <w:noWrap/>
            <w:vAlign w:val="center"/>
            <w:hideMark/>
          </w:tcPr>
          <w:p w14:paraId="1E0C7267"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Strike × Treat</w:t>
            </w:r>
          </w:p>
        </w:tc>
        <w:tc>
          <w:tcPr>
            <w:tcW w:w="1266" w:type="dxa"/>
            <w:tcBorders>
              <w:top w:val="nil"/>
              <w:left w:val="nil"/>
              <w:bottom w:val="nil"/>
              <w:right w:val="nil"/>
            </w:tcBorders>
            <w:shd w:val="clear" w:color="auto" w:fill="auto"/>
            <w:noWrap/>
            <w:vAlign w:val="bottom"/>
            <w:hideMark/>
          </w:tcPr>
          <w:p w14:paraId="5E8DAD7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-0.082</w:t>
            </w:r>
          </w:p>
        </w:tc>
        <w:tc>
          <w:tcPr>
            <w:tcW w:w="1266" w:type="dxa"/>
            <w:tcBorders>
              <w:top w:val="nil"/>
              <w:left w:val="nil"/>
              <w:bottom w:val="nil"/>
              <w:right w:val="nil"/>
            </w:tcBorders>
            <w:shd w:val="clear" w:color="auto" w:fill="auto"/>
            <w:noWrap/>
            <w:vAlign w:val="bottom"/>
            <w:hideMark/>
          </w:tcPr>
          <w:p w14:paraId="7C45669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-0.087</w:t>
            </w:r>
          </w:p>
        </w:tc>
        <w:tc>
          <w:tcPr>
            <w:tcW w:w="1326" w:type="dxa"/>
            <w:tcBorders>
              <w:top w:val="nil"/>
              <w:left w:val="nil"/>
              <w:bottom w:val="nil"/>
              <w:right w:val="nil"/>
            </w:tcBorders>
            <w:shd w:val="clear" w:color="auto" w:fill="auto"/>
            <w:noWrap/>
            <w:vAlign w:val="bottom"/>
            <w:hideMark/>
          </w:tcPr>
          <w:p w14:paraId="0D7E2C1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-0.308</w:t>
            </w:r>
          </w:p>
        </w:tc>
        <w:tc>
          <w:tcPr>
            <w:tcW w:w="1326" w:type="dxa"/>
            <w:tcBorders>
              <w:top w:val="nil"/>
              <w:left w:val="nil"/>
              <w:bottom w:val="nil"/>
              <w:right w:val="nil"/>
            </w:tcBorders>
            <w:shd w:val="clear" w:color="auto" w:fill="auto"/>
            <w:noWrap/>
            <w:vAlign w:val="bottom"/>
            <w:hideMark/>
          </w:tcPr>
          <w:p w14:paraId="3C6F2C4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-0.539</w:t>
            </w:r>
          </w:p>
        </w:tc>
        <w:tc>
          <w:tcPr>
            <w:tcW w:w="1419" w:type="dxa"/>
            <w:tcBorders>
              <w:top w:val="nil"/>
              <w:left w:val="nil"/>
              <w:bottom w:val="nil"/>
              <w:right w:val="nil"/>
            </w:tcBorders>
            <w:shd w:val="clear" w:color="auto" w:fill="auto"/>
            <w:noWrap/>
            <w:vAlign w:val="bottom"/>
            <w:hideMark/>
          </w:tcPr>
          <w:p w14:paraId="10026E2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-20.028***</w:t>
            </w:r>
          </w:p>
        </w:tc>
        <w:tc>
          <w:tcPr>
            <w:tcW w:w="1419" w:type="dxa"/>
            <w:tcBorders>
              <w:top w:val="nil"/>
              <w:left w:val="nil"/>
              <w:bottom w:val="nil"/>
              <w:right w:val="nil"/>
            </w:tcBorders>
            <w:shd w:val="clear" w:color="auto" w:fill="auto"/>
            <w:noWrap/>
            <w:vAlign w:val="bottom"/>
            <w:hideMark/>
          </w:tcPr>
          <w:p w14:paraId="4849414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-21.001***</w:t>
            </w:r>
          </w:p>
        </w:tc>
        <w:tc>
          <w:tcPr>
            <w:tcW w:w="1158" w:type="dxa"/>
            <w:tcBorders>
              <w:top w:val="nil"/>
              <w:left w:val="nil"/>
              <w:bottom w:val="nil"/>
              <w:right w:val="nil"/>
            </w:tcBorders>
            <w:shd w:val="clear" w:color="auto" w:fill="auto"/>
            <w:noWrap/>
            <w:vAlign w:val="bottom"/>
            <w:hideMark/>
          </w:tcPr>
          <w:p w14:paraId="3D5B5DC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-0.006**</w:t>
            </w:r>
          </w:p>
        </w:tc>
        <w:tc>
          <w:tcPr>
            <w:tcW w:w="1152" w:type="dxa"/>
            <w:tcBorders>
              <w:top w:val="nil"/>
              <w:left w:val="nil"/>
              <w:bottom w:val="nil"/>
              <w:right w:val="nil"/>
            </w:tcBorders>
            <w:shd w:val="clear" w:color="auto" w:fill="auto"/>
            <w:noWrap/>
            <w:vAlign w:val="bottom"/>
            <w:hideMark/>
          </w:tcPr>
          <w:p w14:paraId="752A3CB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-0.005**</w:t>
            </w:r>
          </w:p>
        </w:tc>
      </w:tr>
      <w:tr w:rsidR="003F3FFC" w:rsidRPr="00C83E27" w14:paraId="206A5B87" w14:textId="77777777" w:rsidTr="003F3FFC">
        <w:trPr>
          <w:trHeight w:val="300"/>
        </w:trPr>
        <w:tc>
          <w:tcPr>
            <w:tcW w:w="1530" w:type="dxa"/>
            <w:tcBorders>
              <w:top w:val="nil"/>
              <w:left w:val="nil"/>
              <w:bottom w:val="nil"/>
              <w:right w:val="nil"/>
            </w:tcBorders>
            <w:shd w:val="clear" w:color="auto" w:fill="auto"/>
            <w:noWrap/>
            <w:vAlign w:val="bottom"/>
            <w:hideMark/>
          </w:tcPr>
          <w:p w14:paraId="09F78B73"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78AD713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(0.097)</w:t>
            </w:r>
          </w:p>
        </w:tc>
        <w:tc>
          <w:tcPr>
            <w:tcW w:w="1266" w:type="dxa"/>
            <w:tcBorders>
              <w:top w:val="nil"/>
              <w:left w:val="nil"/>
              <w:bottom w:val="nil"/>
              <w:right w:val="nil"/>
            </w:tcBorders>
            <w:shd w:val="clear" w:color="auto" w:fill="auto"/>
            <w:noWrap/>
            <w:vAlign w:val="bottom"/>
            <w:hideMark/>
          </w:tcPr>
          <w:p w14:paraId="30DE801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(0.098)</w:t>
            </w:r>
          </w:p>
        </w:tc>
        <w:tc>
          <w:tcPr>
            <w:tcW w:w="1326" w:type="dxa"/>
            <w:tcBorders>
              <w:top w:val="nil"/>
              <w:left w:val="nil"/>
              <w:bottom w:val="nil"/>
              <w:right w:val="nil"/>
            </w:tcBorders>
            <w:shd w:val="clear" w:color="auto" w:fill="auto"/>
            <w:noWrap/>
            <w:vAlign w:val="bottom"/>
            <w:hideMark/>
          </w:tcPr>
          <w:p w14:paraId="62E5A6A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(2.161)</w:t>
            </w:r>
          </w:p>
        </w:tc>
        <w:tc>
          <w:tcPr>
            <w:tcW w:w="1326" w:type="dxa"/>
            <w:tcBorders>
              <w:top w:val="nil"/>
              <w:left w:val="nil"/>
              <w:bottom w:val="nil"/>
              <w:right w:val="nil"/>
            </w:tcBorders>
            <w:shd w:val="clear" w:color="auto" w:fill="auto"/>
            <w:noWrap/>
            <w:vAlign w:val="bottom"/>
            <w:hideMark/>
          </w:tcPr>
          <w:p w14:paraId="1F3872B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(2.216)</w:t>
            </w:r>
          </w:p>
        </w:tc>
        <w:tc>
          <w:tcPr>
            <w:tcW w:w="1419" w:type="dxa"/>
            <w:tcBorders>
              <w:top w:val="nil"/>
              <w:left w:val="nil"/>
              <w:bottom w:val="nil"/>
              <w:right w:val="nil"/>
            </w:tcBorders>
            <w:shd w:val="clear" w:color="auto" w:fill="auto"/>
            <w:noWrap/>
            <w:vAlign w:val="bottom"/>
            <w:hideMark/>
          </w:tcPr>
          <w:p w14:paraId="5395F34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(7.075)</w:t>
            </w:r>
          </w:p>
        </w:tc>
        <w:tc>
          <w:tcPr>
            <w:tcW w:w="1419" w:type="dxa"/>
            <w:tcBorders>
              <w:top w:val="nil"/>
              <w:left w:val="nil"/>
              <w:bottom w:val="nil"/>
              <w:right w:val="nil"/>
            </w:tcBorders>
            <w:shd w:val="clear" w:color="auto" w:fill="auto"/>
            <w:noWrap/>
            <w:vAlign w:val="bottom"/>
            <w:hideMark/>
          </w:tcPr>
          <w:p w14:paraId="3AA3D7D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(7.147)</w:t>
            </w:r>
          </w:p>
        </w:tc>
        <w:tc>
          <w:tcPr>
            <w:tcW w:w="1158" w:type="dxa"/>
            <w:tcBorders>
              <w:top w:val="nil"/>
              <w:left w:val="nil"/>
              <w:bottom w:val="nil"/>
              <w:right w:val="nil"/>
            </w:tcBorders>
            <w:shd w:val="clear" w:color="auto" w:fill="auto"/>
            <w:noWrap/>
            <w:vAlign w:val="bottom"/>
            <w:hideMark/>
          </w:tcPr>
          <w:p w14:paraId="3A9C518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(0.002)</w:t>
            </w:r>
          </w:p>
        </w:tc>
        <w:tc>
          <w:tcPr>
            <w:tcW w:w="1152" w:type="dxa"/>
            <w:tcBorders>
              <w:top w:val="nil"/>
              <w:left w:val="nil"/>
              <w:bottom w:val="nil"/>
              <w:right w:val="nil"/>
            </w:tcBorders>
            <w:shd w:val="clear" w:color="auto" w:fill="auto"/>
            <w:noWrap/>
            <w:vAlign w:val="bottom"/>
            <w:hideMark/>
          </w:tcPr>
          <w:p w14:paraId="19EFD27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(0.002)</w:t>
            </w:r>
          </w:p>
        </w:tc>
      </w:tr>
      <w:tr w:rsidR="003F3FFC" w:rsidRPr="00C83E27" w14:paraId="12523713" w14:textId="77777777" w:rsidTr="003F3FFC">
        <w:trPr>
          <w:trHeight w:val="300"/>
        </w:trPr>
        <w:tc>
          <w:tcPr>
            <w:tcW w:w="1530" w:type="dxa"/>
            <w:tcBorders>
              <w:top w:val="nil"/>
              <w:left w:val="nil"/>
              <w:bottom w:val="nil"/>
              <w:right w:val="nil"/>
            </w:tcBorders>
            <w:shd w:val="clear" w:color="auto" w:fill="auto"/>
            <w:noWrap/>
            <w:vAlign w:val="bottom"/>
            <w:hideMark/>
          </w:tcPr>
          <w:p w14:paraId="2B460F47"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39C4EA5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525ED36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1AE0574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2B802DB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6F6745F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67F3BED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0CED1B3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7F3AEAE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7E92BE7D" w14:textId="77777777" w:rsidTr="003F3FFC">
        <w:trPr>
          <w:trHeight w:val="280"/>
        </w:trPr>
        <w:tc>
          <w:tcPr>
            <w:tcW w:w="1530" w:type="dxa"/>
            <w:tcBorders>
              <w:top w:val="nil"/>
              <w:left w:val="nil"/>
              <w:bottom w:val="nil"/>
              <w:right w:val="nil"/>
            </w:tcBorders>
            <w:shd w:val="clear" w:color="auto" w:fill="auto"/>
            <w:noWrap/>
            <w:vAlign w:val="center"/>
            <w:hideMark/>
          </w:tcPr>
          <w:p w14:paraId="77178C52"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Treat</w:t>
            </w:r>
          </w:p>
        </w:tc>
        <w:tc>
          <w:tcPr>
            <w:tcW w:w="1266" w:type="dxa"/>
            <w:tcBorders>
              <w:top w:val="nil"/>
              <w:left w:val="nil"/>
              <w:bottom w:val="nil"/>
              <w:right w:val="nil"/>
            </w:tcBorders>
            <w:shd w:val="clear" w:color="auto" w:fill="auto"/>
            <w:noWrap/>
            <w:vAlign w:val="bottom"/>
            <w:hideMark/>
          </w:tcPr>
          <w:p w14:paraId="5D6F1D6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0.482***</w:t>
            </w:r>
          </w:p>
        </w:tc>
        <w:tc>
          <w:tcPr>
            <w:tcW w:w="1266" w:type="dxa"/>
            <w:tcBorders>
              <w:top w:val="nil"/>
              <w:left w:val="nil"/>
              <w:bottom w:val="nil"/>
              <w:right w:val="nil"/>
            </w:tcBorders>
            <w:shd w:val="clear" w:color="auto" w:fill="auto"/>
            <w:noWrap/>
            <w:vAlign w:val="bottom"/>
            <w:hideMark/>
          </w:tcPr>
          <w:p w14:paraId="0AC6C1D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0.300***</w:t>
            </w:r>
          </w:p>
        </w:tc>
        <w:tc>
          <w:tcPr>
            <w:tcW w:w="1326" w:type="dxa"/>
            <w:tcBorders>
              <w:top w:val="nil"/>
              <w:left w:val="nil"/>
              <w:bottom w:val="nil"/>
              <w:right w:val="nil"/>
            </w:tcBorders>
            <w:shd w:val="clear" w:color="auto" w:fill="auto"/>
            <w:noWrap/>
            <w:vAlign w:val="bottom"/>
            <w:hideMark/>
          </w:tcPr>
          <w:p w14:paraId="060655E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10.666***</w:t>
            </w:r>
          </w:p>
        </w:tc>
        <w:tc>
          <w:tcPr>
            <w:tcW w:w="1326" w:type="dxa"/>
            <w:tcBorders>
              <w:top w:val="nil"/>
              <w:left w:val="nil"/>
              <w:bottom w:val="nil"/>
              <w:right w:val="nil"/>
            </w:tcBorders>
            <w:shd w:val="clear" w:color="auto" w:fill="auto"/>
            <w:noWrap/>
            <w:vAlign w:val="bottom"/>
            <w:hideMark/>
          </w:tcPr>
          <w:p w14:paraId="3C19623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7.387***</w:t>
            </w:r>
          </w:p>
        </w:tc>
        <w:tc>
          <w:tcPr>
            <w:tcW w:w="1419" w:type="dxa"/>
            <w:tcBorders>
              <w:top w:val="nil"/>
              <w:left w:val="nil"/>
              <w:bottom w:val="nil"/>
              <w:right w:val="nil"/>
            </w:tcBorders>
            <w:shd w:val="clear" w:color="auto" w:fill="auto"/>
            <w:noWrap/>
            <w:vAlign w:val="bottom"/>
            <w:hideMark/>
          </w:tcPr>
          <w:p w14:paraId="34DAC5A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36.304***</w:t>
            </w:r>
          </w:p>
        </w:tc>
        <w:tc>
          <w:tcPr>
            <w:tcW w:w="1419" w:type="dxa"/>
            <w:tcBorders>
              <w:top w:val="nil"/>
              <w:left w:val="nil"/>
              <w:bottom w:val="nil"/>
              <w:right w:val="nil"/>
            </w:tcBorders>
            <w:shd w:val="clear" w:color="auto" w:fill="auto"/>
            <w:noWrap/>
            <w:vAlign w:val="bottom"/>
            <w:hideMark/>
          </w:tcPr>
          <w:p w14:paraId="47DC9AE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26.551***</w:t>
            </w:r>
          </w:p>
        </w:tc>
        <w:tc>
          <w:tcPr>
            <w:tcW w:w="1158" w:type="dxa"/>
            <w:tcBorders>
              <w:top w:val="nil"/>
              <w:left w:val="nil"/>
              <w:bottom w:val="nil"/>
              <w:right w:val="nil"/>
            </w:tcBorders>
            <w:shd w:val="clear" w:color="auto" w:fill="auto"/>
            <w:noWrap/>
            <w:vAlign w:val="bottom"/>
            <w:hideMark/>
          </w:tcPr>
          <w:p w14:paraId="752FCC4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-0.008***</w:t>
            </w:r>
          </w:p>
        </w:tc>
        <w:tc>
          <w:tcPr>
            <w:tcW w:w="1152" w:type="dxa"/>
            <w:tcBorders>
              <w:top w:val="nil"/>
              <w:left w:val="nil"/>
              <w:bottom w:val="nil"/>
              <w:right w:val="nil"/>
            </w:tcBorders>
            <w:shd w:val="clear" w:color="auto" w:fill="auto"/>
            <w:noWrap/>
            <w:vAlign w:val="bottom"/>
            <w:hideMark/>
          </w:tcPr>
          <w:p w14:paraId="45BCFF1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-0.020***</w:t>
            </w:r>
          </w:p>
        </w:tc>
      </w:tr>
      <w:tr w:rsidR="003F3FFC" w:rsidRPr="00C83E27" w14:paraId="7B43DE59" w14:textId="77777777" w:rsidTr="003F3FFC">
        <w:trPr>
          <w:trHeight w:val="300"/>
        </w:trPr>
        <w:tc>
          <w:tcPr>
            <w:tcW w:w="1530" w:type="dxa"/>
            <w:tcBorders>
              <w:top w:val="nil"/>
              <w:left w:val="nil"/>
              <w:bottom w:val="nil"/>
              <w:right w:val="nil"/>
            </w:tcBorders>
            <w:shd w:val="clear" w:color="auto" w:fill="auto"/>
            <w:noWrap/>
            <w:vAlign w:val="bottom"/>
            <w:hideMark/>
          </w:tcPr>
          <w:p w14:paraId="5EA2B6E5"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234F683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(0.122)</w:t>
            </w:r>
          </w:p>
        </w:tc>
        <w:tc>
          <w:tcPr>
            <w:tcW w:w="1266" w:type="dxa"/>
            <w:tcBorders>
              <w:top w:val="nil"/>
              <w:left w:val="nil"/>
              <w:bottom w:val="nil"/>
              <w:right w:val="nil"/>
            </w:tcBorders>
            <w:shd w:val="clear" w:color="auto" w:fill="auto"/>
            <w:noWrap/>
            <w:vAlign w:val="bottom"/>
            <w:hideMark/>
          </w:tcPr>
          <w:p w14:paraId="385D53C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(0.058)</w:t>
            </w:r>
          </w:p>
        </w:tc>
        <w:tc>
          <w:tcPr>
            <w:tcW w:w="1326" w:type="dxa"/>
            <w:tcBorders>
              <w:top w:val="nil"/>
              <w:left w:val="nil"/>
              <w:bottom w:val="nil"/>
              <w:right w:val="nil"/>
            </w:tcBorders>
            <w:shd w:val="clear" w:color="auto" w:fill="auto"/>
            <w:noWrap/>
            <w:vAlign w:val="bottom"/>
            <w:hideMark/>
          </w:tcPr>
          <w:p w14:paraId="6F63DEA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(1.806)</w:t>
            </w:r>
          </w:p>
        </w:tc>
        <w:tc>
          <w:tcPr>
            <w:tcW w:w="1326" w:type="dxa"/>
            <w:tcBorders>
              <w:top w:val="nil"/>
              <w:left w:val="nil"/>
              <w:bottom w:val="nil"/>
              <w:right w:val="nil"/>
            </w:tcBorders>
            <w:shd w:val="clear" w:color="auto" w:fill="auto"/>
            <w:noWrap/>
            <w:vAlign w:val="bottom"/>
            <w:hideMark/>
          </w:tcPr>
          <w:p w14:paraId="65623D1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(1.251)</w:t>
            </w:r>
          </w:p>
        </w:tc>
        <w:tc>
          <w:tcPr>
            <w:tcW w:w="1419" w:type="dxa"/>
            <w:tcBorders>
              <w:top w:val="nil"/>
              <w:left w:val="nil"/>
              <w:bottom w:val="nil"/>
              <w:right w:val="nil"/>
            </w:tcBorders>
            <w:shd w:val="clear" w:color="auto" w:fill="auto"/>
            <w:noWrap/>
            <w:vAlign w:val="bottom"/>
            <w:hideMark/>
          </w:tcPr>
          <w:p w14:paraId="04CF1FB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(7.925)</w:t>
            </w:r>
          </w:p>
        </w:tc>
        <w:tc>
          <w:tcPr>
            <w:tcW w:w="1419" w:type="dxa"/>
            <w:tcBorders>
              <w:top w:val="nil"/>
              <w:left w:val="nil"/>
              <w:bottom w:val="nil"/>
              <w:right w:val="nil"/>
            </w:tcBorders>
            <w:shd w:val="clear" w:color="auto" w:fill="auto"/>
            <w:noWrap/>
            <w:vAlign w:val="bottom"/>
            <w:hideMark/>
          </w:tcPr>
          <w:p w14:paraId="19012A7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(5.216)</w:t>
            </w:r>
          </w:p>
        </w:tc>
        <w:tc>
          <w:tcPr>
            <w:tcW w:w="1158" w:type="dxa"/>
            <w:tcBorders>
              <w:top w:val="nil"/>
              <w:left w:val="nil"/>
              <w:bottom w:val="nil"/>
              <w:right w:val="nil"/>
            </w:tcBorders>
            <w:shd w:val="clear" w:color="auto" w:fill="auto"/>
            <w:noWrap/>
            <w:vAlign w:val="bottom"/>
            <w:hideMark/>
          </w:tcPr>
          <w:p w14:paraId="5CC7EA4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c>
          <w:tcPr>
            <w:tcW w:w="1152" w:type="dxa"/>
            <w:tcBorders>
              <w:top w:val="nil"/>
              <w:left w:val="nil"/>
              <w:bottom w:val="nil"/>
              <w:right w:val="nil"/>
            </w:tcBorders>
            <w:shd w:val="clear" w:color="auto" w:fill="auto"/>
            <w:noWrap/>
            <w:vAlign w:val="bottom"/>
            <w:hideMark/>
          </w:tcPr>
          <w:p w14:paraId="7C73A31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r>
      <w:tr w:rsidR="003F3FFC" w:rsidRPr="00C83E27" w14:paraId="362F7B5D" w14:textId="77777777" w:rsidTr="003F3FFC">
        <w:trPr>
          <w:trHeight w:val="300"/>
        </w:trPr>
        <w:tc>
          <w:tcPr>
            <w:tcW w:w="1530" w:type="dxa"/>
            <w:tcBorders>
              <w:top w:val="nil"/>
              <w:left w:val="nil"/>
              <w:bottom w:val="nil"/>
              <w:right w:val="nil"/>
            </w:tcBorders>
            <w:shd w:val="clear" w:color="auto" w:fill="auto"/>
            <w:noWrap/>
            <w:vAlign w:val="bottom"/>
            <w:hideMark/>
          </w:tcPr>
          <w:p w14:paraId="75B6036D"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62AE599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55B0E75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EA74EB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382B99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9168ED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1740A0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0BB29D7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5E4FCB1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52A389FE" w14:textId="77777777" w:rsidTr="003F3FFC">
        <w:trPr>
          <w:trHeight w:val="280"/>
        </w:trPr>
        <w:tc>
          <w:tcPr>
            <w:tcW w:w="1530" w:type="dxa"/>
            <w:tcBorders>
              <w:top w:val="nil"/>
              <w:left w:val="nil"/>
              <w:bottom w:val="nil"/>
              <w:right w:val="nil"/>
            </w:tcBorders>
            <w:shd w:val="clear" w:color="auto" w:fill="auto"/>
            <w:noWrap/>
            <w:vAlign w:val="center"/>
            <w:hideMark/>
          </w:tcPr>
          <w:p w14:paraId="569C6D3C"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Strike</w:t>
            </w:r>
          </w:p>
        </w:tc>
        <w:tc>
          <w:tcPr>
            <w:tcW w:w="1266" w:type="dxa"/>
            <w:tcBorders>
              <w:top w:val="nil"/>
              <w:left w:val="nil"/>
              <w:bottom w:val="nil"/>
              <w:right w:val="nil"/>
            </w:tcBorders>
            <w:shd w:val="clear" w:color="auto" w:fill="auto"/>
            <w:noWrap/>
            <w:vAlign w:val="bottom"/>
            <w:hideMark/>
          </w:tcPr>
          <w:p w14:paraId="4A17777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-0.342***</w:t>
            </w:r>
          </w:p>
        </w:tc>
        <w:tc>
          <w:tcPr>
            <w:tcW w:w="1266" w:type="dxa"/>
            <w:tcBorders>
              <w:top w:val="nil"/>
              <w:left w:val="nil"/>
              <w:bottom w:val="nil"/>
              <w:right w:val="nil"/>
            </w:tcBorders>
            <w:shd w:val="clear" w:color="auto" w:fill="auto"/>
            <w:noWrap/>
            <w:vAlign w:val="bottom"/>
            <w:hideMark/>
          </w:tcPr>
          <w:p w14:paraId="014E831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-0.276***</w:t>
            </w:r>
          </w:p>
        </w:tc>
        <w:tc>
          <w:tcPr>
            <w:tcW w:w="1326" w:type="dxa"/>
            <w:tcBorders>
              <w:top w:val="nil"/>
              <w:left w:val="nil"/>
              <w:bottom w:val="nil"/>
              <w:right w:val="nil"/>
            </w:tcBorders>
            <w:shd w:val="clear" w:color="auto" w:fill="auto"/>
            <w:noWrap/>
            <w:vAlign w:val="bottom"/>
            <w:hideMark/>
          </w:tcPr>
          <w:p w14:paraId="3C08F7E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-1.918</w:t>
            </w:r>
          </w:p>
        </w:tc>
        <w:tc>
          <w:tcPr>
            <w:tcW w:w="1326" w:type="dxa"/>
            <w:tcBorders>
              <w:top w:val="nil"/>
              <w:left w:val="nil"/>
              <w:bottom w:val="nil"/>
              <w:right w:val="nil"/>
            </w:tcBorders>
            <w:shd w:val="clear" w:color="auto" w:fill="auto"/>
            <w:noWrap/>
            <w:vAlign w:val="bottom"/>
            <w:hideMark/>
          </w:tcPr>
          <w:p w14:paraId="3F1B493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-3.595**</w:t>
            </w:r>
          </w:p>
        </w:tc>
        <w:tc>
          <w:tcPr>
            <w:tcW w:w="1419" w:type="dxa"/>
            <w:tcBorders>
              <w:top w:val="nil"/>
              <w:left w:val="nil"/>
              <w:bottom w:val="nil"/>
              <w:right w:val="nil"/>
            </w:tcBorders>
            <w:shd w:val="clear" w:color="auto" w:fill="auto"/>
            <w:noWrap/>
            <w:vAlign w:val="bottom"/>
            <w:hideMark/>
          </w:tcPr>
          <w:p w14:paraId="14D572D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-19.364***</w:t>
            </w:r>
          </w:p>
        </w:tc>
        <w:tc>
          <w:tcPr>
            <w:tcW w:w="1419" w:type="dxa"/>
            <w:tcBorders>
              <w:top w:val="nil"/>
              <w:left w:val="nil"/>
              <w:bottom w:val="nil"/>
              <w:right w:val="nil"/>
            </w:tcBorders>
            <w:shd w:val="clear" w:color="auto" w:fill="auto"/>
            <w:noWrap/>
            <w:vAlign w:val="bottom"/>
            <w:hideMark/>
          </w:tcPr>
          <w:p w14:paraId="5BA2849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-15.401***</w:t>
            </w:r>
          </w:p>
        </w:tc>
        <w:tc>
          <w:tcPr>
            <w:tcW w:w="1158" w:type="dxa"/>
            <w:tcBorders>
              <w:top w:val="nil"/>
              <w:left w:val="nil"/>
              <w:bottom w:val="nil"/>
              <w:right w:val="nil"/>
            </w:tcBorders>
            <w:shd w:val="clear" w:color="auto" w:fill="auto"/>
            <w:noWrap/>
            <w:vAlign w:val="bottom"/>
            <w:hideMark/>
          </w:tcPr>
          <w:p w14:paraId="04C60F7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0.011***</w:t>
            </w:r>
          </w:p>
        </w:tc>
        <w:tc>
          <w:tcPr>
            <w:tcW w:w="1152" w:type="dxa"/>
            <w:tcBorders>
              <w:top w:val="nil"/>
              <w:left w:val="nil"/>
              <w:bottom w:val="nil"/>
              <w:right w:val="nil"/>
            </w:tcBorders>
            <w:shd w:val="clear" w:color="auto" w:fill="auto"/>
            <w:noWrap/>
            <w:vAlign w:val="bottom"/>
            <w:hideMark/>
          </w:tcPr>
          <w:p w14:paraId="3D4D1EC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0.008***</w:t>
            </w:r>
          </w:p>
        </w:tc>
      </w:tr>
      <w:tr w:rsidR="003F3FFC" w:rsidRPr="00C83E27" w14:paraId="2FB9A11A" w14:textId="77777777" w:rsidTr="003F3FFC">
        <w:trPr>
          <w:trHeight w:val="300"/>
        </w:trPr>
        <w:tc>
          <w:tcPr>
            <w:tcW w:w="1530" w:type="dxa"/>
            <w:tcBorders>
              <w:top w:val="nil"/>
              <w:left w:val="nil"/>
              <w:bottom w:val="nil"/>
              <w:right w:val="nil"/>
            </w:tcBorders>
            <w:shd w:val="clear" w:color="auto" w:fill="auto"/>
            <w:noWrap/>
            <w:vAlign w:val="bottom"/>
            <w:hideMark/>
          </w:tcPr>
          <w:p w14:paraId="66F1C836"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649AB1E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(0.089)</w:t>
            </w:r>
          </w:p>
        </w:tc>
        <w:tc>
          <w:tcPr>
            <w:tcW w:w="1266" w:type="dxa"/>
            <w:tcBorders>
              <w:top w:val="nil"/>
              <w:left w:val="nil"/>
              <w:bottom w:val="nil"/>
              <w:right w:val="nil"/>
            </w:tcBorders>
            <w:shd w:val="clear" w:color="auto" w:fill="auto"/>
            <w:noWrap/>
            <w:vAlign w:val="bottom"/>
            <w:hideMark/>
          </w:tcPr>
          <w:p w14:paraId="1DA7050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(0.079)</w:t>
            </w:r>
          </w:p>
        </w:tc>
        <w:tc>
          <w:tcPr>
            <w:tcW w:w="1326" w:type="dxa"/>
            <w:tcBorders>
              <w:top w:val="nil"/>
              <w:left w:val="nil"/>
              <w:bottom w:val="nil"/>
              <w:right w:val="nil"/>
            </w:tcBorders>
            <w:shd w:val="clear" w:color="auto" w:fill="auto"/>
            <w:noWrap/>
            <w:vAlign w:val="bottom"/>
            <w:hideMark/>
          </w:tcPr>
          <w:p w14:paraId="2B78431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(1.745)</w:t>
            </w:r>
          </w:p>
        </w:tc>
        <w:tc>
          <w:tcPr>
            <w:tcW w:w="1326" w:type="dxa"/>
            <w:tcBorders>
              <w:top w:val="nil"/>
              <w:left w:val="nil"/>
              <w:bottom w:val="nil"/>
              <w:right w:val="nil"/>
            </w:tcBorders>
            <w:shd w:val="clear" w:color="auto" w:fill="auto"/>
            <w:noWrap/>
            <w:vAlign w:val="bottom"/>
            <w:hideMark/>
          </w:tcPr>
          <w:p w14:paraId="3FB2C4F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(1.580)</w:t>
            </w:r>
          </w:p>
        </w:tc>
        <w:tc>
          <w:tcPr>
            <w:tcW w:w="1419" w:type="dxa"/>
            <w:tcBorders>
              <w:top w:val="nil"/>
              <w:left w:val="nil"/>
              <w:bottom w:val="nil"/>
              <w:right w:val="nil"/>
            </w:tcBorders>
            <w:shd w:val="clear" w:color="auto" w:fill="auto"/>
            <w:noWrap/>
            <w:vAlign w:val="bottom"/>
            <w:hideMark/>
          </w:tcPr>
          <w:p w14:paraId="483BEC8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(6.525)</w:t>
            </w:r>
          </w:p>
        </w:tc>
        <w:tc>
          <w:tcPr>
            <w:tcW w:w="1419" w:type="dxa"/>
            <w:tcBorders>
              <w:top w:val="nil"/>
              <w:left w:val="nil"/>
              <w:bottom w:val="nil"/>
              <w:right w:val="nil"/>
            </w:tcBorders>
            <w:shd w:val="clear" w:color="auto" w:fill="auto"/>
            <w:noWrap/>
            <w:vAlign w:val="bottom"/>
            <w:hideMark/>
          </w:tcPr>
          <w:p w14:paraId="3DED25D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(4.808)</w:t>
            </w:r>
          </w:p>
        </w:tc>
        <w:tc>
          <w:tcPr>
            <w:tcW w:w="1158" w:type="dxa"/>
            <w:tcBorders>
              <w:top w:val="nil"/>
              <w:left w:val="nil"/>
              <w:bottom w:val="nil"/>
              <w:right w:val="nil"/>
            </w:tcBorders>
            <w:shd w:val="clear" w:color="auto" w:fill="auto"/>
            <w:noWrap/>
            <w:vAlign w:val="bottom"/>
            <w:hideMark/>
          </w:tcPr>
          <w:p w14:paraId="4DD0C70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c>
          <w:tcPr>
            <w:tcW w:w="1152" w:type="dxa"/>
            <w:tcBorders>
              <w:top w:val="nil"/>
              <w:left w:val="nil"/>
              <w:bottom w:val="nil"/>
              <w:right w:val="nil"/>
            </w:tcBorders>
            <w:shd w:val="clear" w:color="auto" w:fill="auto"/>
            <w:noWrap/>
            <w:vAlign w:val="bottom"/>
            <w:hideMark/>
          </w:tcPr>
          <w:p w14:paraId="5D7013E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r>
      <w:tr w:rsidR="003F3FFC" w:rsidRPr="00C83E27" w14:paraId="7F223990" w14:textId="77777777" w:rsidTr="003F3FFC">
        <w:trPr>
          <w:trHeight w:val="300"/>
        </w:trPr>
        <w:tc>
          <w:tcPr>
            <w:tcW w:w="1530" w:type="dxa"/>
            <w:tcBorders>
              <w:top w:val="nil"/>
              <w:left w:val="nil"/>
              <w:bottom w:val="nil"/>
              <w:right w:val="nil"/>
            </w:tcBorders>
            <w:shd w:val="clear" w:color="auto" w:fill="auto"/>
            <w:noWrap/>
            <w:vAlign w:val="bottom"/>
            <w:hideMark/>
          </w:tcPr>
          <w:p w14:paraId="7F661DC9"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0B91A2D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6D206DC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101FCE6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2F3CE82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4EA3119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60E767A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28809E0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693A5D8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1A0EA454" w14:textId="77777777" w:rsidTr="003F3FFC">
        <w:trPr>
          <w:trHeight w:val="280"/>
        </w:trPr>
        <w:tc>
          <w:tcPr>
            <w:tcW w:w="1530" w:type="dxa"/>
            <w:tcBorders>
              <w:top w:val="nil"/>
              <w:left w:val="nil"/>
              <w:bottom w:val="nil"/>
              <w:right w:val="nil"/>
            </w:tcBorders>
            <w:shd w:val="clear" w:color="auto" w:fill="auto"/>
            <w:noWrap/>
            <w:vAlign w:val="center"/>
            <w:hideMark/>
          </w:tcPr>
          <w:p w14:paraId="5F073462"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Week</w:t>
            </w:r>
          </w:p>
        </w:tc>
        <w:tc>
          <w:tcPr>
            <w:tcW w:w="1266" w:type="dxa"/>
            <w:tcBorders>
              <w:top w:val="nil"/>
              <w:left w:val="nil"/>
              <w:bottom w:val="nil"/>
              <w:right w:val="nil"/>
            </w:tcBorders>
            <w:shd w:val="clear" w:color="auto" w:fill="auto"/>
            <w:noWrap/>
            <w:vAlign w:val="bottom"/>
            <w:hideMark/>
          </w:tcPr>
          <w:p w14:paraId="3271832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0.006***</w:t>
            </w:r>
          </w:p>
        </w:tc>
        <w:tc>
          <w:tcPr>
            <w:tcW w:w="1266" w:type="dxa"/>
            <w:tcBorders>
              <w:top w:val="nil"/>
              <w:left w:val="nil"/>
              <w:bottom w:val="nil"/>
              <w:right w:val="nil"/>
            </w:tcBorders>
            <w:shd w:val="clear" w:color="auto" w:fill="auto"/>
            <w:noWrap/>
            <w:vAlign w:val="bottom"/>
            <w:hideMark/>
          </w:tcPr>
          <w:p w14:paraId="47C1F43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c>
          <w:tcPr>
            <w:tcW w:w="1326" w:type="dxa"/>
            <w:tcBorders>
              <w:top w:val="nil"/>
              <w:left w:val="nil"/>
              <w:bottom w:val="nil"/>
              <w:right w:val="nil"/>
            </w:tcBorders>
            <w:shd w:val="clear" w:color="auto" w:fill="auto"/>
            <w:noWrap/>
            <w:vAlign w:val="bottom"/>
            <w:hideMark/>
          </w:tcPr>
          <w:p w14:paraId="76C2DBE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0.146***</w:t>
            </w:r>
          </w:p>
        </w:tc>
        <w:tc>
          <w:tcPr>
            <w:tcW w:w="1326" w:type="dxa"/>
            <w:tcBorders>
              <w:top w:val="nil"/>
              <w:left w:val="nil"/>
              <w:bottom w:val="nil"/>
              <w:right w:val="nil"/>
            </w:tcBorders>
            <w:shd w:val="clear" w:color="auto" w:fill="auto"/>
            <w:noWrap/>
            <w:vAlign w:val="bottom"/>
            <w:hideMark/>
          </w:tcPr>
          <w:p w14:paraId="2C7A819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0.312***</w:t>
            </w:r>
          </w:p>
        </w:tc>
        <w:tc>
          <w:tcPr>
            <w:tcW w:w="1419" w:type="dxa"/>
            <w:tcBorders>
              <w:top w:val="nil"/>
              <w:left w:val="nil"/>
              <w:bottom w:val="nil"/>
              <w:right w:val="nil"/>
            </w:tcBorders>
            <w:shd w:val="clear" w:color="auto" w:fill="auto"/>
            <w:noWrap/>
            <w:vAlign w:val="bottom"/>
            <w:hideMark/>
          </w:tcPr>
          <w:p w14:paraId="72CB181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0.407***</w:t>
            </w:r>
          </w:p>
        </w:tc>
        <w:tc>
          <w:tcPr>
            <w:tcW w:w="1419" w:type="dxa"/>
            <w:tcBorders>
              <w:top w:val="nil"/>
              <w:left w:val="nil"/>
              <w:bottom w:val="nil"/>
              <w:right w:val="nil"/>
            </w:tcBorders>
            <w:shd w:val="clear" w:color="auto" w:fill="auto"/>
            <w:noWrap/>
            <w:vAlign w:val="bottom"/>
            <w:hideMark/>
          </w:tcPr>
          <w:p w14:paraId="7468CD3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0.288</w:t>
            </w:r>
          </w:p>
        </w:tc>
        <w:tc>
          <w:tcPr>
            <w:tcW w:w="1158" w:type="dxa"/>
            <w:tcBorders>
              <w:top w:val="nil"/>
              <w:left w:val="nil"/>
              <w:bottom w:val="nil"/>
              <w:right w:val="nil"/>
            </w:tcBorders>
            <w:shd w:val="clear" w:color="auto" w:fill="auto"/>
            <w:noWrap/>
            <w:vAlign w:val="bottom"/>
            <w:hideMark/>
          </w:tcPr>
          <w:p w14:paraId="7396090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c>
          <w:tcPr>
            <w:tcW w:w="1152" w:type="dxa"/>
            <w:tcBorders>
              <w:top w:val="nil"/>
              <w:left w:val="nil"/>
              <w:bottom w:val="nil"/>
              <w:right w:val="nil"/>
            </w:tcBorders>
            <w:shd w:val="clear" w:color="auto" w:fill="auto"/>
            <w:noWrap/>
            <w:vAlign w:val="bottom"/>
            <w:hideMark/>
          </w:tcPr>
          <w:p w14:paraId="5DE44A9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r>
      <w:tr w:rsidR="003F3FFC" w:rsidRPr="00C83E27" w14:paraId="59F4A7B7" w14:textId="77777777" w:rsidTr="003F3FFC">
        <w:trPr>
          <w:trHeight w:val="300"/>
        </w:trPr>
        <w:tc>
          <w:tcPr>
            <w:tcW w:w="1530" w:type="dxa"/>
            <w:tcBorders>
              <w:top w:val="nil"/>
              <w:left w:val="nil"/>
              <w:bottom w:val="nil"/>
              <w:right w:val="nil"/>
            </w:tcBorders>
            <w:shd w:val="clear" w:color="auto" w:fill="auto"/>
            <w:noWrap/>
            <w:vAlign w:val="bottom"/>
            <w:hideMark/>
          </w:tcPr>
          <w:p w14:paraId="3EC2EEB3"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574C2E1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(0.002)</w:t>
            </w:r>
          </w:p>
        </w:tc>
        <w:tc>
          <w:tcPr>
            <w:tcW w:w="1266" w:type="dxa"/>
            <w:tcBorders>
              <w:top w:val="nil"/>
              <w:left w:val="nil"/>
              <w:bottom w:val="nil"/>
              <w:right w:val="nil"/>
            </w:tcBorders>
            <w:shd w:val="clear" w:color="auto" w:fill="auto"/>
            <w:noWrap/>
            <w:vAlign w:val="bottom"/>
            <w:hideMark/>
          </w:tcPr>
          <w:p w14:paraId="20919CE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(0.005)</w:t>
            </w:r>
          </w:p>
        </w:tc>
        <w:tc>
          <w:tcPr>
            <w:tcW w:w="1326" w:type="dxa"/>
            <w:tcBorders>
              <w:top w:val="nil"/>
              <w:left w:val="nil"/>
              <w:bottom w:val="nil"/>
              <w:right w:val="nil"/>
            </w:tcBorders>
            <w:shd w:val="clear" w:color="auto" w:fill="auto"/>
            <w:noWrap/>
            <w:vAlign w:val="bottom"/>
            <w:hideMark/>
          </w:tcPr>
          <w:p w14:paraId="0D3DDEC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(0.034)</w:t>
            </w:r>
          </w:p>
        </w:tc>
        <w:tc>
          <w:tcPr>
            <w:tcW w:w="1326" w:type="dxa"/>
            <w:tcBorders>
              <w:top w:val="nil"/>
              <w:left w:val="nil"/>
              <w:bottom w:val="nil"/>
              <w:right w:val="nil"/>
            </w:tcBorders>
            <w:shd w:val="clear" w:color="auto" w:fill="auto"/>
            <w:noWrap/>
            <w:vAlign w:val="bottom"/>
            <w:hideMark/>
          </w:tcPr>
          <w:p w14:paraId="1998585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(0.081)</w:t>
            </w:r>
          </w:p>
        </w:tc>
        <w:tc>
          <w:tcPr>
            <w:tcW w:w="1419" w:type="dxa"/>
            <w:tcBorders>
              <w:top w:val="nil"/>
              <w:left w:val="nil"/>
              <w:bottom w:val="nil"/>
              <w:right w:val="nil"/>
            </w:tcBorders>
            <w:shd w:val="clear" w:color="auto" w:fill="auto"/>
            <w:noWrap/>
            <w:vAlign w:val="bottom"/>
            <w:hideMark/>
          </w:tcPr>
          <w:p w14:paraId="0482494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(0.118)</w:t>
            </w:r>
          </w:p>
        </w:tc>
        <w:tc>
          <w:tcPr>
            <w:tcW w:w="1419" w:type="dxa"/>
            <w:tcBorders>
              <w:top w:val="nil"/>
              <w:left w:val="nil"/>
              <w:bottom w:val="nil"/>
              <w:right w:val="nil"/>
            </w:tcBorders>
            <w:shd w:val="clear" w:color="auto" w:fill="auto"/>
            <w:noWrap/>
            <w:vAlign w:val="bottom"/>
            <w:hideMark/>
          </w:tcPr>
          <w:p w14:paraId="1542787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(0.321)</w:t>
            </w:r>
          </w:p>
        </w:tc>
        <w:tc>
          <w:tcPr>
            <w:tcW w:w="1158" w:type="dxa"/>
            <w:tcBorders>
              <w:top w:val="nil"/>
              <w:left w:val="nil"/>
              <w:bottom w:val="nil"/>
              <w:right w:val="nil"/>
            </w:tcBorders>
            <w:shd w:val="clear" w:color="auto" w:fill="auto"/>
            <w:noWrap/>
            <w:vAlign w:val="bottom"/>
            <w:hideMark/>
          </w:tcPr>
          <w:p w14:paraId="3215671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c>
          <w:tcPr>
            <w:tcW w:w="1152" w:type="dxa"/>
            <w:tcBorders>
              <w:top w:val="nil"/>
              <w:left w:val="nil"/>
              <w:bottom w:val="nil"/>
              <w:right w:val="nil"/>
            </w:tcBorders>
            <w:shd w:val="clear" w:color="auto" w:fill="auto"/>
            <w:noWrap/>
            <w:vAlign w:val="bottom"/>
            <w:hideMark/>
          </w:tcPr>
          <w:p w14:paraId="7A20DE1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r>
      <w:tr w:rsidR="003F3FFC" w:rsidRPr="00C83E27" w14:paraId="44D002F4" w14:textId="77777777" w:rsidTr="003F3FFC">
        <w:trPr>
          <w:trHeight w:val="300"/>
        </w:trPr>
        <w:tc>
          <w:tcPr>
            <w:tcW w:w="1530" w:type="dxa"/>
            <w:tcBorders>
              <w:top w:val="nil"/>
              <w:left w:val="nil"/>
              <w:bottom w:val="nil"/>
              <w:right w:val="nil"/>
            </w:tcBorders>
            <w:shd w:val="clear" w:color="auto" w:fill="auto"/>
            <w:noWrap/>
            <w:vAlign w:val="bottom"/>
            <w:hideMark/>
          </w:tcPr>
          <w:p w14:paraId="19D2FA77"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4DDF58A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0C5A06E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4C83AF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4089F3A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0755789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4FFABF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0F7519A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1A658C9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21E0C0FE" w14:textId="77777777" w:rsidTr="003F3FFC">
        <w:trPr>
          <w:trHeight w:val="280"/>
        </w:trPr>
        <w:tc>
          <w:tcPr>
            <w:tcW w:w="1530" w:type="dxa"/>
            <w:tcBorders>
              <w:top w:val="nil"/>
              <w:left w:val="nil"/>
              <w:bottom w:val="nil"/>
              <w:right w:val="nil"/>
            </w:tcBorders>
            <w:shd w:val="clear" w:color="auto" w:fill="auto"/>
            <w:noWrap/>
            <w:vAlign w:val="center"/>
            <w:hideMark/>
          </w:tcPr>
          <w:p w14:paraId="7B0E3303"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Strike × Week</w:t>
            </w:r>
          </w:p>
        </w:tc>
        <w:tc>
          <w:tcPr>
            <w:tcW w:w="1266" w:type="dxa"/>
            <w:tcBorders>
              <w:top w:val="nil"/>
              <w:left w:val="nil"/>
              <w:bottom w:val="nil"/>
              <w:right w:val="nil"/>
            </w:tcBorders>
            <w:shd w:val="clear" w:color="auto" w:fill="auto"/>
            <w:noWrap/>
            <w:vAlign w:val="bottom"/>
            <w:hideMark/>
          </w:tcPr>
          <w:p w14:paraId="6AC7FB4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0.115***</w:t>
            </w:r>
          </w:p>
        </w:tc>
        <w:tc>
          <w:tcPr>
            <w:tcW w:w="1266" w:type="dxa"/>
            <w:tcBorders>
              <w:top w:val="nil"/>
              <w:left w:val="nil"/>
              <w:bottom w:val="nil"/>
              <w:right w:val="nil"/>
            </w:tcBorders>
            <w:shd w:val="clear" w:color="auto" w:fill="auto"/>
            <w:noWrap/>
            <w:vAlign w:val="bottom"/>
            <w:hideMark/>
          </w:tcPr>
          <w:p w14:paraId="14FF3F3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-0.009</w:t>
            </w:r>
          </w:p>
        </w:tc>
        <w:tc>
          <w:tcPr>
            <w:tcW w:w="1326" w:type="dxa"/>
            <w:tcBorders>
              <w:top w:val="nil"/>
              <w:left w:val="nil"/>
              <w:bottom w:val="nil"/>
              <w:right w:val="nil"/>
            </w:tcBorders>
            <w:shd w:val="clear" w:color="auto" w:fill="auto"/>
            <w:noWrap/>
            <w:vAlign w:val="bottom"/>
            <w:hideMark/>
          </w:tcPr>
          <w:p w14:paraId="1F29D16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2.192***</w:t>
            </w:r>
          </w:p>
        </w:tc>
        <w:tc>
          <w:tcPr>
            <w:tcW w:w="1326" w:type="dxa"/>
            <w:tcBorders>
              <w:top w:val="nil"/>
              <w:left w:val="nil"/>
              <w:bottom w:val="nil"/>
              <w:right w:val="nil"/>
            </w:tcBorders>
            <w:shd w:val="clear" w:color="auto" w:fill="auto"/>
            <w:noWrap/>
            <w:vAlign w:val="bottom"/>
            <w:hideMark/>
          </w:tcPr>
          <w:p w14:paraId="2253A99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0.221</w:t>
            </w:r>
          </w:p>
        </w:tc>
        <w:tc>
          <w:tcPr>
            <w:tcW w:w="1419" w:type="dxa"/>
            <w:tcBorders>
              <w:top w:val="nil"/>
              <w:left w:val="nil"/>
              <w:bottom w:val="nil"/>
              <w:right w:val="nil"/>
            </w:tcBorders>
            <w:shd w:val="clear" w:color="auto" w:fill="auto"/>
            <w:noWrap/>
            <w:vAlign w:val="bottom"/>
            <w:hideMark/>
          </w:tcPr>
          <w:p w14:paraId="7E9D2C9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7.410***</w:t>
            </w:r>
          </w:p>
        </w:tc>
        <w:tc>
          <w:tcPr>
            <w:tcW w:w="1419" w:type="dxa"/>
            <w:tcBorders>
              <w:top w:val="nil"/>
              <w:left w:val="nil"/>
              <w:bottom w:val="nil"/>
              <w:right w:val="nil"/>
            </w:tcBorders>
            <w:shd w:val="clear" w:color="auto" w:fill="auto"/>
            <w:noWrap/>
            <w:vAlign w:val="bottom"/>
            <w:hideMark/>
          </w:tcPr>
          <w:p w14:paraId="6EC5766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-3.580*</w:t>
            </w:r>
          </w:p>
        </w:tc>
        <w:tc>
          <w:tcPr>
            <w:tcW w:w="1158" w:type="dxa"/>
            <w:tcBorders>
              <w:top w:val="nil"/>
              <w:left w:val="nil"/>
              <w:bottom w:val="nil"/>
              <w:right w:val="nil"/>
            </w:tcBorders>
            <w:shd w:val="clear" w:color="auto" w:fill="auto"/>
            <w:noWrap/>
            <w:vAlign w:val="bottom"/>
            <w:hideMark/>
          </w:tcPr>
          <w:p w14:paraId="285D02F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-0.006***</w:t>
            </w:r>
          </w:p>
        </w:tc>
        <w:tc>
          <w:tcPr>
            <w:tcW w:w="1152" w:type="dxa"/>
            <w:tcBorders>
              <w:top w:val="nil"/>
              <w:left w:val="nil"/>
              <w:bottom w:val="nil"/>
              <w:right w:val="nil"/>
            </w:tcBorders>
            <w:shd w:val="clear" w:color="auto" w:fill="auto"/>
            <w:noWrap/>
            <w:vAlign w:val="bottom"/>
            <w:hideMark/>
          </w:tcPr>
          <w:p w14:paraId="1346E58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-0.003***</w:t>
            </w:r>
          </w:p>
        </w:tc>
      </w:tr>
      <w:tr w:rsidR="003F3FFC" w:rsidRPr="00C83E27" w14:paraId="509EDF45" w14:textId="77777777" w:rsidTr="003F3FFC">
        <w:trPr>
          <w:trHeight w:val="300"/>
        </w:trPr>
        <w:tc>
          <w:tcPr>
            <w:tcW w:w="1530" w:type="dxa"/>
            <w:tcBorders>
              <w:top w:val="nil"/>
              <w:left w:val="nil"/>
              <w:bottom w:val="nil"/>
              <w:right w:val="nil"/>
            </w:tcBorders>
            <w:shd w:val="clear" w:color="auto" w:fill="auto"/>
            <w:noWrap/>
            <w:vAlign w:val="bottom"/>
            <w:hideMark/>
          </w:tcPr>
          <w:p w14:paraId="46588C4A"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4E0ADFA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(0.034)</w:t>
            </w:r>
          </w:p>
        </w:tc>
        <w:tc>
          <w:tcPr>
            <w:tcW w:w="1266" w:type="dxa"/>
            <w:tcBorders>
              <w:top w:val="nil"/>
              <w:left w:val="nil"/>
              <w:bottom w:val="nil"/>
              <w:right w:val="nil"/>
            </w:tcBorders>
            <w:shd w:val="clear" w:color="auto" w:fill="auto"/>
            <w:noWrap/>
            <w:vAlign w:val="bottom"/>
            <w:hideMark/>
          </w:tcPr>
          <w:p w14:paraId="1233E62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(0.034)</w:t>
            </w:r>
          </w:p>
        </w:tc>
        <w:tc>
          <w:tcPr>
            <w:tcW w:w="1326" w:type="dxa"/>
            <w:tcBorders>
              <w:top w:val="nil"/>
              <w:left w:val="nil"/>
              <w:bottom w:val="nil"/>
              <w:right w:val="nil"/>
            </w:tcBorders>
            <w:shd w:val="clear" w:color="auto" w:fill="auto"/>
            <w:noWrap/>
            <w:vAlign w:val="bottom"/>
            <w:hideMark/>
          </w:tcPr>
          <w:p w14:paraId="6C11857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(0.538)</w:t>
            </w:r>
          </w:p>
        </w:tc>
        <w:tc>
          <w:tcPr>
            <w:tcW w:w="1326" w:type="dxa"/>
            <w:tcBorders>
              <w:top w:val="nil"/>
              <w:left w:val="nil"/>
              <w:bottom w:val="nil"/>
              <w:right w:val="nil"/>
            </w:tcBorders>
            <w:shd w:val="clear" w:color="auto" w:fill="auto"/>
            <w:noWrap/>
            <w:vAlign w:val="bottom"/>
            <w:hideMark/>
          </w:tcPr>
          <w:p w14:paraId="773A068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(0.576)</w:t>
            </w:r>
          </w:p>
        </w:tc>
        <w:tc>
          <w:tcPr>
            <w:tcW w:w="1419" w:type="dxa"/>
            <w:tcBorders>
              <w:top w:val="nil"/>
              <w:left w:val="nil"/>
              <w:bottom w:val="nil"/>
              <w:right w:val="nil"/>
            </w:tcBorders>
            <w:shd w:val="clear" w:color="auto" w:fill="auto"/>
            <w:noWrap/>
            <w:vAlign w:val="bottom"/>
            <w:hideMark/>
          </w:tcPr>
          <w:p w14:paraId="0818B92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(1.806)</w:t>
            </w:r>
          </w:p>
        </w:tc>
        <w:tc>
          <w:tcPr>
            <w:tcW w:w="1419" w:type="dxa"/>
            <w:tcBorders>
              <w:top w:val="nil"/>
              <w:left w:val="nil"/>
              <w:bottom w:val="nil"/>
              <w:right w:val="nil"/>
            </w:tcBorders>
            <w:shd w:val="clear" w:color="auto" w:fill="auto"/>
            <w:noWrap/>
            <w:vAlign w:val="bottom"/>
            <w:hideMark/>
          </w:tcPr>
          <w:p w14:paraId="3784578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(1.933)</w:t>
            </w:r>
          </w:p>
        </w:tc>
        <w:tc>
          <w:tcPr>
            <w:tcW w:w="1158" w:type="dxa"/>
            <w:tcBorders>
              <w:top w:val="nil"/>
              <w:left w:val="nil"/>
              <w:bottom w:val="nil"/>
              <w:right w:val="nil"/>
            </w:tcBorders>
            <w:shd w:val="clear" w:color="auto" w:fill="auto"/>
            <w:noWrap/>
            <w:vAlign w:val="bottom"/>
            <w:hideMark/>
          </w:tcPr>
          <w:p w14:paraId="6B1F872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c>
          <w:tcPr>
            <w:tcW w:w="1152" w:type="dxa"/>
            <w:tcBorders>
              <w:top w:val="nil"/>
              <w:left w:val="nil"/>
              <w:bottom w:val="nil"/>
              <w:right w:val="nil"/>
            </w:tcBorders>
            <w:shd w:val="clear" w:color="auto" w:fill="auto"/>
            <w:noWrap/>
            <w:vAlign w:val="bottom"/>
            <w:hideMark/>
          </w:tcPr>
          <w:p w14:paraId="3390AF3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r>
      <w:tr w:rsidR="003F3FFC" w:rsidRPr="00C83E27" w14:paraId="1003BE32" w14:textId="77777777" w:rsidTr="003F3FFC">
        <w:trPr>
          <w:trHeight w:val="300"/>
        </w:trPr>
        <w:tc>
          <w:tcPr>
            <w:tcW w:w="1530" w:type="dxa"/>
            <w:tcBorders>
              <w:top w:val="nil"/>
              <w:left w:val="nil"/>
              <w:bottom w:val="nil"/>
              <w:right w:val="nil"/>
            </w:tcBorders>
            <w:shd w:val="clear" w:color="auto" w:fill="auto"/>
            <w:noWrap/>
            <w:vAlign w:val="bottom"/>
            <w:hideMark/>
          </w:tcPr>
          <w:p w14:paraId="79E8316E"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5BBD413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067BEFB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5BA8084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5853ADD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1D40131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3E28AC2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3961FFE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7FA24A2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3D2D6E48" w14:textId="77777777" w:rsidTr="003F3FFC">
        <w:trPr>
          <w:trHeight w:val="280"/>
        </w:trPr>
        <w:tc>
          <w:tcPr>
            <w:tcW w:w="1530" w:type="dxa"/>
            <w:tcBorders>
              <w:top w:val="nil"/>
              <w:left w:val="nil"/>
              <w:bottom w:val="nil"/>
              <w:right w:val="nil"/>
            </w:tcBorders>
            <w:shd w:val="clear" w:color="auto" w:fill="auto"/>
            <w:noWrap/>
            <w:vAlign w:val="center"/>
            <w:hideMark/>
          </w:tcPr>
          <w:p w14:paraId="7AA439BC"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Treat × Week</w:t>
            </w:r>
          </w:p>
        </w:tc>
        <w:tc>
          <w:tcPr>
            <w:tcW w:w="1266" w:type="dxa"/>
            <w:tcBorders>
              <w:top w:val="nil"/>
              <w:left w:val="nil"/>
              <w:bottom w:val="nil"/>
              <w:right w:val="nil"/>
            </w:tcBorders>
            <w:shd w:val="clear" w:color="auto" w:fill="auto"/>
            <w:noWrap/>
            <w:vAlign w:val="bottom"/>
            <w:hideMark/>
          </w:tcPr>
          <w:p w14:paraId="0947DCA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0.003</w:t>
            </w:r>
          </w:p>
        </w:tc>
        <w:tc>
          <w:tcPr>
            <w:tcW w:w="1266" w:type="dxa"/>
            <w:tcBorders>
              <w:top w:val="nil"/>
              <w:left w:val="nil"/>
              <w:bottom w:val="nil"/>
              <w:right w:val="nil"/>
            </w:tcBorders>
            <w:shd w:val="clear" w:color="auto" w:fill="auto"/>
            <w:noWrap/>
            <w:vAlign w:val="bottom"/>
            <w:hideMark/>
          </w:tcPr>
          <w:p w14:paraId="24E7E5B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-0.010***</w:t>
            </w:r>
          </w:p>
        </w:tc>
        <w:tc>
          <w:tcPr>
            <w:tcW w:w="1326" w:type="dxa"/>
            <w:tcBorders>
              <w:top w:val="nil"/>
              <w:left w:val="nil"/>
              <w:bottom w:val="nil"/>
              <w:right w:val="nil"/>
            </w:tcBorders>
            <w:shd w:val="clear" w:color="auto" w:fill="auto"/>
            <w:noWrap/>
            <w:vAlign w:val="bottom"/>
            <w:hideMark/>
          </w:tcPr>
          <w:p w14:paraId="6F64F73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-0.025</w:t>
            </w:r>
          </w:p>
        </w:tc>
        <w:tc>
          <w:tcPr>
            <w:tcW w:w="1326" w:type="dxa"/>
            <w:tcBorders>
              <w:top w:val="nil"/>
              <w:left w:val="nil"/>
              <w:bottom w:val="nil"/>
              <w:right w:val="nil"/>
            </w:tcBorders>
            <w:shd w:val="clear" w:color="auto" w:fill="auto"/>
            <w:noWrap/>
            <w:vAlign w:val="bottom"/>
            <w:hideMark/>
          </w:tcPr>
          <w:p w14:paraId="0F6D19B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-0.333***</w:t>
            </w:r>
          </w:p>
        </w:tc>
        <w:tc>
          <w:tcPr>
            <w:tcW w:w="1419" w:type="dxa"/>
            <w:tcBorders>
              <w:top w:val="nil"/>
              <w:left w:val="nil"/>
              <w:bottom w:val="nil"/>
              <w:right w:val="nil"/>
            </w:tcBorders>
            <w:shd w:val="clear" w:color="auto" w:fill="auto"/>
            <w:noWrap/>
            <w:vAlign w:val="bottom"/>
            <w:hideMark/>
          </w:tcPr>
          <w:p w14:paraId="677FD9B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0.535**</w:t>
            </w:r>
          </w:p>
        </w:tc>
        <w:tc>
          <w:tcPr>
            <w:tcW w:w="1419" w:type="dxa"/>
            <w:tcBorders>
              <w:top w:val="nil"/>
              <w:left w:val="nil"/>
              <w:bottom w:val="nil"/>
              <w:right w:val="nil"/>
            </w:tcBorders>
            <w:shd w:val="clear" w:color="auto" w:fill="auto"/>
            <w:noWrap/>
            <w:vAlign w:val="bottom"/>
            <w:hideMark/>
          </w:tcPr>
          <w:p w14:paraId="2ECF4A3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-0.315</w:t>
            </w:r>
          </w:p>
        </w:tc>
        <w:tc>
          <w:tcPr>
            <w:tcW w:w="1158" w:type="dxa"/>
            <w:tcBorders>
              <w:top w:val="nil"/>
              <w:left w:val="nil"/>
              <w:bottom w:val="nil"/>
              <w:right w:val="nil"/>
            </w:tcBorders>
            <w:shd w:val="clear" w:color="auto" w:fill="auto"/>
            <w:noWrap/>
            <w:vAlign w:val="bottom"/>
            <w:hideMark/>
          </w:tcPr>
          <w:p w14:paraId="615E336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c>
          <w:tcPr>
            <w:tcW w:w="1152" w:type="dxa"/>
            <w:tcBorders>
              <w:top w:val="nil"/>
              <w:left w:val="nil"/>
              <w:bottom w:val="nil"/>
              <w:right w:val="nil"/>
            </w:tcBorders>
            <w:shd w:val="clear" w:color="auto" w:fill="auto"/>
            <w:noWrap/>
            <w:vAlign w:val="bottom"/>
            <w:hideMark/>
          </w:tcPr>
          <w:p w14:paraId="75E7156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r>
      <w:tr w:rsidR="003F3FFC" w:rsidRPr="00C83E27" w14:paraId="5FAEF504" w14:textId="77777777" w:rsidTr="003F3FFC">
        <w:trPr>
          <w:trHeight w:val="300"/>
        </w:trPr>
        <w:tc>
          <w:tcPr>
            <w:tcW w:w="1530" w:type="dxa"/>
            <w:tcBorders>
              <w:top w:val="nil"/>
              <w:left w:val="nil"/>
              <w:bottom w:val="nil"/>
              <w:right w:val="nil"/>
            </w:tcBorders>
            <w:shd w:val="clear" w:color="auto" w:fill="auto"/>
            <w:noWrap/>
            <w:vAlign w:val="bottom"/>
            <w:hideMark/>
          </w:tcPr>
          <w:p w14:paraId="12EC93DB"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18F0E7E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(0.003)</w:t>
            </w:r>
          </w:p>
        </w:tc>
        <w:tc>
          <w:tcPr>
            <w:tcW w:w="1266" w:type="dxa"/>
            <w:tcBorders>
              <w:top w:val="nil"/>
              <w:left w:val="nil"/>
              <w:bottom w:val="nil"/>
              <w:right w:val="nil"/>
            </w:tcBorders>
            <w:shd w:val="clear" w:color="auto" w:fill="auto"/>
            <w:noWrap/>
            <w:vAlign w:val="bottom"/>
            <w:hideMark/>
          </w:tcPr>
          <w:p w14:paraId="6CFDCE0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(0.002)</w:t>
            </w:r>
          </w:p>
        </w:tc>
        <w:tc>
          <w:tcPr>
            <w:tcW w:w="1326" w:type="dxa"/>
            <w:tcBorders>
              <w:top w:val="nil"/>
              <w:left w:val="nil"/>
              <w:bottom w:val="nil"/>
              <w:right w:val="nil"/>
            </w:tcBorders>
            <w:shd w:val="clear" w:color="auto" w:fill="auto"/>
            <w:noWrap/>
            <w:vAlign w:val="bottom"/>
            <w:hideMark/>
          </w:tcPr>
          <w:p w14:paraId="5FD6C4F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(0.069)</w:t>
            </w:r>
          </w:p>
        </w:tc>
        <w:tc>
          <w:tcPr>
            <w:tcW w:w="1326" w:type="dxa"/>
            <w:tcBorders>
              <w:top w:val="nil"/>
              <w:left w:val="nil"/>
              <w:bottom w:val="nil"/>
              <w:right w:val="nil"/>
            </w:tcBorders>
            <w:shd w:val="clear" w:color="auto" w:fill="auto"/>
            <w:noWrap/>
            <w:vAlign w:val="bottom"/>
            <w:hideMark/>
          </w:tcPr>
          <w:p w14:paraId="4D4EA4C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(0.049)</w:t>
            </w:r>
          </w:p>
        </w:tc>
        <w:tc>
          <w:tcPr>
            <w:tcW w:w="1419" w:type="dxa"/>
            <w:tcBorders>
              <w:top w:val="nil"/>
              <w:left w:val="nil"/>
              <w:bottom w:val="nil"/>
              <w:right w:val="nil"/>
            </w:tcBorders>
            <w:shd w:val="clear" w:color="auto" w:fill="auto"/>
            <w:noWrap/>
            <w:vAlign w:val="bottom"/>
            <w:hideMark/>
          </w:tcPr>
          <w:p w14:paraId="5D141B7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(0.223)</w:t>
            </w:r>
          </w:p>
        </w:tc>
        <w:tc>
          <w:tcPr>
            <w:tcW w:w="1419" w:type="dxa"/>
            <w:tcBorders>
              <w:top w:val="nil"/>
              <w:left w:val="nil"/>
              <w:bottom w:val="nil"/>
              <w:right w:val="nil"/>
            </w:tcBorders>
            <w:shd w:val="clear" w:color="auto" w:fill="auto"/>
            <w:noWrap/>
            <w:vAlign w:val="bottom"/>
            <w:hideMark/>
          </w:tcPr>
          <w:p w14:paraId="676F894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(0.207)</w:t>
            </w:r>
          </w:p>
        </w:tc>
        <w:tc>
          <w:tcPr>
            <w:tcW w:w="1158" w:type="dxa"/>
            <w:tcBorders>
              <w:top w:val="nil"/>
              <w:left w:val="nil"/>
              <w:bottom w:val="nil"/>
              <w:right w:val="nil"/>
            </w:tcBorders>
            <w:shd w:val="clear" w:color="auto" w:fill="auto"/>
            <w:noWrap/>
            <w:vAlign w:val="bottom"/>
            <w:hideMark/>
          </w:tcPr>
          <w:p w14:paraId="3CF1BD0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c>
          <w:tcPr>
            <w:tcW w:w="1152" w:type="dxa"/>
            <w:tcBorders>
              <w:top w:val="nil"/>
              <w:left w:val="nil"/>
              <w:bottom w:val="nil"/>
              <w:right w:val="nil"/>
            </w:tcBorders>
            <w:shd w:val="clear" w:color="auto" w:fill="auto"/>
            <w:noWrap/>
            <w:vAlign w:val="bottom"/>
            <w:hideMark/>
          </w:tcPr>
          <w:p w14:paraId="20EDD91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r>
      <w:tr w:rsidR="003F3FFC" w:rsidRPr="00C83E27" w14:paraId="42ECF9F2" w14:textId="77777777" w:rsidTr="003F3FFC">
        <w:trPr>
          <w:trHeight w:val="300"/>
        </w:trPr>
        <w:tc>
          <w:tcPr>
            <w:tcW w:w="1530" w:type="dxa"/>
            <w:tcBorders>
              <w:top w:val="nil"/>
              <w:left w:val="nil"/>
              <w:bottom w:val="nil"/>
              <w:right w:val="nil"/>
            </w:tcBorders>
            <w:shd w:val="clear" w:color="auto" w:fill="auto"/>
            <w:noWrap/>
            <w:vAlign w:val="bottom"/>
            <w:hideMark/>
          </w:tcPr>
          <w:p w14:paraId="55FA7F3B"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05EFE00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5E729EC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6E42D6A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153240C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43ECDAD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094C9F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1715E53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3E078E5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14FAD35A" w14:textId="77777777" w:rsidTr="003F3FFC">
        <w:trPr>
          <w:trHeight w:val="280"/>
        </w:trPr>
        <w:tc>
          <w:tcPr>
            <w:tcW w:w="1530" w:type="dxa"/>
            <w:tcBorders>
              <w:top w:val="nil"/>
              <w:left w:val="nil"/>
              <w:bottom w:val="nil"/>
              <w:right w:val="nil"/>
            </w:tcBorders>
            <w:shd w:val="clear" w:color="auto" w:fill="auto"/>
            <w:noWrap/>
            <w:vAlign w:val="center"/>
            <w:hideMark/>
          </w:tcPr>
          <w:p w14:paraId="183D9E4B"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Strike × Treat</w:t>
            </w:r>
          </w:p>
        </w:tc>
        <w:tc>
          <w:tcPr>
            <w:tcW w:w="1266" w:type="dxa"/>
            <w:tcBorders>
              <w:top w:val="nil"/>
              <w:left w:val="nil"/>
              <w:bottom w:val="nil"/>
              <w:right w:val="nil"/>
            </w:tcBorders>
            <w:shd w:val="clear" w:color="auto" w:fill="auto"/>
            <w:noWrap/>
            <w:vAlign w:val="bottom"/>
            <w:hideMark/>
          </w:tcPr>
          <w:p w14:paraId="0EEE73D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0.106**</w:t>
            </w:r>
          </w:p>
        </w:tc>
        <w:tc>
          <w:tcPr>
            <w:tcW w:w="1266" w:type="dxa"/>
            <w:tcBorders>
              <w:top w:val="nil"/>
              <w:left w:val="nil"/>
              <w:bottom w:val="nil"/>
              <w:right w:val="nil"/>
            </w:tcBorders>
            <w:shd w:val="clear" w:color="auto" w:fill="auto"/>
            <w:noWrap/>
            <w:vAlign w:val="bottom"/>
            <w:hideMark/>
          </w:tcPr>
          <w:p w14:paraId="6CDFF69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0.107**</w:t>
            </w:r>
          </w:p>
        </w:tc>
        <w:tc>
          <w:tcPr>
            <w:tcW w:w="1326" w:type="dxa"/>
            <w:tcBorders>
              <w:top w:val="nil"/>
              <w:left w:val="nil"/>
              <w:bottom w:val="nil"/>
              <w:right w:val="nil"/>
            </w:tcBorders>
            <w:shd w:val="clear" w:color="auto" w:fill="auto"/>
            <w:noWrap/>
            <w:vAlign w:val="bottom"/>
            <w:hideMark/>
          </w:tcPr>
          <w:p w14:paraId="6703209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1.147</w:t>
            </w:r>
          </w:p>
        </w:tc>
        <w:tc>
          <w:tcPr>
            <w:tcW w:w="1326" w:type="dxa"/>
            <w:tcBorders>
              <w:top w:val="nil"/>
              <w:left w:val="nil"/>
              <w:bottom w:val="nil"/>
              <w:right w:val="nil"/>
            </w:tcBorders>
            <w:shd w:val="clear" w:color="auto" w:fill="auto"/>
            <w:noWrap/>
            <w:vAlign w:val="bottom"/>
            <w:hideMark/>
          </w:tcPr>
          <w:p w14:paraId="7E06543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1.149</w:t>
            </w:r>
          </w:p>
        </w:tc>
        <w:tc>
          <w:tcPr>
            <w:tcW w:w="1419" w:type="dxa"/>
            <w:tcBorders>
              <w:top w:val="nil"/>
              <w:left w:val="nil"/>
              <w:bottom w:val="nil"/>
              <w:right w:val="nil"/>
            </w:tcBorders>
            <w:shd w:val="clear" w:color="auto" w:fill="auto"/>
            <w:noWrap/>
            <w:vAlign w:val="bottom"/>
            <w:hideMark/>
          </w:tcPr>
          <w:p w14:paraId="53DA8D0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13.178***</w:t>
            </w:r>
          </w:p>
        </w:tc>
        <w:tc>
          <w:tcPr>
            <w:tcW w:w="1419" w:type="dxa"/>
            <w:tcBorders>
              <w:top w:val="nil"/>
              <w:left w:val="nil"/>
              <w:bottom w:val="nil"/>
              <w:right w:val="nil"/>
            </w:tcBorders>
            <w:shd w:val="clear" w:color="auto" w:fill="auto"/>
            <w:noWrap/>
            <w:vAlign w:val="bottom"/>
            <w:hideMark/>
          </w:tcPr>
          <w:p w14:paraId="026098D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13.186***</w:t>
            </w:r>
          </w:p>
        </w:tc>
        <w:tc>
          <w:tcPr>
            <w:tcW w:w="1158" w:type="dxa"/>
            <w:tcBorders>
              <w:top w:val="nil"/>
              <w:left w:val="nil"/>
              <w:bottom w:val="nil"/>
              <w:right w:val="nil"/>
            </w:tcBorders>
            <w:shd w:val="clear" w:color="auto" w:fill="auto"/>
            <w:noWrap/>
            <w:vAlign w:val="bottom"/>
            <w:hideMark/>
          </w:tcPr>
          <w:p w14:paraId="4ED32C8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0.002***</w:t>
            </w:r>
          </w:p>
        </w:tc>
        <w:tc>
          <w:tcPr>
            <w:tcW w:w="1152" w:type="dxa"/>
            <w:tcBorders>
              <w:top w:val="nil"/>
              <w:left w:val="nil"/>
              <w:bottom w:val="nil"/>
              <w:right w:val="nil"/>
            </w:tcBorders>
            <w:shd w:val="clear" w:color="auto" w:fill="auto"/>
            <w:noWrap/>
            <w:vAlign w:val="bottom"/>
            <w:hideMark/>
          </w:tcPr>
          <w:p w14:paraId="1660A73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0.002***</w:t>
            </w:r>
          </w:p>
        </w:tc>
      </w:tr>
      <w:tr w:rsidR="003F3FFC" w:rsidRPr="00C83E27" w14:paraId="20E916A0" w14:textId="77777777" w:rsidTr="003F3FFC">
        <w:trPr>
          <w:trHeight w:val="280"/>
        </w:trPr>
        <w:tc>
          <w:tcPr>
            <w:tcW w:w="1530" w:type="dxa"/>
            <w:tcBorders>
              <w:top w:val="nil"/>
              <w:left w:val="nil"/>
              <w:bottom w:val="nil"/>
              <w:right w:val="nil"/>
            </w:tcBorders>
            <w:shd w:val="clear" w:color="auto" w:fill="auto"/>
            <w:noWrap/>
            <w:vAlign w:val="bottom"/>
            <w:hideMark/>
          </w:tcPr>
          <w:p w14:paraId="758AE149"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 Week</w:t>
            </w:r>
          </w:p>
        </w:tc>
        <w:tc>
          <w:tcPr>
            <w:tcW w:w="1266" w:type="dxa"/>
            <w:tcBorders>
              <w:top w:val="nil"/>
              <w:left w:val="nil"/>
              <w:bottom w:val="nil"/>
              <w:right w:val="nil"/>
            </w:tcBorders>
            <w:shd w:val="clear" w:color="auto" w:fill="auto"/>
            <w:noWrap/>
            <w:vAlign w:val="bottom"/>
            <w:hideMark/>
          </w:tcPr>
          <w:p w14:paraId="6BF1933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(0.050)</w:t>
            </w:r>
          </w:p>
        </w:tc>
        <w:tc>
          <w:tcPr>
            <w:tcW w:w="1266" w:type="dxa"/>
            <w:tcBorders>
              <w:top w:val="nil"/>
              <w:left w:val="nil"/>
              <w:bottom w:val="nil"/>
              <w:right w:val="nil"/>
            </w:tcBorders>
            <w:shd w:val="clear" w:color="auto" w:fill="auto"/>
            <w:noWrap/>
            <w:vAlign w:val="bottom"/>
            <w:hideMark/>
          </w:tcPr>
          <w:p w14:paraId="2DA8D1B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(0.049)</w:t>
            </w:r>
          </w:p>
        </w:tc>
        <w:tc>
          <w:tcPr>
            <w:tcW w:w="1326" w:type="dxa"/>
            <w:tcBorders>
              <w:top w:val="nil"/>
              <w:left w:val="nil"/>
              <w:bottom w:val="nil"/>
              <w:right w:val="nil"/>
            </w:tcBorders>
            <w:shd w:val="clear" w:color="auto" w:fill="auto"/>
            <w:noWrap/>
            <w:vAlign w:val="bottom"/>
            <w:hideMark/>
          </w:tcPr>
          <w:p w14:paraId="4082FAC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(0.941)</w:t>
            </w:r>
          </w:p>
        </w:tc>
        <w:tc>
          <w:tcPr>
            <w:tcW w:w="1326" w:type="dxa"/>
            <w:tcBorders>
              <w:top w:val="nil"/>
              <w:left w:val="nil"/>
              <w:bottom w:val="nil"/>
              <w:right w:val="nil"/>
            </w:tcBorders>
            <w:shd w:val="clear" w:color="auto" w:fill="auto"/>
            <w:noWrap/>
            <w:vAlign w:val="bottom"/>
            <w:hideMark/>
          </w:tcPr>
          <w:p w14:paraId="7BDB8A3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(0.944)</w:t>
            </w:r>
          </w:p>
        </w:tc>
        <w:tc>
          <w:tcPr>
            <w:tcW w:w="1419" w:type="dxa"/>
            <w:tcBorders>
              <w:top w:val="nil"/>
              <w:left w:val="nil"/>
              <w:bottom w:val="nil"/>
              <w:right w:val="nil"/>
            </w:tcBorders>
            <w:shd w:val="clear" w:color="auto" w:fill="auto"/>
            <w:noWrap/>
            <w:vAlign w:val="bottom"/>
            <w:hideMark/>
          </w:tcPr>
          <w:p w14:paraId="30517B3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(3.512)</w:t>
            </w:r>
          </w:p>
        </w:tc>
        <w:tc>
          <w:tcPr>
            <w:tcW w:w="1419" w:type="dxa"/>
            <w:tcBorders>
              <w:top w:val="nil"/>
              <w:left w:val="nil"/>
              <w:bottom w:val="nil"/>
              <w:right w:val="nil"/>
            </w:tcBorders>
            <w:shd w:val="clear" w:color="auto" w:fill="auto"/>
            <w:noWrap/>
            <w:vAlign w:val="bottom"/>
            <w:hideMark/>
          </w:tcPr>
          <w:p w14:paraId="40F0480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(3.528)</w:t>
            </w:r>
          </w:p>
        </w:tc>
        <w:tc>
          <w:tcPr>
            <w:tcW w:w="1158" w:type="dxa"/>
            <w:tcBorders>
              <w:top w:val="nil"/>
              <w:left w:val="nil"/>
              <w:bottom w:val="nil"/>
              <w:right w:val="nil"/>
            </w:tcBorders>
            <w:shd w:val="clear" w:color="auto" w:fill="auto"/>
            <w:noWrap/>
            <w:vAlign w:val="bottom"/>
            <w:hideMark/>
          </w:tcPr>
          <w:p w14:paraId="5D0892C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c>
          <w:tcPr>
            <w:tcW w:w="1152" w:type="dxa"/>
            <w:tcBorders>
              <w:top w:val="nil"/>
              <w:left w:val="nil"/>
              <w:bottom w:val="nil"/>
              <w:right w:val="nil"/>
            </w:tcBorders>
            <w:shd w:val="clear" w:color="auto" w:fill="auto"/>
            <w:noWrap/>
            <w:vAlign w:val="bottom"/>
            <w:hideMark/>
          </w:tcPr>
          <w:p w14:paraId="2CF3D2C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r>
      <w:tr w:rsidR="003F3FFC" w:rsidRPr="00C83E27" w14:paraId="22B203DE" w14:textId="77777777" w:rsidTr="003F3FFC">
        <w:trPr>
          <w:trHeight w:val="300"/>
        </w:trPr>
        <w:tc>
          <w:tcPr>
            <w:tcW w:w="1530" w:type="dxa"/>
            <w:tcBorders>
              <w:top w:val="nil"/>
              <w:left w:val="nil"/>
              <w:bottom w:val="nil"/>
              <w:right w:val="nil"/>
            </w:tcBorders>
            <w:shd w:val="clear" w:color="auto" w:fill="auto"/>
            <w:noWrap/>
            <w:vAlign w:val="bottom"/>
            <w:hideMark/>
          </w:tcPr>
          <w:p w14:paraId="2915A9CE"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3F2007B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4AD50D6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6A7060B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43C2C9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4386A4D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1F6DE6B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563950A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6FD6E8E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0B1321FE" w14:textId="77777777" w:rsidTr="003F3FFC">
        <w:trPr>
          <w:trHeight w:val="280"/>
        </w:trPr>
        <w:tc>
          <w:tcPr>
            <w:tcW w:w="1530" w:type="dxa"/>
            <w:tcBorders>
              <w:top w:val="nil"/>
              <w:left w:val="nil"/>
              <w:bottom w:val="nil"/>
              <w:right w:val="nil"/>
            </w:tcBorders>
            <w:shd w:val="clear" w:color="auto" w:fill="auto"/>
            <w:noWrap/>
            <w:vAlign w:val="center"/>
            <w:hideMark/>
          </w:tcPr>
          <w:p w14:paraId="224B3198"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Wind Speed</w:t>
            </w:r>
          </w:p>
        </w:tc>
        <w:tc>
          <w:tcPr>
            <w:tcW w:w="1266" w:type="dxa"/>
            <w:tcBorders>
              <w:top w:val="nil"/>
              <w:left w:val="nil"/>
              <w:bottom w:val="nil"/>
              <w:right w:val="nil"/>
            </w:tcBorders>
            <w:shd w:val="clear" w:color="auto" w:fill="auto"/>
            <w:noWrap/>
            <w:vAlign w:val="bottom"/>
            <w:hideMark/>
          </w:tcPr>
          <w:p w14:paraId="39BA54C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-0.200***</w:t>
            </w:r>
          </w:p>
        </w:tc>
        <w:tc>
          <w:tcPr>
            <w:tcW w:w="1266" w:type="dxa"/>
            <w:tcBorders>
              <w:top w:val="nil"/>
              <w:left w:val="nil"/>
              <w:bottom w:val="nil"/>
              <w:right w:val="nil"/>
            </w:tcBorders>
            <w:shd w:val="clear" w:color="auto" w:fill="auto"/>
            <w:noWrap/>
            <w:vAlign w:val="bottom"/>
            <w:hideMark/>
          </w:tcPr>
          <w:p w14:paraId="3C5452B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-0.137***</w:t>
            </w:r>
          </w:p>
        </w:tc>
        <w:tc>
          <w:tcPr>
            <w:tcW w:w="1326" w:type="dxa"/>
            <w:tcBorders>
              <w:top w:val="nil"/>
              <w:left w:val="nil"/>
              <w:bottom w:val="nil"/>
              <w:right w:val="nil"/>
            </w:tcBorders>
            <w:shd w:val="clear" w:color="auto" w:fill="auto"/>
            <w:noWrap/>
            <w:vAlign w:val="bottom"/>
            <w:hideMark/>
          </w:tcPr>
          <w:p w14:paraId="09F5A48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-2.537***</w:t>
            </w:r>
          </w:p>
        </w:tc>
        <w:tc>
          <w:tcPr>
            <w:tcW w:w="1326" w:type="dxa"/>
            <w:tcBorders>
              <w:top w:val="nil"/>
              <w:left w:val="nil"/>
              <w:bottom w:val="nil"/>
              <w:right w:val="nil"/>
            </w:tcBorders>
            <w:shd w:val="clear" w:color="auto" w:fill="auto"/>
            <w:noWrap/>
            <w:vAlign w:val="bottom"/>
            <w:hideMark/>
          </w:tcPr>
          <w:p w14:paraId="2FB4859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-1.709**</w:t>
            </w:r>
          </w:p>
        </w:tc>
        <w:tc>
          <w:tcPr>
            <w:tcW w:w="1419" w:type="dxa"/>
            <w:tcBorders>
              <w:top w:val="nil"/>
              <w:left w:val="nil"/>
              <w:bottom w:val="nil"/>
              <w:right w:val="nil"/>
            </w:tcBorders>
            <w:shd w:val="clear" w:color="auto" w:fill="auto"/>
            <w:noWrap/>
            <w:vAlign w:val="bottom"/>
            <w:hideMark/>
          </w:tcPr>
          <w:p w14:paraId="3B74AE9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-9.859**</w:t>
            </w:r>
          </w:p>
        </w:tc>
        <w:tc>
          <w:tcPr>
            <w:tcW w:w="1419" w:type="dxa"/>
            <w:tcBorders>
              <w:top w:val="nil"/>
              <w:left w:val="nil"/>
              <w:bottom w:val="nil"/>
              <w:right w:val="nil"/>
            </w:tcBorders>
            <w:shd w:val="clear" w:color="auto" w:fill="auto"/>
            <w:noWrap/>
            <w:vAlign w:val="bottom"/>
            <w:hideMark/>
          </w:tcPr>
          <w:p w14:paraId="065AC96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-6.186*</w:t>
            </w:r>
          </w:p>
        </w:tc>
        <w:tc>
          <w:tcPr>
            <w:tcW w:w="1158" w:type="dxa"/>
            <w:tcBorders>
              <w:top w:val="nil"/>
              <w:left w:val="nil"/>
              <w:bottom w:val="nil"/>
              <w:right w:val="nil"/>
            </w:tcBorders>
            <w:shd w:val="clear" w:color="auto" w:fill="auto"/>
            <w:noWrap/>
            <w:vAlign w:val="bottom"/>
            <w:hideMark/>
          </w:tcPr>
          <w:p w14:paraId="63EE03A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0.003***</w:t>
            </w:r>
          </w:p>
        </w:tc>
        <w:tc>
          <w:tcPr>
            <w:tcW w:w="1152" w:type="dxa"/>
            <w:tcBorders>
              <w:top w:val="nil"/>
              <w:left w:val="nil"/>
              <w:bottom w:val="nil"/>
              <w:right w:val="nil"/>
            </w:tcBorders>
            <w:shd w:val="clear" w:color="auto" w:fill="auto"/>
            <w:noWrap/>
            <w:vAlign w:val="bottom"/>
            <w:hideMark/>
          </w:tcPr>
          <w:p w14:paraId="3D0F328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r>
      <w:tr w:rsidR="003F3FFC" w:rsidRPr="00C83E27" w14:paraId="4648DC0A" w14:textId="77777777" w:rsidTr="003F3FFC">
        <w:trPr>
          <w:trHeight w:val="300"/>
        </w:trPr>
        <w:tc>
          <w:tcPr>
            <w:tcW w:w="1530" w:type="dxa"/>
            <w:tcBorders>
              <w:top w:val="nil"/>
              <w:left w:val="nil"/>
              <w:bottom w:val="nil"/>
              <w:right w:val="nil"/>
            </w:tcBorders>
            <w:shd w:val="clear" w:color="auto" w:fill="auto"/>
            <w:noWrap/>
            <w:vAlign w:val="bottom"/>
            <w:hideMark/>
          </w:tcPr>
          <w:p w14:paraId="780BCDC9"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77E280E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(0.047)</w:t>
            </w:r>
          </w:p>
        </w:tc>
        <w:tc>
          <w:tcPr>
            <w:tcW w:w="1266" w:type="dxa"/>
            <w:tcBorders>
              <w:top w:val="nil"/>
              <w:left w:val="nil"/>
              <w:bottom w:val="nil"/>
              <w:right w:val="nil"/>
            </w:tcBorders>
            <w:shd w:val="clear" w:color="auto" w:fill="auto"/>
            <w:noWrap/>
            <w:vAlign w:val="bottom"/>
            <w:hideMark/>
          </w:tcPr>
          <w:p w14:paraId="47789C9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(0.032)</w:t>
            </w:r>
          </w:p>
        </w:tc>
        <w:tc>
          <w:tcPr>
            <w:tcW w:w="1326" w:type="dxa"/>
            <w:tcBorders>
              <w:top w:val="nil"/>
              <w:left w:val="nil"/>
              <w:bottom w:val="nil"/>
              <w:right w:val="nil"/>
            </w:tcBorders>
            <w:shd w:val="clear" w:color="auto" w:fill="auto"/>
            <w:noWrap/>
            <w:vAlign w:val="bottom"/>
            <w:hideMark/>
          </w:tcPr>
          <w:p w14:paraId="791C82B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(0.893)</w:t>
            </w:r>
          </w:p>
        </w:tc>
        <w:tc>
          <w:tcPr>
            <w:tcW w:w="1326" w:type="dxa"/>
            <w:tcBorders>
              <w:top w:val="nil"/>
              <w:left w:val="nil"/>
              <w:bottom w:val="nil"/>
              <w:right w:val="nil"/>
            </w:tcBorders>
            <w:shd w:val="clear" w:color="auto" w:fill="auto"/>
            <w:noWrap/>
            <w:vAlign w:val="bottom"/>
            <w:hideMark/>
          </w:tcPr>
          <w:p w14:paraId="55CF2D8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(0.767)</w:t>
            </w:r>
          </w:p>
        </w:tc>
        <w:tc>
          <w:tcPr>
            <w:tcW w:w="1419" w:type="dxa"/>
            <w:tcBorders>
              <w:top w:val="nil"/>
              <w:left w:val="nil"/>
              <w:bottom w:val="nil"/>
              <w:right w:val="nil"/>
            </w:tcBorders>
            <w:shd w:val="clear" w:color="auto" w:fill="auto"/>
            <w:noWrap/>
            <w:vAlign w:val="bottom"/>
            <w:hideMark/>
          </w:tcPr>
          <w:p w14:paraId="08124A8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(3.958)</w:t>
            </w:r>
          </w:p>
        </w:tc>
        <w:tc>
          <w:tcPr>
            <w:tcW w:w="1419" w:type="dxa"/>
            <w:tcBorders>
              <w:top w:val="nil"/>
              <w:left w:val="nil"/>
              <w:bottom w:val="nil"/>
              <w:right w:val="nil"/>
            </w:tcBorders>
            <w:shd w:val="clear" w:color="auto" w:fill="auto"/>
            <w:noWrap/>
            <w:vAlign w:val="bottom"/>
            <w:hideMark/>
          </w:tcPr>
          <w:p w14:paraId="40C185D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(3.254)</w:t>
            </w:r>
          </w:p>
        </w:tc>
        <w:tc>
          <w:tcPr>
            <w:tcW w:w="1158" w:type="dxa"/>
            <w:tcBorders>
              <w:top w:val="nil"/>
              <w:left w:val="nil"/>
              <w:bottom w:val="nil"/>
              <w:right w:val="nil"/>
            </w:tcBorders>
            <w:shd w:val="clear" w:color="auto" w:fill="auto"/>
            <w:noWrap/>
            <w:vAlign w:val="bottom"/>
            <w:hideMark/>
          </w:tcPr>
          <w:p w14:paraId="5B3770E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(0.001)</w:t>
            </w:r>
          </w:p>
        </w:tc>
        <w:tc>
          <w:tcPr>
            <w:tcW w:w="1152" w:type="dxa"/>
            <w:tcBorders>
              <w:top w:val="nil"/>
              <w:left w:val="nil"/>
              <w:bottom w:val="nil"/>
              <w:right w:val="nil"/>
            </w:tcBorders>
            <w:shd w:val="clear" w:color="auto" w:fill="auto"/>
            <w:noWrap/>
            <w:vAlign w:val="bottom"/>
            <w:hideMark/>
          </w:tcPr>
          <w:p w14:paraId="78F4114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(0.000)</w:t>
            </w:r>
          </w:p>
        </w:tc>
      </w:tr>
      <w:tr w:rsidR="003F3FFC" w:rsidRPr="00C83E27" w14:paraId="22FEC288" w14:textId="77777777" w:rsidTr="003F3FFC">
        <w:trPr>
          <w:trHeight w:val="300"/>
        </w:trPr>
        <w:tc>
          <w:tcPr>
            <w:tcW w:w="1530" w:type="dxa"/>
            <w:tcBorders>
              <w:top w:val="nil"/>
              <w:left w:val="nil"/>
              <w:bottom w:val="nil"/>
              <w:right w:val="nil"/>
            </w:tcBorders>
            <w:shd w:val="clear" w:color="auto" w:fill="auto"/>
            <w:noWrap/>
            <w:vAlign w:val="bottom"/>
            <w:hideMark/>
          </w:tcPr>
          <w:p w14:paraId="742E4B77" w14:textId="77777777" w:rsidR="003F3FFC" w:rsidRPr="00C83E27" w:rsidRDefault="003F3FFC" w:rsidP="003F3FFC">
            <w:pPr>
              <w:tabs>
                <w:tab w:val="left" w:pos="1332"/>
              </w:tabs>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2F11FA4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5FBB854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37F4EEE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4A7ED6C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F02AAF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2464DC2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bottom"/>
            <w:hideMark/>
          </w:tcPr>
          <w:p w14:paraId="4C5EC71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bottom"/>
            <w:hideMark/>
          </w:tcPr>
          <w:p w14:paraId="6B07BD8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497CF835" w14:textId="77777777" w:rsidTr="003F3FFC">
        <w:trPr>
          <w:trHeight w:val="280"/>
        </w:trPr>
        <w:tc>
          <w:tcPr>
            <w:tcW w:w="1530" w:type="dxa"/>
            <w:tcBorders>
              <w:top w:val="nil"/>
              <w:left w:val="nil"/>
              <w:bottom w:val="nil"/>
              <w:right w:val="nil"/>
            </w:tcBorders>
            <w:shd w:val="clear" w:color="auto" w:fill="auto"/>
            <w:noWrap/>
            <w:vAlign w:val="center"/>
            <w:hideMark/>
          </w:tcPr>
          <w:p w14:paraId="76263359"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Monitor FE</w:t>
            </w:r>
          </w:p>
        </w:tc>
        <w:tc>
          <w:tcPr>
            <w:tcW w:w="1266" w:type="dxa"/>
            <w:tcBorders>
              <w:top w:val="nil"/>
              <w:left w:val="nil"/>
              <w:bottom w:val="nil"/>
              <w:right w:val="nil"/>
            </w:tcBorders>
            <w:shd w:val="clear" w:color="auto" w:fill="auto"/>
            <w:noWrap/>
            <w:vAlign w:val="center"/>
            <w:hideMark/>
          </w:tcPr>
          <w:p w14:paraId="328CC69C"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266" w:type="dxa"/>
            <w:tcBorders>
              <w:top w:val="nil"/>
              <w:left w:val="nil"/>
              <w:bottom w:val="nil"/>
              <w:right w:val="nil"/>
            </w:tcBorders>
            <w:shd w:val="clear" w:color="auto" w:fill="auto"/>
            <w:noWrap/>
            <w:vAlign w:val="center"/>
            <w:hideMark/>
          </w:tcPr>
          <w:p w14:paraId="5DAC0A1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2C0BEFC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60FA231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77222BD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74F886D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158" w:type="dxa"/>
            <w:tcBorders>
              <w:top w:val="nil"/>
              <w:left w:val="nil"/>
              <w:bottom w:val="nil"/>
              <w:right w:val="nil"/>
            </w:tcBorders>
            <w:shd w:val="clear" w:color="auto" w:fill="auto"/>
            <w:noWrap/>
            <w:vAlign w:val="center"/>
            <w:hideMark/>
          </w:tcPr>
          <w:p w14:paraId="7D598E5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152" w:type="dxa"/>
            <w:tcBorders>
              <w:top w:val="nil"/>
              <w:left w:val="nil"/>
              <w:bottom w:val="nil"/>
              <w:right w:val="nil"/>
            </w:tcBorders>
            <w:shd w:val="clear" w:color="auto" w:fill="auto"/>
            <w:noWrap/>
            <w:vAlign w:val="center"/>
            <w:hideMark/>
          </w:tcPr>
          <w:p w14:paraId="6FB68E4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r>
      <w:tr w:rsidR="003F3FFC" w:rsidRPr="00C83E27" w14:paraId="60A307B1" w14:textId="77777777" w:rsidTr="003F3FFC">
        <w:trPr>
          <w:trHeight w:val="280"/>
        </w:trPr>
        <w:tc>
          <w:tcPr>
            <w:tcW w:w="1530" w:type="dxa"/>
            <w:tcBorders>
              <w:top w:val="nil"/>
              <w:left w:val="nil"/>
              <w:bottom w:val="nil"/>
              <w:right w:val="nil"/>
            </w:tcBorders>
            <w:shd w:val="clear" w:color="auto" w:fill="auto"/>
            <w:noWrap/>
            <w:vAlign w:val="center"/>
            <w:hideMark/>
          </w:tcPr>
          <w:p w14:paraId="5A4AEEEE"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Month FE</w:t>
            </w:r>
          </w:p>
        </w:tc>
        <w:tc>
          <w:tcPr>
            <w:tcW w:w="1266" w:type="dxa"/>
            <w:tcBorders>
              <w:top w:val="nil"/>
              <w:left w:val="nil"/>
              <w:bottom w:val="nil"/>
              <w:right w:val="nil"/>
            </w:tcBorders>
            <w:shd w:val="clear" w:color="auto" w:fill="auto"/>
            <w:noWrap/>
            <w:vAlign w:val="center"/>
            <w:hideMark/>
          </w:tcPr>
          <w:p w14:paraId="07BD0CF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266" w:type="dxa"/>
            <w:tcBorders>
              <w:top w:val="nil"/>
              <w:left w:val="nil"/>
              <w:bottom w:val="nil"/>
              <w:right w:val="nil"/>
            </w:tcBorders>
            <w:shd w:val="clear" w:color="auto" w:fill="auto"/>
            <w:noWrap/>
            <w:vAlign w:val="center"/>
            <w:hideMark/>
          </w:tcPr>
          <w:p w14:paraId="7AA6ED7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70EFEB1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326" w:type="dxa"/>
            <w:tcBorders>
              <w:top w:val="nil"/>
              <w:left w:val="nil"/>
              <w:bottom w:val="nil"/>
              <w:right w:val="nil"/>
            </w:tcBorders>
            <w:shd w:val="clear" w:color="auto" w:fill="auto"/>
            <w:noWrap/>
            <w:vAlign w:val="center"/>
            <w:hideMark/>
          </w:tcPr>
          <w:p w14:paraId="3F1B49BE"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14E8DD4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419" w:type="dxa"/>
            <w:tcBorders>
              <w:top w:val="nil"/>
              <w:left w:val="nil"/>
              <w:bottom w:val="nil"/>
              <w:right w:val="nil"/>
            </w:tcBorders>
            <w:shd w:val="clear" w:color="auto" w:fill="auto"/>
            <w:noWrap/>
            <w:vAlign w:val="center"/>
            <w:hideMark/>
          </w:tcPr>
          <w:p w14:paraId="447D01A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158" w:type="dxa"/>
            <w:tcBorders>
              <w:top w:val="nil"/>
              <w:left w:val="nil"/>
              <w:bottom w:val="nil"/>
              <w:right w:val="nil"/>
            </w:tcBorders>
            <w:shd w:val="clear" w:color="auto" w:fill="auto"/>
            <w:noWrap/>
            <w:vAlign w:val="center"/>
            <w:hideMark/>
          </w:tcPr>
          <w:p w14:paraId="0AB4FA8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152" w:type="dxa"/>
            <w:tcBorders>
              <w:top w:val="nil"/>
              <w:left w:val="nil"/>
              <w:bottom w:val="nil"/>
              <w:right w:val="nil"/>
            </w:tcBorders>
            <w:shd w:val="clear" w:color="auto" w:fill="auto"/>
            <w:noWrap/>
            <w:vAlign w:val="center"/>
            <w:hideMark/>
          </w:tcPr>
          <w:p w14:paraId="5BFBA98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r>
      <w:tr w:rsidR="003F3FFC" w:rsidRPr="00C83E27" w14:paraId="3AE3F12C" w14:textId="77777777" w:rsidTr="003F3FFC">
        <w:trPr>
          <w:trHeight w:val="280"/>
        </w:trPr>
        <w:tc>
          <w:tcPr>
            <w:tcW w:w="1530" w:type="dxa"/>
            <w:tcBorders>
              <w:top w:val="nil"/>
              <w:left w:val="nil"/>
              <w:bottom w:val="nil"/>
              <w:right w:val="nil"/>
            </w:tcBorders>
            <w:shd w:val="clear" w:color="auto" w:fill="auto"/>
            <w:noWrap/>
            <w:vAlign w:val="center"/>
            <w:hideMark/>
          </w:tcPr>
          <w:p w14:paraId="696AE9DD"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Time Trends</w:t>
            </w:r>
          </w:p>
        </w:tc>
        <w:tc>
          <w:tcPr>
            <w:tcW w:w="1266" w:type="dxa"/>
            <w:tcBorders>
              <w:top w:val="nil"/>
              <w:left w:val="nil"/>
              <w:bottom w:val="nil"/>
              <w:right w:val="nil"/>
            </w:tcBorders>
            <w:shd w:val="clear" w:color="auto" w:fill="auto"/>
            <w:noWrap/>
            <w:vAlign w:val="center"/>
            <w:hideMark/>
          </w:tcPr>
          <w:p w14:paraId="459AB7F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266" w:type="dxa"/>
            <w:tcBorders>
              <w:top w:val="nil"/>
              <w:left w:val="nil"/>
              <w:bottom w:val="nil"/>
              <w:right w:val="nil"/>
            </w:tcBorders>
            <w:shd w:val="clear" w:color="auto" w:fill="auto"/>
            <w:noWrap/>
            <w:vAlign w:val="center"/>
            <w:hideMark/>
          </w:tcPr>
          <w:p w14:paraId="5B8FB7F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33929FD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326" w:type="dxa"/>
            <w:tcBorders>
              <w:top w:val="nil"/>
              <w:left w:val="nil"/>
              <w:bottom w:val="nil"/>
              <w:right w:val="nil"/>
            </w:tcBorders>
            <w:shd w:val="clear" w:color="auto" w:fill="auto"/>
            <w:noWrap/>
            <w:vAlign w:val="center"/>
            <w:hideMark/>
          </w:tcPr>
          <w:p w14:paraId="1B0B75D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21B3A3ED"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419" w:type="dxa"/>
            <w:tcBorders>
              <w:top w:val="nil"/>
              <w:left w:val="nil"/>
              <w:bottom w:val="nil"/>
              <w:right w:val="nil"/>
            </w:tcBorders>
            <w:shd w:val="clear" w:color="auto" w:fill="auto"/>
            <w:noWrap/>
            <w:vAlign w:val="center"/>
            <w:hideMark/>
          </w:tcPr>
          <w:p w14:paraId="03A47C2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c>
          <w:tcPr>
            <w:tcW w:w="1158" w:type="dxa"/>
            <w:tcBorders>
              <w:top w:val="nil"/>
              <w:left w:val="nil"/>
              <w:bottom w:val="nil"/>
              <w:right w:val="nil"/>
            </w:tcBorders>
            <w:shd w:val="clear" w:color="auto" w:fill="auto"/>
            <w:noWrap/>
            <w:vAlign w:val="center"/>
            <w:hideMark/>
          </w:tcPr>
          <w:p w14:paraId="583B17A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No</w:t>
            </w:r>
          </w:p>
        </w:tc>
        <w:tc>
          <w:tcPr>
            <w:tcW w:w="1152" w:type="dxa"/>
            <w:tcBorders>
              <w:top w:val="nil"/>
              <w:left w:val="nil"/>
              <w:bottom w:val="nil"/>
              <w:right w:val="nil"/>
            </w:tcBorders>
            <w:shd w:val="clear" w:color="auto" w:fill="auto"/>
            <w:noWrap/>
            <w:vAlign w:val="center"/>
            <w:hideMark/>
          </w:tcPr>
          <w:p w14:paraId="6E07C38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Yes</w:t>
            </w:r>
          </w:p>
        </w:tc>
      </w:tr>
      <w:tr w:rsidR="003F3FFC" w:rsidRPr="00C83E27" w14:paraId="335A0675" w14:textId="77777777" w:rsidTr="003F3FFC">
        <w:trPr>
          <w:trHeight w:val="280"/>
        </w:trPr>
        <w:tc>
          <w:tcPr>
            <w:tcW w:w="1530" w:type="dxa"/>
            <w:tcBorders>
              <w:top w:val="nil"/>
              <w:left w:val="nil"/>
              <w:bottom w:val="nil"/>
              <w:right w:val="nil"/>
            </w:tcBorders>
            <w:shd w:val="clear" w:color="auto" w:fill="auto"/>
            <w:noWrap/>
            <w:vAlign w:val="center"/>
            <w:hideMark/>
          </w:tcPr>
          <w:p w14:paraId="55A7FF92" w14:textId="77777777" w:rsidR="003F3FFC" w:rsidRPr="00C83E27" w:rsidRDefault="003F3FFC" w:rsidP="003F3FFC">
            <w:pPr>
              <w:tabs>
                <w:tab w:val="left" w:pos="1332"/>
              </w:tabs>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center"/>
            <w:hideMark/>
          </w:tcPr>
          <w:p w14:paraId="29047508"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center"/>
            <w:hideMark/>
          </w:tcPr>
          <w:p w14:paraId="2B0A8A7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center"/>
            <w:hideMark/>
          </w:tcPr>
          <w:p w14:paraId="4E6E2FC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center"/>
            <w:hideMark/>
          </w:tcPr>
          <w:p w14:paraId="742AA7A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center"/>
            <w:hideMark/>
          </w:tcPr>
          <w:p w14:paraId="236E6F6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center"/>
            <w:hideMark/>
          </w:tcPr>
          <w:p w14:paraId="5EB4DC6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8" w:type="dxa"/>
            <w:tcBorders>
              <w:top w:val="nil"/>
              <w:left w:val="nil"/>
              <w:bottom w:val="nil"/>
              <w:right w:val="nil"/>
            </w:tcBorders>
            <w:shd w:val="clear" w:color="auto" w:fill="auto"/>
            <w:noWrap/>
            <w:vAlign w:val="center"/>
            <w:hideMark/>
          </w:tcPr>
          <w:p w14:paraId="5B77F2F2"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c>
          <w:tcPr>
            <w:tcW w:w="1152" w:type="dxa"/>
            <w:tcBorders>
              <w:top w:val="nil"/>
              <w:left w:val="nil"/>
              <w:bottom w:val="nil"/>
              <w:right w:val="nil"/>
            </w:tcBorders>
            <w:shd w:val="clear" w:color="auto" w:fill="auto"/>
            <w:noWrap/>
            <w:vAlign w:val="center"/>
            <w:hideMark/>
          </w:tcPr>
          <w:p w14:paraId="23B0091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p>
        </w:tc>
      </w:tr>
      <w:tr w:rsidR="003F3FFC" w:rsidRPr="00C83E27" w14:paraId="09C96CF6" w14:textId="77777777" w:rsidTr="003F3FFC">
        <w:trPr>
          <w:trHeight w:val="280"/>
        </w:trPr>
        <w:tc>
          <w:tcPr>
            <w:tcW w:w="1530" w:type="dxa"/>
            <w:tcBorders>
              <w:top w:val="nil"/>
              <w:left w:val="nil"/>
              <w:bottom w:val="nil"/>
              <w:right w:val="nil"/>
            </w:tcBorders>
            <w:shd w:val="clear" w:color="auto" w:fill="auto"/>
            <w:noWrap/>
            <w:vAlign w:val="center"/>
            <w:hideMark/>
          </w:tcPr>
          <w:p w14:paraId="1FB69271"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Observations</w:t>
            </w:r>
          </w:p>
        </w:tc>
        <w:tc>
          <w:tcPr>
            <w:tcW w:w="1266" w:type="dxa"/>
            <w:tcBorders>
              <w:top w:val="nil"/>
              <w:left w:val="nil"/>
              <w:bottom w:val="nil"/>
              <w:right w:val="nil"/>
            </w:tcBorders>
            <w:shd w:val="clear" w:color="auto" w:fill="auto"/>
            <w:noWrap/>
            <w:vAlign w:val="center"/>
            <w:hideMark/>
          </w:tcPr>
          <w:p w14:paraId="3A1CCE0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1,029</w:t>
            </w:r>
          </w:p>
        </w:tc>
        <w:tc>
          <w:tcPr>
            <w:tcW w:w="1266" w:type="dxa"/>
            <w:tcBorders>
              <w:top w:val="nil"/>
              <w:left w:val="nil"/>
              <w:bottom w:val="nil"/>
              <w:right w:val="nil"/>
            </w:tcBorders>
            <w:shd w:val="clear" w:color="auto" w:fill="auto"/>
            <w:noWrap/>
            <w:vAlign w:val="center"/>
            <w:hideMark/>
          </w:tcPr>
          <w:p w14:paraId="7E186EE7"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1,029</w:t>
            </w:r>
          </w:p>
        </w:tc>
        <w:tc>
          <w:tcPr>
            <w:tcW w:w="1326" w:type="dxa"/>
            <w:tcBorders>
              <w:top w:val="nil"/>
              <w:left w:val="nil"/>
              <w:bottom w:val="nil"/>
              <w:right w:val="nil"/>
            </w:tcBorders>
            <w:shd w:val="clear" w:color="auto" w:fill="auto"/>
            <w:noWrap/>
            <w:vAlign w:val="center"/>
            <w:hideMark/>
          </w:tcPr>
          <w:p w14:paraId="0A63930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1,436</w:t>
            </w:r>
          </w:p>
        </w:tc>
        <w:tc>
          <w:tcPr>
            <w:tcW w:w="1326" w:type="dxa"/>
            <w:tcBorders>
              <w:top w:val="nil"/>
              <w:left w:val="nil"/>
              <w:bottom w:val="nil"/>
              <w:right w:val="nil"/>
            </w:tcBorders>
            <w:shd w:val="clear" w:color="auto" w:fill="auto"/>
            <w:noWrap/>
            <w:vAlign w:val="center"/>
            <w:hideMark/>
          </w:tcPr>
          <w:p w14:paraId="290B1CE0"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1,436</w:t>
            </w:r>
          </w:p>
        </w:tc>
        <w:tc>
          <w:tcPr>
            <w:tcW w:w="1419" w:type="dxa"/>
            <w:tcBorders>
              <w:top w:val="nil"/>
              <w:left w:val="nil"/>
              <w:bottom w:val="nil"/>
              <w:right w:val="nil"/>
            </w:tcBorders>
            <w:shd w:val="clear" w:color="auto" w:fill="auto"/>
            <w:noWrap/>
            <w:vAlign w:val="center"/>
            <w:hideMark/>
          </w:tcPr>
          <w:p w14:paraId="2A5F87D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1,436</w:t>
            </w:r>
          </w:p>
        </w:tc>
        <w:tc>
          <w:tcPr>
            <w:tcW w:w="1419" w:type="dxa"/>
            <w:tcBorders>
              <w:top w:val="nil"/>
              <w:left w:val="nil"/>
              <w:bottom w:val="nil"/>
              <w:right w:val="nil"/>
            </w:tcBorders>
            <w:shd w:val="clear" w:color="auto" w:fill="auto"/>
            <w:noWrap/>
            <w:vAlign w:val="center"/>
            <w:hideMark/>
          </w:tcPr>
          <w:p w14:paraId="2DEBA52A"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1,436</w:t>
            </w:r>
          </w:p>
        </w:tc>
        <w:tc>
          <w:tcPr>
            <w:tcW w:w="1158" w:type="dxa"/>
            <w:tcBorders>
              <w:top w:val="nil"/>
              <w:left w:val="nil"/>
              <w:bottom w:val="nil"/>
              <w:right w:val="nil"/>
            </w:tcBorders>
            <w:shd w:val="clear" w:color="auto" w:fill="auto"/>
            <w:noWrap/>
            <w:vAlign w:val="center"/>
            <w:hideMark/>
          </w:tcPr>
          <w:p w14:paraId="442C1679"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1,500</w:t>
            </w:r>
          </w:p>
        </w:tc>
        <w:tc>
          <w:tcPr>
            <w:tcW w:w="1152" w:type="dxa"/>
            <w:tcBorders>
              <w:top w:val="nil"/>
              <w:left w:val="nil"/>
              <w:bottom w:val="nil"/>
              <w:right w:val="nil"/>
            </w:tcBorders>
            <w:shd w:val="clear" w:color="auto" w:fill="auto"/>
            <w:noWrap/>
            <w:vAlign w:val="center"/>
            <w:hideMark/>
          </w:tcPr>
          <w:p w14:paraId="6A66EE1B"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1,500</w:t>
            </w:r>
          </w:p>
        </w:tc>
      </w:tr>
      <w:tr w:rsidR="003F3FFC" w:rsidRPr="00C83E27" w14:paraId="7CC17B94" w14:textId="77777777" w:rsidTr="003F3FFC">
        <w:trPr>
          <w:trHeight w:val="300"/>
        </w:trPr>
        <w:tc>
          <w:tcPr>
            <w:tcW w:w="1530" w:type="dxa"/>
            <w:tcBorders>
              <w:top w:val="nil"/>
              <w:left w:val="nil"/>
              <w:bottom w:val="single" w:sz="8" w:space="0" w:color="auto"/>
              <w:right w:val="nil"/>
            </w:tcBorders>
            <w:shd w:val="clear" w:color="auto" w:fill="auto"/>
            <w:noWrap/>
            <w:vAlign w:val="center"/>
            <w:hideMark/>
          </w:tcPr>
          <w:p w14:paraId="0F65C31B" w14:textId="77777777" w:rsidR="003F3FFC" w:rsidRPr="00C83E27" w:rsidRDefault="003F3FFC" w:rsidP="003F3FFC">
            <w:pPr>
              <w:tabs>
                <w:tab w:val="left" w:pos="1332"/>
              </w:tabs>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R-squared</w:t>
            </w:r>
          </w:p>
        </w:tc>
        <w:tc>
          <w:tcPr>
            <w:tcW w:w="1266" w:type="dxa"/>
            <w:tcBorders>
              <w:top w:val="nil"/>
              <w:left w:val="nil"/>
              <w:bottom w:val="single" w:sz="8" w:space="0" w:color="000000"/>
              <w:right w:val="nil"/>
            </w:tcBorders>
            <w:shd w:val="clear" w:color="auto" w:fill="auto"/>
            <w:noWrap/>
            <w:vAlign w:val="center"/>
            <w:hideMark/>
          </w:tcPr>
          <w:p w14:paraId="4DFA9CF4"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0.596</w:t>
            </w:r>
          </w:p>
        </w:tc>
        <w:tc>
          <w:tcPr>
            <w:tcW w:w="1266" w:type="dxa"/>
            <w:tcBorders>
              <w:top w:val="nil"/>
              <w:left w:val="nil"/>
              <w:bottom w:val="single" w:sz="8" w:space="0" w:color="000000"/>
              <w:right w:val="nil"/>
            </w:tcBorders>
            <w:shd w:val="clear" w:color="auto" w:fill="auto"/>
            <w:noWrap/>
            <w:vAlign w:val="center"/>
            <w:hideMark/>
          </w:tcPr>
          <w:p w14:paraId="226414AF"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0.749</w:t>
            </w:r>
          </w:p>
        </w:tc>
        <w:tc>
          <w:tcPr>
            <w:tcW w:w="1326" w:type="dxa"/>
            <w:tcBorders>
              <w:top w:val="nil"/>
              <w:left w:val="nil"/>
              <w:bottom w:val="single" w:sz="8" w:space="0" w:color="000000"/>
              <w:right w:val="nil"/>
            </w:tcBorders>
            <w:shd w:val="clear" w:color="auto" w:fill="auto"/>
            <w:noWrap/>
            <w:vAlign w:val="center"/>
            <w:hideMark/>
          </w:tcPr>
          <w:p w14:paraId="747A417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0.728</w:t>
            </w:r>
          </w:p>
        </w:tc>
        <w:tc>
          <w:tcPr>
            <w:tcW w:w="1326" w:type="dxa"/>
            <w:tcBorders>
              <w:top w:val="nil"/>
              <w:left w:val="nil"/>
              <w:bottom w:val="single" w:sz="8" w:space="0" w:color="000000"/>
              <w:right w:val="nil"/>
            </w:tcBorders>
            <w:shd w:val="clear" w:color="auto" w:fill="auto"/>
            <w:noWrap/>
            <w:vAlign w:val="center"/>
            <w:hideMark/>
          </w:tcPr>
          <w:p w14:paraId="112E151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0.814</w:t>
            </w:r>
          </w:p>
        </w:tc>
        <w:tc>
          <w:tcPr>
            <w:tcW w:w="1419" w:type="dxa"/>
            <w:tcBorders>
              <w:top w:val="nil"/>
              <w:left w:val="nil"/>
              <w:bottom w:val="single" w:sz="8" w:space="0" w:color="000000"/>
              <w:right w:val="nil"/>
            </w:tcBorders>
            <w:shd w:val="clear" w:color="auto" w:fill="auto"/>
            <w:noWrap/>
            <w:vAlign w:val="center"/>
            <w:hideMark/>
          </w:tcPr>
          <w:p w14:paraId="2FEB3F36"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0.59</w:t>
            </w:r>
          </w:p>
        </w:tc>
        <w:tc>
          <w:tcPr>
            <w:tcW w:w="1419" w:type="dxa"/>
            <w:tcBorders>
              <w:top w:val="nil"/>
              <w:left w:val="nil"/>
              <w:bottom w:val="single" w:sz="8" w:space="0" w:color="000000"/>
              <w:right w:val="nil"/>
            </w:tcBorders>
            <w:shd w:val="clear" w:color="auto" w:fill="auto"/>
            <w:noWrap/>
            <w:vAlign w:val="center"/>
            <w:hideMark/>
          </w:tcPr>
          <w:p w14:paraId="6EE4D521"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0.745</w:t>
            </w:r>
          </w:p>
        </w:tc>
        <w:tc>
          <w:tcPr>
            <w:tcW w:w="1158" w:type="dxa"/>
            <w:tcBorders>
              <w:top w:val="nil"/>
              <w:left w:val="nil"/>
              <w:bottom w:val="single" w:sz="8" w:space="0" w:color="000000"/>
              <w:right w:val="nil"/>
            </w:tcBorders>
            <w:shd w:val="clear" w:color="auto" w:fill="auto"/>
            <w:noWrap/>
            <w:vAlign w:val="center"/>
            <w:hideMark/>
          </w:tcPr>
          <w:p w14:paraId="5BD13D03"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0.612</w:t>
            </w:r>
          </w:p>
        </w:tc>
        <w:tc>
          <w:tcPr>
            <w:tcW w:w="1152" w:type="dxa"/>
            <w:tcBorders>
              <w:top w:val="nil"/>
              <w:left w:val="nil"/>
              <w:bottom w:val="single" w:sz="8" w:space="0" w:color="000000"/>
              <w:right w:val="nil"/>
            </w:tcBorders>
            <w:shd w:val="clear" w:color="auto" w:fill="auto"/>
            <w:noWrap/>
            <w:vAlign w:val="center"/>
            <w:hideMark/>
          </w:tcPr>
          <w:p w14:paraId="051E76D5" w14:textId="77777777" w:rsidR="003F3FFC" w:rsidRPr="00C83E27" w:rsidRDefault="003F3FFC" w:rsidP="003F3FFC">
            <w:pPr>
              <w:tabs>
                <w:tab w:val="left" w:pos="1332"/>
              </w:tabs>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0.864</w:t>
            </w:r>
          </w:p>
        </w:tc>
      </w:tr>
      <w:tr w:rsidR="003F3FFC" w:rsidRPr="00C83E27" w14:paraId="3EA53BC2" w14:textId="77777777" w:rsidTr="003F3FFC">
        <w:trPr>
          <w:trHeight w:val="280"/>
        </w:trPr>
        <w:tc>
          <w:tcPr>
            <w:tcW w:w="11862" w:type="dxa"/>
            <w:gridSpan w:val="9"/>
            <w:vMerge w:val="restart"/>
            <w:tcBorders>
              <w:top w:val="nil"/>
              <w:left w:val="nil"/>
              <w:bottom w:val="nil"/>
              <w:right w:val="nil"/>
            </w:tcBorders>
            <w:shd w:val="clear" w:color="auto" w:fill="auto"/>
            <w:vAlign w:val="center"/>
            <w:hideMark/>
          </w:tcPr>
          <w:p w14:paraId="25AED16E" w14:textId="77777777" w:rsidR="003F3FFC" w:rsidRPr="00C83E27" w:rsidRDefault="003F3FFC" w:rsidP="003F3FFC">
            <w:pPr>
              <w:tabs>
                <w:tab w:val="left" w:pos="1332"/>
              </w:tabs>
              <w:rPr>
                <w:rFonts w:ascii="Calibri" w:eastAsia="Times New Roman" w:hAnsi="Calibri" w:cs="Times New Roman"/>
                <w:color w:val="000000"/>
                <w:sz w:val="20"/>
                <w:szCs w:val="20"/>
              </w:rPr>
            </w:pPr>
            <w:r w:rsidRPr="00C83E27">
              <w:rPr>
                <w:rFonts w:ascii="Calibri" w:eastAsia="Times New Roman" w:hAnsi="Calibri" w:cs="Times New Roman"/>
                <w:color w:val="000000"/>
                <w:sz w:val="20"/>
                <w:szCs w:val="20"/>
              </w:rPr>
              <w:t>Observations are at the weekly-monitor level.  All columns include monitor fixed effects. Columns 2, 4, 6 and 8 include month fixed effects and monitor-specific time trends. The sample of monitors is 30,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w:t>
            </w:r>
          </w:p>
        </w:tc>
      </w:tr>
      <w:tr w:rsidR="003F3FFC" w:rsidRPr="00C83E27" w14:paraId="61FF771B" w14:textId="77777777" w:rsidTr="003F3FFC">
        <w:trPr>
          <w:trHeight w:val="280"/>
        </w:trPr>
        <w:tc>
          <w:tcPr>
            <w:tcW w:w="11862" w:type="dxa"/>
            <w:gridSpan w:val="9"/>
            <w:vMerge/>
            <w:tcBorders>
              <w:top w:val="nil"/>
              <w:left w:val="nil"/>
              <w:bottom w:val="nil"/>
              <w:right w:val="nil"/>
            </w:tcBorders>
            <w:vAlign w:val="center"/>
            <w:hideMark/>
          </w:tcPr>
          <w:p w14:paraId="63F2504D" w14:textId="77777777" w:rsidR="003F3FFC" w:rsidRPr="00C83E27" w:rsidRDefault="003F3FFC" w:rsidP="003F3FFC">
            <w:pPr>
              <w:tabs>
                <w:tab w:val="left" w:pos="1332"/>
              </w:tabs>
              <w:rPr>
                <w:rFonts w:ascii="Calibri" w:eastAsia="Times New Roman" w:hAnsi="Calibri" w:cs="Times New Roman"/>
                <w:color w:val="000000"/>
                <w:sz w:val="20"/>
                <w:szCs w:val="20"/>
              </w:rPr>
            </w:pPr>
          </w:p>
        </w:tc>
      </w:tr>
      <w:tr w:rsidR="003F3FFC" w:rsidRPr="00C83E27" w14:paraId="4C313E60" w14:textId="77777777" w:rsidTr="003F3FFC">
        <w:trPr>
          <w:trHeight w:val="280"/>
        </w:trPr>
        <w:tc>
          <w:tcPr>
            <w:tcW w:w="11862" w:type="dxa"/>
            <w:gridSpan w:val="9"/>
            <w:vMerge/>
            <w:tcBorders>
              <w:top w:val="nil"/>
              <w:left w:val="nil"/>
              <w:bottom w:val="nil"/>
              <w:right w:val="nil"/>
            </w:tcBorders>
            <w:vAlign w:val="center"/>
            <w:hideMark/>
          </w:tcPr>
          <w:p w14:paraId="20893E8C" w14:textId="77777777" w:rsidR="003F3FFC" w:rsidRPr="00C83E27" w:rsidRDefault="003F3FFC" w:rsidP="003F3FFC">
            <w:pPr>
              <w:tabs>
                <w:tab w:val="left" w:pos="1332"/>
              </w:tabs>
              <w:rPr>
                <w:rFonts w:ascii="Calibri" w:eastAsia="Times New Roman" w:hAnsi="Calibri" w:cs="Times New Roman"/>
                <w:color w:val="000000"/>
                <w:sz w:val="20"/>
                <w:szCs w:val="20"/>
              </w:rPr>
            </w:pPr>
          </w:p>
        </w:tc>
      </w:tr>
      <w:tr w:rsidR="003F3FFC" w:rsidRPr="00C83E27" w14:paraId="6F1F8FBE" w14:textId="77777777" w:rsidTr="003F3FFC">
        <w:trPr>
          <w:trHeight w:val="280"/>
        </w:trPr>
        <w:tc>
          <w:tcPr>
            <w:tcW w:w="11862" w:type="dxa"/>
            <w:gridSpan w:val="9"/>
            <w:vMerge/>
            <w:tcBorders>
              <w:top w:val="nil"/>
              <w:left w:val="nil"/>
              <w:bottom w:val="nil"/>
              <w:right w:val="nil"/>
            </w:tcBorders>
            <w:vAlign w:val="center"/>
            <w:hideMark/>
          </w:tcPr>
          <w:p w14:paraId="1832C796" w14:textId="77777777" w:rsidR="003F3FFC" w:rsidRPr="00C83E27" w:rsidRDefault="003F3FFC" w:rsidP="003F3FFC">
            <w:pPr>
              <w:tabs>
                <w:tab w:val="left" w:pos="1332"/>
              </w:tabs>
              <w:rPr>
                <w:rFonts w:ascii="Calibri" w:eastAsia="Times New Roman" w:hAnsi="Calibri" w:cs="Times New Roman"/>
                <w:color w:val="000000"/>
                <w:sz w:val="20"/>
                <w:szCs w:val="20"/>
              </w:rPr>
            </w:pPr>
          </w:p>
        </w:tc>
      </w:tr>
    </w:tbl>
    <w:p w14:paraId="02D57C71" w14:textId="77777777" w:rsidR="002F5D47" w:rsidRDefault="002F5D47" w:rsidP="002F5D47">
      <w:pPr>
        <w:spacing w:line="480" w:lineRule="auto"/>
      </w:pPr>
    </w:p>
    <w:p w14:paraId="532891CB" w14:textId="77777777" w:rsidR="002F5D47" w:rsidRDefault="002F5D47" w:rsidP="002F5D47">
      <w:pPr>
        <w:spacing w:line="480" w:lineRule="auto"/>
      </w:pPr>
    </w:p>
    <w:p w14:paraId="226D4F0B" w14:textId="77777777" w:rsidR="00E30957" w:rsidRDefault="00E30957" w:rsidP="002F5D47">
      <w:pPr>
        <w:spacing w:line="480" w:lineRule="auto"/>
      </w:pPr>
    </w:p>
    <w:tbl>
      <w:tblPr>
        <w:tblW w:w="11700" w:type="dxa"/>
        <w:tblInd w:w="-1062" w:type="dxa"/>
        <w:tblLayout w:type="fixed"/>
        <w:tblLook w:val="04A0" w:firstRow="1" w:lastRow="0" w:firstColumn="1" w:lastColumn="0" w:noHBand="0" w:noVBand="1"/>
      </w:tblPr>
      <w:tblGrid>
        <w:gridCol w:w="1530"/>
        <w:gridCol w:w="1279"/>
        <w:gridCol w:w="1187"/>
        <w:gridCol w:w="1339"/>
        <w:gridCol w:w="1339"/>
        <w:gridCol w:w="1339"/>
        <w:gridCol w:w="1347"/>
        <w:gridCol w:w="1203"/>
        <w:gridCol w:w="1137"/>
      </w:tblGrid>
      <w:tr w:rsidR="002F5D47" w:rsidRPr="008E1AB1" w14:paraId="5572D9F8" w14:textId="77777777" w:rsidTr="00C04359">
        <w:trPr>
          <w:trHeight w:val="280"/>
        </w:trPr>
        <w:tc>
          <w:tcPr>
            <w:tcW w:w="11700" w:type="dxa"/>
            <w:gridSpan w:val="9"/>
            <w:tcBorders>
              <w:top w:val="nil"/>
              <w:left w:val="nil"/>
              <w:bottom w:val="nil"/>
              <w:right w:val="nil"/>
            </w:tcBorders>
            <w:shd w:val="clear" w:color="auto" w:fill="auto"/>
            <w:vAlign w:val="center"/>
            <w:hideMark/>
          </w:tcPr>
          <w:p w14:paraId="566E02EB" w14:textId="77777777" w:rsidR="002F5D47" w:rsidRPr="000701CF" w:rsidRDefault="002F5D47" w:rsidP="00C04359">
            <w:pPr>
              <w:jc w:val="center"/>
              <w:rPr>
                <w:rFonts w:eastAsia="Times New Roman" w:cs="Times New Roman"/>
                <w:b/>
                <w:bCs/>
                <w:color w:val="000000"/>
              </w:rPr>
            </w:pPr>
            <w:r w:rsidRPr="000701CF">
              <w:rPr>
                <w:rFonts w:eastAsia="Times New Roman" w:cs="Times New Roman"/>
                <w:b/>
                <w:bCs/>
                <w:color w:val="000000"/>
              </w:rPr>
              <w:lastRenderedPageBreak/>
              <w:t>Table 7</w:t>
            </w:r>
          </w:p>
        </w:tc>
      </w:tr>
      <w:tr w:rsidR="002F5D47" w:rsidRPr="008E1AB1" w14:paraId="347674BC" w14:textId="77777777" w:rsidTr="00C04359">
        <w:trPr>
          <w:trHeight w:val="300"/>
        </w:trPr>
        <w:tc>
          <w:tcPr>
            <w:tcW w:w="11700" w:type="dxa"/>
            <w:gridSpan w:val="9"/>
            <w:tcBorders>
              <w:top w:val="nil"/>
              <w:left w:val="nil"/>
              <w:bottom w:val="single" w:sz="8" w:space="0" w:color="auto"/>
              <w:right w:val="nil"/>
            </w:tcBorders>
            <w:shd w:val="clear" w:color="auto" w:fill="auto"/>
            <w:vAlign w:val="center"/>
            <w:hideMark/>
          </w:tcPr>
          <w:p w14:paraId="3220EED0" w14:textId="420235FE" w:rsidR="002F5D47" w:rsidRPr="000701CF" w:rsidRDefault="002F5D47" w:rsidP="00C04359">
            <w:pPr>
              <w:jc w:val="center"/>
              <w:rPr>
                <w:rFonts w:eastAsia="Times New Roman" w:cs="Times New Roman"/>
                <w:b/>
                <w:bCs/>
                <w:color w:val="000000"/>
              </w:rPr>
            </w:pPr>
            <w:r w:rsidRPr="000701CF">
              <w:rPr>
                <w:rFonts w:eastAsia="Times New Roman" w:cs="Times New Roman"/>
                <w:b/>
                <w:bCs/>
                <w:color w:val="000000"/>
              </w:rPr>
              <w:t>25 Week Difference-in-Differences Regression</w:t>
            </w:r>
            <w:r w:rsidR="00F81F14">
              <w:rPr>
                <w:rFonts w:eastAsia="Times New Roman" w:cs="Times New Roman"/>
                <w:b/>
                <w:bCs/>
                <w:color w:val="000000"/>
              </w:rPr>
              <w:t xml:space="preserve"> 2003</w:t>
            </w:r>
          </w:p>
        </w:tc>
      </w:tr>
      <w:tr w:rsidR="002F5D47" w:rsidRPr="008E1AB1" w14:paraId="0BF3256E" w14:textId="77777777" w:rsidTr="00C04359">
        <w:trPr>
          <w:trHeight w:val="280"/>
        </w:trPr>
        <w:tc>
          <w:tcPr>
            <w:tcW w:w="1530" w:type="dxa"/>
            <w:tcBorders>
              <w:top w:val="nil"/>
              <w:left w:val="nil"/>
              <w:bottom w:val="nil"/>
              <w:right w:val="nil"/>
            </w:tcBorders>
            <w:shd w:val="clear" w:color="auto" w:fill="auto"/>
            <w:noWrap/>
            <w:vAlign w:val="center"/>
            <w:hideMark/>
          </w:tcPr>
          <w:p w14:paraId="3F691B9A"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279" w:type="dxa"/>
            <w:tcBorders>
              <w:top w:val="nil"/>
              <w:left w:val="nil"/>
              <w:bottom w:val="nil"/>
              <w:right w:val="nil"/>
            </w:tcBorders>
            <w:shd w:val="clear" w:color="auto" w:fill="auto"/>
            <w:noWrap/>
            <w:vAlign w:val="bottom"/>
            <w:hideMark/>
          </w:tcPr>
          <w:p w14:paraId="3E54AB7A"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(1)</w:t>
            </w:r>
          </w:p>
        </w:tc>
        <w:tc>
          <w:tcPr>
            <w:tcW w:w="1187" w:type="dxa"/>
            <w:tcBorders>
              <w:top w:val="nil"/>
              <w:left w:val="nil"/>
              <w:bottom w:val="nil"/>
              <w:right w:val="nil"/>
            </w:tcBorders>
            <w:shd w:val="clear" w:color="auto" w:fill="auto"/>
            <w:noWrap/>
            <w:vAlign w:val="bottom"/>
            <w:hideMark/>
          </w:tcPr>
          <w:p w14:paraId="51433A91"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(2)</w:t>
            </w:r>
          </w:p>
        </w:tc>
        <w:tc>
          <w:tcPr>
            <w:tcW w:w="1339" w:type="dxa"/>
            <w:tcBorders>
              <w:top w:val="nil"/>
              <w:left w:val="nil"/>
              <w:bottom w:val="nil"/>
              <w:right w:val="nil"/>
            </w:tcBorders>
            <w:shd w:val="clear" w:color="auto" w:fill="auto"/>
            <w:noWrap/>
            <w:vAlign w:val="bottom"/>
            <w:hideMark/>
          </w:tcPr>
          <w:p w14:paraId="1B2A9EF3"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(3)</w:t>
            </w:r>
          </w:p>
        </w:tc>
        <w:tc>
          <w:tcPr>
            <w:tcW w:w="1339" w:type="dxa"/>
            <w:tcBorders>
              <w:top w:val="nil"/>
              <w:left w:val="nil"/>
              <w:bottom w:val="nil"/>
              <w:right w:val="nil"/>
            </w:tcBorders>
            <w:shd w:val="clear" w:color="auto" w:fill="auto"/>
            <w:noWrap/>
            <w:vAlign w:val="bottom"/>
            <w:hideMark/>
          </w:tcPr>
          <w:p w14:paraId="4D2094B0"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(4)</w:t>
            </w:r>
          </w:p>
        </w:tc>
        <w:tc>
          <w:tcPr>
            <w:tcW w:w="1339" w:type="dxa"/>
            <w:tcBorders>
              <w:top w:val="nil"/>
              <w:left w:val="nil"/>
              <w:bottom w:val="nil"/>
              <w:right w:val="nil"/>
            </w:tcBorders>
            <w:shd w:val="clear" w:color="auto" w:fill="auto"/>
            <w:noWrap/>
            <w:vAlign w:val="bottom"/>
            <w:hideMark/>
          </w:tcPr>
          <w:p w14:paraId="75F4F78E"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(5)</w:t>
            </w:r>
          </w:p>
        </w:tc>
        <w:tc>
          <w:tcPr>
            <w:tcW w:w="1347" w:type="dxa"/>
            <w:tcBorders>
              <w:top w:val="nil"/>
              <w:left w:val="nil"/>
              <w:bottom w:val="nil"/>
              <w:right w:val="nil"/>
            </w:tcBorders>
            <w:shd w:val="clear" w:color="auto" w:fill="auto"/>
            <w:noWrap/>
            <w:vAlign w:val="bottom"/>
            <w:hideMark/>
          </w:tcPr>
          <w:p w14:paraId="51C9F7B3"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(6)</w:t>
            </w:r>
          </w:p>
        </w:tc>
        <w:tc>
          <w:tcPr>
            <w:tcW w:w="1203" w:type="dxa"/>
            <w:tcBorders>
              <w:top w:val="nil"/>
              <w:left w:val="nil"/>
              <w:bottom w:val="nil"/>
              <w:right w:val="nil"/>
            </w:tcBorders>
            <w:shd w:val="clear" w:color="auto" w:fill="auto"/>
            <w:noWrap/>
            <w:vAlign w:val="bottom"/>
            <w:hideMark/>
          </w:tcPr>
          <w:p w14:paraId="4C306445"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(7)</w:t>
            </w:r>
          </w:p>
        </w:tc>
        <w:tc>
          <w:tcPr>
            <w:tcW w:w="1137" w:type="dxa"/>
            <w:tcBorders>
              <w:top w:val="nil"/>
              <w:left w:val="nil"/>
              <w:bottom w:val="nil"/>
              <w:right w:val="nil"/>
            </w:tcBorders>
            <w:shd w:val="clear" w:color="auto" w:fill="auto"/>
            <w:noWrap/>
            <w:vAlign w:val="bottom"/>
            <w:hideMark/>
          </w:tcPr>
          <w:p w14:paraId="77838786" w14:textId="77777777" w:rsidR="002F5D47" w:rsidRPr="008E1AB1" w:rsidRDefault="002F5D47" w:rsidP="00C04359">
            <w:pPr>
              <w:jc w:val="center"/>
              <w:rPr>
                <w:rFonts w:ascii="Calibri" w:eastAsia="Times New Roman" w:hAnsi="Calibri" w:cs="Times New Roman"/>
                <w:color w:val="000000"/>
                <w:sz w:val="22"/>
                <w:szCs w:val="22"/>
              </w:rPr>
            </w:pPr>
            <w:r w:rsidRPr="00C83E27">
              <w:rPr>
                <w:rFonts w:ascii="Calibri" w:eastAsia="Times New Roman" w:hAnsi="Calibri" w:cs="Times New Roman"/>
                <w:color w:val="000000"/>
                <w:sz w:val="22"/>
                <w:szCs w:val="22"/>
              </w:rPr>
              <w:t>(8)</w:t>
            </w:r>
          </w:p>
        </w:tc>
      </w:tr>
      <w:tr w:rsidR="002F5D47" w:rsidRPr="008E1AB1" w14:paraId="7F826B75" w14:textId="77777777" w:rsidTr="00C04359">
        <w:trPr>
          <w:trHeight w:val="340"/>
        </w:trPr>
        <w:tc>
          <w:tcPr>
            <w:tcW w:w="1530" w:type="dxa"/>
            <w:tcBorders>
              <w:top w:val="nil"/>
              <w:left w:val="nil"/>
              <w:bottom w:val="nil"/>
              <w:right w:val="nil"/>
            </w:tcBorders>
            <w:shd w:val="clear" w:color="auto" w:fill="auto"/>
            <w:noWrap/>
            <w:vAlign w:val="center"/>
            <w:hideMark/>
          </w:tcPr>
          <w:p w14:paraId="09EFA948"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Pollutant</w:t>
            </w:r>
          </w:p>
        </w:tc>
        <w:tc>
          <w:tcPr>
            <w:tcW w:w="1279" w:type="dxa"/>
            <w:tcBorders>
              <w:top w:val="nil"/>
              <w:left w:val="nil"/>
              <w:bottom w:val="nil"/>
              <w:right w:val="nil"/>
            </w:tcBorders>
            <w:shd w:val="clear" w:color="auto" w:fill="auto"/>
            <w:noWrap/>
            <w:vAlign w:val="center"/>
            <w:hideMark/>
          </w:tcPr>
          <w:p w14:paraId="4A3DEB1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CO</w:t>
            </w:r>
          </w:p>
        </w:tc>
        <w:tc>
          <w:tcPr>
            <w:tcW w:w="1187" w:type="dxa"/>
            <w:tcBorders>
              <w:top w:val="nil"/>
              <w:left w:val="nil"/>
              <w:bottom w:val="nil"/>
              <w:right w:val="nil"/>
            </w:tcBorders>
            <w:shd w:val="clear" w:color="auto" w:fill="auto"/>
            <w:noWrap/>
            <w:vAlign w:val="center"/>
            <w:hideMark/>
          </w:tcPr>
          <w:p w14:paraId="447103E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CO</w:t>
            </w:r>
          </w:p>
        </w:tc>
        <w:tc>
          <w:tcPr>
            <w:tcW w:w="1339" w:type="dxa"/>
            <w:tcBorders>
              <w:top w:val="nil"/>
              <w:left w:val="nil"/>
              <w:bottom w:val="nil"/>
              <w:right w:val="nil"/>
            </w:tcBorders>
            <w:shd w:val="clear" w:color="auto" w:fill="auto"/>
            <w:noWrap/>
            <w:vAlign w:val="center"/>
            <w:hideMark/>
          </w:tcPr>
          <w:p w14:paraId="3EAFD5B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r w:rsidRPr="008E1AB1">
              <w:rPr>
                <w:rFonts w:ascii="Calibri" w:eastAsia="Times New Roman" w:hAnsi="Calibri" w:cs="Times New Roman"/>
                <w:color w:val="000000"/>
                <w:sz w:val="22"/>
                <w:szCs w:val="22"/>
                <w:vertAlign w:val="subscript"/>
              </w:rPr>
              <w:t>2</w:t>
            </w:r>
          </w:p>
        </w:tc>
        <w:tc>
          <w:tcPr>
            <w:tcW w:w="1339" w:type="dxa"/>
            <w:tcBorders>
              <w:top w:val="nil"/>
              <w:left w:val="nil"/>
              <w:bottom w:val="nil"/>
              <w:right w:val="nil"/>
            </w:tcBorders>
            <w:shd w:val="clear" w:color="auto" w:fill="auto"/>
            <w:noWrap/>
            <w:vAlign w:val="center"/>
            <w:hideMark/>
          </w:tcPr>
          <w:p w14:paraId="7AA69FA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r w:rsidRPr="008E1AB1">
              <w:rPr>
                <w:rFonts w:ascii="Calibri" w:eastAsia="Times New Roman" w:hAnsi="Calibri" w:cs="Times New Roman"/>
                <w:color w:val="000000"/>
                <w:sz w:val="22"/>
                <w:szCs w:val="22"/>
                <w:vertAlign w:val="subscript"/>
              </w:rPr>
              <w:t>2</w:t>
            </w:r>
          </w:p>
        </w:tc>
        <w:tc>
          <w:tcPr>
            <w:tcW w:w="1339" w:type="dxa"/>
            <w:tcBorders>
              <w:top w:val="nil"/>
              <w:left w:val="nil"/>
              <w:bottom w:val="nil"/>
              <w:right w:val="nil"/>
            </w:tcBorders>
            <w:shd w:val="clear" w:color="auto" w:fill="auto"/>
            <w:noWrap/>
            <w:vAlign w:val="center"/>
            <w:hideMark/>
          </w:tcPr>
          <w:p w14:paraId="654893A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r w:rsidRPr="008E1AB1">
              <w:rPr>
                <w:rFonts w:ascii="Calibri" w:eastAsia="Times New Roman" w:hAnsi="Calibri" w:cs="Times New Roman"/>
                <w:color w:val="000000"/>
                <w:sz w:val="22"/>
                <w:szCs w:val="22"/>
                <w:vertAlign w:val="subscript"/>
              </w:rPr>
              <w:t>x</w:t>
            </w:r>
          </w:p>
        </w:tc>
        <w:tc>
          <w:tcPr>
            <w:tcW w:w="1347" w:type="dxa"/>
            <w:tcBorders>
              <w:top w:val="nil"/>
              <w:left w:val="nil"/>
              <w:bottom w:val="nil"/>
              <w:right w:val="nil"/>
            </w:tcBorders>
            <w:shd w:val="clear" w:color="auto" w:fill="auto"/>
            <w:noWrap/>
            <w:vAlign w:val="center"/>
            <w:hideMark/>
          </w:tcPr>
          <w:p w14:paraId="2C55456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r w:rsidRPr="008E1AB1">
              <w:rPr>
                <w:rFonts w:ascii="Calibri" w:eastAsia="Times New Roman" w:hAnsi="Calibri" w:cs="Times New Roman"/>
                <w:color w:val="000000"/>
                <w:sz w:val="22"/>
                <w:szCs w:val="22"/>
                <w:vertAlign w:val="subscript"/>
              </w:rPr>
              <w:t>x</w:t>
            </w:r>
          </w:p>
        </w:tc>
        <w:tc>
          <w:tcPr>
            <w:tcW w:w="1203" w:type="dxa"/>
            <w:tcBorders>
              <w:top w:val="nil"/>
              <w:left w:val="nil"/>
              <w:bottom w:val="nil"/>
              <w:right w:val="nil"/>
            </w:tcBorders>
            <w:shd w:val="clear" w:color="auto" w:fill="auto"/>
            <w:noWrap/>
            <w:vAlign w:val="center"/>
            <w:hideMark/>
          </w:tcPr>
          <w:p w14:paraId="5E549B8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O</w:t>
            </w:r>
            <w:r w:rsidRPr="008E1AB1">
              <w:rPr>
                <w:rFonts w:ascii="Calibri" w:eastAsia="Times New Roman" w:hAnsi="Calibri" w:cs="Times New Roman"/>
                <w:color w:val="000000"/>
                <w:sz w:val="22"/>
                <w:szCs w:val="22"/>
                <w:vertAlign w:val="subscript"/>
              </w:rPr>
              <w:t>3</w:t>
            </w:r>
          </w:p>
        </w:tc>
        <w:tc>
          <w:tcPr>
            <w:tcW w:w="1137" w:type="dxa"/>
            <w:tcBorders>
              <w:top w:val="nil"/>
              <w:left w:val="nil"/>
              <w:bottom w:val="nil"/>
              <w:right w:val="nil"/>
            </w:tcBorders>
            <w:shd w:val="clear" w:color="auto" w:fill="auto"/>
            <w:noWrap/>
            <w:vAlign w:val="center"/>
            <w:hideMark/>
          </w:tcPr>
          <w:p w14:paraId="6EDF170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O</w:t>
            </w:r>
            <w:r w:rsidRPr="008E1AB1">
              <w:rPr>
                <w:rFonts w:ascii="Calibri" w:eastAsia="Times New Roman" w:hAnsi="Calibri" w:cs="Times New Roman"/>
                <w:color w:val="000000"/>
                <w:sz w:val="22"/>
                <w:szCs w:val="22"/>
                <w:vertAlign w:val="subscript"/>
              </w:rPr>
              <w:t>3</w:t>
            </w:r>
          </w:p>
        </w:tc>
      </w:tr>
      <w:tr w:rsidR="002F5D47" w:rsidRPr="008E1AB1" w14:paraId="0B70674C" w14:textId="77777777" w:rsidTr="00C04359">
        <w:trPr>
          <w:trHeight w:val="280"/>
        </w:trPr>
        <w:tc>
          <w:tcPr>
            <w:tcW w:w="1530" w:type="dxa"/>
            <w:tcBorders>
              <w:top w:val="single" w:sz="8" w:space="0" w:color="auto"/>
              <w:left w:val="nil"/>
              <w:bottom w:val="nil"/>
              <w:right w:val="nil"/>
            </w:tcBorders>
            <w:shd w:val="clear" w:color="auto" w:fill="auto"/>
            <w:noWrap/>
            <w:vAlign w:val="center"/>
            <w:hideMark/>
          </w:tcPr>
          <w:p w14:paraId="49616F80"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279" w:type="dxa"/>
            <w:tcBorders>
              <w:top w:val="single" w:sz="8" w:space="0" w:color="auto"/>
              <w:left w:val="nil"/>
              <w:bottom w:val="nil"/>
              <w:right w:val="nil"/>
            </w:tcBorders>
            <w:shd w:val="clear" w:color="auto" w:fill="auto"/>
            <w:noWrap/>
            <w:vAlign w:val="center"/>
            <w:hideMark/>
          </w:tcPr>
          <w:p w14:paraId="39FF4F0D"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187" w:type="dxa"/>
            <w:tcBorders>
              <w:top w:val="single" w:sz="8" w:space="0" w:color="auto"/>
              <w:left w:val="nil"/>
              <w:bottom w:val="nil"/>
              <w:right w:val="nil"/>
            </w:tcBorders>
            <w:shd w:val="clear" w:color="auto" w:fill="auto"/>
            <w:noWrap/>
            <w:vAlign w:val="center"/>
            <w:hideMark/>
          </w:tcPr>
          <w:p w14:paraId="12887F7D"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339" w:type="dxa"/>
            <w:tcBorders>
              <w:top w:val="single" w:sz="8" w:space="0" w:color="auto"/>
              <w:left w:val="nil"/>
              <w:bottom w:val="nil"/>
              <w:right w:val="nil"/>
            </w:tcBorders>
            <w:shd w:val="clear" w:color="auto" w:fill="auto"/>
            <w:noWrap/>
            <w:vAlign w:val="center"/>
            <w:hideMark/>
          </w:tcPr>
          <w:p w14:paraId="198FA91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339" w:type="dxa"/>
            <w:tcBorders>
              <w:top w:val="single" w:sz="8" w:space="0" w:color="auto"/>
              <w:left w:val="nil"/>
              <w:bottom w:val="nil"/>
              <w:right w:val="nil"/>
            </w:tcBorders>
            <w:shd w:val="clear" w:color="auto" w:fill="auto"/>
            <w:noWrap/>
            <w:vAlign w:val="center"/>
            <w:hideMark/>
          </w:tcPr>
          <w:p w14:paraId="37579B0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339" w:type="dxa"/>
            <w:tcBorders>
              <w:top w:val="single" w:sz="8" w:space="0" w:color="auto"/>
              <w:left w:val="nil"/>
              <w:bottom w:val="nil"/>
              <w:right w:val="nil"/>
            </w:tcBorders>
            <w:shd w:val="clear" w:color="auto" w:fill="auto"/>
            <w:noWrap/>
            <w:vAlign w:val="center"/>
            <w:hideMark/>
          </w:tcPr>
          <w:p w14:paraId="36E3E93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347" w:type="dxa"/>
            <w:tcBorders>
              <w:top w:val="single" w:sz="8" w:space="0" w:color="auto"/>
              <w:left w:val="nil"/>
              <w:bottom w:val="nil"/>
              <w:right w:val="nil"/>
            </w:tcBorders>
            <w:shd w:val="clear" w:color="auto" w:fill="auto"/>
            <w:noWrap/>
            <w:vAlign w:val="center"/>
            <w:hideMark/>
          </w:tcPr>
          <w:p w14:paraId="60768BE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203" w:type="dxa"/>
            <w:tcBorders>
              <w:top w:val="single" w:sz="8" w:space="0" w:color="auto"/>
              <w:left w:val="nil"/>
              <w:bottom w:val="nil"/>
              <w:right w:val="nil"/>
            </w:tcBorders>
            <w:shd w:val="clear" w:color="auto" w:fill="auto"/>
            <w:noWrap/>
            <w:vAlign w:val="center"/>
            <w:hideMark/>
          </w:tcPr>
          <w:p w14:paraId="3EE18A6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c>
          <w:tcPr>
            <w:tcW w:w="1137" w:type="dxa"/>
            <w:tcBorders>
              <w:top w:val="single" w:sz="8" w:space="0" w:color="auto"/>
              <w:left w:val="nil"/>
              <w:bottom w:val="nil"/>
              <w:right w:val="nil"/>
            </w:tcBorders>
            <w:shd w:val="clear" w:color="auto" w:fill="auto"/>
            <w:noWrap/>
            <w:vAlign w:val="center"/>
            <w:hideMark/>
          </w:tcPr>
          <w:p w14:paraId="6D87BD2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t>
            </w:r>
          </w:p>
        </w:tc>
      </w:tr>
      <w:tr w:rsidR="002F5D47" w:rsidRPr="008E1AB1" w14:paraId="19990D2C" w14:textId="77777777" w:rsidTr="00C04359">
        <w:trPr>
          <w:trHeight w:val="280"/>
        </w:trPr>
        <w:tc>
          <w:tcPr>
            <w:tcW w:w="1530" w:type="dxa"/>
            <w:tcBorders>
              <w:top w:val="nil"/>
              <w:left w:val="nil"/>
              <w:bottom w:val="nil"/>
              <w:right w:val="nil"/>
            </w:tcBorders>
            <w:shd w:val="clear" w:color="auto" w:fill="auto"/>
            <w:noWrap/>
            <w:vAlign w:val="center"/>
            <w:hideMark/>
          </w:tcPr>
          <w:p w14:paraId="72379843"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Strike × Treat</w:t>
            </w:r>
          </w:p>
        </w:tc>
        <w:tc>
          <w:tcPr>
            <w:tcW w:w="1279" w:type="dxa"/>
            <w:tcBorders>
              <w:top w:val="nil"/>
              <w:left w:val="nil"/>
              <w:bottom w:val="nil"/>
              <w:right w:val="nil"/>
            </w:tcBorders>
            <w:shd w:val="clear" w:color="auto" w:fill="auto"/>
            <w:noWrap/>
            <w:vAlign w:val="bottom"/>
            <w:hideMark/>
          </w:tcPr>
          <w:p w14:paraId="59D93162"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0.103</w:t>
            </w:r>
          </w:p>
        </w:tc>
        <w:tc>
          <w:tcPr>
            <w:tcW w:w="1187" w:type="dxa"/>
            <w:tcBorders>
              <w:top w:val="nil"/>
              <w:left w:val="nil"/>
              <w:bottom w:val="nil"/>
              <w:right w:val="nil"/>
            </w:tcBorders>
            <w:shd w:val="clear" w:color="auto" w:fill="auto"/>
            <w:noWrap/>
            <w:vAlign w:val="bottom"/>
            <w:hideMark/>
          </w:tcPr>
          <w:p w14:paraId="7C485DE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0.098</w:t>
            </w:r>
          </w:p>
        </w:tc>
        <w:tc>
          <w:tcPr>
            <w:tcW w:w="1339" w:type="dxa"/>
            <w:tcBorders>
              <w:top w:val="nil"/>
              <w:left w:val="nil"/>
              <w:bottom w:val="nil"/>
              <w:right w:val="nil"/>
            </w:tcBorders>
            <w:shd w:val="clear" w:color="auto" w:fill="auto"/>
            <w:noWrap/>
            <w:vAlign w:val="bottom"/>
            <w:hideMark/>
          </w:tcPr>
          <w:p w14:paraId="7F4871C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8.693***</w:t>
            </w:r>
          </w:p>
        </w:tc>
        <w:tc>
          <w:tcPr>
            <w:tcW w:w="1339" w:type="dxa"/>
            <w:tcBorders>
              <w:top w:val="nil"/>
              <w:left w:val="nil"/>
              <w:bottom w:val="nil"/>
              <w:right w:val="nil"/>
            </w:tcBorders>
            <w:shd w:val="clear" w:color="auto" w:fill="auto"/>
            <w:noWrap/>
            <w:vAlign w:val="bottom"/>
            <w:hideMark/>
          </w:tcPr>
          <w:p w14:paraId="194235D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8.765***</w:t>
            </w:r>
          </w:p>
        </w:tc>
        <w:tc>
          <w:tcPr>
            <w:tcW w:w="1339" w:type="dxa"/>
            <w:tcBorders>
              <w:top w:val="nil"/>
              <w:left w:val="nil"/>
              <w:bottom w:val="nil"/>
              <w:right w:val="nil"/>
            </w:tcBorders>
            <w:shd w:val="clear" w:color="auto" w:fill="auto"/>
            <w:noWrap/>
            <w:vAlign w:val="bottom"/>
            <w:hideMark/>
          </w:tcPr>
          <w:p w14:paraId="1C1747E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17.754***</w:t>
            </w:r>
          </w:p>
        </w:tc>
        <w:tc>
          <w:tcPr>
            <w:tcW w:w="1347" w:type="dxa"/>
            <w:tcBorders>
              <w:top w:val="nil"/>
              <w:left w:val="nil"/>
              <w:bottom w:val="nil"/>
              <w:right w:val="nil"/>
            </w:tcBorders>
            <w:shd w:val="clear" w:color="auto" w:fill="auto"/>
            <w:noWrap/>
            <w:vAlign w:val="bottom"/>
            <w:hideMark/>
          </w:tcPr>
          <w:p w14:paraId="442E2C8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17.671***</w:t>
            </w:r>
          </w:p>
        </w:tc>
        <w:tc>
          <w:tcPr>
            <w:tcW w:w="1203" w:type="dxa"/>
            <w:tcBorders>
              <w:top w:val="nil"/>
              <w:left w:val="nil"/>
              <w:bottom w:val="nil"/>
              <w:right w:val="nil"/>
            </w:tcBorders>
            <w:shd w:val="clear" w:color="auto" w:fill="auto"/>
            <w:noWrap/>
            <w:vAlign w:val="bottom"/>
            <w:hideMark/>
          </w:tcPr>
          <w:p w14:paraId="3A6E248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-0.006***</w:t>
            </w:r>
          </w:p>
        </w:tc>
        <w:tc>
          <w:tcPr>
            <w:tcW w:w="1137" w:type="dxa"/>
            <w:tcBorders>
              <w:top w:val="nil"/>
              <w:left w:val="nil"/>
              <w:bottom w:val="nil"/>
              <w:right w:val="nil"/>
            </w:tcBorders>
            <w:shd w:val="clear" w:color="auto" w:fill="auto"/>
            <w:noWrap/>
            <w:vAlign w:val="bottom"/>
            <w:hideMark/>
          </w:tcPr>
          <w:p w14:paraId="2E7D57AB"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-0.006***</w:t>
            </w:r>
          </w:p>
        </w:tc>
      </w:tr>
      <w:tr w:rsidR="002F5D47" w:rsidRPr="008E1AB1" w14:paraId="0A863D1A" w14:textId="77777777" w:rsidTr="00C04359">
        <w:trPr>
          <w:trHeight w:val="300"/>
        </w:trPr>
        <w:tc>
          <w:tcPr>
            <w:tcW w:w="1530" w:type="dxa"/>
            <w:tcBorders>
              <w:top w:val="nil"/>
              <w:left w:val="nil"/>
              <w:bottom w:val="nil"/>
              <w:right w:val="nil"/>
            </w:tcBorders>
            <w:shd w:val="clear" w:color="auto" w:fill="auto"/>
            <w:noWrap/>
            <w:vAlign w:val="bottom"/>
            <w:hideMark/>
          </w:tcPr>
          <w:p w14:paraId="1F9B007E"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186E9B6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(0.097)</w:t>
            </w:r>
          </w:p>
        </w:tc>
        <w:tc>
          <w:tcPr>
            <w:tcW w:w="1187" w:type="dxa"/>
            <w:tcBorders>
              <w:top w:val="nil"/>
              <w:left w:val="nil"/>
              <w:bottom w:val="nil"/>
              <w:right w:val="nil"/>
            </w:tcBorders>
            <w:shd w:val="clear" w:color="auto" w:fill="auto"/>
            <w:noWrap/>
            <w:vAlign w:val="bottom"/>
            <w:hideMark/>
          </w:tcPr>
          <w:p w14:paraId="664C3F5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(0.098)</w:t>
            </w:r>
          </w:p>
        </w:tc>
        <w:tc>
          <w:tcPr>
            <w:tcW w:w="1339" w:type="dxa"/>
            <w:tcBorders>
              <w:top w:val="nil"/>
              <w:left w:val="nil"/>
              <w:bottom w:val="nil"/>
              <w:right w:val="nil"/>
            </w:tcBorders>
            <w:shd w:val="clear" w:color="auto" w:fill="auto"/>
            <w:noWrap/>
            <w:vAlign w:val="bottom"/>
            <w:hideMark/>
          </w:tcPr>
          <w:p w14:paraId="1625E72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(2.545)</w:t>
            </w:r>
          </w:p>
        </w:tc>
        <w:tc>
          <w:tcPr>
            <w:tcW w:w="1339" w:type="dxa"/>
            <w:tcBorders>
              <w:top w:val="nil"/>
              <w:left w:val="nil"/>
              <w:bottom w:val="nil"/>
              <w:right w:val="nil"/>
            </w:tcBorders>
            <w:shd w:val="clear" w:color="auto" w:fill="auto"/>
            <w:noWrap/>
            <w:vAlign w:val="bottom"/>
            <w:hideMark/>
          </w:tcPr>
          <w:p w14:paraId="4721D67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(2.609)</w:t>
            </w:r>
          </w:p>
        </w:tc>
        <w:tc>
          <w:tcPr>
            <w:tcW w:w="1339" w:type="dxa"/>
            <w:tcBorders>
              <w:top w:val="nil"/>
              <w:left w:val="nil"/>
              <w:bottom w:val="nil"/>
              <w:right w:val="nil"/>
            </w:tcBorders>
            <w:shd w:val="clear" w:color="auto" w:fill="auto"/>
            <w:noWrap/>
            <w:vAlign w:val="bottom"/>
            <w:hideMark/>
          </w:tcPr>
          <w:p w14:paraId="782DE43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(4.215)</w:t>
            </w:r>
          </w:p>
        </w:tc>
        <w:tc>
          <w:tcPr>
            <w:tcW w:w="1347" w:type="dxa"/>
            <w:tcBorders>
              <w:top w:val="nil"/>
              <w:left w:val="nil"/>
              <w:bottom w:val="nil"/>
              <w:right w:val="nil"/>
            </w:tcBorders>
            <w:shd w:val="clear" w:color="auto" w:fill="auto"/>
            <w:noWrap/>
            <w:vAlign w:val="bottom"/>
            <w:hideMark/>
          </w:tcPr>
          <w:p w14:paraId="13988F9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(4.179)</w:t>
            </w:r>
          </w:p>
        </w:tc>
        <w:tc>
          <w:tcPr>
            <w:tcW w:w="1203" w:type="dxa"/>
            <w:tcBorders>
              <w:top w:val="nil"/>
              <w:left w:val="nil"/>
              <w:bottom w:val="nil"/>
              <w:right w:val="nil"/>
            </w:tcBorders>
            <w:shd w:val="clear" w:color="auto" w:fill="auto"/>
            <w:noWrap/>
            <w:vAlign w:val="bottom"/>
            <w:hideMark/>
          </w:tcPr>
          <w:p w14:paraId="5EC9282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c>
          <w:tcPr>
            <w:tcW w:w="1137" w:type="dxa"/>
            <w:tcBorders>
              <w:top w:val="nil"/>
              <w:left w:val="nil"/>
              <w:bottom w:val="nil"/>
              <w:right w:val="nil"/>
            </w:tcBorders>
            <w:shd w:val="clear" w:color="auto" w:fill="auto"/>
            <w:noWrap/>
            <w:vAlign w:val="bottom"/>
            <w:hideMark/>
          </w:tcPr>
          <w:p w14:paraId="66168F5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r>
      <w:tr w:rsidR="002F5D47" w:rsidRPr="008E1AB1" w14:paraId="5290C802" w14:textId="77777777" w:rsidTr="00C04359">
        <w:trPr>
          <w:trHeight w:val="300"/>
        </w:trPr>
        <w:tc>
          <w:tcPr>
            <w:tcW w:w="1530" w:type="dxa"/>
            <w:tcBorders>
              <w:top w:val="nil"/>
              <w:left w:val="nil"/>
              <w:bottom w:val="nil"/>
              <w:right w:val="nil"/>
            </w:tcBorders>
            <w:shd w:val="clear" w:color="auto" w:fill="auto"/>
            <w:noWrap/>
            <w:vAlign w:val="bottom"/>
            <w:hideMark/>
          </w:tcPr>
          <w:p w14:paraId="5AE2B3E8"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61CC497"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58AEB19E"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40E0CF4B"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0B7D425F"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5F67ECFC"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30FB5B69"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35EE9925"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1D75FDA8"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7B7E0629" w14:textId="77777777" w:rsidTr="00C04359">
        <w:trPr>
          <w:trHeight w:val="280"/>
        </w:trPr>
        <w:tc>
          <w:tcPr>
            <w:tcW w:w="1530" w:type="dxa"/>
            <w:tcBorders>
              <w:top w:val="nil"/>
              <w:left w:val="nil"/>
              <w:bottom w:val="nil"/>
              <w:right w:val="nil"/>
            </w:tcBorders>
            <w:shd w:val="clear" w:color="auto" w:fill="auto"/>
            <w:noWrap/>
            <w:vAlign w:val="center"/>
            <w:hideMark/>
          </w:tcPr>
          <w:p w14:paraId="1755D47D"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Treat</w:t>
            </w:r>
          </w:p>
        </w:tc>
        <w:tc>
          <w:tcPr>
            <w:tcW w:w="1279" w:type="dxa"/>
            <w:tcBorders>
              <w:top w:val="nil"/>
              <w:left w:val="nil"/>
              <w:bottom w:val="nil"/>
              <w:right w:val="nil"/>
            </w:tcBorders>
            <w:shd w:val="clear" w:color="auto" w:fill="auto"/>
            <w:noWrap/>
            <w:vAlign w:val="bottom"/>
            <w:hideMark/>
          </w:tcPr>
          <w:p w14:paraId="52C5782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-0.063</w:t>
            </w:r>
          </w:p>
        </w:tc>
        <w:tc>
          <w:tcPr>
            <w:tcW w:w="1187" w:type="dxa"/>
            <w:tcBorders>
              <w:top w:val="nil"/>
              <w:left w:val="nil"/>
              <w:bottom w:val="nil"/>
              <w:right w:val="nil"/>
            </w:tcBorders>
            <w:shd w:val="clear" w:color="auto" w:fill="auto"/>
            <w:noWrap/>
            <w:vAlign w:val="bottom"/>
            <w:hideMark/>
          </w:tcPr>
          <w:p w14:paraId="7C9E771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1.486***</w:t>
            </w:r>
          </w:p>
        </w:tc>
        <w:tc>
          <w:tcPr>
            <w:tcW w:w="1339" w:type="dxa"/>
            <w:tcBorders>
              <w:top w:val="nil"/>
              <w:left w:val="nil"/>
              <w:bottom w:val="nil"/>
              <w:right w:val="nil"/>
            </w:tcBorders>
            <w:shd w:val="clear" w:color="auto" w:fill="auto"/>
            <w:noWrap/>
            <w:vAlign w:val="bottom"/>
            <w:hideMark/>
          </w:tcPr>
          <w:p w14:paraId="664B4C73"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13.469***</w:t>
            </w:r>
          </w:p>
        </w:tc>
        <w:tc>
          <w:tcPr>
            <w:tcW w:w="1339" w:type="dxa"/>
            <w:tcBorders>
              <w:top w:val="nil"/>
              <w:left w:val="nil"/>
              <w:bottom w:val="nil"/>
              <w:right w:val="nil"/>
            </w:tcBorders>
            <w:shd w:val="clear" w:color="auto" w:fill="auto"/>
            <w:noWrap/>
            <w:vAlign w:val="bottom"/>
            <w:hideMark/>
          </w:tcPr>
          <w:p w14:paraId="71C0C04D"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5.900***</w:t>
            </w:r>
          </w:p>
        </w:tc>
        <w:tc>
          <w:tcPr>
            <w:tcW w:w="1339" w:type="dxa"/>
            <w:tcBorders>
              <w:top w:val="nil"/>
              <w:left w:val="nil"/>
              <w:bottom w:val="nil"/>
              <w:right w:val="nil"/>
            </w:tcBorders>
            <w:shd w:val="clear" w:color="auto" w:fill="auto"/>
            <w:noWrap/>
            <w:vAlign w:val="bottom"/>
            <w:hideMark/>
          </w:tcPr>
          <w:p w14:paraId="0A9E32B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29.080***</w:t>
            </w:r>
          </w:p>
        </w:tc>
        <w:tc>
          <w:tcPr>
            <w:tcW w:w="1347" w:type="dxa"/>
            <w:tcBorders>
              <w:top w:val="nil"/>
              <w:left w:val="nil"/>
              <w:bottom w:val="nil"/>
              <w:right w:val="nil"/>
            </w:tcBorders>
            <w:shd w:val="clear" w:color="auto" w:fill="auto"/>
            <w:noWrap/>
            <w:vAlign w:val="bottom"/>
            <w:hideMark/>
          </w:tcPr>
          <w:p w14:paraId="720CBAA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17.934***</w:t>
            </w:r>
          </w:p>
        </w:tc>
        <w:tc>
          <w:tcPr>
            <w:tcW w:w="1203" w:type="dxa"/>
            <w:tcBorders>
              <w:top w:val="nil"/>
              <w:left w:val="nil"/>
              <w:bottom w:val="nil"/>
              <w:right w:val="nil"/>
            </w:tcBorders>
            <w:shd w:val="clear" w:color="auto" w:fill="auto"/>
            <w:noWrap/>
            <w:vAlign w:val="bottom"/>
            <w:hideMark/>
          </w:tcPr>
          <w:p w14:paraId="6D614B2B"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-0.007***</w:t>
            </w:r>
          </w:p>
        </w:tc>
        <w:tc>
          <w:tcPr>
            <w:tcW w:w="1137" w:type="dxa"/>
            <w:tcBorders>
              <w:top w:val="nil"/>
              <w:left w:val="nil"/>
              <w:bottom w:val="nil"/>
              <w:right w:val="nil"/>
            </w:tcBorders>
            <w:shd w:val="clear" w:color="auto" w:fill="auto"/>
            <w:noWrap/>
            <w:vAlign w:val="bottom"/>
            <w:hideMark/>
          </w:tcPr>
          <w:p w14:paraId="488D9AF2"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-0.051***</w:t>
            </w:r>
          </w:p>
        </w:tc>
      </w:tr>
      <w:tr w:rsidR="002F5D47" w:rsidRPr="008E1AB1" w14:paraId="14F13ECF" w14:textId="77777777" w:rsidTr="00C04359">
        <w:trPr>
          <w:trHeight w:val="300"/>
        </w:trPr>
        <w:tc>
          <w:tcPr>
            <w:tcW w:w="1530" w:type="dxa"/>
            <w:tcBorders>
              <w:top w:val="nil"/>
              <w:left w:val="nil"/>
              <w:bottom w:val="nil"/>
              <w:right w:val="nil"/>
            </w:tcBorders>
            <w:shd w:val="clear" w:color="auto" w:fill="auto"/>
            <w:noWrap/>
            <w:vAlign w:val="bottom"/>
            <w:hideMark/>
          </w:tcPr>
          <w:p w14:paraId="2CBF4157"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03A768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(0.085)</w:t>
            </w:r>
          </w:p>
        </w:tc>
        <w:tc>
          <w:tcPr>
            <w:tcW w:w="1187" w:type="dxa"/>
            <w:tcBorders>
              <w:top w:val="nil"/>
              <w:left w:val="nil"/>
              <w:bottom w:val="nil"/>
              <w:right w:val="nil"/>
            </w:tcBorders>
            <w:shd w:val="clear" w:color="auto" w:fill="auto"/>
            <w:noWrap/>
            <w:vAlign w:val="bottom"/>
            <w:hideMark/>
          </w:tcPr>
          <w:p w14:paraId="1DE2F82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(0.147)</w:t>
            </w:r>
          </w:p>
        </w:tc>
        <w:tc>
          <w:tcPr>
            <w:tcW w:w="1339" w:type="dxa"/>
            <w:tcBorders>
              <w:top w:val="nil"/>
              <w:left w:val="nil"/>
              <w:bottom w:val="nil"/>
              <w:right w:val="nil"/>
            </w:tcBorders>
            <w:shd w:val="clear" w:color="auto" w:fill="auto"/>
            <w:noWrap/>
            <w:vAlign w:val="bottom"/>
            <w:hideMark/>
          </w:tcPr>
          <w:p w14:paraId="2756F6D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(0.607)</w:t>
            </w:r>
          </w:p>
        </w:tc>
        <w:tc>
          <w:tcPr>
            <w:tcW w:w="1339" w:type="dxa"/>
            <w:tcBorders>
              <w:top w:val="nil"/>
              <w:left w:val="nil"/>
              <w:bottom w:val="nil"/>
              <w:right w:val="nil"/>
            </w:tcBorders>
            <w:shd w:val="clear" w:color="auto" w:fill="auto"/>
            <w:noWrap/>
            <w:vAlign w:val="bottom"/>
            <w:hideMark/>
          </w:tcPr>
          <w:p w14:paraId="4E47731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(0.246)</w:t>
            </w:r>
          </w:p>
        </w:tc>
        <w:tc>
          <w:tcPr>
            <w:tcW w:w="1339" w:type="dxa"/>
            <w:tcBorders>
              <w:top w:val="nil"/>
              <w:left w:val="nil"/>
              <w:bottom w:val="nil"/>
              <w:right w:val="nil"/>
            </w:tcBorders>
            <w:shd w:val="clear" w:color="auto" w:fill="auto"/>
            <w:noWrap/>
            <w:vAlign w:val="bottom"/>
            <w:hideMark/>
          </w:tcPr>
          <w:p w14:paraId="2615FD1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(1.713)</w:t>
            </w:r>
          </w:p>
        </w:tc>
        <w:tc>
          <w:tcPr>
            <w:tcW w:w="1347" w:type="dxa"/>
            <w:tcBorders>
              <w:top w:val="nil"/>
              <w:left w:val="nil"/>
              <w:bottom w:val="nil"/>
              <w:right w:val="nil"/>
            </w:tcBorders>
            <w:shd w:val="clear" w:color="auto" w:fill="auto"/>
            <w:noWrap/>
            <w:vAlign w:val="bottom"/>
            <w:hideMark/>
          </w:tcPr>
          <w:p w14:paraId="349A16E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(0.493)</w:t>
            </w:r>
          </w:p>
        </w:tc>
        <w:tc>
          <w:tcPr>
            <w:tcW w:w="1203" w:type="dxa"/>
            <w:tcBorders>
              <w:top w:val="nil"/>
              <w:left w:val="nil"/>
              <w:bottom w:val="nil"/>
              <w:right w:val="nil"/>
            </w:tcBorders>
            <w:shd w:val="clear" w:color="auto" w:fill="auto"/>
            <w:noWrap/>
            <w:vAlign w:val="bottom"/>
            <w:hideMark/>
          </w:tcPr>
          <w:p w14:paraId="166D1EF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c>
          <w:tcPr>
            <w:tcW w:w="1137" w:type="dxa"/>
            <w:tcBorders>
              <w:top w:val="nil"/>
              <w:left w:val="nil"/>
              <w:bottom w:val="nil"/>
              <w:right w:val="nil"/>
            </w:tcBorders>
            <w:shd w:val="clear" w:color="auto" w:fill="auto"/>
            <w:noWrap/>
            <w:vAlign w:val="bottom"/>
            <w:hideMark/>
          </w:tcPr>
          <w:p w14:paraId="734ABAE8"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r>
      <w:tr w:rsidR="002F5D47" w:rsidRPr="008E1AB1" w14:paraId="46D1663B" w14:textId="77777777" w:rsidTr="00C04359">
        <w:trPr>
          <w:trHeight w:val="300"/>
        </w:trPr>
        <w:tc>
          <w:tcPr>
            <w:tcW w:w="1530" w:type="dxa"/>
            <w:tcBorders>
              <w:top w:val="nil"/>
              <w:left w:val="nil"/>
              <w:bottom w:val="nil"/>
              <w:right w:val="nil"/>
            </w:tcBorders>
            <w:shd w:val="clear" w:color="auto" w:fill="auto"/>
            <w:noWrap/>
            <w:vAlign w:val="bottom"/>
            <w:hideMark/>
          </w:tcPr>
          <w:p w14:paraId="06034DAA"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7C72AA7"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3EBC35D7"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556A4588"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68FA56BC"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66DE4C73"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7927D607"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084ACD39"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38AFAECB"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32D906C4" w14:textId="77777777" w:rsidTr="00C04359">
        <w:trPr>
          <w:trHeight w:val="280"/>
        </w:trPr>
        <w:tc>
          <w:tcPr>
            <w:tcW w:w="1530" w:type="dxa"/>
            <w:tcBorders>
              <w:top w:val="nil"/>
              <w:left w:val="nil"/>
              <w:bottom w:val="nil"/>
              <w:right w:val="nil"/>
            </w:tcBorders>
            <w:shd w:val="clear" w:color="auto" w:fill="auto"/>
            <w:noWrap/>
            <w:vAlign w:val="center"/>
            <w:hideMark/>
          </w:tcPr>
          <w:p w14:paraId="6A4BC005"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Strike</w:t>
            </w:r>
          </w:p>
        </w:tc>
        <w:tc>
          <w:tcPr>
            <w:tcW w:w="1279" w:type="dxa"/>
            <w:tcBorders>
              <w:top w:val="nil"/>
              <w:left w:val="nil"/>
              <w:bottom w:val="nil"/>
              <w:right w:val="nil"/>
            </w:tcBorders>
            <w:shd w:val="clear" w:color="auto" w:fill="auto"/>
            <w:noWrap/>
            <w:vAlign w:val="bottom"/>
            <w:hideMark/>
          </w:tcPr>
          <w:p w14:paraId="771270C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0.205**</w:t>
            </w:r>
          </w:p>
        </w:tc>
        <w:tc>
          <w:tcPr>
            <w:tcW w:w="1187" w:type="dxa"/>
            <w:tcBorders>
              <w:top w:val="nil"/>
              <w:left w:val="nil"/>
              <w:bottom w:val="nil"/>
              <w:right w:val="nil"/>
            </w:tcBorders>
            <w:shd w:val="clear" w:color="auto" w:fill="auto"/>
            <w:noWrap/>
            <w:vAlign w:val="bottom"/>
            <w:hideMark/>
          </w:tcPr>
          <w:p w14:paraId="197E8BB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0.253***</w:t>
            </w:r>
          </w:p>
        </w:tc>
        <w:tc>
          <w:tcPr>
            <w:tcW w:w="1339" w:type="dxa"/>
            <w:tcBorders>
              <w:top w:val="nil"/>
              <w:left w:val="nil"/>
              <w:bottom w:val="nil"/>
              <w:right w:val="nil"/>
            </w:tcBorders>
            <w:shd w:val="clear" w:color="auto" w:fill="auto"/>
            <w:noWrap/>
            <w:vAlign w:val="bottom"/>
            <w:hideMark/>
          </w:tcPr>
          <w:p w14:paraId="26C3CA12"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7.548***</w:t>
            </w:r>
          </w:p>
        </w:tc>
        <w:tc>
          <w:tcPr>
            <w:tcW w:w="1339" w:type="dxa"/>
            <w:tcBorders>
              <w:top w:val="nil"/>
              <w:left w:val="nil"/>
              <w:bottom w:val="nil"/>
              <w:right w:val="nil"/>
            </w:tcBorders>
            <w:shd w:val="clear" w:color="auto" w:fill="auto"/>
            <w:noWrap/>
            <w:vAlign w:val="bottom"/>
            <w:hideMark/>
          </w:tcPr>
          <w:p w14:paraId="402BEA68"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6.643***</w:t>
            </w:r>
          </w:p>
        </w:tc>
        <w:tc>
          <w:tcPr>
            <w:tcW w:w="1339" w:type="dxa"/>
            <w:tcBorders>
              <w:top w:val="nil"/>
              <w:left w:val="nil"/>
              <w:bottom w:val="nil"/>
              <w:right w:val="nil"/>
            </w:tcBorders>
            <w:shd w:val="clear" w:color="auto" w:fill="auto"/>
            <w:noWrap/>
            <w:vAlign w:val="bottom"/>
            <w:hideMark/>
          </w:tcPr>
          <w:p w14:paraId="6FCC77C3"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4.527*</w:t>
            </w:r>
          </w:p>
        </w:tc>
        <w:tc>
          <w:tcPr>
            <w:tcW w:w="1347" w:type="dxa"/>
            <w:tcBorders>
              <w:top w:val="nil"/>
              <w:left w:val="nil"/>
              <w:bottom w:val="nil"/>
              <w:right w:val="nil"/>
            </w:tcBorders>
            <w:shd w:val="clear" w:color="auto" w:fill="auto"/>
            <w:noWrap/>
            <w:vAlign w:val="bottom"/>
            <w:hideMark/>
          </w:tcPr>
          <w:p w14:paraId="121B67D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12.377***</w:t>
            </w:r>
          </w:p>
        </w:tc>
        <w:tc>
          <w:tcPr>
            <w:tcW w:w="1203" w:type="dxa"/>
            <w:tcBorders>
              <w:top w:val="nil"/>
              <w:left w:val="nil"/>
              <w:bottom w:val="nil"/>
              <w:right w:val="nil"/>
            </w:tcBorders>
            <w:shd w:val="clear" w:color="auto" w:fill="auto"/>
            <w:noWrap/>
            <w:vAlign w:val="bottom"/>
            <w:hideMark/>
          </w:tcPr>
          <w:p w14:paraId="406B10C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0.007***</w:t>
            </w:r>
          </w:p>
        </w:tc>
        <w:tc>
          <w:tcPr>
            <w:tcW w:w="1137" w:type="dxa"/>
            <w:tcBorders>
              <w:top w:val="nil"/>
              <w:left w:val="nil"/>
              <w:bottom w:val="nil"/>
              <w:right w:val="nil"/>
            </w:tcBorders>
            <w:shd w:val="clear" w:color="auto" w:fill="auto"/>
            <w:noWrap/>
            <w:vAlign w:val="bottom"/>
            <w:hideMark/>
          </w:tcPr>
          <w:p w14:paraId="666E5C5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r>
      <w:tr w:rsidR="002F5D47" w:rsidRPr="008E1AB1" w14:paraId="55FB836F" w14:textId="77777777" w:rsidTr="00C04359">
        <w:trPr>
          <w:trHeight w:val="300"/>
        </w:trPr>
        <w:tc>
          <w:tcPr>
            <w:tcW w:w="1530" w:type="dxa"/>
            <w:tcBorders>
              <w:top w:val="nil"/>
              <w:left w:val="nil"/>
              <w:bottom w:val="nil"/>
              <w:right w:val="nil"/>
            </w:tcBorders>
            <w:shd w:val="clear" w:color="auto" w:fill="auto"/>
            <w:noWrap/>
            <w:vAlign w:val="bottom"/>
            <w:hideMark/>
          </w:tcPr>
          <w:p w14:paraId="4AE55788"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5B5BDD7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(0.076)</w:t>
            </w:r>
          </w:p>
        </w:tc>
        <w:tc>
          <w:tcPr>
            <w:tcW w:w="1187" w:type="dxa"/>
            <w:tcBorders>
              <w:top w:val="nil"/>
              <w:left w:val="nil"/>
              <w:bottom w:val="nil"/>
              <w:right w:val="nil"/>
            </w:tcBorders>
            <w:shd w:val="clear" w:color="auto" w:fill="auto"/>
            <w:noWrap/>
            <w:vAlign w:val="bottom"/>
            <w:hideMark/>
          </w:tcPr>
          <w:p w14:paraId="6E4AF42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(0.073)</w:t>
            </w:r>
          </w:p>
        </w:tc>
        <w:tc>
          <w:tcPr>
            <w:tcW w:w="1339" w:type="dxa"/>
            <w:tcBorders>
              <w:top w:val="nil"/>
              <w:left w:val="nil"/>
              <w:bottom w:val="nil"/>
              <w:right w:val="nil"/>
            </w:tcBorders>
            <w:shd w:val="clear" w:color="auto" w:fill="auto"/>
            <w:noWrap/>
            <w:vAlign w:val="bottom"/>
            <w:hideMark/>
          </w:tcPr>
          <w:p w14:paraId="4C84FCD8"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(1.942)</w:t>
            </w:r>
          </w:p>
        </w:tc>
        <w:tc>
          <w:tcPr>
            <w:tcW w:w="1339" w:type="dxa"/>
            <w:tcBorders>
              <w:top w:val="nil"/>
              <w:left w:val="nil"/>
              <w:bottom w:val="nil"/>
              <w:right w:val="nil"/>
            </w:tcBorders>
            <w:shd w:val="clear" w:color="auto" w:fill="auto"/>
            <w:noWrap/>
            <w:vAlign w:val="bottom"/>
            <w:hideMark/>
          </w:tcPr>
          <w:p w14:paraId="24E4B66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(2.086)</w:t>
            </w:r>
          </w:p>
        </w:tc>
        <w:tc>
          <w:tcPr>
            <w:tcW w:w="1339" w:type="dxa"/>
            <w:tcBorders>
              <w:top w:val="nil"/>
              <w:left w:val="nil"/>
              <w:bottom w:val="nil"/>
              <w:right w:val="nil"/>
            </w:tcBorders>
            <w:shd w:val="clear" w:color="auto" w:fill="auto"/>
            <w:noWrap/>
            <w:vAlign w:val="bottom"/>
            <w:hideMark/>
          </w:tcPr>
          <w:p w14:paraId="7535346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(2.615)</w:t>
            </w:r>
          </w:p>
        </w:tc>
        <w:tc>
          <w:tcPr>
            <w:tcW w:w="1347" w:type="dxa"/>
            <w:tcBorders>
              <w:top w:val="nil"/>
              <w:left w:val="nil"/>
              <w:bottom w:val="nil"/>
              <w:right w:val="nil"/>
            </w:tcBorders>
            <w:shd w:val="clear" w:color="auto" w:fill="auto"/>
            <w:noWrap/>
            <w:vAlign w:val="bottom"/>
            <w:hideMark/>
          </w:tcPr>
          <w:p w14:paraId="1529123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(3.323)</w:t>
            </w:r>
          </w:p>
        </w:tc>
        <w:tc>
          <w:tcPr>
            <w:tcW w:w="1203" w:type="dxa"/>
            <w:tcBorders>
              <w:top w:val="nil"/>
              <w:left w:val="nil"/>
              <w:bottom w:val="nil"/>
              <w:right w:val="nil"/>
            </w:tcBorders>
            <w:shd w:val="clear" w:color="auto" w:fill="auto"/>
            <w:noWrap/>
            <w:vAlign w:val="bottom"/>
            <w:hideMark/>
          </w:tcPr>
          <w:p w14:paraId="63AD838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c>
          <w:tcPr>
            <w:tcW w:w="1137" w:type="dxa"/>
            <w:tcBorders>
              <w:top w:val="nil"/>
              <w:left w:val="nil"/>
              <w:bottom w:val="nil"/>
              <w:right w:val="nil"/>
            </w:tcBorders>
            <w:shd w:val="clear" w:color="auto" w:fill="auto"/>
            <w:noWrap/>
            <w:vAlign w:val="bottom"/>
            <w:hideMark/>
          </w:tcPr>
          <w:p w14:paraId="129AC16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r>
      <w:tr w:rsidR="002F5D47" w:rsidRPr="008E1AB1" w14:paraId="0549777D" w14:textId="77777777" w:rsidTr="00C04359">
        <w:trPr>
          <w:trHeight w:val="300"/>
        </w:trPr>
        <w:tc>
          <w:tcPr>
            <w:tcW w:w="1530" w:type="dxa"/>
            <w:tcBorders>
              <w:top w:val="nil"/>
              <w:left w:val="nil"/>
              <w:bottom w:val="nil"/>
              <w:right w:val="nil"/>
            </w:tcBorders>
            <w:shd w:val="clear" w:color="auto" w:fill="auto"/>
            <w:noWrap/>
            <w:vAlign w:val="bottom"/>
            <w:hideMark/>
          </w:tcPr>
          <w:p w14:paraId="2CEE1770"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505DC8F"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0CEB2E9F"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356846FB"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7C77CE04"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1B27708F"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5315D03A"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06E21658"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2A7FD635"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1490194E" w14:textId="77777777" w:rsidTr="00C04359">
        <w:trPr>
          <w:trHeight w:val="280"/>
        </w:trPr>
        <w:tc>
          <w:tcPr>
            <w:tcW w:w="1530" w:type="dxa"/>
            <w:tcBorders>
              <w:top w:val="nil"/>
              <w:left w:val="nil"/>
              <w:bottom w:val="nil"/>
              <w:right w:val="nil"/>
            </w:tcBorders>
            <w:shd w:val="clear" w:color="auto" w:fill="auto"/>
            <w:noWrap/>
            <w:vAlign w:val="center"/>
            <w:hideMark/>
          </w:tcPr>
          <w:p w14:paraId="6E79ADC8"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Week</w:t>
            </w:r>
          </w:p>
        </w:tc>
        <w:tc>
          <w:tcPr>
            <w:tcW w:w="1279" w:type="dxa"/>
            <w:tcBorders>
              <w:top w:val="nil"/>
              <w:left w:val="nil"/>
              <w:bottom w:val="nil"/>
              <w:right w:val="nil"/>
            </w:tcBorders>
            <w:shd w:val="clear" w:color="auto" w:fill="auto"/>
            <w:noWrap/>
            <w:vAlign w:val="bottom"/>
            <w:hideMark/>
          </w:tcPr>
          <w:p w14:paraId="4D0CB46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0.026***</w:t>
            </w:r>
          </w:p>
        </w:tc>
        <w:tc>
          <w:tcPr>
            <w:tcW w:w="1187" w:type="dxa"/>
            <w:tcBorders>
              <w:top w:val="nil"/>
              <w:left w:val="nil"/>
              <w:bottom w:val="nil"/>
              <w:right w:val="nil"/>
            </w:tcBorders>
            <w:shd w:val="clear" w:color="auto" w:fill="auto"/>
            <w:noWrap/>
            <w:vAlign w:val="bottom"/>
            <w:hideMark/>
          </w:tcPr>
          <w:p w14:paraId="7B72099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0.037***</w:t>
            </w:r>
          </w:p>
        </w:tc>
        <w:tc>
          <w:tcPr>
            <w:tcW w:w="1339" w:type="dxa"/>
            <w:tcBorders>
              <w:top w:val="nil"/>
              <w:left w:val="nil"/>
              <w:bottom w:val="nil"/>
              <w:right w:val="nil"/>
            </w:tcBorders>
            <w:shd w:val="clear" w:color="auto" w:fill="auto"/>
            <w:noWrap/>
            <w:vAlign w:val="bottom"/>
            <w:hideMark/>
          </w:tcPr>
          <w:p w14:paraId="60E5EF5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0.543***</w:t>
            </w:r>
          </w:p>
        </w:tc>
        <w:tc>
          <w:tcPr>
            <w:tcW w:w="1339" w:type="dxa"/>
            <w:tcBorders>
              <w:top w:val="nil"/>
              <w:left w:val="nil"/>
              <w:bottom w:val="nil"/>
              <w:right w:val="nil"/>
            </w:tcBorders>
            <w:shd w:val="clear" w:color="auto" w:fill="auto"/>
            <w:noWrap/>
            <w:vAlign w:val="bottom"/>
            <w:hideMark/>
          </w:tcPr>
          <w:p w14:paraId="701AE923"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1.489***</w:t>
            </w:r>
          </w:p>
        </w:tc>
        <w:tc>
          <w:tcPr>
            <w:tcW w:w="1339" w:type="dxa"/>
            <w:tcBorders>
              <w:top w:val="nil"/>
              <w:left w:val="nil"/>
              <w:bottom w:val="nil"/>
              <w:right w:val="nil"/>
            </w:tcBorders>
            <w:shd w:val="clear" w:color="auto" w:fill="auto"/>
            <w:noWrap/>
            <w:vAlign w:val="bottom"/>
            <w:hideMark/>
          </w:tcPr>
          <w:p w14:paraId="536EE77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1.884***</w:t>
            </w:r>
          </w:p>
        </w:tc>
        <w:tc>
          <w:tcPr>
            <w:tcW w:w="1347" w:type="dxa"/>
            <w:tcBorders>
              <w:top w:val="nil"/>
              <w:left w:val="nil"/>
              <w:bottom w:val="nil"/>
              <w:right w:val="nil"/>
            </w:tcBorders>
            <w:shd w:val="clear" w:color="auto" w:fill="auto"/>
            <w:noWrap/>
            <w:vAlign w:val="bottom"/>
            <w:hideMark/>
          </w:tcPr>
          <w:p w14:paraId="60B19A1D"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5.041***</w:t>
            </w:r>
          </w:p>
        </w:tc>
        <w:tc>
          <w:tcPr>
            <w:tcW w:w="1203" w:type="dxa"/>
            <w:tcBorders>
              <w:top w:val="nil"/>
              <w:left w:val="nil"/>
              <w:bottom w:val="nil"/>
              <w:right w:val="nil"/>
            </w:tcBorders>
            <w:shd w:val="clear" w:color="auto" w:fill="auto"/>
            <w:noWrap/>
            <w:vAlign w:val="bottom"/>
            <w:hideMark/>
          </w:tcPr>
          <w:p w14:paraId="18722FF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c>
          <w:tcPr>
            <w:tcW w:w="1137" w:type="dxa"/>
            <w:tcBorders>
              <w:top w:val="nil"/>
              <w:left w:val="nil"/>
              <w:bottom w:val="nil"/>
              <w:right w:val="nil"/>
            </w:tcBorders>
            <w:shd w:val="clear" w:color="auto" w:fill="auto"/>
            <w:noWrap/>
            <w:vAlign w:val="bottom"/>
            <w:hideMark/>
          </w:tcPr>
          <w:p w14:paraId="6FA7D48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r>
      <w:tr w:rsidR="002F5D47" w:rsidRPr="008E1AB1" w14:paraId="1FE96F6E" w14:textId="77777777" w:rsidTr="00C04359">
        <w:trPr>
          <w:trHeight w:val="300"/>
        </w:trPr>
        <w:tc>
          <w:tcPr>
            <w:tcW w:w="1530" w:type="dxa"/>
            <w:tcBorders>
              <w:top w:val="nil"/>
              <w:left w:val="nil"/>
              <w:bottom w:val="nil"/>
              <w:right w:val="nil"/>
            </w:tcBorders>
            <w:shd w:val="clear" w:color="auto" w:fill="auto"/>
            <w:noWrap/>
            <w:vAlign w:val="bottom"/>
            <w:hideMark/>
          </w:tcPr>
          <w:p w14:paraId="772780E7"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189074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(0.008)</w:t>
            </w:r>
          </w:p>
        </w:tc>
        <w:tc>
          <w:tcPr>
            <w:tcW w:w="1187" w:type="dxa"/>
            <w:tcBorders>
              <w:top w:val="nil"/>
              <w:left w:val="nil"/>
              <w:bottom w:val="nil"/>
              <w:right w:val="nil"/>
            </w:tcBorders>
            <w:shd w:val="clear" w:color="auto" w:fill="auto"/>
            <w:noWrap/>
            <w:vAlign w:val="bottom"/>
            <w:hideMark/>
          </w:tcPr>
          <w:p w14:paraId="40E8A48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(0.010)</w:t>
            </w:r>
          </w:p>
        </w:tc>
        <w:tc>
          <w:tcPr>
            <w:tcW w:w="1339" w:type="dxa"/>
            <w:tcBorders>
              <w:top w:val="nil"/>
              <w:left w:val="nil"/>
              <w:bottom w:val="nil"/>
              <w:right w:val="nil"/>
            </w:tcBorders>
            <w:shd w:val="clear" w:color="auto" w:fill="auto"/>
            <w:noWrap/>
            <w:vAlign w:val="bottom"/>
            <w:hideMark/>
          </w:tcPr>
          <w:p w14:paraId="37FCAD4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(0.087)</w:t>
            </w:r>
          </w:p>
        </w:tc>
        <w:tc>
          <w:tcPr>
            <w:tcW w:w="1339" w:type="dxa"/>
            <w:tcBorders>
              <w:top w:val="nil"/>
              <w:left w:val="nil"/>
              <w:bottom w:val="nil"/>
              <w:right w:val="nil"/>
            </w:tcBorders>
            <w:shd w:val="clear" w:color="auto" w:fill="auto"/>
            <w:noWrap/>
            <w:vAlign w:val="bottom"/>
            <w:hideMark/>
          </w:tcPr>
          <w:p w14:paraId="7391502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(0.192)</w:t>
            </w:r>
          </w:p>
        </w:tc>
        <w:tc>
          <w:tcPr>
            <w:tcW w:w="1339" w:type="dxa"/>
            <w:tcBorders>
              <w:top w:val="nil"/>
              <w:left w:val="nil"/>
              <w:bottom w:val="nil"/>
              <w:right w:val="nil"/>
            </w:tcBorders>
            <w:shd w:val="clear" w:color="auto" w:fill="auto"/>
            <w:noWrap/>
            <w:vAlign w:val="bottom"/>
            <w:hideMark/>
          </w:tcPr>
          <w:p w14:paraId="28BC67D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(0.423)</w:t>
            </w:r>
          </w:p>
        </w:tc>
        <w:tc>
          <w:tcPr>
            <w:tcW w:w="1347" w:type="dxa"/>
            <w:tcBorders>
              <w:top w:val="nil"/>
              <w:left w:val="nil"/>
              <w:bottom w:val="nil"/>
              <w:right w:val="nil"/>
            </w:tcBorders>
            <w:shd w:val="clear" w:color="auto" w:fill="auto"/>
            <w:noWrap/>
            <w:vAlign w:val="bottom"/>
            <w:hideMark/>
          </w:tcPr>
          <w:p w14:paraId="5EE993F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(0.718)</w:t>
            </w:r>
          </w:p>
        </w:tc>
        <w:tc>
          <w:tcPr>
            <w:tcW w:w="1203" w:type="dxa"/>
            <w:tcBorders>
              <w:top w:val="nil"/>
              <w:left w:val="nil"/>
              <w:bottom w:val="nil"/>
              <w:right w:val="nil"/>
            </w:tcBorders>
            <w:shd w:val="clear" w:color="auto" w:fill="auto"/>
            <w:noWrap/>
            <w:vAlign w:val="bottom"/>
            <w:hideMark/>
          </w:tcPr>
          <w:p w14:paraId="41DEBFF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c>
          <w:tcPr>
            <w:tcW w:w="1137" w:type="dxa"/>
            <w:tcBorders>
              <w:top w:val="nil"/>
              <w:left w:val="nil"/>
              <w:bottom w:val="nil"/>
              <w:right w:val="nil"/>
            </w:tcBorders>
            <w:shd w:val="clear" w:color="auto" w:fill="auto"/>
            <w:noWrap/>
            <w:vAlign w:val="bottom"/>
            <w:hideMark/>
          </w:tcPr>
          <w:p w14:paraId="1977B1B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r>
      <w:tr w:rsidR="002F5D47" w:rsidRPr="008E1AB1" w14:paraId="6E7CA3EE" w14:textId="77777777" w:rsidTr="00C04359">
        <w:trPr>
          <w:trHeight w:val="300"/>
        </w:trPr>
        <w:tc>
          <w:tcPr>
            <w:tcW w:w="1530" w:type="dxa"/>
            <w:tcBorders>
              <w:top w:val="nil"/>
              <w:left w:val="nil"/>
              <w:bottom w:val="nil"/>
              <w:right w:val="nil"/>
            </w:tcBorders>
            <w:shd w:val="clear" w:color="auto" w:fill="auto"/>
            <w:noWrap/>
            <w:vAlign w:val="bottom"/>
            <w:hideMark/>
          </w:tcPr>
          <w:p w14:paraId="5964A068"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046AA0A2"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09A11B15"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049898E6"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6D2E5FBB"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271B8145"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653B031D"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23F36194"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4AF32FC6"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63F8A659" w14:textId="77777777" w:rsidTr="00C04359">
        <w:trPr>
          <w:trHeight w:val="280"/>
        </w:trPr>
        <w:tc>
          <w:tcPr>
            <w:tcW w:w="1530" w:type="dxa"/>
            <w:tcBorders>
              <w:top w:val="nil"/>
              <w:left w:val="nil"/>
              <w:bottom w:val="nil"/>
              <w:right w:val="nil"/>
            </w:tcBorders>
            <w:shd w:val="clear" w:color="auto" w:fill="auto"/>
            <w:noWrap/>
            <w:vAlign w:val="center"/>
            <w:hideMark/>
          </w:tcPr>
          <w:p w14:paraId="3EA9DBF8"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Strike × Week</w:t>
            </w:r>
          </w:p>
        </w:tc>
        <w:tc>
          <w:tcPr>
            <w:tcW w:w="1279" w:type="dxa"/>
            <w:tcBorders>
              <w:top w:val="nil"/>
              <w:left w:val="nil"/>
              <w:bottom w:val="nil"/>
              <w:right w:val="nil"/>
            </w:tcBorders>
            <w:shd w:val="clear" w:color="auto" w:fill="auto"/>
            <w:noWrap/>
            <w:vAlign w:val="bottom"/>
            <w:hideMark/>
          </w:tcPr>
          <w:p w14:paraId="1568925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-0.075***</w:t>
            </w:r>
          </w:p>
        </w:tc>
        <w:tc>
          <w:tcPr>
            <w:tcW w:w="1187" w:type="dxa"/>
            <w:tcBorders>
              <w:top w:val="nil"/>
              <w:left w:val="nil"/>
              <w:bottom w:val="nil"/>
              <w:right w:val="nil"/>
            </w:tcBorders>
            <w:shd w:val="clear" w:color="auto" w:fill="auto"/>
            <w:noWrap/>
            <w:vAlign w:val="bottom"/>
            <w:hideMark/>
          </w:tcPr>
          <w:p w14:paraId="67C2AD8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-0.060**</w:t>
            </w:r>
          </w:p>
        </w:tc>
        <w:tc>
          <w:tcPr>
            <w:tcW w:w="1339" w:type="dxa"/>
            <w:tcBorders>
              <w:top w:val="nil"/>
              <w:left w:val="nil"/>
              <w:bottom w:val="nil"/>
              <w:right w:val="nil"/>
            </w:tcBorders>
            <w:shd w:val="clear" w:color="auto" w:fill="auto"/>
            <w:noWrap/>
            <w:vAlign w:val="bottom"/>
            <w:hideMark/>
          </w:tcPr>
          <w:p w14:paraId="32880E6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-2.603***</w:t>
            </w:r>
          </w:p>
        </w:tc>
        <w:tc>
          <w:tcPr>
            <w:tcW w:w="1339" w:type="dxa"/>
            <w:tcBorders>
              <w:top w:val="nil"/>
              <w:left w:val="nil"/>
              <w:bottom w:val="nil"/>
              <w:right w:val="nil"/>
            </w:tcBorders>
            <w:shd w:val="clear" w:color="auto" w:fill="auto"/>
            <w:noWrap/>
            <w:vAlign w:val="bottom"/>
            <w:hideMark/>
          </w:tcPr>
          <w:p w14:paraId="289D50A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-2.049***</w:t>
            </w:r>
          </w:p>
        </w:tc>
        <w:tc>
          <w:tcPr>
            <w:tcW w:w="1339" w:type="dxa"/>
            <w:tcBorders>
              <w:top w:val="nil"/>
              <w:left w:val="nil"/>
              <w:bottom w:val="nil"/>
              <w:right w:val="nil"/>
            </w:tcBorders>
            <w:shd w:val="clear" w:color="auto" w:fill="auto"/>
            <w:noWrap/>
            <w:vAlign w:val="bottom"/>
            <w:hideMark/>
          </w:tcPr>
          <w:p w14:paraId="362BB1D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-3.107***</w:t>
            </w:r>
          </w:p>
        </w:tc>
        <w:tc>
          <w:tcPr>
            <w:tcW w:w="1347" w:type="dxa"/>
            <w:tcBorders>
              <w:top w:val="nil"/>
              <w:left w:val="nil"/>
              <w:bottom w:val="nil"/>
              <w:right w:val="nil"/>
            </w:tcBorders>
            <w:shd w:val="clear" w:color="auto" w:fill="auto"/>
            <w:noWrap/>
            <w:vAlign w:val="bottom"/>
            <w:hideMark/>
          </w:tcPr>
          <w:p w14:paraId="4553690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-3.642***</w:t>
            </w:r>
          </w:p>
        </w:tc>
        <w:tc>
          <w:tcPr>
            <w:tcW w:w="1203" w:type="dxa"/>
            <w:tcBorders>
              <w:top w:val="nil"/>
              <w:left w:val="nil"/>
              <w:bottom w:val="nil"/>
              <w:right w:val="nil"/>
            </w:tcBorders>
            <w:shd w:val="clear" w:color="auto" w:fill="auto"/>
            <w:noWrap/>
            <w:vAlign w:val="bottom"/>
            <w:hideMark/>
          </w:tcPr>
          <w:p w14:paraId="2BF0905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-0.003***</w:t>
            </w:r>
          </w:p>
        </w:tc>
        <w:tc>
          <w:tcPr>
            <w:tcW w:w="1137" w:type="dxa"/>
            <w:tcBorders>
              <w:top w:val="nil"/>
              <w:left w:val="nil"/>
              <w:bottom w:val="nil"/>
              <w:right w:val="nil"/>
            </w:tcBorders>
            <w:shd w:val="clear" w:color="auto" w:fill="auto"/>
            <w:noWrap/>
            <w:vAlign w:val="bottom"/>
            <w:hideMark/>
          </w:tcPr>
          <w:p w14:paraId="46DE94A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r>
      <w:tr w:rsidR="002F5D47" w:rsidRPr="008E1AB1" w14:paraId="09BD117A" w14:textId="77777777" w:rsidTr="00C04359">
        <w:trPr>
          <w:trHeight w:val="300"/>
        </w:trPr>
        <w:tc>
          <w:tcPr>
            <w:tcW w:w="1530" w:type="dxa"/>
            <w:tcBorders>
              <w:top w:val="nil"/>
              <w:left w:val="nil"/>
              <w:bottom w:val="nil"/>
              <w:right w:val="nil"/>
            </w:tcBorders>
            <w:shd w:val="clear" w:color="auto" w:fill="auto"/>
            <w:noWrap/>
            <w:vAlign w:val="bottom"/>
            <w:hideMark/>
          </w:tcPr>
          <w:p w14:paraId="55129792"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54DA3D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(0.023)</w:t>
            </w:r>
          </w:p>
        </w:tc>
        <w:tc>
          <w:tcPr>
            <w:tcW w:w="1187" w:type="dxa"/>
            <w:tcBorders>
              <w:top w:val="nil"/>
              <w:left w:val="nil"/>
              <w:bottom w:val="nil"/>
              <w:right w:val="nil"/>
            </w:tcBorders>
            <w:shd w:val="clear" w:color="auto" w:fill="auto"/>
            <w:noWrap/>
            <w:vAlign w:val="bottom"/>
            <w:hideMark/>
          </w:tcPr>
          <w:p w14:paraId="4E92525B"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(0.025)</w:t>
            </w:r>
          </w:p>
        </w:tc>
        <w:tc>
          <w:tcPr>
            <w:tcW w:w="1339" w:type="dxa"/>
            <w:tcBorders>
              <w:top w:val="nil"/>
              <w:left w:val="nil"/>
              <w:bottom w:val="nil"/>
              <w:right w:val="nil"/>
            </w:tcBorders>
            <w:shd w:val="clear" w:color="auto" w:fill="auto"/>
            <w:noWrap/>
            <w:vAlign w:val="bottom"/>
            <w:hideMark/>
          </w:tcPr>
          <w:p w14:paraId="5E6E4732"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(0.575)</w:t>
            </w:r>
          </w:p>
        </w:tc>
        <w:tc>
          <w:tcPr>
            <w:tcW w:w="1339" w:type="dxa"/>
            <w:tcBorders>
              <w:top w:val="nil"/>
              <w:left w:val="nil"/>
              <w:bottom w:val="nil"/>
              <w:right w:val="nil"/>
            </w:tcBorders>
            <w:shd w:val="clear" w:color="auto" w:fill="auto"/>
            <w:noWrap/>
            <w:vAlign w:val="bottom"/>
            <w:hideMark/>
          </w:tcPr>
          <w:p w14:paraId="47AE36B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(0.566)</w:t>
            </w:r>
          </w:p>
        </w:tc>
        <w:tc>
          <w:tcPr>
            <w:tcW w:w="1339" w:type="dxa"/>
            <w:tcBorders>
              <w:top w:val="nil"/>
              <w:left w:val="nil"/>
              <w:bottom w:val="nil"/>
              <w:right w:val="nil"/>
            </w:tcBorders>
            <w:shd w:val="clear" w:color="auto" w:fill="auto"/>
            <w:noWrap/>
            <w:vAlign w:val="bottom"/>
            <w:hideMark/>
          </w:tcPr>
          <w:p w14:paraId="0175AD0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(0.945)</w:t>
            </w:r>
          </w:p>
        </w:tc>
        <w:tc>
          <w:tcPr>
            <w:tcW w:w="1347" w:type="dxa"/>
            <w:tcBorders>
              <w:top w:val="nil"/>
              <w:left w:val="nil"/>
              <w:bottom w:val="nil"/>
              <w:right w:val="nil"/>
            </w:tcBorders>
            <w:shd w:val="clear" w:color="auto" w:fill="auto"/>
            <w:noWrap/>
            <w:vAlign w:val="bottom"/>
            <w:hideMark/>
          </w:tcPr>
          <w:p w14:paraId="1A7B8EE8"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(1.095)</w:t>
            </w:r>
          </w:p>
        </w:tc>
        <w:tc>
          <w:tcPr>
            <w:tcW w:w="1203" w:type="dxa"/>
            <w:tcBorders>
              <w:top w:val="nil"/>
              <w:left w:val="nil"/>
              <w:bottom w:val="nil"/>
              <w:right w:val="nil"/>
            </w:tcBorders>
            <w:shd w:val="clear" w:color="auto" w:fill="auto"/>
            <w:noWrap/>
            <w:vAlign w:val="bottom"/>
            <w:hideMark/>
          </w:tcPr>
          <w:p w14:paraId="112617F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c>
          <w:tcPr>
            <w:tcW w:w="1137" w:type="dxa"/>
            <w:tcBorders>
              <w:top w:val="nil"/>
              <w:left w:val="nil"/>
              <w:bottom w:val="nil"/>
              <w:right w:val="nil"/>
            </w:tcBorders>
            <w:shd w:val="clear" w:color="auto" w:fill="auto"/>
            <w:noWrap/>
            <w:vAlign w:val="bottom"/>
            <w:hideMark/>
          </w:tcPr>
          <w:p w14:paraId="7D71970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r>
      <w:tr w:rsidR="002F5D47" w:rsidRPr="008E1AB1" w14:paraId="3E7419F3" w14:textId="77777777" w:rsidTr="00C04359">
        <w:trPr>
          <w:trHeight w:val="300"/>
        </w:trPr>
        <w:tc>
          <w:tcPr>
            <w:tcW w:w="1530" w:type="dxa"/>
            <w:tcBorders>
              <w:top w:val="nil"/>
              <w:left w:val="nil"/>
              <w:bottom w:val="nil"/>
              <w:right w:val="nil"/>
            </w:tcBorders>
            <w:shd w:val="clear" w:color="auto" w:fill="auto"/>
            <w:noWrap/>
            <w:vAlign w:val="bottom"/>
            <w:hideMark/>
          </w:tcPr>
          <w:p w14:paraId="35542A4C"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78E76931"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60BB76DB"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12CBABB8"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2A87647F"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27272DE3"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25181776"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2848D3F9"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0CF8C396"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39A6667B" w14:textId="77777777" w:rsidTr="00C04359">
        <w:trPr>
          <w:trHeight w:val="280"/>
        </w:trPr>
        <w:tc>
          <w:tcPr>
            <w:tcW w:w="1530" w:type="dxa"/>
            <w:tcBorders>
              <w:top w:val="nil"/>
              <w:left w:val="nil"/>
              <w:bottom w:val="nil"/>
              <w:right w:val="nil"/>
            </w:tcBorders>
            <w:shd w:val="clear" w:color="auto" w:fill="auto"/>
            <w:noWrap/>
            <w:vAlign w:val="center"/>
            <w:hideMark/>
          </w:tcPr>
          <w:p w14:paraId="07144B8F"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Treat × Week</w:t>
            </w:r>
          </w:p>
        </w:tc>
        <w:tc>
          <w:tcPr>
            <w:tcW w:w="1279" w:type="dxa"/>
            <w:tcBorders>
              <w:top w:val="nil"/>
              <w:left w:val="nil"/>
              <w:bottom w:val="nil"/>
              <w:right w:val="nil"/>
            </w:tcBorders>
            <w:shd w:val="clear" w:color="auto" w:fill="auto"/>
            <w:noWrap/>
            <w:vAlign w:val="bottom"/>
            <w:hideMark/>
          </w:tcPr>
          <w:p w14:paraId="30A35CFB"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0.007</w:t>
            </w:r>
          </w:p>
        </w:tc>
        <w:tc>
          <w:tcPr>
            <w:tcW w:w="1187" w:type="dxa"/>
            <w:tcBorders>
              <w:top w:val="nil"/>
              <w:left w:val="nil"/>
              <w:bottom w:val="nil"/>
              <w:right w:val="nil"/>
            </w:tcBorders>
            <w:shd w:val="clear" w:color="auto" w:fill="auto"/>
            <w:noWrap/>
            <w:vAlign w:val="bottom"/>
            <w:hideMark/>
          </w:tcPr>
          <w:p w14:paraId="0632CD3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0.003</w:t>
            </w:r>
          </w:p>
        </w:tc>
        <w:tc>
          <w:tcPr>
            <w:tcW w:w="1339" w:type="dxa"/>
            <w:tcBorders>
              <w:top w:val="nil"/>
              <w:left w:val="nil"/>
              <w:bottom w:val="nil"/>
              <w:right w:val="nil"/>
            </w:tcBorders>
            <w:shd w:val="clear" w:color="auto" w:fill="auto"/>
            <w:noWrap/>
            <w:vAlign w:val="bottom"/>
            <w:hideMark/>
          </w:tcPr>
          <w:p w14:paraId="65F7B47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-0.192</w:t>
            </w:r>
          </w:p>
        </w:tc>
        <w:tc>
          <w:tcPr>
            <w:tcW w:w="1339" w:type="dxa"/>
            <w:tcBorders>
              <w:top w:val="nil"/>
              <w:left w:val="nil"/>
              <w:bottom w:val="nil"/>
              <w:right w:val="nil"/>
            </w:tcBorders>
            <w:shd w:val="clear" w:color="auto" w:fill="auto"/>
            <w:noWrap/>
            <w:vAlign w:val="bottom"/>
            <w:hideMark/>
          </w:tcPr>
          <w:p w14:paraId="6AD3DC6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-1.093***</w:t>
            </w:r>
          </w:p>
        </w:tc>
        <w:tc>
          <w:tcPr>
            <w:tcW w:w="1339" w:type="dxa"/>
            <w:tcBorders>
              <w:top w:val="nil"/>
              <w:left w:val="nil"/>
              <w:bottom w:val="nil"/>
              <w:right w:val="nil"/>
            </w:tcBorders>
            <w:shd w:val="clear" w:color="auto" w:fill="auto"/>
            <w:noWrap/>
            <w:vAlign w:val="bottom"/>
            <w:hideMark/>
          </w:tcPr>
          <w:p w14:paraId="5CBB2FB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1.632**</w:t>
            </w:r>
          </w:p>
        </w:tc>
        <w:tc>
          <w:tcPr>
            <w:tcW w:w="1347" w:type="dxa"/>
            <w:tcBorders>
              <w:top w:val="nil"/>
              <w:left w:val="nil"/>
              <w:bottom w:val="nil"/>
              <w:right w:val="nil"/>
            </w:tcBorders>
            <w:shd w:val="clear" w:color="auto" w:fill="auto"/>
            <w:noWrap/>
            <w:vAlign w:val="bottom"/>
            <w:hideMark/>
          </w:tcPr>
          <w:p w14:paraId="1422404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-1.428***</w:t>
            </w:r>
          </w:p>
        </w:tc>
        <w:tc>
          <w:tcPr>
            <w:tcW w:w="1203" w:type="dxa"/>
            <w:tcBorders>
              <w:top w:val="nil"/>
              <w:left w:val="nil"/>
              <w:bottom w:val="nil"/>
              <w:right w:val="nil"/>
            </w:tcBorders>
            <w:shd w:val="clear" w:color="auto" w:fill="auto"/>
            <w:noWrap/>
            <w:vAlign w:val="bottom"/>
            <w:hideMark/>
          </w:tcPr>
          <w:p w14:paraId="01095BA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c>
          <w:tcPr>
            <w:tcW w:w="1137" w:type="dxa"/>
            <w:tcBorders>
              <w:top w:val="nil"/>
              <w:left w:val="nil"/>
              <w:bottom w:val="nil"/>
              <w:right w:val="nil"/>
            </w:tcBorders>
            <w:shd w:val="clear" w:color="auto" w:fill="auto"/>
            <w:noWrap/>
            <w:vAlign w:val="bottom"/>
            <w:hideMark/>
          </w:tcPr>
          <w:p w14:paraId="5F0E10C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r>
      <w:tr w:rsidR="002F5D47" w:rsidRPr="008E1AB1" w14:paraId="2324B744" w14:textId="77777777" w:rsidTr="00C04359">
        <w:trPr>
          <w:trHeight w:val="300"/>
        </w:trPr>
        <w:tc>
          <w:tcPr>
            <w:tcW w:w="1530" w:type="dxa"/>
            <w:tcBorders>
              <w:top w:val="nil"/>
              <w:left w:val="nil"/>
              <w:bottom w:val="nil"/>
              <w:right w:val="nil"/>
            </w:tcBorders>
            <w:shd w:val="clear" w:color="auto" w:fill="auto"/>
            <w:noWrap/>
            <w:vAlign w:val="bottom"/>
            <w:hideMark/>
          </w:tcPr>
          <w:p w14:paraId="3FB646DD"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4EC95F6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(0.011)</w:t>
            </w:r>
          </w:p>
        </w:tc>
        <w:tc>
          <w:tcPr>
            <w:tcW w:w="1187" w:type="dxa"/>
            <w:tcBorders>
              <w:top w:val="nil"/>
              <w:left w:val="nil"/>
              <w:bottom w:val="nil"/>
              <w:right w:val="nil"/>
            </w:tcBorders>
            <w:shd w:val="clear" w:color="auto" w:fill="auto"/>
            <w:noWrap/>
            <w:vAlign w:val="bottom"/>
            <w:hideMark/>
          </w:tcPr>
          <w:p w14:paraId="1E5CF6F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(0.006)</w:t>
            </w:r>
          </w:p>
        </w:tc>
        <w:tc>
          <w:tcPr>
            <w:tcW w:w="1339" w:type="dxa"/>
            <w:tcBorders>
              <w:top w:val="nil"/>
              <w:left w:val="nil"/>
              <w:bottom w:val="nil"/>
              <w:right w:val="nil"/>
            </w:tcBorders>
            <w:shd w:val="clear" w:color="auto" w:fill="auto"/>
            <w:noWrap/>
            <w:vAlign w:val="bottom"/>
            <w:hideMark/>
          </w:tcPr>
          <w:p w14:paraId="6F7A21D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(0.189)</w:t>
            </w:r>
          </w:p>
        </w:tc>
        <w:tc>
          <w:tcPr>
            <w:tcW w:w="1339" w:type="dxa"/>
            <w:tcBorders>
              <w:top w:val="nil"/>
              <w:left w:val="nil"/>
              <w:bottom w:val="nil"/>
              <w:right w:val="nil"/>
            </w:tcBorders>
            <w:shd w:val="clear" w:color="auto" w:fill="auto"/>
            <w:noWrap/>
            <w:vAlign w:val="bottom"/>
            <w:hideMark/>
          </w:tcPr>
          <w:p w14:paraId="3B7107F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(0.110)</w:t>
            </w:r>
          </w:p>
        </w:tc>
        <w:tc>
          <w:tcPr>
            <w:tcW w:w="1339" w:type="dxa"/>
            <w:tcBorders>
              <w:top w:val="nil"/>
              <w:left w:val="nil"/>
              <w:bottom w:val="nil"/>
              <w:right w:val="nil"/>
            </w:tcBorders>
            <w:shd w:val="clear" w:color="auto" w:fill="auto"/>
            <w:noWrap/>
            <w:vAlign w:val="bottom"/>
            <w:hideMark/>
          </w:tcPr>
          <w:p w14:paraId="7A4BD7C3"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(0.746)</w:t>
            </w:r>
          </w:p>
        </w:tc>
        <w:tc>
          <w:tcPr>
            <w:tcW w:w="1347" w:type="dxa"/>
            <w:tcBorders>
              <w:top w:val="nil"/>
              <w:left w:val="nil"/>
              <w:bottom w:val="nil"/>
              <w:right w:val="nil"/>
            </w:tcBorders>
            <w:shd w:val="clear" w:color="auto" w:fill="auto"/>
            <w:noWrap/>
            <w:vAlign w:val="bottom"/>
            <w:hideMark/>
          </w:tcPr>
          <w:p w14:paraId="4AA13AC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(0.387)</w:t>
            </w:r>
          </w:p>
        </w:tc>
        <w:tc>
          <w:tcPr>
            <w:tcW w:w="1203" w:type="dxa"/>
            <w:tcBorders>
              <w:top w:val="nil"/>
              <w:left w:val="nil"/>
              <w:bottom w:val="nil"/>
              <w:right w:val="nil"/>
            </w:tcBorders>
            <w:shd w:val="clear" w:color="auto" w:fill="auto"/>
            <w:noWrap/>
            <w:vAlign w:val="bottom"/>
            <w:hideMark/>
          </w:tcPr>
          <w:p w14:paraId="2659476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c>
          <w:tcPr>
            <w:tcW w:w="1137" w:type="dxa"/>
            <w:tcBorders>
              <w:top w:val="nil"/>
              <w:left w:val="nil"/>
              <w:bottom w:val="nil"/>
              <w:right w:val="nil"/>
            </w:tcBorders>
            <w:shd w:val="clear" w:color="auto" w:fill="auto"/>
            <w:noWrap/>
            <w:vAlign w:val="bottom"/>
            <w:hideMark/>
          </w:tcPr>
          <w:p w14:paraId="4A15031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r>
      <w:tr w:rsidR="002F5D47" w:rsidRPr="008E1AB1" w14:paraId="249D3969" w14:textId="77777777" w:rsidTr="00C04359">
        <w:trPr>
          <w:trHeight w:val="300"/>
        </w:trPr>
        <w:tc>
          <w:tcPr>
            <w:tcW w:w="1530" w:type="dxa"/>
            <w:tcBorders>
              <w:top w:val="nil"/>
              <w:left w:val="nil"/>
              <w:bottom w:val="nil"/>
              <w:right w:val="nil"/>
            </w:tcBorders>
            <w:shd w:val="clear" w:color="auto" w:fill="auto"/>
            <w:noWrap/>
            <w:vAlign w:val="bottom"/>
            <w:hideMark/>
          </w:tcPr>
          <w:p w14:paraId="529775BB"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178C7275"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020FBF16"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31225488"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0D11BF53"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7CE59C6E"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0FAF1A88"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4B997C8B"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5A4BAF9E"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63A39769" w14:textId="77777777" w:rsidTr="00C04359">
        <w:trPr>
          <w:trHeight w:val="280"/>
        </w:trPr>
        <w:tc>
          <w:tcPr>
            <w:tcW w:w="1530" w:type="dxa"/>
            <w:tcBorders>
              <w:top w:val="nil"/>
              <w:left w:val="nil"/>
              <w:bottom w:val="nil"/>
              <w:right w:val="nil"/>
            </w:tcBorders>
            <w:shd w:val="clear" w:color="auto" w:fill="auto"/>
            <w:noWrap/>
            <w:vAlign w:val="center"/>
            <w:hideMark/>
          </w:tcPr>
          <w:p w14:paraId="3EB03208"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Strike × Treat</w:t>
            </w:r>
          </w:p>
        </w:tc>
        <w:tc>
          <w:tcPr>
            <w:tcW w:w="1279" w:type="dxa"/>
            <w:tcBorders>
              <w:top w:val="nil"/>
              <w:left w:val="nil"/>
              <w:bottom w:val="nil"/>
              <w:right w:val="nil"/>
            </w:tcBorders>
            <w:shd w:val="clear" w:color="auto" w:fill="auto"/>
            <w:noWrap/>
            <w:vAlign w:val="bottom"/>
            <w:hideMark/>
          </w:tcPr>
          <w:p w14:paraId="087C424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-0.032</w:t>
            </w:r>
          </w:p>
        </w:tc>
        <w:tc>
          <w:tcPr>
            <w:tcW w:w="1187" w:type="dxa"/>
            <w:tcBorders>
              <w:top w:val="nil"/>
              <w:left w:val="nil"/>
              <w:bottom w:val="nil"/>
              <w:right w:val="nil"/>
            </w:tcBorders>
            <w:shd w:val="clear" w:color="auto" w:fill="auto"/>
            <w:noWrap/>
            <w:vAlign w:val="bottom"/>
            <w:hideMark/>
          </w:tcPr>
          <w:p w14:paraId="2207BB2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-0.030</w:t>
            </w:r>
          </w:p>
        </w:tc>
        <w:tc>
          <w:tcPr>
            <w:tcW w:w="1339" w:type="dxa"/>
            <w:tcBorders>
              <w:top w:val="nil"/>
              <w:left w:val="nil"/>
              <w:bottom w:val="nil"/>
              <w:right w:val="nil"/>
            </w:tcBorders>
            <w:shd w:val="clear" w:color="auto" w:fill="auto"/>
            <w:noWrap/>
            <w:vAlign w:val="bottom"/>
            <w:hideMark/>
          </w:tcPr>
          <w:p w14:paraId="1DA33F01"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-3.049***</w:t>
            </w:r>
          </w:p>
        </w:tc>
        <w:tc>
          <w:tcPr>
            <w:tcW w:w="1339" w:type="dxa"/>
            <w:tcBorders>
              <w:top w:val="nil"/>
              <w:left w:val="nil"/>
              <w:bottom w:val="nil"/>
              <w:right w:val="nil"/>
            </w:tcBorders>
            <w:shd w:val="clear" w:color="auto" w:fill="auto"/>
            <w:noWrap/>
            <w:vAlign w:val="bottom"/>
            <w:hideMark/>
          </w:tcPr>
          <w:p w14:paraId="1AB4C48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-3.061***</w:t>
            </w:r>
          </w:p>
        </w:tc>
        <w:tc>
          <w:tcPr>
            <w:tcW w:w="1339" w:type="dxa"/>
            <w:tcBorders>
              <w:top w:val="nil"/>
              <w:left w:val="nil"/>
              <w:bottom w:val="nil"/>
              <w:right w:val="nil"/>
            </w:tcBorders>
            <w:shd w:val="clear" w:color="auto" w:fill="auto"/>
            <w:noWrap/>
            <w:vAlign w:val="bottom"/>
            <w:hideMark/>
          </w:tcPr>
          <w:p w14:paraId="23E5687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-6.157***</w:t>
            </w:r>
          </w:p>
        </w:tc>
        <w:tc>
          <w:tcPr>
            <w:tcW w:w="1347" w:type="dxa"/>
            <w:tcBorders>
              <w:top w:val="nil"/>
              <w:left w:val="nil"/>
              <w:bottom w:val="nil"/>
              <w:right w:val="nil"/>
            </w:tcBorders>
            <w:shd w:val="clear" w:color="auto" w:fill="auto"/>
            <w:noWrap/>
            <w:vAlign w:val="bottom"/>
            <w:hideMark/>
          </w:tcPr>
          <w:p w14:paraId="32E5276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-6.085***</w:t>
            </w:r>
          </w:p>
        </w:tc>
        <w:tc>
          <w:tcPr>
            <w:tcW w:w="1203" w:type="dxa"/>
            <w:tcBorders>
              <w:top w:val="nil"/>
              <w:left w:val="nil"/>
              <w:bottom w:val="nil"/>
              <w:right w:val="nil"/>
            </w:tcBorders>
            <w:shd w:val="clear" w:color="auto" w:fill="auto"/>
            <w:noWrap/>
            <w:vAlign w:val="bottom"/>
            <w:hideMark/>
          </w:tcPr>
          <w:p w14:paraId="1C2628B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c>
          <w:tcPr>
            <w:tcW w:w="1137" w:type="dxa"/>
            <w:tcBorders>
              <w:top w:val="nil"/>
              <w:left w:val="nil"/>
              <w:bottom w:val="nil"/>
              <w:right w:val="nil"/>
            </w:tcBorders>
            <w:shd w:val="clear" w:color="auto" w:fill="auto"/>
            <w:noWrap/>
            <w:vAlign w:val="bottom"/>
            <w:hideMark/>
          </w:tcPr>
          <w:p w14:paraId="7EF3A23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r>
      <w:tr w:rsidR="002F5D47" w:rsidRPr="008E1AB1" w14:paraId="25D4FC05" w14:textId="77777777" w:rsidTr="00C04359">
        <w:trPr>
          <w:trHeight w:val="280"/>
        </w:trPr>
        <w:tc>
          <w:tcPr>
            <w:tcW w:w="1530" w:type="dxa"/>
            <w:tcBorders>
              <w:top w:val="nil"/>
              <w:left w:val="nil"/>
              <w:bottom w:val="nil"/>
              <w:right w:val="nil"/>
            </w:tcBorders>
            <w:shd w:val="clear" w:color="auto" w:fill="auto"/>
            <w:noWrap/>
            <w:vAlign w:val="bottom"/>
            <w:hideMark/>
          </w:tcPr>
          <w:p w14:paraId="15F4793B"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 Week</w:t>
            </w:r>
          </w:p>
        </w:tc>
        <w:tc>
          <w:tcPr>
            <w:tcW w:w="1279" w:type="dxa"/>
            <w:tcBorders>
              <w:top w:val="nil"/>
              <w:left w:val="nil"/>
              <w:bottom w:val="nil"/>
              <w:right w:val="nil"/>
            </w:tcBorders>
            <w:shd w:val="clear" w:color="auto" w:fill="auto"/>
            <w:noWrap/>
            <w:vAlign w:val="bottom"/>
            <w:hideMark/>
          </w:tcPr>
          <w:p w14:paraId="5EDB76F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(0.031)</w:t>
            </w:r>
          </w:p>
        </w:tc>
        <w:tc>
          <w:tcPr>
            <w:tcW w:w="1187" w:type="dxa"/>
            <w:tcBorders>
              <w:top w:val="nil"/>
              <w:left w:val="nil"/>
              <w:bottom w:val="nil"/>
              <w:right w:val="nil"/>
            </w:tcBorders>
            <w:shd w:val="clear" w:color="auto" w:fill="auto"/>
            <w:noWrap/>
            <w:vAlign w:val="bottom"/>
            <w:hideMark/>
          </w:tcPr>
          <w:p w14:paraId="2470CEB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(0.031)</w:t>
            </w:r>
          </w:p>
        </w:tc>
        <w:tc>
          <w:tcPr>
            <w:tcW w:w="1339" w:type="dxa"/>
            <w:tcBorders>
              <w:top w:val="nil"/>
              <w:left w:val="nil"/>
              <w:bottom w:val="nil"/>
              <w:right w:val="nil"/>
            </w:tcBorders>
            <w:shd w:val="clear" w:color="auto" w:fill="auto"/>
            <w:noWrap/>
            <w:vAlign w:val="bottom"/>
            <w:hideMark/>
          </w:tcPr>
          <w:p w14:paraId="16B6C6D4"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(0.892)</w:t>
            </w:r>
          </w:p>
        </w:tc>
        <w:tc>
          <w:tcPr>
            <w:tcW w:w="1339" w:type="dxa"/>
            <w:tcBorders>
              <w:top w:val="nil"/>
              <w:left w:val="nil"/>
              <w:bottom w:val="nil"/>
              <w:right w:val="nil"/>
            </w:tcBorders>
            <w:shd w:val="clear" w:color="auto" w:fill="auto"/>
            <w:noWrap/>
            <w:vAlign w:val="bottom"/>
            <w:hideMark/>
          </w:tcPr>
          <w:p w14:paraId="7CF67B0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(0.908)</w:t>
            </w:r>
          </w:p>
        </w:tc>
        <w:tc>
          <w:tcPr>
            <w:tcW w:w="1339" w:type="dxa"/>
            <w:tcBorders>
              <w:top w:val="nil"/>
              <w:left w:val="nil"/>
              <w:bottom w:val="nil"/>
              <w:right w:val="nil"/>
            </w:tcBorders>
            <w:shd w:val="clear" w:color="auto" w:fill="auto"/>
            <w:noWrap/>
            <w:vAlign w:val="bottom"/>
            <w:hideMark/>
          </w:tcPr>
          <w:p w14:paraId="16DA5E03"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(1.606)</w:t>
            </w:r>
          </w:p>
        </w:tc>
        <w:tc>
          <w:tcPr>
            <w:tcW w:w="1347" w:type="dxa"/>
            <w:tcBorders>
              <w:top w:val="nil"/>
              <w:left w:val="nil"/>
              <w:bottom w:val="nil"/>
              <w:right w:val="nil"/>
            </w:tcBorders>
            <w:shd w:val="clear" w:color="auto" w:fill="auto"/>
            <w:noWrap/>
            <w:vAlign w:val="bottom"/>
            <w:hideMark/>
          </w:tcPr>
          <w:p w14:paraId="525561D8"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(1.650)</w:t>
            </w:r>
          </w:p>
        </w:tc>
        <w:tc>
          <w:tcPr>
            <w:tcW w:w="1203" w:type="dxa"/>
            <w:tcBorders>
              <w:top w:val="nil"/>
              <w:left w:val="nil"/>
              <w:bottom w:val="nil"/>
              <w:right w:val="nil"/>
            </w:tcBorders>
            <w:shd w:val="clear" w:color="auto" w:fill="auto"/>
            <w:noWrap/>
            <w:vAlign w:val="bottom"/>
            <w:hideMark/>
          </w:tcPr>
          <w:p w14:paraId="3097839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c>
          <w:tcPr>
            <w:tcW w:w="1137" w:type="dxa"/>
            <w:tcBorders>
              <w:top w:val="nil"/>
              <w:left w:val="nil"/>
              <w:bottom w:val="nil"/>
              <w:right w:val="nil"/>
            </w:tcBorders>
            <w:shd w:val="clear" w:color="auto" w:fill="auto"/>
            <w:noWrap/>
            <w:vAlign w:val="bottom"/>
            <w:hideMark/>
          </w:tcPr>
          <w:p w14:paraId="3FA130A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r>
      <w:tr w:rsidR="002F5D47" w:rsidRPr="008E1AB1" w14:paraId="3C91E723" w14:textId="77777777" w:rsidTr="00C04359">
        <w:trPr>
          <w:trHeight w:val="300"/>
        </w:trPr>
        <w:tc>
          <w:tcPr>
            <w:tcW w:w="1530" w:type="dxa"/>
            <w:tcBorders>
              <w:top w:val="nil"/>
              <w:left w:val="nil"/>
              <w:bottom w:val="nil"/>
              <w:right w:val="nil"/>
            </w:tcBorders>
            <w:shd w:val="clear" w:color="auto" w:fill="auto"/>
            <w:noWrap/>
            <w:vAlign w:val="bottom"/>
            <w:hideMark/>
          </w:tcPr>
          <w:p w14:paraId="76D514DE"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678E8CAC"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62B77E6B"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3479CA34"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3F4F05FB"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55A546E6"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409DC1CB"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7F205339"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1625A0AE" w14:textId="77777777" w:rsidR="002F5D47" w:rsidRPr="008E1AB1" w:rsidRDefault="002F5D47" w:rsidP="00C04359">
            <w:pPr>
              <w:jc w:val="center"/>
              <w:rPr>
                <w:rFonts w:ascii="Calibri" w:eastAsia="Times New Roman" w:hAnsi="Calibri" w:cs="Times New Roman"/>
                <w:color w:val="000000"/>
                <w:sz w:val="22"/>
                <w:szCs w:val="22"/>
              </w:rPr>
            </w:pPr>
          </w:p>
        </w:tc>
      </w:tr>
      <w:tr w:rsidR="002F5D47" w:rsidRPr="008E1AB1" w14:paraId="2E8E51F8" w14:textId="77777777" w:rsidTr="00C04359">
        <w:trPr>
          <w:trHeight w:val="280"/>
        </w:trPr>
        <w:tc>
          <w:tcPr>
            <w:tcW w:w="1530" w:type="dxa"/>
            <w:tcBorders>
              <w:top w:val="nil"/>
              <w:left w:val="nil"/>
              <w:bottom w:val="nil"/>
              <w:right w:val="nil"/>
            </w:tcBorders>
            <w:shd w:val="clear" w:color="auto" w:fill="auto"/>
            <w:noWrap/>
            <w:vAlign w:val="center"/>
            <w:hideMark/>
          </w:tcPr>
          <w:p w14:paraId="445CFED5" w14:textId="77777777" w:rsidR="002F5D47" w:rsidRPr="008E1AB1" w:rsidRDefault="002F5D47" w:rsidP="00C04359">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Wind Speed</w:t>
            </w:r>
          </w:p>
        </w:tc>
        <w:tc>
          <w:tcPr>
            <w:tcW w:w="1279" w:type="dxa"/>
            <w:tcBorders>
              <w:top w:val="nil"/>
              <w:left w:val="nil"/>
              <w:bottom w:val="nil"/>
              <w:right w:val="nil"/>
            </w:tcBorders>
            <w:shd w:val="clear" w:color="auto" w:fill="auto"/>
            <w:noWrap/>
            <w:vAlign w:val="bottom"/>
            <w:hideMark/>
          </w:tcPr>
          <w:p w14:paraId="3EA91868"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-0.092**</w:t>
            </w:r>
          </w:p>
        </w:tc>
        <w:tc>
          <w:tcPr>
            <w:tcW w:w="1187" w:type="dxa"/>
            <w:tcBorders>
              <w:top w:val="nil"/>
              <w:left w:val="nil"/>
              <w:bottom w:val="nil"/>
              <w:right w:val="nil"/>
            </w:tcBorders>
            <w:shd w:val="clear" w:color="auto" w:fill="auto"/>
            <w:noWrap/>
            <w:vAlign w:val="bottom"/>
            <w:hideMark/>
          </w:tcPr>
          <w:p w14:paraId="781A1E4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-0.091**</w:t>
            </w:r>
          </w:p>
        </w:tc>
        <w:tc>
          <w:tcPr>
            <w:tcW w:w="1339" w:type="dxa"/>
            <w:tcBorders>
              <w:top w:val="nil"/>
              <w:left w:val="nil"/>
              <w:bottom w:val="nil"/>
              <w:right w:val="nil"/>
            </w:tcBorders>
            <w:shd w:val="clear" w:color="auto" w:fill="auto"/>
            <w:noWrap/>
            <w:vAlign w:val="bottom"/>
            <w:hideMark/>
          </w:tcPr>
          <w:p w14:paraId="1D07809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-1.752***</w:t>
            </w:r>
          </w:p>
        </w:tc>
        <w:tc>
          <w:tcPr>
            <w:tcW w:w="1339" w:type="dxa"/>
            <w:tcBorders>
              <w:top w:val="nil"/>
              <w:left w:val="nil"/>
              <w:bottom w:val="nil"/>
              <w:right w:val="nil"/>
            </w:tcBorders>
            <w:shd w:val="clear" w:color="auto" w:fill="auto"/>
            <w:noWrap/>
            <w:vAlign w:val="bottom"/>
            <w:hideMark/>
          </w:tcPr>
          <w:p w14:paraId="43DD577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-1.949***</w:t>
            </w:r>
          </w:p>
        </w:tc>
        <w:tc>
          <w:tcPr>
            <w:tcW w:w="1339" w:type="dxa"/>
            <w:tcBorders>
              <w:top w:val="nil"/>
              <w:left w:val="nil"/>
              <w:bottom w:val="nil"/>
              <w:right w:val="nil"/>
            </w:tcBorders>
            <w:shd w:val="clear" w:color="auto" w:fill="auto"/>
            <w:noWrap/>
            <w:vAlign w:val="bottom"/>
            <w:hideMark/>
          </w:tcPr>
          <w:p w14:paraId="1D70F03C"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-4.802**</w:t>
            </w:r>
          </w:p>
        </w:tc>
        <w:tc>
          <w:tcPr>
            <w:tcW w:w="1347" w:type="dxa"/>
            <w:tcBorders>
              <w:top w:val="nil"/>
              <w:left w:val="nil"/>
              <w:bottom w:val="nil"/>
              <w:right w:val="nil"/>
            </w:tcBorders>
            <w:shd w:val="clear" w:color="auto" w:fill="auto"/>
            <w:noWrap/>
            <w:vAlign w:val="bottom"/>
            <w:hideMark/>
          </w:tcPr>
          <w:p w14:paraId="10BCE14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-5.932**</w:t>
            </w:r>
          </w:p>
        </w:tc>
        <w:tc>
          <w:tcPr>
            <w:tcW w:w="1203" w:type="dxa"/>
            <w:tcBorders>
              <w:top w:val="nil"/>
              <w:left w:val="nil"/>
              <w:bottom w:val="nil"/>
              <w:right w:val="nil"/>
            </w:tcBorders>
            <w:shd w:val="clear" w:color="auto" w:fill="auto"/>
            <w:noWrap/>
            <w:vAlign w:val="bottom"/>
            <w:hideMark/>
          </w:tcPr>
          <w:p w14:paraId="391B0C1A"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c>
          <w:tcPr>
            <w:tcW w:w="1137" w:type="dxa"/>
            <w:tcBorders>
              <w:top w:val="nil"/>
              <w:left w:val="nil"/>
              <w:bottom w:val="nil"/>
              <w:right w:val="nil"/>
            </w:tcBorders>
            <w:shd w:val="clear" w:color="auto" w:fill="auto"/>
            <w:noWrap/>
            <w:vAlign w:val="bottom"/>
            <w:hideMark/>
          </w:tcPr>
          <w:p w14:paraId="5DAC1AD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0.002***</w:t>
            </w:r>
          </w:p>
        </w:tc>
      </w:tr>
      <w:tr w:rsidR="002F5D47" w:rsidRPr="008E1AB1" w14:paraId="6A51F826" w14:textId="77777777" w:rsidTr="00C04359">
        <w:trPr>
          <w:trHeight w:val="300"/>
        </w:trPr>
        <w:tc>
          <w:tcPr>
            <w:tcW w:w="1530" w:type="dxa"/>
            <w:tcBorders>
              <w:top w:val="nil"/>
              <w:left w:val="nil"/>
              <w:bottom w:val="nil"/>
              <w:right w:val="nil"/>
            </w:tcBorders>
            <w:shd w:val="clear" w:color="auto" w:fill="auto"/>
            <w:noWrap/>
            <w:vAlign w:val="bottom"/>
            <w:hideMark/>
          </w:tcPr>
          <w:p w14:paraId="24EB62D9"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753BEACE"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(0.038)</w:t>
            </w:r>
          </w:p>
        </w:tc>
        <w:tc>
          <w:tcPr>
            <w:tcW w:w="1187" w:type="dxa"/>
            <w:tcBorders>
              <w:top w:val="nil"/>
              <w:left w:val="nil"/>
              <w:bottom w:val="nil"/>
              <w:right w:val="nil"/>
            </w:tcBorders>
            <w:shd w:val="clear" w:color="auto" w:fill="auto"/>
            <w:noWrap/>
            <w:vAlign w:val="bottom"/>
            <w:hideMark/>
          </w:tcPr>
          <w:p w14:paraId="16ABE816"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(0.035)</w:t>
            </w:r>
          </w:p>
        </w:tc>
        <w:tc>
          <w:tcPr>
            <w:tcW w:w="1339" w:type="dxa"/>
            <w:tcBorders>
              <w:top w:val="nil"/>
              <w:left w:val="nil"/>
              <w:bottom w:val="nil"/>
              <w:right w:val="nil"/>
            </w:tcBorders>
            <w:shd w:val="clear" w:color="auto" w:fill="auto"/>
            <w:noWrap/>
            <w:vAlign w:val="bottom"/>
            <w:hideMark/>
          </w:tcPr>
          <w:p w14:paraId="5BF34239"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(0.617)</w:t>
            </w:r>
          </w:p>
        </w:tc>
        <w:tc>
          <w:tcPr>
            <w:tcW w:w="1339" w:type="dxa"/>
            <w:tcBorders>
              <w:top w:val="nil"/>
              <w:left w:val="nil"/>
              <w:bottom w:val="nil"/>
              <w:right w:val="nil"/>
            </w:tcBorders>
            <w:shd w:val="clear" w:color="auto" w:fill="auto"/>
            <w:noWrap/>
            <w:vAlign w:val="bottom"/>
            <w:hideMark/>
          </w:tcPr>
          <w:p w14:paraId="1E406152"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(0.644)</w:t>
            </w:r>
          </w:p>
        </w:tc>
        <w:tc>
          <w:tcPr>
            <w:tcW w:w="1339" w:type="dxa"/>
            <w:tcBorders>
              <w:top w:val="nil"/>
              <w:left w:val="nil"/>
              <w:bottom w:val="nil"/>
              <w:right w:val="nil"/>
            </w:tcBorders>
            <w:shd w:val="clear" w:color="auto" w:fill="auto"/>
            <w:noWrap/>
            <w:vAlign w:val="bottom"/>
            <w:hideMark/>
          </w:tcPr>
          <w:p w14:paraId="26E24DBF"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(1.964)</w:t>
            </w:r>
          </w:p>
        </w:tc>
        <w:tc>
          <w:tcPr>
            <w:tcW w:w="1347" w:type="dxa"/>
            <w:tcBorders>
              <w:top w:val="nil"/>
              <w:left w:val="nil"/>
              <w:bottom w:val="nil"/>
              <w:right w:val="nil"/>
            </w:tcBorders>
            <w:shd w:val="clear" w:color="auto" w:fill="auto"/>
            <w:noWrap/>
            <w:vAlign w:val="bottom"/>
            <w:hideMark/>
          </w:tcPr>
          <w:p w14:paraId="52CD72C0"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(2.261)</w:t>
            </w:r>
          </w:p>
        </w:tc>
        <w:tc>
          <w:tcPr>
            <w:tcW w:w="1203" w:type="dxa"/>
            <w:tcBorders>
              <w:top w:val="nil"/>
              <w:left w:val="nil"/>
              <w:bottom w:val="nil"/>
              <w:right w:val="nil"/>
            </w:tcBorders>
            <w:shd w:val="clear" w:color="auto" w:fill="auto"/>
            <w:noWrap/>
            <w:vAlign w:val="bottom"/>
            <w:hideMark/>
          </w:tcPr>
          <w:p w14:paraId="2EB80BD7"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(0.001)</w:t>
            </w:r>
          </w:p>
        </w:tc>
        <w:tc>
          <w:tcPr>
            <w:tcW w:w="1137" w:type="dxa"/>
            <w:tcBorders>
              <w:top w:val="nil"/>
              <w:left w:val="nil"/>
              <w:bottom w:val="nil"/>
              <w:right w:val="nil"/>
            </w:tcBorders>
            <w:shd w:val="clear" w:color="auto" w:fill="auto"/>
            <w:noWrap/>
            <w:vAlign w:val="bottom"/>
            <w:hideMark/>
          </w:tcPr>
          <w:p w14:paraId="65AAF3A5" w14:textId="77777777" w:rsidR="002F5D47" w:rsidRPr="008E1AB1" w:rsidRDefault="002F5D47" w:rsidP="00C04359">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(0.000)</w:t>
            </w:r>
          </w:p>
        </w:tc>
      </w:tr>
      <w:tr w:rsidR="002F5D47" w:rsidRPr="008E1AB1" w14:paraId="1D83D804" w14:textId="77777777" w:rsidTr="00C04359">
        <w:trPr>
          <w:trHeight w:val="300"/>
        </w:trPr>
        <w:tc>
          <w:tcPr>
            <w:tcW w:w="1530" w:type="dxa"/>
            <w:tcBorders>
              <w:top w:val="nil"/>
              <w:left w:val="nil"/>
              <w:bottom w:val="nil"/>
              <w:right w:val="nil"/>
            </w:tcBorders>
            <w:shd w:val="clear" w:color="auto" w:fill="auto"/>
            <w:noWrap/>
            <w:vAlign w:val="bottom"/>
            <w:hideMark/>
          </w:tcPr>
          <w:p w14:paraId="65A9C9A1" w14:textId="77777777" w:rsidR="002F5D47" w:rsidRPr="008E1AB1" w:rsidRDefault="002F5D47" w:rsidP="00C04359">
            <w:pPr>
              <w:rPr>
                <w:rFonts w:eastAsia="Times New Roman" w:cs="Times New Roman"/>
                <w:color w:val="000000"/>
              </w:rPr>
            </w:pPr>
          </w:p>
        </w:tc>
        <w:tc>
          <w:tcPr>
            <w:tcW w:w="1279" w:type="dxa"/>
            <w:tcBorders>
              <w:top w:val="nil"/>
              <w:left w:val="nil"/>
              <w:bottom w:val="nil"/>
              <w:right w:val="nil"/>
            </w:tcBorders>
            <w:shd w:val="clear" w:color="auto" w:fill="auto"/>
            <w:noWrap/>
            <w:vAlign w:val="bottom"/>
            <w:hideMark/>
          </w:tcPr>
          <w:p w14:paraId="3DA9210C" w14:textId="77777777" w:rsidR="002F5D47" w:rsidRPr="008E1AB1" w:rsidRDefault="002F5D47" w:rsidP="00C04359">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bottom"/>
            <w:hideMark/>
          </w:tcPr>
          <w:p w14:paraId="1C6590FE"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7F782C9F"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4054D37C" w14:textId="77777777" w:rsidR="002F5D47" w:rsidRPr="008E1AB1" w:rsidRDefault="002F5D47" w:rsidP="00C04359">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bottom"/>
            <w:hideMark/>
          </w:tcPr>
          <w:p w14:paraId="1142227A" w14:textId="77777777" w:rsidR="002F5D47" w:rsidRPr="008E1AB1" w:rsidRDefault="002F5D47" w:rsidP="00C04359">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bottom"/>
            <w:hideMark/>
          </w:tcPr>
          <w:p w14:paraId="31316169" w14:textId="77777777" w:rsidR="002F5D47" w:rsidRPr="008E1AB1" w:rsidRDefault="002F5D47" w:rsidP="00C04359">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bottom"/>
            <w:hideMark/>
          </w:tcPr>
          <w:p w14:paraId="4E72D0BC" w14:textId="77777777" w:rsidR="002F5D47" w:rsidRPr="008E1AB1" w:rsidRDefault="002F5D47" w:rsidP="00C04359">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bottom"/>
            <w:hideMark/>
          </w:tcPr>
          <w:p w14:paraId="25BEA31A" w14:textId="77777777" w:rsidR="002F5D47" w:rsidRPr="008E1AB1" w:rsidRDefault="002F5D47" w:rsidP="00C04359">
            <w:pPr>
              <w:jc w:val="center"/>
              <w:rPr>
                <w:rFonts w:ascii="Calibri" w:eastAsia="Times New Roman" w:hAnsi="Calibri" w:cs="Times New Roman"/>
                <w:color w:val="000000"/>
                <w:sz w:val="22"/>
                <w:szCs w:val="22"/>
              </w:rPr>
            </w:pPr>
          </w:p>
        </w:tc>
      </w:tr>
      <w:tr w:rsidR="008478E8" w:rsidRPr="008E1AB1" w14:paraId="402124FB" w14:textId="77777777" w:rsidTr="00C04359">
        <w:trPr>
          <w:trHeight w:val="280"/>
        </w:trPr>
        <w:tc>
          <w:tcPr>
            <w:tcW w:w="1530" w:type="dxa"/>
            <w:tcBorders>
              <w:top w:val="nil"/>
              <w:left w:val="nil"/>
              <w:bottom w:val="nil"/>
              <w:right w:val="nil"/>
            </w:tcBorders>
            <w:shd w:val="clear" w:color="auto" w:fill="auto"/>
            <w:noWrap/>
            <w:vAlign w:val="center"/>
          </w:tcPr>
          <w:p w14:paraId="0421A266" w14:textId="3EF4B139" w:rsidR="008478E8" w:rsidRPr="008E1AB1" w:rsidRDefault="008478E8" w:rsidP="008478E8">
            <w:pPr>
              <w:rPr>
                <w:rFonts w:ascii="Calibri" w:eastAsia="Times New Roman" w:hAnsi="Calibri" w:cs="Times New Roman"/>
                <w:color w:val="000000"/>
                <w:sz w:val="22"/>
                <w:szCs w:val="22"/>
              </w:rPr>
            </w:pPr>
            <w:r w:rsidRPr="008478E8">
              <w:rPr>
                <w:rFonts w:ascii="Calibri" w:hAnsi="Calibri" w:cs="Arial"/>
                <w:i/>
                <w:color w:val="000000"/>
                <w:kern w:val="24"/>
                <w:sz w:val="22"/>
                <w:szCs w:val="22"/>
              </w:rPr>
              <w:t>Previous Week Mean</w:t>
            </w:r>
            <w:r w:rsidR="009A4F89">
              <w:rPr>
                <w:rFonts w:ascii="Calibri" w:hAnsi="Calibri" w:cs="Arial"/>
                <w:i/>
                <w:color w:val="000000"/>
                <w:kern w:val="24"/>
                <w:sz w:val="22"/>
                <w:szCs w:val="22"/>
              </w:rPr>
              <w:t xml:space="preserve"> in LA</w:t>
            </w:r>
          </w:p>
        </w:tc>
        <w:tc>
          <w:tcPr>
            <w:tcW w:w="1279" w:type="dxa"/>
            <w:tcBorders>
              <w:top w:val="nil"/>
              <w:left w:val="nil"/>
              <w:bottom w:val="nil"/>
              <w:right w:val="nil"/>
            </w:tcBorders>
            <w:shd w:val="clear" w:color="auto" w:fill="auto"/>
            <w:noWrap/>
            <w:vAlign w:val="center"/>
          </w:tcPr>
          <w:p w14:paraId="195FC73F" w14:textId="504C54B3"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.877</w:t>
            </w:r>
          </w:p>
        </w:tc>
        <w:tc>
          <w:tcPr>
            <w:tcW w:w="1187" w:type="dxa"/>
            <w:tcBorders>
              <w:top w:val="nil"/>
              <w:left w:val="nil"/>
              <w:bottom w:val="nil"/>
              <w:right w:val="nil"/>
            </w:tcBorders>
            <w:shd w:val="clear" w:color="auto" w:fill="auto"/>
            <w:noWrap/>
            <w:vAlign w:val="center"/>
          </w:tcPr>
          <w:p w14:paraId="0A6B8B77" w14:textId="1B5A2E66"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.877</w:t>
            </w:r>
          </w:p>
        </w:tc>
        <w:tc>
          <w:tcPr>
            <w:tcW w:w="1339" w:type="dxa"/>
            <w:tcBorders>
              <w:top w:val="nil"/>
              <w:left w:val="nil"/>
              <w:bottom w:val="nil"/>
              <w:right w:val="nil"/>
            </w:tcBorders>
            <w:shd w:val="clear" w:color="auto" w:fill="auto"/>
            <w:noWrap/>
            <w:vAlign w:val="center"/>
          </w:tcPr>
          <w:p w14:paraId="5AD203F5" w14:textId="6DB2C197"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36.202</w:t>
            </w:r>
          </w:p>
        </w:tc>
        <w:tc>
          <w:tcPr>
            <w:tcW w:w="1339" w:type="dxa"/>
            <w:tcBorders>
              <w:top w:val="nil"/>
              <w:left w:val="nil"/>
              <w:bottom w:val="nil"/>
              <w:right w:val="nil"/>
            </w:tcBorders>
            <w:shd w:val="clear" w:color="auto" w:fill="auto"/>
            <w:noWrap/>
            <w:vAlign w:val="center"/>
          </w:tcPr>
          <w:p w14:paraId="45EEC2E4" w14:textId="7DB9A315"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36.202</w:t>
            </w:r>
          </w:p>
        </w:tc>
        <w:tc>
          <w:tcPr>
            <w:tcW w:w="1339" w:type="dxa"/>
            <w:tcBorders>
              <w:top w:val="nil"/>
              <w:left w:val="nil"/>
              <w:bottom w:val="nil"/>
              <w:right w:val="nil"/>
            </w:tcBorders>
            <w:shd w:val="clear" w:color="auto" w:fill="auto"/>
            <w:noWrap/>
            <w:vAlign w:val="center"/>
          </w:tcPr>
          <w:p w14:paraId="73B78C73" w14:textId="55B245C1"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51.131</w:t>
            </w:r>
          </w:p>
        </w:tc>
        <w:tc>
          <w:tcPr>
            <w:tcW w:w="1347" w:type="dxa"/>
            <w:tcBorders>
              <w:top w:val="nil"/>
              <w:left w:val="nil"/>
              <w:bottom w:val="nil"/>
              <w:right w:val="nil"/>
            </w:tcBorders>
            <w:shd w:val="clear" w:color="auto" w:fill="auto"/>
            <w:noWrap/>
            <w:vAlign w:val="center"/>
          </w:tcPr>
          <w:p w14:paraId="63941FFF" w14:textId="332AD0F6"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51.131</w:t>
            </w:r>
          </w:p>
        </w:tc>
        <w:tc>
          <w:tcPr>
            <w:tcW w:w="1203" w:type="dxa"/>
            <w:tcBorders>
              <w:top w:val="nil"/>
              <w:left w:val="nil"/>
              <w:bottom w:val="nil"/>
              <w:right w:val="nil"/>
            </w:tcBorders>
            <w:shd w:val="clear" w:color="auto" w:fill="auto"/>
            <w:noWrap/>
            <w:vAlign w:val="center"/>
          </w:tcPr>
          <w:p w14:paraId="449C5C2B" w14:textId="0C9F2AA9"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.037</w:t>
            </w:r>
          </w:p>
        </w:tc>
        <w:tc>
          <w:tcPr>
            <w:tcW w:w="1137" w:type="dxa"/>
            <w:tcBorders>
              <w:top w:val="nil"/>
              <w:left w:val="nil"/>
              <w:bottom w:val="nil"/>
              <w:right w:val="nil"/>
            </w:tcBorders>
            <w:shd w:val="clear" w:color="auto" w:fill="auto"/>
            <w:noWrap/>
            <w:vAlign w:val="center"/>
          </w:tcPr>
          <w:p w14:paraId="3D88B1FE" w14:textId="51345F33" w:rsidR="008478E8" w:rsidRPr="008E1AB1" w:rsidRDefault="008478E8" w:rsidP="008478E8">
            <w:pPr>
              <w:jc w:val="center"/>
              <w:rPr>
                <w:rFonts w:ascii="Calibri" w:eastAsia="Times New Roman" w:hAnsi="Calibri" w:cs="Times New Roman"/>
                <w:color w:val="000000"/>
                <w:sz w:val="22"/>
                <w:szCs w:val="22"/>
              </w:rPr>
            </w:pPr>
            <w:r w:rsidRPr="008478E8">
              <w:rPr>
                <w:rFonts w:ascii="Calibri" w:hAnsi="Calibri" w:cs="Arial"/>
                <w:i/>
                <w:color w:val="000000"/>
                <w:kern w:val="24"/>
                <w:sz w:val="22"/>
                <w:szCs w:val="22"/>
              </w:rPr>
              <w:t>.037</w:t>
            </w:r>
          </w:p>
        </w:tc>
      </w:tr>
      <w:tr w:rsidR="008478E8" w:rsidRPr="008E1AB1" w14:paraId="2F02E7EF" w14:textId="77777777" w:rsidTr="003F3FFC">
        <w:trPr>
          <w:trHeight w:val="80"/>
        </w:trPr>
        <w:tc>
          <w:tcPr>
            <w:tcW w:w="1530" w:type="dxa"/>
            <w:tcBorders>
              <w:top w:val="nil"/>
              <w:left w:val="nil"/>
              <w:bottom w:val="nil"/>
              <w:right w:val="nil"/>
            </w:tcBorders>
            <w:shd w:val="clear" w:color="auto" w:fill="auto"/>
            <w:noWrap/>
            <w:vAlign w:val="center"/>
          </w:tcPr>
          <w:p w14:paraId="755D1E24" w14:textId="77777777" w:rsidR="008478E8" w:rsidRPr="008E1AB1" w:rsidRDefault="008478E8" w:rsidP="008478E8">
            <w:pPr>
              <w:rPr>
                <w:rFonts w:ascii="Calibri" w:eastAsia="Times New Roman" w:hAnsi="Calibri" w:cs="Times New Roman"/>
                <w:color w:val="000000"/>
                <w:sz w:val="22"/>
                <w:szCs w:val="22"/>
              </w:rPr>
            </w:pPr>
          </w:p>
        </w:tc>
        <w:tc>
          <w:tcPr>
            <w:tcW w:w="1279" w:type="dxa"/>
            <w:tcBorders>
              <w:top w:val="nil"/>
              <w:left w:val="nil"/>
              <w:bottom w:val="nil"/>
              <w:right w:val="nil"/>
            </w:tcBorders>
            <w:shd w:val="clear" w:color="auto" w:fill="auto"/>
            <w:noWrap/>
            <w:vAlign w:val="center"/>
          </w:tcPr>
          <w:p w14:paraId="105A5447" w14:textId="77777777" w:rsidR="008478E8" w:rsidRPr="008E1AB1" w:rsidRDefault="008478E8" w:rsidP="008478E8">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center"/>
          </w:tcPr>
          <w:p w14:paraId="745FD6EC" w14:textId="77777777" w:rsidR="008478E8" w:rsidRPr="008E1AB1" w:rsidRDefault="008478E8" w:rsidP="008478E8">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center"/>
          </w:tcPr>
          <w:p w14:paraId="1BC4FF3E" w14:textId="77777777" w:rsidR="008478E8" w:rsidRPr="008E1AB1" w:rsidRDefault="008478E8" w:rsidP="008478E8">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center"/>
          </w:tcPr>
          <w:p w14:paraId="6F80A963" w14:textId="77777777" w:rsidR="008478E8" w:rsidRPr="008E1AB1" w:rsidRDefault="008478E8" w:rsidP="008478E8">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center"/>
          </w:tcPr>
          <w:p w14:paraId="35EF4030" w14:textId="77777777" w:rsidR="008478E8" w:rsidRPr="008E1AB1" w:rsidRDefault="008478E8" w:rsidP="008478E8">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center"/>
          </w:tcPr>
          <w:p w14:paraId="367E49C7" w14:textId="77777777" w:rsidR="008478E8" w:rsidRPr="008E1AB1" w:rsidRDefault="008478E8" w:rsidP="008478E8">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center"/>
          </w:tcPr>
          <w:p w14:paraId="25E1370E" w14:textId="77777777" w:rsidR="008478E8" w:rsidRPr="008E1AB1" w:rsidRDefault="008478E8" w:rsidP="008478E8">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center"/>
          </w:tcPr>
          <w:p w14:paraId="4C09CCCE" w14:textId="77777777" w:rsidR="008478E8" w:rsidRPr="008E1AB1" w:rsidRDefault="008478E8" w:rsidP="008478E8">
            <w:pPr>
              <w:jc w:val="center"/>
              <w:rPr>
                <w:rFonts w:ascii="Calibri" w:eastAsia="Times New Roman" w:hAnsi="Calibri" w:cs="Times New Roman"/>
                <w:color w:val="000000"/>
                <w:sz w:val="22"/>
                <w:szCs w:val="22"/>
              </w:rPr>
            </w:pPr>
          </w:p>
        </w:tc>
      </w:tr>
      <w:tr w:rsidR="008478E8" w:rsidRPr="008E1AB1" w14:paraId="011E9A87" w14:textId="77777777" w:rsidTr="00C04359">
        <w:trPr>
          <w:trHeight w:val="280"/>
        </w:trPr>
        <w:tc>
          <w:tcPr>
            <w:tcW w:w="1530" w:type="dxa"/>
            <w:tcBorders>
              <w:top w:val="nil"/>
              <w:left w:val="nil"/>
              <w:bottom w:val="nil"/>
              <w:right w:val="nil"/>
            </w:tcBorders>
            <w:shd w:val="clear" w:color="auto" w:fill="auto"/>
            <w:noWrap/>
            <w:vAlign w:val="center"/>
            <w:hideMark/>
          </w:tcPr>
          <w:p w14:paraId="6434A665" w14:textId="77777777" w:rsidR="008478E8" w:rsidRPr="008E1AB1" w:rsidRDefault="008478E8" w:rsidP="008478E8">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Monitor FE</w:t>
            </w:r>
          </w:p>
        </w:tc>
        <w:tc>
          <w:tcPr>
            <w:tcW w:w="1279" w:type="dxa"/>
            <w:tcBorders>
              <w:top w:val="nil"/>
              <w:left w:val="nil"/>
              <w:bottom w:val="nil"/>
              <w:right w:val="nil"/>
            </w:tcBorders>
            <w:shd w:val="clear" w:color="auto" w:fill="auto"/>
            <w:noWrap/>
            <w:vAlign w:val="center"/>
            <w:hideMark/>
          </w:tcPr>
          <w:p w14:paraId="52E05937"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187" w:type="dxa"/>
            <w:tcBorders>
              <w:top w:val="nil"/>
              <w:left w:val="nil"/>
              <w:bottom w:val="nil"/>
              <w:right w:val="nil"/>
            </w:tcBorders>
            <w:shd w:val="clear" w:color="auto" w:fill="auto"/>
            <w:noWrap/>
            <w:vAlign w:val="center"/>
            <w:hideMark/>
          </w:tcPr>
          <w:p w14:paraId="03CB7BBC"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30568C3A"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034E5801"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6F92C40D"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47" w:type="dxa"/>
            <w:tcBorders>
              <w:top w:val="nil"/>
              <w:left w:val="nil"/>
              <w:bottom w:val="nil"/>
              <w:right w:val="nil"/>
            </w:tcBorders>
            <w:shd w:val="clear" w:color="auto" w:fill="auto"/>
            <w:noWrap/>
            <w:vAlign w:val="center"/>
            <w:hideMark/>
          </w:tcPr>
          <w:p w14:paraId="6C780E93"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203" w:type="dxa"/>
            <w:tcBorders>
              <w:top w:val="nil"/>
              <w:left w:val="nil"/>
              <w:bottom w:val="nil"/>
              <w:right w:val="nil"/>
            </w:tcBorders>
            <w:shd w:val="clear" w:color="auto" w:fill="auto"/>
            <w:noWrap/>
            <w:vAlign w:val="center"/>
            <w:hideMark/>
          </w:tcPr>
          <w:p w14:paraId="54D404E1"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137" w:type="dxa"/>
            <w:tcBorders>
              <w:top w:val="nil"/>
              <w:left w:val="nil"/>
              <w:bottom w:val="nil"/>
              <w:right w:val="nil"/>
            </w:tcBorders>
            <w:shd w:val="clear" w:color="auto" w:fill="auto"/>
            <w:noWrap/>
            <w:vAlign w:val="center"/>
            <w:hideMark/>
          </w:tcPr>
          <w:p w14:paraId="64CBFFBB"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r>
      <w:tr w:rsidR="008478E8" w:rsidRPr="008E1AB1" w14:paraId="01DEA6C6" w14:textId="77777777" w:rsidTr="00C04359">
        <w:trPr>
          <w:trHeight w:val="280"/>
        </w:trPr>
        <w:tc>
          <w:tcPr>
            <w:tcW w:w="1530" w:type="dxa"/>
            <w:tcBorders>
              <w:top w:val="nil"/>
              <w:left w:val="nil"/>
              <w:bottom w:val="nil"/>
              <w:right w:val="nil"/>
            </w:tcBorders>
            <w:shd w:val="clear" w:color="auto" w:fill="auto"/>
            <w:noWrap/>
            <w:vAlign w:val="center"/>
            <w:hideMark/>
          </w:tcPr>
          <w:p w14:paraId="0E1AEE9C" w14:textId="77777777" w:rsidR="008478E8" w:rsidRPr="008E1AB1" w:rsidRDefault="008478E8" w:rsidP="008478E8">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Month FE</w:t>
            </w:r>
          </w:p>
        </w:tc>
        <w:tc>
          <w:tcPr>
            <w:tcW w:w="1279" w:type="dxa"/>
            <w:tcBorders>
              <w:top w:val="nil"/>
              <w:left w:val="nil"/>
              <w:bottom w:val="nil"/>
              <w:right w:val="nil"/>
            </w:tcBorders>
            <w:shd w:val="clear" w:color="auto" w:fill="auto"/>
            <w:noWrap/>
            <w:vAlign w:val="center"/>
            <w:hideMark/>
          </w:tcPr>
          <w:p w14:paraId="3A4087AD"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187" w:type="dxa"/>
            <w:tcBorders>
              <w:top w:val="nil"/>
              <w:left w:val="nil"/>
              <w:bottom w:val="nil"/>
              <w:right w:val="nil"/>
            </w:tcBorders>
            <w:shd w:val="clear" w:color="auto" w:fill="auto"/>
            <w:noWrap/>
            <w:vAlign w:val="center"/>
            <w:hideMark/>
          </w:tcPr>
          <w:p w14:paraId="58A1D53F"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537EA881"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339" w:type="dxa"/>
            <w:tcBorders>
              <w:top w:val="nil"/>
              <w:left w:val="nil"/>
              <w:bottom w:val="nil"/>
              <w:right w:val="nil"/>
            </w:tcBorders>
            <w:shd w:val="clear" w:color="auto" w:fill="auto"/>
            <w:noWrap/>
            <w:vAlign w:val="center"/>
            <w:hideMark/>
          </w:tcPr>
          <w:p w14:paraId="3D1335CE"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2503EA9E"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347" w:type="dxa"/>
            <w:tcBorders>
              <w:top w:val="nil"/>
              <w:left w:val="nil"/>
              <w:bottom w:val="nil"/>
              <w:right w:val="nil"/>
            </w:tcBorders>
            <w:shd w:val="clear" w:color="auto" w:fill="auto"/>
            <w:noWrap/>
            <w:vAlign w:val="center"/>
            <w:hideMark/>
          </w:tcPr>
          <w:p w14:paraId="224C6D84"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203" w:type="dxa"/>
            <w:tcBorders>
              <w:top w:val="nil"/>
              <w:left w:val="nil"/>
              <w:bottom w:val="nil"/>
              <w:right w:val="nil"/>
            </w:tcBorders>
            <w:shd w:val="clear" w:color="auto" w:fill="auto"/>
            <w:noWrap/>
            <w:vAlign w:val="center"/>
            <w:hideMark/>
          </w:tcPr>
          <w:p w14:paraId="69122AAE"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137" w:type="dxa"/>
            <w:tcBorders>
              <w:top w:val="nil"/>
              <w:left w:val="nil"/>
              <w:bottom w:val="nil"/>
              <w:right w:val="nil"/>
            </w:tcBorders>
            <w:shd w:val="clear" w:color="auto" w:fill="auto"/>
            <w:noWrap/>
            <w:vAlign w:val="center"/>
            <w:hideMark/>
          </w:tcPr>
          <w:p w14:paraId="78FC4B38"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r>
      <w:tr w:rsidR="008478E8" w:rsidRPr="008E1AB1" w14:paraId="06790EBE" w14:textId="77777777" w:rsidTr="00C04359">
        <w:trPr>
          <w:trHeight w:val="280"/>
        </w:trPr>
        <w:tc>
          <w:tcPr>
            <w:tcW w:w="1530" w:type="dxa"/>
            <w:tcBorders>
              <w:top w:val="nil"/>
              <w:left w:val="nil"/>
              <w:bottom w:val="nil"/>
              <w:right w:val="nil"/>
            </w:tcBorders>
            <w:shd w:val="clear" w:color="auto" w:fill="auto"/>
            <w:noWrap/>
            <w:vAlign w:val="center"/>
            <w:hideMark/>
          </w:tcPr>
          <w:p w14:paraId="55B09E1E" w14:textId="77777777" w:rsidR="008478E8" w:rsidRPr="008E1AB1" w:rsidRDefault="008478E8" w:rsidP="008478E8">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Time Trends</w:t>
            </w:r>
          </w:p>
        </w:tc>
        <w:tc>
          <w:tcPr>
            <w:tcW w:w="1279" w:type="dxa"/>
            <w:tcBorders>
              <w:top w:val="nil"/>
              <w:left w:val="nil"/>
              <w:bottom w:val="nil"/>
              <w:right w:val="nil"/>
            </w:tcBorders>
            <w:shd w:val="clear" w:color="auto" w:fill="auto"/>
            <w:noWrap/>
            <w:vAlign w:val="center"/>
            <w:hideMark/>
          </w:tcPr>
          <w:p w14:paraId="73AEDAD6"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187" w:type="dxa"/>
            <w:tcBorders>
              <w:top w:val="nil"/>
              <w:left w:val="nil"/>
              <w:bottom w:val="nil"/>
              <w:right w:val="nil"/>
            </w:tcBorders>
            <w:shd w:val="clear" w:color="auto" w:fill="auto"/>
            <w:noWrap/>
            <w:vAlign w:val="center"/>
            <w:hideMark/>
          </w:tcPr>
          <w:p w14:paraId="160E30D7"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39746D91"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339" w:type="dxa"/>
            <w:tcBorders>
              <w:top w:val="nil"/>
              <w:left w:val="nil"/>
              <w:bottom w:val="nil"/>
              <w:right w:val="nil"/>
            </w:tcBorders>
            <w:shd w:val="clear" w:color="auto" w:fill="auto"/>
            <w:noWrap/>
            <w:vAlign w:val="center"/>
            <w:hideMark/>
          </w:tcPr>
          <w:p w14:paraId="429C15C3"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339" w:type="dxa"/>
            <w:tcBorders>
              <w:top w:val="nil"/>
              <w:left w:val="nil"/>
              <w:bottom w:val="nil"/>
              <w:right w:val="nil"/>
            </w:tcBorders>
            <w:shd w:val="clear" w:color="auto" w:fill="auto"/>
            <w:noWrap/>
            <w:vAlign w:val="center"/>
            <w:hideMark/>
          </w:tcPr>
          <w:p w14:paraId="78FBBB9E"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347" w:type="dxa"/>
            <w:tcBorders>
              <w:top w:val="nil"/>
              <w:left w:val="nil"/>
              <w:bottom w:val="nil"/>
              <w:right w:val="nil"/>
            </w:tcBorders>
            <w:shd w:val="clear" w:color="auto" w:fill="auto"/>
            <w:noWrap/>
            <w:vAlign w:val="center"/>
            <w:hideMark/>
          </w:tcPr>
          <w:p w14:paraId="6C599E2C"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c>
          <w:tcPr>
            <w:tcW w:w="1203" w:type="dxa"/>
            <w:tcBorders>
              <w:top w:val="nil"/>
              <w:left w:val="nil"/>
              <w:bottom w:val="nil"/>
              <w:right w:val="nil"/>
            </w:tcBorders>
            <w:shd w:val="clear" w:color="auto" w:fill="auto"/>
            <w:noWrap/>
            <w:vAlign w:val="center"/>
            <w:hideMark/>
          </w:tcPr>
          <w:p w14:paraId="4515EEE7"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No</w:t>
            </w:r>
          </w:p>
        </w:tc>
        <w:tc>
          <w:tcPr>
            <w:tcW w:w="1137" w:type="dxa"/>
            <w:tcBorders>
              <w:top w:val="nil"/>
              <w:left w:val="nil"/>
              <w:bottom w:val="nil"/>
              <w:right w:val="nil"/>
            </w:tcBorders>
            <w:shd w:val="clear" w:color="auto" w:fill="auto"/>
            <w:noWrap/>
            <w:vAlign w:val="center"/>
            <w:hideMark/>
          </w:tcPr>
          <w:p w14:paraId="757AE390"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Yes</w:t>
            </w:r>
          </w:p>
        </w:tc>
      </w:tr>
      <w:tr w:rsidR="008478E8" w:rsidRPr="008E1AB1" w14:paraId="0B22F632" w14:textId="77777777" w:rsidTr="00C04359">
        <w:trPr>
          <w:trHeight w:val="280"/>
        </w:trPr>
        <w:tc>
          <w:tcPr>
            <w:tcW w:w="1530" w:type="dxa"/>
            <w:tcBorders>
              <w:top w:val="nil"/>
              <w:left w:val="nil"/>
              <w:bottom w:val="nil"/>
              <w:right w:val="nil"/>
            </w:tcBorders>
            <w:shd w:val="clear" w:color="auto" w:fill="auto"/>
            <w:noWrap/>
            <w:vAlign w:val="center"/>
            <w:hideMark/>
          </w:tcPr>
          <w:p w14:paraId="6D373336" w14:textId="77777777" w:rsidR="008478E8" w:rsidRPr="008E1AB1" w:rsidRDefault="008478E8" w:rsidP="008478E8">
            <w:pPr>
              <w:rPr>
                <w:rFonts w:ascii="Calibri" w:eastAsia="Times New Roman" w:hAnsi="Calibri" w:cs="Times New Roman"/>
                <w:color w:val="000000"/>
                <w:sz w:val="22"/>
                <w:szCs w:val="22"/>
              </w:rPr>
            </w:pPr>
          </w:p>
        </w:tc>
        <w:tc>
          <w:tcPr>
            <w:tcW w:w="1279" w:type="dxa"/>
            <w:tcBorders>
              <w:top w:val="nil"/>
              <w:left w:val="nil"/>
              <w:bottom w:val="nil"/>
              <w:right w:val="nil"/>
            </w:tcBorders>
            <w:shd w:val="clear" w:color="auto" w:fill="auto"/>
            <w:noWrap/>
            <w:vAlign w:val="center"/>
            <w:hideMark/>
          </w:tcPr>
          <w:p w14:paraId="79B4948D" w14:textId="77777777" w:rsidR="008478E8" w:rsidRPr="008E1AB1" w:rsidRDefault="008478E8" w:rsidP="008478E8">
            <w:pPr>
              <w:jc w:val="center"/>
              <w:rPr>
                <w:rFonts w:ascii="Calibri" w:eastAsia="Times New Roman" w:hAnsi="Calibri" w:cs="Times New Roman"/>
                <w:color w:val="000000"/>
                <w:sz w:val="22"/>
                <w:szCs w:val="22"/>
              </w:rPr>
            </w:pPr>
          </w:p>
        </w:tc>
        <w:tc>
          <w:tcPr>
            <w:tcW w:w="1187" w:type="dxa"/>
            <w:tcBorders>
              <w:top w:val="nil"/>
              <w:left w:val="nil"/>
              <w:bottom w:val="nil"/>
              <w:right w:val="nil"/>
            </w:tcBorders>
            <w:shd w:val="clear" w:color="auto" w:fill="auto"/>
            <w:noWrap/>
            <w:vAlign w:val="center"/>
            <w:hideMark/>
          </w:tcPr>
          <w:p w14:paraId="1FB3E1D5" w14:textId="77777777" w:rsidR="008478E8" w:rsidRPr="008E1AB1" w:rsidRDefault="008478E8" w:rsidP="008478E8">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center"/>
            <w:hideMark/>
          </w:tcPr>
          <w:p w14:paraId="52EB5E8D" w14:textId="77777777" w:rsidR="008478E8" w:rsidRPr="008E1AB1" w:rsidRDefault="008478E8" w:rsidP="008478E8">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center"/>
            <w:hideMark/>
          </w:tcPr>
          <w:p w14:paraId="2A972D94" w14:textId="77777777" w:rsidR="008478E8" w:rsidRPr="008E1AB1" w:rsidRDefault="008478E8" w:rsidP="008478E8">
            <w:pPr>
              <w:jc w:val="center"/>
              <w:rPr>
                <w:rFonts w:ascii="Calibri" w:eastAsia="Times New Roman" w:hAnsi="Calibri" w:cs="Times New Roman"/>
                <w:color w:val="000000"/>
                <w:sz w:val="22"/>
                <w:szCs w:val="22"/>
              </w:rPr>
            </w:pPr>
          </w:p>
        </w:tc>
        <w:tc>
          <w:tcPr>
            <w:tcW w:w="1339" w:type="dxa"/>
            <w:tcBorders>
              <w:top w:val="nil"/>
              <w:left w:val="nil"/>
              <w:bottom w:val="nil"/>
              <w:right w:val="nil"/>
            </w:tcBorders>
            <w:shd w:val="clear" w:color="auto" w:fill="auto"/>
            <w:noWrap/>
            <w:vAlign w:val="center"/>
            <w:hideMark/>
          </w:tcPr>
          <w:p w14:paraId="04BC3EE4" w14:textId="77777777" w:rsidR="008478E8" w:rsidRPr="008E1AB1" w:rsidRDefault="008478E8" w:rsidP="008478E8">
            <w:pPr>
              <w:jc w:val="center"/>
              <w:rPr>
                <w:rFonts w:ascii="Calibri" w:eastAsia="Times New Roman" w:hAnsi="Calibri" w:cs="Times New Roman"/>
                <w:color w:val="000000"/>
                <w:sz w:val="22"/>
                <w:szCs w:val="22"/>
              </w:rPr>
            </w:pPr>
          </w:p>
        </w:tc>
        <w:tc>
          <w:tcPr>
            <w:tcW w:w="1347" w:type="dxa"/>
            <w:tcBorders>
              <w:top w:val="nil"/>
              <w:left w:val="nil"/>
              <w:bottom w:val="nil"/>
              <w:right w:val="nil"/>
            </w:tcBorders>
            <w:shd w:val="clear" w:color="auto" w:fill="auto"/>
            <w:noWrap/>
            <w:vAlign w:val="center"/>
            <w:hideMark/>
          </w:tcPr>
          <w:p w14:paraId="44C5662D" w14:textId="77777777" w:rsidR="008478E8" w:rsidRPr="008E1AB1" w:rsidRDefault="008478E8" w:rsidP="008478E8">
            <w:pPr>
              <w:jc w:val="center"/>
              <w:rPr>
                <w:rFonts w:ascii="Calibri" w:eastAsia="Times New Roman" w:hAnsi="Calibri" w:cs="Times New Roman"/>
                <w:color w:val="000000"/>
                <w:sz w:val="22"/>
                <w:szCs w:val="22"/>
              </w:rPr>
            </w:pPr>
          </w:p>
        </w:tc>
        <w:tc>
          <w:tcPr>
            <w:tcW w:w="1203" w:type="dxa"/>
            <w:tcBorders>
              <w:top w:val="nil"/>
              <w:left w:val="nil"/>
              <w:bottom w:val="nil"/>
              <w:right w:val="nil"/>
            </w:tcBorders>
            <w:shd w:val="clear" w:color="auto" w:fill="auto"/>
            <w:noWrap/>
            <w:vAlign w:val="center"/>
            <w:hideMark/>
          </w:tcPr>
          <w:p w14:paraId="63EDB2C6" w14:textId="77777777" w:rsidR="008478E8" w:rsidRPr="008E1AB1" w:rsidRDefault="008478E8" w:rsidP="008478E8">
            <w:pPr>
              <w:jc w:val="center"/>
              <w:rPr>
                <w:rFonts w:ascii="Calibri" w:eastAsia="Times New Roman" w:hAnsi="Calibri" w:cs="Times New Roman"/>
                <w:color w:val="000000"/>
                <w:sz w:val="22"/>
                <w:szCs w:val="22"/>
              </w:rPr>
            </w:pPr>
          </w:p>
        </w:tc>
        <w:tc>
          <w:tcPr>
            <w:tcW w:w="1137" w:type="dxa"/>
            <w:tcBorders>
              <w:top w:val="nil"/>
              <w:left w:val="nil"/>
              <w:bottom w:val="nil"/>
              <w:right w:val="nil"/>
            </w:tcBorders>
            <w:shd w:val="clear" w:color="auto" w:fill="auto"/>
            <w:noWrap/>
            <w:vAlign w:val="center"/>
            <w:hideMark/>
          </w:tcPr>
          <w:p w14:paraId="30F03B62" w14:textId="77777777" w:rsidR="008478E8" w:rsidRPr="008E1AB1" w:rsidRDefault="008478E8" w:rsidP="008478E8">
            <w:pPr>
              <w:jc w:val="center"/>
              <w:rPr>
                <w:rFonts w:ascii="Calibri" w:eastAsia="Times New Roman" w:hAnsi="Calibri" w:cs="Times New Roman"/>
                <w:color w:val="000000"/>
                <w:sz w:val="22"/>
                <w:szCs w:val="22"/>
              </w:rPr>
            </w:pPr>
          </w:p>
        </w:tc>
      </w:tr>
      <w:tr w:rsidR="008478E8" w:rsidRPr="008E1AB1" w14:paraId="552E5634" w14:textId="77777777" w:rsidTr="00C04359">
        <w:trPr>
          <w:trHeight w:val="280"/>
        </w:trPr>
        <w:tc>
          <w:tcPr>
            <w:tcW w:w="1530" w:type="dxa"/>
            <w:tcBorders>
              <w:top w:val="nil"/>
              <w:left w:val="nil"/>
              <w:bottom w:val="nil"/>
              <w:right w:val="nil"/>
            </w:tcBorders>
            <w:shd w:val="clear" w:color="auto" w:fill="auto"/>
            <w:noWrap/>
            <w:vAlign w:val="center"/>
            <w:hideMark/>
          </w:tcPr>
          <w:p w14:paraId="574B9C9A" w14:textId="77777777" w:rsidR="008478E8" w:rsidRPr="008E1AB1" w:rsidRDefault="008478E8" w:rsidP="008478E8">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Observations</w:t>
            </w:r>
          </w:p>
        </w:tc>
        <w:tc>
          <w:tcPr>
            <w:tcW w:w="1279" w:type="dxa"/>
            <w:tcBorders>
              <w:top w:val="nil"/>
              <w:left w:val="nil"/>
              <w:bottom w:val="nil"/>
              <w:right w:val="nil"/>
            </w:tcBorders>
            <w:shd w:val="clear" w:color="auto" w:fill="auto"/>
            <w:noWrap/>
            <w:vAlign w:val="center"/>
            <w:hideMark/>
          </w:tcPr>
          <w:p w14:paraId="0AC3A1E1"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457</w:t>
            </w:r>
          </w:p>
        </w:tc>
        <w:tc>
          <w:tcPr>
            <w:tcW w:w="1187" w:type="dxa"/>
            <w:tcBorders>
              <w:top w:val="nil"/>
              <w:left w:val="nil"/>
              <w:bottom w:val="nil"/>
              <w:right w:val="nil"/>
            </w:tcBorders>
            <w:shd w:val="clear" w:color="auto" w:fill="auto"/>
            <w:noWrap/>
            <w:vAlign w:val="center"/>
            <w:hideMark/>
          </w:tcPr>
          <w:p w14:paraId="0E25F7BA"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457</w:t>
            </w:r>
          </w:p>
        </w:tc>
        <w:tc>
          <w:tcPr>
            <w:tcW w:w="1339" w:type="dxa"/>
            <w:tcBorders>
              <w:top w:val="nil"/>
              <w:left w:val="nil"/>
              <w:bottom w:val="nil"/>
              <w:right w:val="nil"/>
            </w:tcBorders>
            <w:shd w:val="clear" w:color="auto" w:fill="auto"/>
            <w:noWrap/>
            <w:vAlign w:val="center"/>
            <w:hideMark/>
          </w:tcPr>
          <w:p w14:paraId="619D5CE1"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654</w:t>
            </w:r>
          </w:p>
        </w:tc>
        <w:tc>
          <w:tcPr>
            <w:tcW w:w="1339" w:type="dxa"/>
            <w:tcBorders>
              <w:top w:val="nil"/>
              <w:left w:val="nil"/>
              <w:bottom w:val="nil"/>
              <w:right w:val="nil"/>
            </w:tcBorders>
            <w:shd w:val="clear" w:color="auto" w:fill="auto"/>
            <w:noWrap/>
            <w:vAlign w:val="center"/>
            <w:hideMark/>
          </w:tcPr>
          <w:p w14:paraId="6D011A6C"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654</w:t>
            </w:r>
          </w:p>
        </w:tc>
        <w:tc>
          <w:tcPr>
            <w:tcW w:w="1339" w:type="dxa"/>
            <w:tcBorders>
              <w:top w:val="nil"/>
              <w:left w:val="nil"/>
              <w:bottom w:val="nil"/>
              <w:right w:val="nil"/>
            </w:tcBorders>
            <w:shd w:val="clear" w:color="auto" w:fill="auto"/>
            <w:noWrap/>
            <w:vAlign w:val="center"/>
            <w:hideMark/>
          </w:tcPr>
          <w:p w14:paraId="5E5F96A5"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654</w:t>
            </w:r>
          </w:p>
        </w:tc>
        <w:tc>
          <w:tcPr>
            <w:tcW w:w="1347" w:type="dxa"/>
            <w:tcBorders>
              <w:top w:val="nil"/>
              <w:left w:val="nil"/>
              <w:bottom w:val="nil"/>
              <w:right w:val="nil"/>
            </w:tcBorders>
            <w:shd w:val="clear" w:color="auto" w:fill="auto"/>
            <w:noWrap/>
            <w:vAlign w:val="center"/>
            <w:hideMark/>
          </w:tcPr>
          <w:p w14:paraId="14232A0F"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654</w:t>
            </w:r>
          </w:p>
        </w:tc>
        <w:tc>
          <w:tcPr>
            <w:tcW w:w="1203" w:type="dxa"/>
            <w:tcBorders>
              <w:top w:val="nil"/>
              <w:left w:val="nil"/>
              <w:bottom w:val="nil"/>
              <w:right w:val="nil"/>
            </w:tcBorders>
            <w:shd w:val="clear" w:color="auto" w:fill="auto"/>
            <w:noWrap/>
            <w:vAlign w:val="center"/>
            <w:hideMark/>
          </w:tcPr>
          <w:p w14:paraId="24114D6E"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682</w:t>
            </w:r>
          </w:p>
        </w:tc>
        <w:tc>
          <w:tcPr>
            <w:tcW w:w="1137" w:type="dxa"/>
            <w:tcBorders>
              <w:top w:val="nil"/>
              <w:left w:val="nil"/>
              <w:bottom w:val="nil"/>
              <w:right w:val="nil"/>
            </w:tcBorders>
            <w:shd w:val="clear" w:color="auto" w:fill="auto"/>
            <w:noWrap/>
            <w:vAlign w:val="center"/>
            <w:hideMark/>
          </w:tcPr>
          <w:p w14:paraId="46D42F7B"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682</w:t>
            </w:r>
          </w:p>
        </w:tc>
      </w:tr>
      <w:tr w:rsidR="008478E8" w:rsidRPr="008E1AB1" w14:paraId="25F8B149" w14:textId="77777777" w:rsidTr="00C04359">
        <w:trPr>
          <w:trHeight w:val="300"/>
        </w:trPr>
        <w:tc>
          <w:tcPr>
            <w:tcW w:w="1530" w:type="dxa"/>
            <w:tcBorders>
              <w:top w:val="nil"/>
              <w:left w:val="nil"/>
              <w:bottom w:val="single" w:sz="8" w:space="0" w:color="auto"/>
              <w:right w:val="nil"/>
            </w:tcBorders>
            <w:shd w:val="clear" w:color="auto" w:fill="auto"/>
            <w:noWrap/>
            <w:vAlign w:val="center"/>
            <w:hideMark/>
          </w:tcPr>
          <w:p w14:paraId="6DADDE88" w14:textId="77777777" w:rsidR="008478E8" w:rsidRPr="008E1AB1" w:rsidRDefault="008478E8" w:rsidP="008478E8">
            <w:pP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R-squared</w:t>
            </w:r>
          </w:p>
        </w:tc>
        <w:tc>
          <w:tcPr>
            <w:tcW w:w="1279" w:type="dxa"/>
            <w:tcBorders>
              <w:top w:val="nil"/>
              <w:left w:val="nil"/>
              <w:bottom w:val="single" w:sz="8" w:space="0" w:color="000000"/>
              <w:right w:val="nil"/>
            </w:tcBorders>
            <w:shd w:val="clear" w:color="auto" w:fill="auto"/>
            <w:noWrap/>
            <w:vAlign w:val="center"/>
            <w:hideMark/>
          </w:tcPr>
          <w:p w14:paraId="423EF8D9"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0.705</w:t>
            </w:r>
          </w:p>
        </w:tc>
        <w:tc>
          <w:tcPr>
            <w:tcW w:w="1187" w:type="dxa"/>
            <w:tcBorders>
              <w:top w:val="nil"/>
              <w:left w:val="nil"/>
              <w:bottom w:val="single" w:sz="8" w:space="0" w:color="000000"/>
              <w:right w:val="nil"/>
            </w:tcBorders>
            <w:shd w:val="clear" w:color="auto" w:fill="auto"/>
            <w:noWrap/>
            <w:vAlign w:val="center"/>
            <w:hideMark/>
          </w:tcPr>
          <w:p w14:paraId="04DD76FA"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0.828</w:t>
            </w:r>
          </w:p>
        </w:tc>
        <w:tc>
          <w:tcPr>
            <w:tcW w:w="1339" w:type="dxa"/>
            <w:tcBorders>
              <w:top w:val="nil"/>
              <w:left w:val="nil"/>
              <w:bottom w:val="single" w:sz="8" w:space="0" w:color="000000"/>
              <w:right w:val="nil"/>
            </w:tcBorders>
            <w:shd w:val="clear" w:color="auto" w:fill="auto"/>
            <w:noWrap/>
            <w:vAlign w:val="center"/>
            <w:hideMark/>
          </w:tcPr>
          <w:p w14:paraId="3F29F5A4"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0.776</w:t>
            </w:r>
          </w:p>
        </w:tc>
        <w:tc>
          <w:tcPr>
            <w:tcW w:w="1339" w:type="dxa"/>
            <w:tcBorders>
              <w:top w:val="nil"/>
              <w:left w:val="nil"/>
              <w:bottom w:val="single" w:sz="8" w:space="0" w:color="000000"/>
              <w:right w:val="nil"/>
            </w:tcBorders>
            <w:shd w:val="clear" w:color="auto" w:fill="auto"/>
            <w:noWrap/>
            <w:vAlign w:val="center"/>
            <w:hideMark/>
          </w:tcPr>
          <w:p w14:paraId="47C15D7C"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0.843</w:t>
            </w:r>
          </w:p>
        </w:tc>
        <w:tc>
          <w:tcPr>
            <w:tcW w:w="1339" w:type="dxa"/>
            <w:tcBorders>
              <w:top w:val="nil"/>
              <w:left w:val="nil"/>
              <w:bottom w:val="single" w:sz="8" w:space="0" w:color="000000"/>
              <w:right w:val="nil"/>
            </w:tcBorders>
            <w:shd w:val="clear" w:color="auto" w:fill="auto"/>
            <w:noWrap/>
            <w:vAlign w:val="center"/>
            <w:hideMark/>
          </w:tcPr>
          <w:p w14:paraId="602C2DC5"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0.736</w:t>
            </w:r>
          </w:p>
        </w:tc>
        <w:tc>
          <w:tcPr>
            <w:tcW w:w="1347" w:type="dxa"/>
            <w:tcBorders>
              <w:top w:val="nil"/>
              <w:left w:val="nil"/>
              <w:bottom w:val="single" w:sz="8" w:space="0" w:color="000000"/>
              <w:right w:val="nil"/>
            </w:tcBorders>
            <w:shd w:val="clear" w:color="auto" w:fill="auto"/>
            <w:noWrap/>
            <w:vAlign w:val="center"/>
            <w:hideMark/>
          </w:tcPr>
          <w:p w14:paraId="19E4C299"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0.854</w:t>
            </w:r>
          </w:p>
        </w:tc>
        <w:tc>
          <w:tcPr>
            <w:tcW w:w="1203" w:type="dxa"/>
            <w:tcBorders>
              <w:top w:val="nil"/>
              <w:left w:val="nil"/>
              <w:bottom w:val="single" w:sz="8" w:space="0" w:color="000000"/>
              <w:right w:val="nil"/>
            </w:tcBorders>
            <w:shd w:val="clear" w:color="auto" w:fill="auto"/>
            <w:noWrap/>
            <w:vAlign w:val="center"/>
            <w:hideMark/>
          </w:tcPr>
          <w:p w14:paraId="780A2DDD"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0.786</w:t>
            </w:r>
          </w:p>
        </w:tc>
        <w:tc>
          <w:tcPr>
            <w:tcW w:w="1137" w:type="dxa"/>
            <w:tcBorders>
              <w:top w:val="nil"/>
              <w:left w:val="nil"/>
              <w:bottom w:val="single" w:sz="8" w:space="0" w:color="000000"/>
              <w:right w:val="nil"/>
            </w:tcBorders>
            <w:shd w:val="clear" w:color="auto" w:fill="auto"/>
            <w:noWrap/>
            <w:vAlign w:val="center"/>
            <w:hideMark/>
          </w:tcPr>
          <w:p w14:paraId="398E5FA9" w14:textId="77777777" w:rsidR="008478E8" w:rsidRPr="008E1AB1" w:rsidRDefault="008478E8" w:rsidP="008478E8">
            <w:pPr>
              <w:jc w:val="center"/>
              <w:rPr>
                <w:rFonts w:ascii="Calibri" w:eastAsia="Times New Roman" w:hAnsi="Calibri" w:cs="Times New Roman"/>
                <w:color w:val="000000"/>
                <w:sz w:val="22"/>
                <w:szCs w:val="22"/>
              </w:rPr>
            </w:pPr>
            <w:r w:rsidRPr="008E1AB1">
              <w:rPr>
                <w:rFonts w:ascii="Calibri" w:eastAsia="Times New Roman" w:hAnsi="Calibri" w:cs="Times New Roman"/>
                <w:color w:val="000000"/>
                <w:sz w:val="22"/>
                <w:szCs w:val="22"/>
              </w:rPr>
              <w:t>0.908</w:t>
            </w:r>
          </w:p>
        </w:tc>
      </w:tr>
      <w:tr w:rsidR="008478E8" w:rsidRPr="008E1AB1" w14:paraId="70D10273" w14:textId="77777777" w:rsidTr="00C04359">
        <w:trPr>
          <w:trHeight w:val="280"/>
        </w:trPr>
        <w:tc>
          <w:tcPr>
            <w:tcW w:w="11700" w:type="dxa"/>
            <w:gridSpan w:val="9"/>
            <w:vMerge w:val="restart"/>
            <w:tcBorders>
              <w:top w:val="nil"/>
              <w:left w:val="nil"/>
              <w:bottom w:val="nil"/>
              <w:right w:val="nil"/>
            </w:tcBorders>
            <w:shd w:val="clear" w:color="auto" w:fill="auto"/>
            <w:vAlign w:val="center"/>
            <w:hideMark/>
          </w:tcPr>
          <w:p w14:paraId="50B5FDA8" w14:textId="77777777" w:rsidR="008478E8" w:rsidRPr="008E1AB1" w:rsidRDefault="008478E8" w:rsidP="008478E8">
            <w:pPr>
              <w:rPr>
                <w:rFonts w:ascii="Calibri" w:eastAsia="Times New Roman" w:hAnsi="Calibri" w:cs="Times New Roman"/>
                <w:color w:val="000000"/>
                <w:sz w:val="20"/>
                <w:szCs w:val="20"/>
              </w:rPr>
            </w:pPr>
            <w:r w:rsidRPr="008E1AB1">
              <w:rPr>
                <w:rFonts w:ascii="Calibri" w:eastAsia="Times New Roman" w:hAnsi="Calibri" w:cs="Times New Roman"/>
                <w:color w:val="000000"/>
                <w:sz w:val="20"/>
                <w:szCs w:val="20"/>
              </w:rPr>
              <w:t>Observations are at the weekly-monitor level.  All columns include monitor fixed effects. Columns 2, 4, 6 and 8 include month fixed effects and monitor-specific time trends. The sample of monitors is 30,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w:t>
            </w:r>
          </w:p>
        </w:tc>
      </w:tr>
      <w:tr w:rsidR="008478E8" w:rsidRPr="008E1AB1" w14:paraId="51901AFF" w14:textId="77777777" w:rsidTr="00C04359">
        <w:trPr>
          <w:trHeight w:val="280"/>
        </w:trPr>
        <w:tc>
          <w:tcPr>
            <w:tcW w:w="11700" w:type="dxa"/>
            <w:gridSpan w:val="9"/>
            <w:vMerge/>
            <w:tcBorders>
              <w:top w:val="nil"/>
              <w:left w:val="nil"/>
              <w:bottom w:val="nil"/>
              <w:right w:val="nil"/>
            </w:tcBorders>
            <w:vAlign w:val="center"/>
            <w:hideMark/>
          </w:tcPr>
          <w:p w14:paraId="1D57EF9D" w14:textId="77777777" w:rsidR="008478E8" w:rsidRPr="008E1AB1" w:rsidRDefault="008478E8" w:rsidP="008478E8">
            <w:pPr>
              <w:rPr>
                <w:rFonts w:ascii="Calibri" w:eastAsia="Times New Roman" w:hAnsi="Calibri" w:cs="Times New Roman"/>
                <w:color w:val="000000"/>
                <w:sz w:val="20"/>
                <w:szCs w:val="20"/>
              </w:rPr>
            </w:pPr>
          </w:p>
        </w:tc>
      </w:tr>
      <w:tr w:rsidR="008478E8" w:rsidRPr="008E1AB1" w14:paraId="6728540C" w14:textId="77777777" w:rsidTr="00C04359">
        <w:trPr>
          <w:trHeight w:val="280"/>
        </w:trPr>
        <w:tc>
          <w:tcPr>
            <w:tcW w:w="11700" w:type="dxa"/>
            <w:gridSpan w:val="9"/>
            <w:vMerge/>
            <w:tcBorders>
              <w:top w:val="nil"/>
              <w:left w:val="nil"/>
              <w:bottom w:val="nil"/>
              <w:right w:val="nil"/>
            </w:tcBorders>
            <w:vAlign w:val="center"/>
            <w:hideMark/>
          </w:tcPr>
          <w:p w14:paraId="206894FC" w14:textId="77777777" w:rsidR="008478E8" w:rsidRPr="008E1AB1" w:rsidRDefault="008478E8" w:rsidP="008478E8">
            <w:pPr>
              <w:rPr>
                <w:rFonts w:ascii="Calibri" w:eastAsia="Times New Roman" w:hAnsi="Calibri" w:cs="Times New Roman"/>
                <w:color w:val="000000"/>
                <w:sz w:val="20"/>
                <w:szCs w:val="20"/>
              </w:rPr>
            </w:pPr>
          </w:p>
        </w:tc>
      </w:tr>
      <w:tr w:rsidR="008478E8" w:rsidRPr="008E1AB1" w14:paraId="0F567A12" w14:textId="77777777" w:rsidTr="00C04359">
        <w:trPr>
          <w:trHeight w:val="280"/>
        </w:trPr>
        <w:tc>
          <w:tcPr>
            <w:tcW w:w="11700" w:type="dxa"/>
            <w:gridSpan w:val="9"/>
            <w:vMerge/>
            <w:tcBorders>
              <w:top w:val="nil"/>
              <w:left w:val="nil"/>
              <w:bottom w:val="nil"/>
              <w:right w:val="nil"/>
            </w:tcBorders>
            <w:vAlign w:val="center"/>
            <w:hideMark/>
          </w:tcPr>
          <w:p w14:paraId="112D3BA9" w14:textId="77777777" w:rsidR="008478E8" w:rsidRPr="008E1AB1" w:rsidRDefault="008478E8" w:rsidP="008478E8">
            <w:pPr>
              <w:rPr>
                <w:rFonts w:ascii="Calibri" w:eastAsia="Times New Roman" w:hAnsi="Calibri" w:cs="Times New Roman"/>
                <w:color w:val="000000"/>
                <w:sz w:val="20"/>
                <w:szCs w:val="20"/>
              </w:rPr>
            </w:pPr>
          </w:p>
        </w:tc>
      </w:tr>
    </w:tbl>
    <w:tbl>
      <w:tblPr>
        <w:tblpPr w:leftFromText="180" w:rightFromText="180" w:vertAnchor="text" w:horzAnchor="margin" w:tblpXSpec="center" w:tblpY="-374"/>
        <w:tblW w:w="11700" w:type="dxa"/>
        <w:tblLayout w:type="fixed"/>
        <w:tblLook w:val="04A0" w:firstRow="1" w:lastRow="0" w:firstColumn="1" w:lastColumn="0" w:noHBand="0" w:noVBand="1"/>
      </w:tblPr>
      <w:tblGrid>
        <w:gridCol w:w="1530"/>
        <w:gridCol w:w="1266"/>
        <w:gridCol w:w="1266"/>
        <w:gridCol w:w="1326"/>
        <w:gridCol w:w="1326"/>
        <w:gridCol w:w="1419"/>
        <w:gridCol w:w="1227"/>
        <w:gridCol w:w="1170"/>
        <w:gridCol w:w="1170"/>
      </w:tblGrid>
      <w:tr w:rsidR="003F3FFC" w:rsidRPr="00642F03" w14:paraId="74E4B7DB" w14:textId="77777777" w:rsidTr="00E30957">
        <w:trPr>
          <w:trHeight w:val="280"/>
        </w:trPr>
        <w:tc>
          <w:tcPr>
            <w:tcW w:w="11700" w:type="dxa"/>
            <w:gridSpan w:val="9"/>
            <w:tcBorders>
              <w:top w:val="nil"/>
              <w:left w:val="nil"/>
              <w:bottom w:val="nil"/>
              <w:right w:val="nil"/>
            </w:tcBorders>
            <w:shd w:val="clear" w:color="auto" w:fill="auto"/>
            <w:vAlign w:val="center"/>
            <w:hideMark/>
          </w:tcPr>
          <w:p w14:paraId="7FC99EF9" w14:textId="77777777" w:rsidR="003F3FFC" w:rsidRPr="000701CF" w:rsidRDefault="003F3FFC" w:rsidP="00E30957">
            <w:pPr>
              <w:jc w:val="center"/>
              <w:rPr>
                <w:rFonts w:eastAsia="Times New Roman" w:cs="Times New Roman"/>
                <w:b/>
                <w:bCs/>
                <w:color w:val="000000"/>
              </w:rPr>
            </w:pPr>
            <w:r w:rsidRPr="000701CF">
              <w:rPr>
                <w:rFonts w:eastAsia="Times New Roman" w:cs="Times New Roman"/>
                <w:b/>
                <w:bCs/>
                <w:color w:val="000000"/>
              </w:rPr>
              <w:lastRenderedPageBreak/>
              <w:t>Table 8</w:t>
            </w:r>
          </w:p>
        </w:tc>
      </w:tr>
      <w:tr w:rsidR="003F3FFC" w:rsidRPr="00642F03" w14:paraId="71C33AC2" w14:textId="77777777" w:rsidTr="00E30957">
        <w:trPr>
          <w:trHeight w:val="300"/>
        </w:trPr>
        <w:tc>
          <w:tcPr>
            <w:tcW w:w="11700" w:type="dxa"/>
            <w:gridSpan w:val="9"/>
            <w:tcBorders>
              <w:top w:val="nil"/>
              <w:left w:val="nil"/>
              <w:bottom w:val="single" w:sz="8" w:space="0" w:color="auto"/>
              <w:right w:val="nil"/>
            </w:tcBorders>
            <w:shd w:val="clear" w:color="auto" w:fill="auto"/>
            <w:vAlign w:val="center"/>
            <w:hideMark/>
          </w:tcPr>
          <w:p w14:paraId="056E4113" w14:textId="77777777" w:rsidR="003F3FFC" w:rsidRPr="000701CF" w:rsidRDefault="003F3FFC" w:rsidP="00E30957">
            <w:pPr>
              <w:jc w:val="center"/>
              <w:rPr>
                <w:rFonts w:eastAsia="Times New Roman" w:cs="Times New Roman"/>
                <w:b/>
                <w:bCs/>
                <w:color w:val="000000"/>
              </w:rPr>
            </w:pPr>
            <w:r w:rsidRPr="000701CF">
              <w:rPr>
                <w:rFonts w:eastAsia="Times New Roman" w:cs="Times New Roman"/>
                <w:b/>
                <w:bCs/>
                <w:color w:val="000000"/>
              </w:rPr>
              <w:t>25</w:t>
            </w:r>
            <w:r>
              <w:rPr>
                <w:rFonts w:eastAsia="Times New Roman" w:cs="Times New Roman"/>
                <w:b/>
                <w:bCs/>
                <w:color w:val="000000"/>
              </w:rPr>
              <w:t xml:space="preserve"> Week Difference-in-Differences</w:t>
            </w:r>
            <w:r w:rsidRPr="000701CF">
              <w:rPr>
                <w:rFonts w:eastAsia="Times New Roman" w:cs="Times New Roman"/>
                <w:b/>
                <w:bCs/>
                <w:color w:val="000000"/>
              </w:rPr>
              <w:t xml:space="preserve"> Placebo Test</w:t>
            </w:r>
            <w:r>
              <w:rPr>
                <w:rFonts w:eastAsia="Times New Roman" w:cs="Times New Roman"/>
                <w:b/>
                <w:bCs/>
                <w:color w:val="000000"/>
              </w:rPr>
              <w:t xml:space="preserve"> 2002</w:t>
            </w:r>
          </w:p>
        </w:tc>
      </w:tr>
      <w:tr w:rsidR="003F3FFC" w:rsidRPr="00642F03" w14:paraId="5BFA4BF3" w14:textId="77777777" w:rsidTr="00E30957">
        <w:trPr>
          <w:trHeight w:val="280"/>
        </w:trPr>
        <w:tc>
          <w:tcPr>
            <w:tcW w:w="1530" w:type="dxa"/>
            <w:tcBorders>
              <w:top w:val="nil"/>
              <w:left w:val="nil"/>
              <w:bottom w:val="nil"/>
              <w:right w:val="nil"/>
            </w:tcBorders>
            <w:shd w:val="clear" w:color="auto" w:fill="auto"/>
            <w:noWrap/>
            <w:vAlign w:val="center"/>
            <w:hideMark/>
          </w:tcPr>
          <w:p w14:paraId="69B221E8"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266" w:type="dxa"/>
            <w:tcBorders>
              <w:top w:val="nil"/>
              <w:left w:val="nil"/>
              <w:bottom w:val="nil"/>
              <w:right w:val="nil"/>
            </w:tcBorders>
            <w:shd w:val="clear" w:color="auto" w:fill="auto"/>
            <w:noWrap/>
            <w:vAlign w:val="bottom"/>
            <w:hideMark/>
          </w:tcPr>
          <w:p w14:paraId="71CB9DD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w:t>
            </w:r>
          </w:p>
        </w:tc>
        <w:tc>
          <w:tcPr>
            <w:tcW w:w="1266" w:type="dxa"/>
            <w:tcBorders>
              <w:top w:val="nil"/>
              <w:left w:val="nil"/>
              <w:bottom w:val="nil"/>
              <w:right w:val="nil"/>
            </w:tcBorders>
            <w:shd w:val="clear" w:color="auto" w:fill="auto"/>
            <w:noWrap/>
            <w:vAlign w:val="bottom"/>
            <w:hideMark/>
          </w:tcPr>
          <w:p w14:paraId="2B72414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w:t>
            </w:r>
          </w:p>
        </w:tc>
        <w:tc>
          <w:tcPr>
            <w:tcW w:w="1326" w:type="dxa"/>
            <w:tcBorders>
              <w:top w:val="nil"/>
              <w:left w:val="nil"/>
              <w:bottom w:val="nil"/>
              <w:right w:val="nil"/>
            </w:tcBorders>
            <w:shd w:val="clear" w:color="auto" w:fill="auto"/>
            <w:noWrap/>
            <w:vAlign w:val="bottom"/>
            <w:hideMark/>
          </w:tcPr>
          <w:p w14:paraId="593F1F6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w:t>
            </w:r>
          </w:p>
        </w:tc>
        <w:tc>
          <w:tcPr>
            <w:tcW w:w="1326" w:type="dxa"/>
            <w:tcBorders>
              <w:top w:val="nil"/>
              <w:left w:val="nil"/>
              <w:bottom w:val="nil"/>
              <w:right w:val="nil"/>
            </w:tcBorders>
            <w:shd w:val="clear" w:color="auto" w:fill="auto"/>
            <w:noWrap/>
            <w:vAlign w:val="bottom"/>
            <w:hideMark/>
          </w:tcPr>
          <w:p w14:paraId="65A5823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(4)</w:t>
            </w:r>
          </w:p>
        </w:tc>
        <w:tc>
          <w:tcPr>
            <w:tcW w:w="1419" w:type="dxa"/>
            <w:tcBorders>
              <w:top w:val="nil"/>
              <w:left w:val="nil"/>
              <w:bottom w:val="nil"/>
              <w:right w:val="nil"/>
            </w:tcBorders>
            <w:shd w:val="clear" w:color="auto" w:fill="auto"/>
            <w:noWrap/>
            <w:vAlign w:val="bottom"/>
            <w:hideMark/>
          </w:tcPr>
          <w:p w14:paraId="1982891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(5)</w:t>
            </w:r>
          </w:p>
        </w:tc>
        <w:tc>
          <w:tcPr>
            <w:tcW w:w="1227" w:type="dxa"/>
            <w:tcBorders>
              <w:top w:val="nil"/>
              <w:left w:val="nil"/>
              <w:bottom w:val="nil"/>
              <w:right w:val="nil"/>
            </w:tcBorders>
            <w:shd w:val="clear" w:color="auto" w:fill="auto"/>
            <w:noWrap/>
            <w:vAlign w:val="bottom"/>
            <w:hideMark/>
          </w:tcPr>
          <w:p w14:paraId="3FD15DB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(6)</w:t>
            </w:r>
          </w:p>
        </w:tc>
        <w:tc>
          <w:tcPr>
            <w:tcW w:w="1170" w:type="dxa"/>
            <w:tcBorders>
              <w:top w:val="nil"/>
              <w:left w:val="nil"/>
              <w:bottom w:val="nil"/>
              <w:right w:val="nil"/>
            </w:tcBorders>
            <w:shd w:val="clear" w:color="auto" w:fill="auto"/>
            <w:noWrap/>
            <w:vAlign w:val="bottom"/>
            <w:hideMark/>
          </w:tcPr>
          <w:p w14:paraId="5E06129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(7)</w:t>
            </w:r>
          </w:p>
        </w:tc>
        <w:tc>
          <w:tcPr>
            <w:tcW w:w="1170" w:type="dxa"/>
            <w:tcBorders>
              <w:top w:val="nil"/>
              <w:left w:val="nil"/>
              <w:bottom w:val="nil"/>
              <w:right w:val="nil"/>
            </w:tcBorders>
            <w:shd w:val="clear" w:color="auto" w:fill="auto"/>
            <w:noWrap/>
            <w:vAlign w:val="bottom"/>
            <w:hideMark/>
          </w:tcPr>
          <w:p w14:paraId="2A034EF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(8)</w:t>
            </w:r>
          </w:p>
        </w:tc>
      </w:tr>
      <w:tr w:rsidR="003F3FFC" w:rsidRPr="00642F03" w14:paraId="22585CE8" w14:textId="77777777" w:rsidTr="00E30957">
        <w:trPr>
          <w:trHeight w:val="340"/>
        </w:trPr>
        <w:tc>
          <w:tcPr>
            <w:tcW w:w="1530" w:type="dxa"/>
            <w:tcBorders>
              <w:top w:val="nil"/>
              <w:left w:val="nil"/>
              <w:bottom w:val="nil"/>
              <w:right w:val="nil"/>
            </w:tcBorders>
            <w:shd w:val="clear" w:color="auto" w:fill="auto"/>
            <w:noWrap/>
            <w:vAlign w:val="center"/>
            <w:hideMark/>
          </w:tcPr>
          <w:p w14:paraId="2C4095C6"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Pollutant</w:t>
            </w:r>
          </w:p>
        </w:tc>
        <w:tc>
          <w:tcPr>
            <w:tcW w:w="1266" w:type="dxa"/>
            <w:tcBorders>
              <w:top w:val="nil"/>
              <w:left w:val="nil"/>
              <w:bottom w:val="nil"/>
              <w:right w:val="nil"/>
            </w:tcBorders>
            <w:shd w:val="clear" w:color="auto" w:fill="auto"/>
            <w:noWrap/>
            <w:vAlign w:val="center"/>
            <w:hideMark/>
          </w:tcPr>
          <w:p w14:paraId="44BEA75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CO</w:t>
            </w:r>
          </w:p>
        </w:tc>
        <w:tc>
          <w:tcPr>
            <w:tcW w:w="1266" w:type="dxa"/>
            <w:tcBorders>
              <w:top w:val="nil"/>
              <w:left w:val="nil"/>
              <w:bottom w:val="nil"/>
              <w:right w:val="nil"/>
            </w:tcBorders>
            <w:shd w:val="clear" w:color="auto" w:fill="auto"/>
            <w:noWrap/>
            <w:vAlign w:val="center"/>
            <w:hideMark/>
          </w:tcPr>
          <w:p w14:paraId="6127A43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CO</w:t>
            </w:r>
          </w:p>
        </w:tc>
        <w:tc>
          <w:tcPr>
            <w:tcW w:w="1326" w:type="dxa"/>
            <w:tcBorders>
              <w:top w:val="nil"/>
              <w:left w:val="nil"/>
              <w:bottom w:val="nil"/>
              <w:right w:val="nil"/>
            </w:tcBorders>
            <w:shd w:val="clear" w:color="auto" w:fill="auto"/>
            <w:noWrap/>
            <w:vAlign w:val="center"/>
            <w:hideMark/>
          </w:tcPr>
          <w:p w14:paraId="48D33DA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r w:rsidRPr="00642F03">
              <w:rPr>
                <w:rFonts w:ascii="Calibri" w:eastAsia="Times New Roman" w:hAnsi="Calibri" w:cs="Times New Roman"/>
                <w:color w:val="000000"/>
                <w:sz w:val="22"/>
                <w:szCs w:val="22"/>
                <w:vertAlign w:val="subscript"/>
              </w:rPr>
              <w:t>2</w:t>
            </w:r>
          </w:p>
        </w:tc>
        <w:tc>
          <w:tcPr>
            <w:tcW w:w="1326" w:type="dxa"/>
            <w:tcBorders>
              <w:top w:val="nil"/>
              <w:left w:val="nil"/>
              <w:bottom w:val="nil"/>
              <w:right w:val="nil"/>
            </w:tcBorders>
            <w:shd w:val="clear" w:color="auto" w:fill="auto"/>
            <w:noWrap/>
            <w:vAlign w:val="center"/>
            <w:hideMark/>
          </w:tcPr>
          <w:p w14:paraId="6AF1E71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r w:rsidRPr="00642F03">
              <w:rPr>
                <w:rFonts w:ascii="Calibri" w:eastAsia="Times New Roman" w:hAnsi="Calibri" w:cs="Times New Roman"/>
                <w:color w:val="000000"/>
                <w:sz w:val="22"/>
                <w:szCs w:val="22"/>
                <w:vertAlign w:val="subscript"/>
              </w:rPr>
              <w:t>2</w:t>
            </w:r>
          </w:p>
        </w:tc>
        <w:tc>
          <w:tcPr>
            <w:tcW w:w="1419" w:type="dxa"/>
            <w:tcBorders>
              <w:top w:val="nil"/>
              <w:left w:val="nil"/>
              <w:bottom w:val="nil"/>
              <w:right w:val="nil"/>
            </w:tcBorders>
            <w:shd w:val="clear" w:color="auto" w:fill="auto"/>
            <w:noWrap/>
            <w:vAlign w:val="center"/>
            <w:hideMark/>
          </w:tcPr>
          <w:p w14:paraId="5D3A737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r w:rsidRPr="00642F03">
              <w:rPr>
                <w:rFonts w:ascii="Calibri" w:eastAsia="Times New Roman" w:hAnsi="Calibri" w:cs="Times New Roman"/>
                <w:color w:val="000000"/>
                <w:sz w:val="22"/>
                <w:szCs w:val="22"/>
                <w:vertAlign w:val="subscript"/>
              </w:rPr>
              <w:t>x</w:t>
            </w:r>
          </w:p>
        </w:tc>
        <w:tc>
          <w:tcPr>
            <w:tcW w:w="1227" w:type="dxa"/>
            <w:tcBorders>
              <w:top w:val="nil"/>
              <w:left w:val="nil"/>
              <w:bottom w:val="nil"/>
              <w:right w:val="nil"/>
            </w:tcBorders>
            <w:shd w:val="clear" w:color="auto" w:fill="auto"/>
            <w:noWrap/>
            <w:vAlign w:val="center"/>
            <w:hideMark/>
          </w:tcPr>
          <w:p w14:paraId="266D1CB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r w:rsidRPr="00642F03">
              <w:rPr>
                <w:rFonts w:ascii="Calibri" w:eastAsia="Times New Roman" w:hAnsi="Calibri" w:cs="Times New Roman"/>
                <w:color w:val="000000"/>
                <w:sz w:val="22"/>
                <w:szCs w:val="22"/>
                <w:vertAlign w:val="subscript"/>
              </w:rPr>
              <w:t>x</w:t>
            </w:r>
          </w:p>
        </w:tc>
        <w:tc>
          <w:tcPr>
            <w:tcW w:w="1170" w:type="dxa"/>
            <w:tcBorders>
              <w:top w:val="nil"/>
              <w:left w:val="nil"/>
              <w:bottom w:val="nil"/>
              <w:right w:val="nil"/>
            </w:tcBorders>
            <w:shd w:val="clear" w:color="auto" w:fill="auto"/>
            <w:noWrap/>
            <w:vAlign w:val="center"/>
            <w:hideMark/>
          </w:tcPr>
          <w:p w14:paraId="42F3429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O</w:t>
            </w:r>
            <w:r w:rsidRPr="00642F03">
              <w:rPr>
                <w:rFonts w:ascii="Calibri" w:eastAsia="Times New Roman" w:hAnsi="Calibri" w:cs="Times New Roman"/>
                <w:color w:val="000000"/>
                <w:sz w:val="22"/>
                <w:szCs w:val="22"/>
                <w:vertAlign w:val="subscript"/>
              </w:rPr>
              <w:t>3</w:t>
            </w:r>
          </w:p>
        </w:tc>
        <w:tc>
          <w:tcPr>
            <w:tcW w:w="1170" w:type="dxa"/>
            <w:tcBorders>
              <w:top w:val="nil"/>
              <w:left w:val="nil"/>
              <w:bottom w:val="nil"/>
              <w:right w:val="nil"/>
            </w:tcBorders>
            <w:shd w:val="clear" w:color="auto" w:fill="auto"/>
            <w:noWrap/>
            <w:vAlign w:val="center"/>
            <w:hideMark/>
          </w:tcPr>
          <w:p w14:paraId="094E77D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O</w:t>
            </w:r>
            <w:r w:rsidRPr="00642F03">
              <w:rPr>
                <w:rFonts w:ascii="Calibri" w:eastAsia="Times New Roman" w:hAnsi="Calibri" w:cs="Times New Roman"/>
                <w:color w:val="000000"/>
                <w:sz w:val="22"/>
                <w:szCs w:val="22"/>
                <w:vertAlign w:val="subscript"/>
              </w:rPr>
              <w:t>3</w:t>
            </w:r>
          </w:p>
        </w:tc>
      </w:tr>
      <w:tr w:rsidR="003F3FFC" w:rsidRPr="00642F03" w14:paraId="07812FDE" w14:textId="77777777" w:rsidTr="00E30957">
        <w:trPr>
          <w:trHeight w:val="280"/>
        </w:trPr>
        <w:tc>
          <w:tcPr>
            <w:tcW w:w="1530" w:type="dxa"/>
            <w:tcBorders>
              <w:top w:val="single" w:sz="8" w:space="0" w:color="auto"/>
              <w:left w:val="nil"/>
              <w:bottom w:val="nil"/>
              <w:right w:val="nil"/>
            </w:tcBorders>
            <w:shd w:val="clear" w:color="auto" w:fill="auto"/>
            <w:noWrap/>
            <w:vAlign w:val="center"/>
            <w:hideMark/>
          </w:tcPr>
          <w:p w14:paraId="32F0F60A"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266" w:type="dxa"/>
            <w:tcBorders>
              <w:top w:val="single" w:sz="8" w:space="0" w:color="auto"/>
              <w:left w:val="nil"/>
              <w:bottom w:val="nil"/>
              <w:right w:val="nil"/>
            </w:tcBorders>
            <w:shd w:val="clear" w:color="auto" w:fill="auto"/>
            <w:noWrap/>
            <w:vAlign w:val="center"/>
            <w:hideMark/>
          </w:tcPr>
          <w:p w14:paraId="611BBB9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266" w:type="dxa"/>
            <w:tcBorders>
              <w:top w:val="single" w:sz="8" w:space="0" w:color="auto"/>
              <w:left w:val="nil"/>
              <w:bottom w:val="nil"/>
              <w:right w:val="nil"/>
            </w:tcBorders>
            <w:shd w:val="clear" w:color="auto" w:fill="auto"/>
            <w:noWrap/>
            <w:vAlign w:val="center"/>
            <w:hideMark/>
          </w:tcPr>
          <w:p w14:paraId="7FF8878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326" w:type="dxa"/>
            <w:tcBorders>
              <w:top w:val="single" w:sz="8" w:space="0" w:color="auto"/>
              <w:left w:val="nil"/>
              <w:bottom w:val="nil"/>
              <w:right w:val="nil"/>
            </w:tcBorders>
            <w:shd w:val="clear" w:color="auto" w:fill="auto"/>
            <w:noWrap/>
            <w:vAlign w:val="center"/>
            <w:hideMark/>
          </w:tcPr>
          <w:p w14:paraId="7C73AFD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326" w:type="dxa"/>
            <w:tcBorders>
              <w:top w:val="single" w:sz="8" w:space="0" w:color="auto"/>
              <w:left w:val="nil"/>
              <w:bottom w:val="nil"/>
              <w:right w:val="nil"/>
            </w:tcBorders>
            <w:shd w:val="clear" w:color="auto" w:fill="auto"/>
            <w:noWrap/>
            <w:vAlign w:val="center"/>
            <w:hideMark/>
          </w:tcPr>
          <w:p w14:paraId="7D2E941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419" w:type="dxa"/>
            <w:tcBorders>
              <w:top w:val="single" w:sz="8" w:space="0" w:color="auto"/>
              <w:left w:val="nil"/>
              <w:bottom w:val="nil"/>
              <w:right w:val="nil"/>
            </w:tcBorders>
            <w:shd w:val="clear" w:color="auto" w:fill="auto"/>
            <w:noWrap/>
            <w:vAlign w:val="center"/>
            <w:hideMark/>
          </w:tcPr>
          <w:p w14:paraId="7EF50CD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227" w:type="dxa"/>
            <w:tcBorders>
              <w:top w:val="single" w:sz="8" w:space="0" w:color="auto"/>
              <w:left w:val="nil"/>
              <w:bottom w:val="nil"/>
              <w:right w:val="nil"/>
            </w:tcBorders>
            <w:shd w:val="clear" w:color="auto" w:fill="auto"/>
            <w:noWrap/>
            <w:vAlign w:val="center"/>
            <w:hideMark/>
          </w:tcPr>
          <w:p w14:paraId="19FAEBD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170" w:type="dxa"/>
            <w:tcBorders>
              <w:top w:val="single" w:sz="8" w:space="0" w:color="auto"/>
              <w:left w:val="nil"/>
              <w:bottom w:val="nil"/>
              <w:right w:val="nil"/>
            </w:tcBorders>
            <w:shd w:val="clear" w:color="auto" w:fill="auto"/>
            <w:noWrap/>
            <w:vAlign w:val="center"/>
            <w:hideMark/>
          </w:tcPr>
          <w:p w14:paraId="4A35D56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c>
          <w:tcPr>
            <w:tcW w:w="1170" w:type="dxa"/>
            <w:tcBorders>
              <w:top w:val="single" w:sz="8" w:space="0" w:color="auto"/>
              <w:left w:val="nil"/>
              <w:bottom w:val="nil"/>
              <w:right w:val="nil"/>
            </w:tcBorders>
            <w:shd w:val="clear" w:color="auto" w:fill="auto"/>
            <w:noWrap/>
            <w:vAlign w:val="center"/>
            <w:hideMark/>
          </w:tcPr>
          <w:p w14:paraId="0E48521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t>
            </w:r>
          </w:p>
        </w:tc>
      </w:tr>
      <w:tr w:rsidR="003F3FFC" w:rsidRPr="00642F03" w14:paraId="3B0F85E2" w14:textId="77777777" w:rsidTr="00E30957">
        <w:trPr>
          <w:trHeight w:val="280"/>
        </w:trPr>
        <w:tc>
          <w:tcPr>
            <w:tcW w:w="1530" w:type="dxa"/>
            <w:tcBorders>
              <w:top w:val="nil"/>
              <w:left w:val="nil"/>
              <w:bottom w:val="nil"/>
              <w:right w:val="nil"/>
            </w:tcBorders>
            <w:shd w:val="clear" w:color="auto" w:fill="auto"/>
            <w:noWrap/>
            <w:vAlign w:val="center"/>
            <w:hideMark/>
          </w:tcPr>
          <w:p w14:paraId="02161B63"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Strike × Treat</w:t>
            </w:r>
          </w:p>
        </w:tc>
        <w:tc>
          <w:tcPr>
            <w:tcW w:w="1266" w:type="dxa"/>
            <w:tcBorders>
              <w:top w:val="nil"/>
              <w:left w:val="nil"/>
              <w:bottom w:val="nil"/>
              <w:right w:val="nil"/>
            </w:tcBorders>
            <w:shd w:val="clear" w:color="auto" w:fill="auto"/>
            <w:noWrap/>
            <w:vAlign w:val="bottom"/>
            <w:hideMark/>
          </w:tcPr>
          <w:p w14:paraId="2525603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-0.151</w:t>
            </w:r>
          </w:p>
        </w:tc>
        <w:tc>
          <w:tcPr>
            <w:tcW w:w="1266" w:type="dxa"/>
            <w:tcBorders>
              <w:top w:val="nil"/>
              <w:left w:val="nil"/>
              <w:bottom w:val="nil"/>
              <w:right w:val="nil"/>
            </w:tcBorders>
            <w:shd w:val="clear" w:color="auto" w:fill="auto"/>
            <w:noWrap/>
            <w:vAlign w:val="bottom"/>
            <w:hideMark/>
          </w:tcPr>
          <w:p w14:paraId="25E9AB4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-0.149</w:t>
            </w:r>
          </w:p>
        </w:tc>
        <w:tc>
          <w:tcPr>
            <w:tcW w:w="1326" w:type="dxa"/>
            <w:tcBorders>
              <w:top w:val="nil"/>
              <w:left w:val="nil"/>
              <w:bottom w:val="nil"/>
              <w:right w:val="nil"/>
            </w:tcBorders>
            <w:shd w:val="clear" w:color="auto" w:fill="auto"/>
            <w:noWrap/>
            <w:vAlign w:val="bottom"/>
            <w:hideMark/>
          </w:tcPr>
          <w:p w14:paraId="105C863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-1.310</w:t>
            </w:r>
          </w:p>
        </w:tc>
        <w:tc>
          <w:tcPr>
            <w:tcW w:w="1326" w:type="dxa"/>
            <w:tcBorders>
              <w:top w:val="nil"/>
              <w:left w:val="nil"/>
              <w:bottom w:val="nil"/>
              <w:right w:val="nil"/>
            </w:tcBorders>
            <w:shd w:val="clear" w:color="auto" w:fill="auto"/>
            <w:noWrap/>
            <w:vAlign w:val="bottom"/>
            <w:hideMark/>
          </w:tcPr>
          <w:p w14:paraId="48964B3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-1.204</w:t>
            </w:r>
          </w:p>
        </w:tc>
        <w:tc>
          <w:tcPr>
            <w:tcW w:w="1419" w:type="dxa"/>
            <w:tcBorders>
              <w:top w:val="nil"/>
              <w:left w:val="nil"/>
              <w:bottom w:val="nil"/>
              <w:right w:val="nil"/>
            </w:tcBorders>
            <w:shd w:val="clear" w:color="auto" w:fill="auto"/>
            <w:noWrap/>
            <w:vAlign w:val="bottom"/>
            <w:hideMark/>
          </w:tcPr>
          <w:p w14:paraId="48CF74C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-27.049***</w:t>
            </w:r>
          </w:p>
        </w:tc>
        <w:tc>
          <w:tcPr>
            <w:tcW w:w="1227" w:type="dxa"/>
            <w:tcBorders>
              <w:top w:val="nil"/>
              <w:left w:val="nil"/>
              <w:bottom w:val="nil"/>
              <w:right w:val="nil"/>
            </w:tcBorders>
            <w:shd w:val="clear" w:color="auto" w:fill="auto"/>
            <w:noWrap/>
            <w:vAlign w:val="bottom"/>
            <w:hideMark/>
          </w:tcPr>
          <w:p w14:paraId="59BF2E2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-26.775***</w:t>
            </w:r>
          </w:p>
        </w:tc>
        <w:tc>
          <w:tcPr>
            <w:tcW w:w="1170" w:type="dxa"/>
            <w:tcBorders>
              <w:top w:val="nil"/>
              <w:left w:val="nil"/>
              <w:bottom w:val="nil"/>
              <w:right w:val="nil"/>
            </w:tcBorders>
            <w:shd w:val="clear" w:color="auto" w:fill="auto"/>
            <w:noWrap/>
            <w:vAlign w:val="bottom"/>
            <w:hideMark/>
          </w:tcPr>
          <w:p w14:paraId="1659D1A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-0.005*</w:t>
            </w:r>
          </w:p>
        </w:tc>
        <w:tc>
          <w:tcPr>
            <w:tcW w:w="1170" w:type="dxa"/>
            <w:tcBorders>
              <w:top w:val="nil"/>
              <w:left w:val="nil"/>
              <w:bottom w:val="nil"/>
              <w:right w:val="nil"/>
            </w:tcBorders>
            <w:shd w:val="clear" w:color="auto" w:fill="auto"/>
            <w:noWrap/>
            <w:vAlign w:val="bottom"/>
            <w:hideMark/>
          </w:tcPr>
          <w:p w14:paraId="0ECBC9F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-0.005*</w:t>
            </w:r>
          </w:p>
        </w:tc>
      </w:tr>
      <w:tr w:rsidR="003F3FFC" w:rsidRPr="00642F03" w14:paraId="1E1409B5" w14:textId="77777777" w:rsidTr="00E30957">
        <w:trPr>
          <w:trHeight w:val="300"/>
        </w:trPr>
        <w:tc>
          <w:tcPr>
            <w:tcW w:w="1530" w:type="dxa"/>
            <w:tcBorders>
              <w:top w:val="nil"/>
              <w:left w:val="nil"/>
              <w:bottom w:val="nil"/>
              <w:right w:val="nil"/>
            </w:tcBorders>
            <w:shd w:val="clear" w:color="auto" w:fill="auto"/>
            <w:noWrap/>
            <w:vAlign w:val="bottom"/>
            <w:hideMark/>
          </w:tcPr>
          <w:p w14:paraId="5D900CAF"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7A4390C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(0.111)</w:t>
            </w:r>
          </w:p>
        </w:tc>
        <w:tc>
          <w:tcPr>
            <w:tcW w:w="1266" w:type="dxa"/>
            <w:tcBorders>
              <w:top w:val="nil"/>
              <w:left w:val="nil"/>
              <w:bottom w:val="nil"/>
              <w:right w:val="nil"/>
            </w:tcBorders>
            <w:shd w:val="clear" w:color="auto" w:fill="auto"/>
            <w:noWrap/>
            <w:vAlign w:val="bottom"/>
            <w:hideMark/>
          </w:tcPr>
          <w:p w14:paraId="0D152DA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(0.114)</w:t>
            </w:r>
          </w:p>
        </w:tc>
        <w:tc>
          <w:tcPr>
            <w:tcW w:w="1326" w:type="dxa"/>
            <w:tcBorders>
              <w:top w:val="nil"/>
              <w:left w:val="nil"/>
              <w:bottom w:val="nil"/>
              <w:right w:val="nil"/>
            </w:tcBorders>
            <w:shd w:val="clear" w:color="auto" w:fill="auto"/>
            <w:noWrap/>
            <w:vAlign w:val="bottom"/>
            <w:hideMark/>
          </w:tcPr>
          <w:p w14:paraId="00845A8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(2.481)</w:t>
            </w:r>
          </w:p>
        </w:tc>
        <w:tc>
          <w:tcPr>
            <w:tcW w:w="1326" w:type="dxa"/>
            <w:tcBorders>
              <w:top w:val="nil"/>
              <w:left w:val="nil"/>
              <w:bottom w:val="nil"/>
              <w:right w:val="nil"/>
            </w:tcBorders>
            <w:shd w:val="clear" w:color="auto" w:fill="auto"/>
            <w:noWrap/>
            <w:vAlign w:val="bottom"/>
            <w:hideMark/>
          </w:tcPr>
          <w:p w14:paraId="709182C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(2.530)</w:t>
            </w:r>
          </w:p>
        </w:tc>
        <w:tc>
          <w:tcPr>
            <w:tcW w:w="1419" w:type="dxa"/>
            <w:tcBorders>
              <w:top w:val="nil"/>
              <w:left w:val="nil"/>
              <w:bottom w:val="nil"/>
              <w:right w:val="nil"/>
            </w:tcBorders>
            <w:shd w:val="clear" w:color="auto" w:fill="auto"/>
            <w:noWrap/>
            <w:vAlign w:val="bottom"/>
            <w:hideMark/>
          </w:tcPr>
          <w:p w14:paraId="1952B35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(8.806)</w:t>
            </w:r>
          </w:p>
        </w:tc>
        <w:tc>
          <w:tcPr>
            <w:tcW w:w="1227" w:type="dxa"/>
            <w:tcBorders>
              <w:top w:val="nil"/>
              <w:left w:val="nil"/>
              <w:bottom w:val="nil"/>
              <w:right w:val="nil"/>
            </w:tcBorders>
            <w:shd w:val="clear" w:color="auto" w:fill="auto"/>
            <w:noWrap/>
            <w:vAlign w:val="bottom"/>
            <w:hideMark/>
          </w:tcPr>
          <w:p w14:paraId="14B69B5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(9.068)</w:t>
            </w:r>
          </w:p>
        </w:tc>
        <w:tc>
          <w:tcPr>
            <w:tcW w:w="1170" w:type="dxa"/>
            <w:tcBorders>
              <w:top w:val="nil"/>
              <w:left w:val="nil"/>
              <w:bottom w:val="nil"/>
              <w:right w:val="nil"/>
            </w:tcBorders>
            <w:shd w:val="clear" w:color="auto" w:fill="auto"/>
            <w:noWrap/>
            <w:vAlign w:val="bottom"/>
            <w:hideMark/>
          </w:tcPr>
          <w:p w14:paraId="3C7171A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(0.003)</w:t>
            </w:r>
          </w:p>
        </w:tc>
        <w:tc>
          <w:tcPr>
            <w:tcW w:w="1170" w:type="dxa"/>
            <w:tcBorders>
              <w:top w:val="nil"/>
              <w:left w:val="nil"/>
              <w:bottom w:val="nil"/>
              <w:right w:val="nil"/>
            </w:tcBorders>
            <w:shd w:val="clear" w:color="auto" w:fill="auto"/>
            <w:noWrap/>
            <w:vAlign w:val="bottom"/>
            <w:hideMark/>
          </w:tcPr>
          <w:p w14:paraId="6721FDD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(0.003)</w:t>
            </w:r>
          </w:p>
        </w:tc>
      </w:tr>
      <w:tr w:rsidR="003F3FFC" w:rsidRPr="00642F03" w14:paraId="2198CA7C" w14:textId="77777777" w:rsidTr="00E30957">
        <w:trPr>
          <w:trHeight w:val="300"/>
        </w:trPr>
        <w:tc>
          <w:tcPr>
            <w:tcW w:w="1530" w:type="dxa"/>
            <w:tcBorders>
              <w:top w:val="nil"/>
              <w:left w:val="nil"/>
              <w:bottom w:val="nil"/>
              <w:right w:val="nil"/>
            </w:tcBorders>
            <w:shd w:val="clear" w:color="auto" w:fill="auto"/>
            <w:noWrap/>
            <w:vAlign w:val="bottom"/>
            <w:hideMark/>
          </w:tcPr>
          <w:p w14:paraId="01C52E1D"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0486BB59"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3FCDEA46"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59A15EF4"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1EC497E6"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704238D"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74D4BF9F"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0C82A14"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A0309B9"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4B7FC789" w14:textId="77777777" w:rsidTr="00E30957">
        <w:trPr>
          <w:trHeight w:val="280"/>
        </w:trPr>
        <w:tc>
          <w:tcPr>
            <w:tcW w:w="1530" w:type="dxa"/>
            <w:tcBorders>
              <w:top w:val="nil"/>
              <w:left w:val="nil"/>
              <w:bottom w:val="nil"/>
              <w:right w:val="nil"/>
            </w:tcBorders>
            <w:shd w:val="clear" w:color="auto" w:fill="auto"/>
            <w:noWrap/>
            <w:vAlign w:val="center"/>
            <w:hideMark/>
          </w:tcPr>
          <w:p w14:paraId="7D9CCD70"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Treat</w:t>
            </w:r>
          </w:p>
        </w:tc>
        <w:tc>
          <w:tcPr>
            <w:tcW w:w="1266" w:type="dxa"/>
            <w:tcBorders>
              <w:top w:val="nil"/>
              <w:left w:val="nil"/>
              <w:bottom w:val="nil"/>
              <w:right w:val="nil"/>
            </w:tcBorders>
            <w:shd w:val="clear" w:color="auto" w:fill="auto"/>
            <w:noWrap/>
            <w:vAlign w:val="bottom"/>
            <w:hideMark/>
          </w:tcPr>
          <w:p w14:paraId="03822C1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0.340***</w:t>
            </w:r>
          </w:p>
        </w:tc>
        <w:tc>
          <w:tcPr>
            <w:tcW w:w="1266" w:type="dxa"/>
            <w:tcBorders>
              <w:top w:val="nil"/>
              <w:left w:val="nil"/>
              <w:bottom w:val="nil"/>
              <w:right w:val="nil"/>
            </w:tcBorders>
            <w:shd w:val="clear" w:color="auto" w:fill="auto"/>
            <w:noWrap/>
            <w:vAlign w:val="bottom"/>
            <w:hideMark/>
          </w:tcPr>
          <w:p w14:paraId="33E21F2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0.759***</w:t>
            </w:r>
          </w:p>
        </w:tc>
        <w:tc>
          <w:tcPr>
            <w:tcW w:w="1326" w:type="dxa"/>
            <w:tcBorders>
              <w:top w:val="nil"/>
              <w:left w:val="nil"/>
              <w:bottom w:val="nil"/>
              <w:right w:val="nil"/>
            </w:tcBorders>
            <w:shd w:val="clear" w:color="auto" w:fill="auto"/>
            <w:noWrap/>
            <w:vAlign w:val="bottom"/>
            <w:hideMark/>
          </w:tcPr>
          <w:p w14:paraId="04D13EB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7.527***</w:t>
            </w:r>
          </w:p>
        </w:tc>
        <w:tc>
          <w:tcPr>
            <w:tcW w:w="1326" w:type="dxa"/>
            <w:tcBorders>
              <w:top w:val="nil"/>
              <w:left w:val="nil"/>
              <w:bottom w:val="nil"/>
              <w:right w:val="nil"/>
            </w:tcBorders>
            <w:shd w:val="clear" w:color="auto" w:fill="auto"/>
            <w:noWrap/>
            <w:vAlign w:val="bottom"/>
            <w:hideMark/>
          </w:tcPr>
          <w:p w14:paraId="6A5F7A0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3.064***</w:t>
            </w:r>
          </w:p>
        </w:tc>
        <w:tc>
          <w:tcPr>
            <w:tcW w:w="1419" w:type="dxa"/>
            <w:tcBorders>
              <w:top w:val="nil"/>
              <w:left w:val="nil"/>
              <w:bottom w:val="nil"/>
              <w:right w:val="nil"/>
            </w:tcBorders>
            <w:shd w:val="clear" w:color="auto" w:fill="auto"/>
            <w:noWrap/>
            <w:vAlign w:val="bottom"/>
            <w:hideMark/>
          </w:tcPr>
          <w:p w14:paraId="6BDA057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29.818***</w:t>
            </w:r>
          </w:p>
        </w:tc>
        <w:tc>
          <w:tcPr>
            <w:tcW w:w="1227" w:type="dxa"/>
            <w:tcBorders>
              <w:top w:val="nil"/>
              <w:left w:val="nil"/>
              <w:bottom w:val="nil"/>
              <w:right w:val="nil"/>
            </w:tcBorders>
            <w:shd w:val="clear" w:color="auto" w:fill="auto"/>
            <w:noWrap/>
            <w:vAlign w:val="bottom"/>
            <w:hideMark/>
          </w:tcPr>
          <w:p w14:paraId="2610574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19.789***</w:t>
            </w:r>
          </w:p>
        </w:tc>
        <w:tc>
          <w:tcPr>
            <w:tcW w:w="1170" w:type="dxa"/>
            <w:tcBorders>
              <w:top w:val="nil"/>
              <w:left w:val="nil"/>
              <w:bottom w:val="nil"/>
              <w:right w:val="nil"/>
            </w:tcBorders>
            <w:shd w:val="clear" w:color="auto" w:fill="auto"/>
            <w:noWrap/>
            <w:vAlign w:val="bottom"/>
            <w:hideMark/>
          </w:tcPr>
          <w:p w14:paraId="5BF24AA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-0.006***</w:t>
            </w:r>
          </w:p>
        </w:tc>
        <w:tc>
          <w:tcPr>
            <w:tcW w:w="1170" w:type="dxa"/>
            <w:tcBorders>
              <w:top w:val="nil"/>
              <w:left w:val="nil"/>
              <w:bottom w:val="nil"/>
              <w:right w:val="nil"/>
            </w:tcBorders>
            <w:shd w:val="clear" w:color="auto" w:fill="auto"/>
            <w:noWrap/>
            <w:vAlign w:val="bottom"/>
            <w:hideMark/>
          </w:tcPr>
          <w:p w14:paraId="7926405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-0.052***</w:t>
            </w:r>
          </w:p>
        </w:tc>
      </w:tr>
      <w:tr w:rsidR="003F3FFC" w:rsidRPr="00642F03" w14:paraId="63EB2CAE" w14:textId="77777777" w:rsidTr="00E30957">
        <w:trPr>
          <w:trHeight w:val="300"/>
        </w:trPr>
        <w:tc>
          <w:tcPr>
            <w:tcW w:w="1530" w:type="dxa"/>
            <w:tcBorders>
              <w:top w:val="nil"/>
              <w:left w:val="nil"/>
              <w:bottom w:val="nil"/>
              <w:right w:val="nil"/>
            </w:tcBorders>
            <w:shd w:val="clear" w:color="auto" w:fill="auto"/>
            <w:noWrap/>
            <w:vAlign w:val="bottom"/>
            <w:hideMark/>
          </w:tcPr>
          <w:p w14:paraId="0016C2F1"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044147C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(0.112)</w:t>
            </w:r>
          </w:p>
        </w:tc>
        <w:tc>
          <w:tcPr>
            <w:tcW w:w="1266" w:type="dxa"/>
            <w:tcBorders>
              <w:top w:val="nil"/>
              <w:left w:val="nil"/>
              <w:bottom w:val="nil"/>
              <w:right w:val="nil"/>
            </w:tcBorders>
            <w:shd w:val="clear" w:color="auto" w:fill="auto"/>
            <w:noWrap/>
            <w:vAlign w:val="bottom"/>
            <w:hideMark/>
          </w:tcPr>
          <w:p w14:paraId="576C82C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(0.023)</w:t>
            </w:r>
          </w:p>
        </w:tc>
        <w:tc>
          <w:tcPr>
            <w:tcW w:w="1326" w:type="dxa"/>
            <w:tcBorders>
              <w:top w:val="nil"/>
              <w:left w:val="nil"/>
              <w:bottom w:val="nil"/>
              <w:right w:val="nil"/>
            </w:tcBorders>
            <w:shd w:val="clear" w:color="auto" w:fill="auto"/>
            <w:noWrap/>
            <w:vAlign w:val="bottom"/>
            <w:hideMark/>
          </w:tcPr>
          <w:p w14:paraId="78E1E4B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(1.457)</w:t>
            </w:r>
          </w:p>
        </w:tc>
        <w:tc>
          <w:tcPr>
            <w:tcW w:w="1326" w:type="dxa"/>
            <w:tcBorders>
              <w:top w:val="nil"/>
              <w:left w:val="nil"/>
              <w:bottom w:val="nil"/>
              <w:right w:val="nil"/>
            </w:tcBorders>
            <w:shd w:val="clear" w:color="auto" w:fill="auto"/>
            <w:noWrap/>
            <w:vAlign w:val="bottom"/>
            <w:hideMark/>
          </w:tcPr>
          <w:p w14:paraId="0D10926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(0.239)</w:t>
            </w:r>
          </w:p>
        </w:tc>
        <w:tc>
          <w:tcPr>
            <w:tcW w:w="1419" w:type="dxa"/>
            <w:tcBorders>
              <w:top w:val="nil"/>
              <w:left w:val="nil"/>
              <w:bottom w:val="nil"/>
              <w:right w:val="nil"/>
            </w:tcBorders>
            <w:shd w:val="clear" w:color="auto" w:fill="auto"/>
            <w:noWrap/>
            <w:vAlign w:val="bottom"/>
            <w:hideMark/>
          </w:tcPr>
          <w:p w14:paraId="4FCE5E4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(5.905)</w:t>
            </w:r>
          </w:p>
        </w:tc>
        <w:tc>
          <w:tcPr>
            <w:tcW w:w="1227" w:type="dxa"/>
            <w:tcBorders>
              <w:top w:val="nil"/>
              <w:left w:val="nil"/>
              <w:bottom w:val="nil"/>
              <w:right w:val="nil"/>
            </w:tcBorders>
            <w:shd w:val="clear" w:color="auto" w:fill="auto"/>
            <w:noWrap/>
            <w:vAlign w:val="bottom"/>
            <w:hideMark/>
          </w:tcPr>
          <w:p w14:paraId="3B048FB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(0.950)</w:t>
            </w:r>
          </w:p>
        </w:tc>
        <w:tc>
          <w:tcPr>
            <w:tcW w:w="1170" w:type="dxa"/>
            <w:tcBorders>
              <w:top w:val="nil"/>
              <w:left w:val="nil"/>
              <w:bottom w:val="nil"/>
              <w:right w:val="nil"/>
            </w:tcBorders>
            <w:shd w:val="clear" w:color="auto" w:fill="auto"/>
            <w:noWrap/>
            <w:vAlign w:val="bottom"/>
            <w:hideMark/>
          </w:tcPr>
          <w:p w14:paraId="390AD80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700DFE8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r>
      <w:tr w:rsidR="003F3FFC" w:rsidRPr="00642F03" w14:paraId="3C541C72" w14:textId="77777777" w:rsidTr="00E30957">
        <w:trPr>
          <w:trHeight w:val="300"/>
        </w:trPr>
        <w:tc>
          <w:tcPr>
            <w:tcW w:w="1530" w:type="dxa"/>
            <w:tcBorders>
              <w:top w:val="nil"/>
              <w:left w:val="nil"/>
              <w:bottom w:val="nil"/>
              <w:right w:val="nil"/>
            </w:tcBorders>
            <w:shd w:val="clear" w:color="auto" w:fill="auto"/>
            <w:noWrap/>
            <w:vAlign w:val="bottom"/>
            <w:hideMark/>
          </w:tcPr>
          <w:p w14:paraId="501DF7BC"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28B5D00C"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61FB33A6"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CF95898"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04C8B1A3"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22537BC7"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77C058A8"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9161D4B"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506E8E40"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428C6E4F" w14:textId="77777777" w:rsidTr="00E30957">
        <w:trPr>
          <w:trHeight w:val="280"/>
        </w:trPr>
        <w:tc>
          <w:tcPr>
            <w:tcW w:w="1530" w:type="dxa"/>
            <w:tcBorders>
              <w:top w:val="nil"/>
              <w:left w:val="nil"/>
              <w:bottom w:val="nil"/>
              <w:right w:val="nil"/>
            </w:tcBorders>
            <w:shd w:val="clear" w:color="auto" w:fill="auto"/>
            <w:noWrap/>
            <w:vAlign w:val="center"/>
            <w:hideMark/>
          </w:tcPr>
          <w:p w14:paraId="01D40A2C"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Strike</w:t>
            </w:r>
          </w:p>
        </w:tc>
        <w:tc>
          <w:tcPr>
            <w:tcW w:w="1266" w:type="dxa"/>
            <w:tcBorders>
              <w:top w:val="nil"/>
              <w:left w:val="nil"/>
              <w:bottom w:val="nil"/>
              <w:right w:val="nil"/>
            </w:tcBorders>
            <w:shd w:val="clear" w:color="auto" w:fill="auto"/>
            <w:noWrap/>
            <w:vAlign w:val="bottom"/>
            <w:hideMark/>
          </w:tcPr>
          <w:p w14:paraId="3E96FBC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-0.338***</w:t>
            </w:r>
          </w:p>
        </w:tc>
        <w:tc>
          <w:tcPr>
            <w:tcW w:w="1266" w:type="dxa"/>
            <w:tcBorders>
              <w:top w:val="nil"/>
              <w:left w:val="nil"/>
              <w:bottom w:val="nil"/>
              <w:right w:val="nil"/>
            </w:tcBorders>
            <w:shd w:val="clear" w:color="auto" w:fill="auto"/>
            <w:noWrap/>
            <w:vAlign w:val="bottom"/>
            <w:hideMark/>
          </w:tcPr>
          <w:p w14:paraId="4145A0D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-0.273***</w:t>
            </w:r>
          </w:p>
        </w:tc>
        <w:tc>
          <w:tcPr>
            <w:tcW w:w="1326" w:type="dxa"/>
            <w:tcBorders>
              <w:top w:val="nil"/>
              <w:left w:val="nil"/>
              <w:bottom w:val="nil"/>
              <w:right w:val="nil"/>
            </w:tcBorders>
            <w:shd w:val="clear" w:color="auto" w:fill="auto"/>
            <w:noWrap/>
            <w:vAlign w:val="bottom"/>
            <w:hideMark/>
          </w:tcPr>
          <w:p w14:paraId="273834A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-3.072*</w:t>
            </w:r>
          </w:p>
        </w:tc>
        <w:tc>
          <w:tcPr>
            <w:tcW w:w="1326" w:type="dxa"/>
            <w:tcBorders>
              <w:top w:val="nil"/>
              <w:left w:val="nil"/>
              <w:bottom w:val="nil"/>
              <w:right w:val="nil"/>
            </w:tcBorders>
            <w:shd w:val="clear" w:color="auto" w:fill="auto"/>
            <w:noWrap/>
            <w:vAlign w:val="bottom"/>
            <w:hideMark/>
          </w:tcPr>
          <w:p w14:paraId="32485DE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-3.416*</w:t>
            </w:r>
          </w:p>
        </w:tc>
        <w:tc>
          <w:tcPr>
            <w:tcW w:w="1419" w:type="dxa"/>
            <w:tcBorders>
              <w:top w:val="nil"/>
              <w:left w:val="nil"/>
              <w:bottom w:val="nil"/>
              <w:right w:val="nil"/>
            </w:tcBorders>
            <w:shd w:val="clear" w:color="auto" w:fill="auto"/>
            <w:noWrap/>
            <w:vAlign w:val="bottom"/>
            <w:hideMark/>
          </w:tcPr>
          <w:p w14:paraId="1D4851F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-19.937***</w:t>
            </w:r>
          </w:p>
        </w:tc>
        <w:tc>
          <w:tcPr>
            <w:tcW w:w="1227" w:type="dxa"/>
            <w:tcBorders>
              <w:top w:val="nil"/>
              <w:left w:val="nil"/>
              <w:bottom w:val="nil"/>
              <w:right w:val="nil"/>
            </w:tcBorders>
            <w:shd w:val="clear" w:color="auto" w:fill="auto"/>
            <w:noWrap/>
            <w:vAlign w:val="bottom"/>
            <w:hideMark/>
          </w:tcPr>
          <w:p w14:paraId="7A7C8CA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-15.264**</w:t>
            </w:r>
          </w:p>
        </w:tc>
        <w:tc>
          <w:tcPr>
            <w:tcW w:w="1170" w:type="dxa"/>
            <w:tcBorders>
              <w:top w:val="nil"/>
              <w:left w:val="nil"/>
              <w:bottom w:val="nil"/>
              <w:right w:val="nil"/>
            </w:tcBorders>
            <w:shd w:val="clear" w:color="auto" w:fill="auto"/>
            <w:noWrap/>
            <w:vAlign w:val="bottom"/>
            <w:hideMark/>
          </w:tcPr>
          <w:p w14:paraId="172BBC8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0.011***</w:t>
            </w:r>
          </w:p>
        </w:tc>
        <w:tc>
          <w:tcPr>
            <w:tcW w:w="1170" w:type="dxa"/>
            <w:tcBorders>
              <w:top w:val="nil"/>
              <w:left w:val="nil"/>
              <w:bottom w:val="nil"/>
              <w:right w:val="nil"/>
            </w:tcBorders>
            <w:shd w:val="clear" w:color="auto" w:fill="auto"/>
            <w:noWrap/>
            <w:vAlign w:val="bottom"/>
            <w:hideMark/>
          </w:tcPr>
          <w:p w14:paraId="03ED52C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0.009***</w:t>
            </w:r>
          </w:p>
        </w:tc>
      </w:tr>
      <w:tr w:rsidR="003F3FFC" w:rsidRPr="00642F03" w14:paraId="38BFD628" w14:textId="77777777" w:rsidTr="00E30957">
        <w:trPr>
          <w:trHeight w:val="300"/>
        </w:trPr>
        <w:tc>
          <w:tcPr>
            <w:tcW w:w="1530" w:type="dxa"/>
            <w:tcBorders>
              <w:top w:val="nil"/>
              <w:left w:val="nil"/>
              <w:bottom w:val="nil"/>
              <w:right w:val="nil"/>
            </w:tcBorders>
            <w:shd w:val="clear" w:color="auto" w:fill="auto"/>
            <w:noWrap/>
            <w:vAlign w:val="bottom"/>
            <w:hideMark/>
          </w:tcPr>
          <w:p w14:paraId="2070AF62"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1E04FE8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(0.087)</w:t>
            </w:r>
          </w:p>
        </w:tc>
        <w:tc>
          <w:tcPr>
            <w:tcW w:w="1266" w:type="dxa"/>
            <w:tcBorders>
              <w:top w:val="nil"/>
              <w:left w:val="nil"/>
              <w:bottom w:val="nil"/>
              <w:right w:val="nil"/>
            </w:tcBorders>
            <w:shd w:val="clear" w:color="auto" w:fill="auto"/>
            <w:noWrap/>
            <w:vAlign w:val="bottom"/>
            <w:hideMark/>
          </w:tcPr>
          <w:p w14:paraId="40A6005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(0.087)</w:t>
            </w:r>
          </w:p>
        </w:tc>
        <w:tc>
          <w:tcPr>
            <w:tcW w:w="1326" w:type="dxa"/>
            <w:tcBorders>
              <w:top w:val="nil"/>
              <w:left w:val="nil"/>
              <w:bottom w:val="nil"/>
              <w:right w:val="nil"/>
            </w:tcBorders>
            <w:shd w:val="clear" w:color="auto" w:fill="auto"/>
            <w:noWrap/>
            <w:vAlign w:val="bottom"/>
            <w:hideMark/>
          </w:tcPr>
          <w:p w14:paraId="3B67443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(1.599)</w:t>
            </w:r>
          </w:p>
        </w:tc>
        <w:tc>
          <w:tcPr>
            <w:tcW w:w="1326" w:type="dxa"/>
            <w:tcBorders>
              <w:top w:val="nil"/>
              <w:left w:val="nil"/>
              <w:bottom w:val="nil"/>
              <w:right w:val="nil"/>
            </w:tcBorders>
            <w:shd w:val="clear" w:color="auto" w:fill="auto"/>
            <w:noWrap/>
            <w:vAlign w:val="bottom"/>
            <w:hideMark/>
          </w:tcPr>
          <w:p w14:paraId="03B110E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(1.667)</w:t>
            </w:r>
          </w:p>
        </w:tc>
        <w:tc>
          <w:tcPr>
            <w:tcW w:w="1419" w:type="dxa"/>
            <w:tcBorders>
              <w:top w:val="nil"/>
              <w:left w:val="nil"/>
              <w:bottom w:val="nil"/>
              <w:right w:val="nil"/>
            </w:tcBorders>
            <w:shd w:val="clear" w:color="auto" w:fill="auto"/>
            <w:noWrap/>
            <w:vAlign w:val="bottom"/>
            <w:hideMark/>
          </w:tcPr>
          <w:p w14:paraId="3AE251B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(5.828)</w:t>
            </w:r>
          </w:p>
        </w:tc>
        <w:tc>
          <w:tcPr>
            <w:tcW w:w="1227" w:type="dxa"/>
            <w:tcBorders>
              <w:top w:val="nil"/>
              <w:left w:val="nil"/>
              <w:bottom w:val="nil"/>
              <w:right w:val="nil"/>
            </w:tcBorders>
            <w:shd w:val="clear" w:color="auto" w:fill="auto"/>
            <w:noWrap/>
            <w:vAlign w:val="bottom"/>
            <w:hideMark/>
          </w:tcPr>
          <w:p w14:paraId="1765FDF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(5.592)</w:t>
            </w:r>
          </w:p>
        </w:tc>
        <w:tc>
          <w:tcPr>
            <w:tcW w:w="1170" w:type="dxa"/>
            <w:tcBorders>
              <w:top w:val="nil"/>
              <w:left w:val="nil"/>
              <w:bottom w:val="nil"/>
              <w:right w:val="nil"/>
            </w:tcBorders>
            <w:shd w:val="clear" w:color="auto" w:fill="auto"/>
            <w:noWrap/>
            <w:vAlign w:val="bottom"/>
            <w:hideMark/>
          </w:tcPr>
          <w:p w14:paraId="3ECC21A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3833DD5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r>
      <w:tr w:rsidR="003F3FFC" w:rsidRPr="00642F03" w14:paraId="04937834" w14:textId="77777777" w:rsidTr="00E30957">
        <w:trPr>
          <w:trHeight w:val="300"/>
        </w:trPr>
        <w:tc>
          <w:tcPr>
            <w:tcW w:w="1530" w:type="dxa"/>
            <w:tcBorders>
              <w:top w:val="nil"/>
              <w:left w:val="nil"/>
              <w:bottom w:val="nil"/>
              <w:right w:val="nil"/>
            </w:tcBorders>
            <w:shd w:val="clear" w:color="auto" w:fill="auto"/>
            <w:noWrap/>
            <w:vAlign w:val="bottom"/>
            <w:hideMark/>
          </w:tcPr>
          <w:p w14:paraId="32879E2A"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17CB7EBD"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74C9C517"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B9AF88A"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033DC9A3"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46D1D4C"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1909D776"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99B952C"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50B68184"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2A5E648F" w14:textId="77777777" w:rsidTr="00E30957">
        <w:trPr>
          <w:trHeight w:val="280"/>
        </w:trPr>
        <w:tc>
          <w:tcPr>
            <w:tcW w:w="1530" w:type="dxa"/>
            <w:tcBorders>
              <w:top w:val="nil"/>
              <w:left w:val="nil"/>
              <w:bottom w:val="nil"/>
              <w:right w:val="nil"/>
            </w:tcBorders>
            <w:shd w:val="clear" w:color="auto" w:fill="auto"/>
            <w:noWrap/>
            <w:vAlign w:val="center"/>
            <w:hideMark/>
          </w:tcPr>
          <w:p w14:paraId="28770ECD"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Week</w:t>
            </w:r>
          </w:p>
        </w:tc>
        <w:tc>
          <w:tcPr>
            <w:tcW w:w="1266" w:type="dxa"/>
            <w:tcBorders>
              <w:top w:val="nil"/>
              <w:left w:val="nil"/>
              <w:bottom w:val="nil"/>
              <w:right w:val="nil"/>
            </w:tcBorders>
            <w:shd w:val="clear" w:color="auto" w:fill="auto"/>
            <w:noWrap/>
            <w:vAlign w:val="bottom"/>
            <w:hideMark/>
          </w:tcPr>
          <w:p w14:paraId="7A7F92E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0.027***</w:t>
            </w:r>
          </w:p>
        </w:tc>
        <w:tc>
          <w:tcPr>
            <w:tcW w:w="1266" w:type="dxa"/>
            <w:tcBorders>
              <w:top w:val="nil"/>
              <w:left w:val="nil"/>
              <w:bottom w:val="nil"/>
              <w:right w:val="nil"/>
            </w:tcBorders>
            <w:shd w:val="clear" w:color="auto" w:fill="auto"/>
            <w:noWrap/>
            <w:vAlign w:val="bottom"/>
            <w:hideMark/>
          </w:tcPr>
          <w:p w14:paraId="0B32BBB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0.016**</w:t>
            </w:r>
          </w:p>
        </w:tc>
        <w:tc>
          <w:tcPr>
            <w:tcW w:w="1326" w:type="dxa"/>
            <w:tcBorders>
              <w:top w:val="nil"/>
              <w:left w:val="nil"/>
              <w:bottom w:val="nil"/>
              <w:right w:val="nil"/>
            </w:tcBorders>
            <w:shd w:val="clear" w:color="auto" w:fill="auto"/>
            <w:noWrap/>
            <w:vAlign w:val="bottom"/>
            <w:hideMark/>
          </w:tcPr>
          <w:p w14:paraId="345876F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0.369***</w:t>
            </w:r>
          </w:p>
        </w:tc>
        <w:tc>
          <w:tcPr>
            <w:tcW w:w="1326" w:type="dxa"/>
            <w:tcBorders>
              <w:top w:val="nil"/>
              <w:left w:val="nil"/>
              <w:bottom w:val="nil"/>
              <w:right w:val="nil"/>
            </w:tcBorders>
            <w:shd w:val="clear" w:color="auto" w:fill="auto"/>
            <w:noWrap/>
            <w:vAlign w:val="bottom"/>
            <w:hideMark/>
          </w:tcPr>
          <w:p w14:paraId="40D86B2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0.461***</w:t>
            </w:r>
          </w:p>
        </w:tc>
        <w:tc>
          <w:tcPr>
            <w:tcW w:w="1419" w:type="dxa"/>
            <w:tcBorders>
              <w:top w:val="nil"/>
              <w:left w:val="nil"/>
              <w:bottom w:val="nil"/>
              <w:right w:val="nil"/>
            </w:tcBorders>
            <w:shd w:val="clear" w:color="auto" w:fill="auto"/>
            <w:noWrap/>
            <w:vAlign w:val="bottom"/>
            <w:hideMark/>
          </w:tcPr>
          <w:p w14:paraId="49944C7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1.504***</w:t>
            </w:r>
          </w:p>
        </w:tc>
        <w:tc>
          <w:tcPr>
            <w:tcW w:w="1227" w:type="dxa"/>
            <w:tcBorders>
              <w:top w:val="nil"/>
              <w:left w:val="nil"/>
              <w:bottom w:val="nil"/>
              <w:right w:val="nil"/>
            </w:tcBorders>
            <w:shd w:val="clear" w:color="auto" w:fill="auto"/>
            <w:noWrap/>
            <w:vAlign w:val="bottom"/>
            <w:hideMark/>
          </w:tcPr>
          <w:p w14:paraId="5946C7D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1.564***</w:t>
            </w:r>
          </w:p>
        </w:tc>
        <w:tc>
          <w:tcPr>
            <w:tcW w:w="1170" w:type="dxa"/>
            <w:tcBorders>
              <w:top w:val="nil"/>
              <w:left w:val="nil"/>
              <w:bottom w:val="nil"/>
              <w:right w:val="nil"/>
            </w:tcBorders>
            <w:shd w:val="clear" w:color="auto" w:fill="auto"/>
            <w:noWrap/>
            <w:vAlign w:val="bottom"/>
            <w:hideMark/>
          </w:tcPr>
          <w:p w14:paraId="0B6CCBE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-0.002***</w:t>
            </w:r>
          </w:p>
        </w:tc>
        <w:tc>
          <w:tcPr>
            <w:tcW w:w="1170" w:type="dxa"/>
            <w:tcBorders>
              <w:top w:val="nil"/>
              <w:left w:val="nil"/>
              <w:bottom w:val="nil"/>
              <w:right w:val="nil"/>
            </w:tcBorders>
            <w:shd w:val="clear" w:color="auto" w:fill="auto"/>
            <w:noWrap/>
            <w:vAlign w:val="bottom"/>
            <w:hideMark/>
          </w:tcPr>
          <w:p w14:paraId="67D67BF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r>
      <w:tr w:rsidR="003F3FFC" w:rsidRPr="00642F03" w14:paraId="30639E9A" w14:textId="77777777" w:rsidTr="00E30957">
        <w:trPr>
          <w:trHeight w:val="300"/>
        </w:trPr>
        <w:tc>
          <w:tcPr>
            <w:tcW w:w="1530" w:type="dxa"/>
            <w:tcBorders>
              <w:top w:val="nil"/>
              <w:left w:val="nil"/>
              <w:bottom w:val="nil"/>
              <w:right w:val="nil"/>
            </w:tcBorders>
            <w:shd w:val="clear" w:color="auto" w:fill="auto"/>
            <w:noWrap/>
            <w:vAlign w:val="bottom"/>
            <w:hideMark/>
          </w:tcPr>
          <w:p w14:paraId="024493C6"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1BE5D3E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(0.005)</w:t>
            </w:r>
          </w:p>
        </w:tc>
        <w:tc>
          <w:tcPr>
            <w:tcW w:w="1266" w:type="dxa"/>
            <w:tcBorders>
              <w:top w:val="nil"/>
              <w:left w:val="nil"/>
              <w:bottom w:val="nil"/>
              <w:right w:val="nil"/>
            </w:tcBorders>
            <w:shd w:val="clear" w:color="auto" w:fill="auto"/>
            <w:noWrap/>
            <w:vAlign w:val="bottom"/>
            <w:hideMark/>
          </w:tcPr>
          <w:p w14:paraId="5AFEBE2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(0.007)</w:t>
            </w:r>
          </w:p>
        </w:tc>
        <w:tc>
          <w:tcPr>
            <w:tcW w:w="1326" w:type="dxa"/>
            <w:tcBorders>
              <w:top w:val="nil"/>
              <w:left w:val="nil"/>
              <w:bottom w:val="nil"/>
              <w:right w:val="nil"/>
            </w:tcBorders>
            <w:shd w:val="clear" w:color="auto" w:fill="auto"/>
            <w:noWrap/>
            <w:vAlign w:val="bottom"/>
            <w:hideMark/>
          </w:tcPr>
          <w:p w14:paraId="79D2A7D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(0.080)</w:t>
            </w:r>
          </w:p>
        </w:tc>
        <w:tc>
          <w:tcPr>
            <w:tcW w:w="1326" w:type="dxa"/>
            <w:tcBorders>
              <w:top w:val="nil"/>
              <w:left w:val="nil"/>
              <w:bottom w:val="nil"/>
              <w:right w:val="nil"/>
            </w:tcBorders>
            <w:shd w:val="clear" w:color="auto" w:fill="auto"/>
            <w:noWrap/>
            <w:vAlign w:val="bottom"/>
            <w:hideMark/>
          </w:tcPr>
          <w:p w14:paraId="217E386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(0.112)</w:t>
            </w:r>
          </w:p>
        </w:tc>
        <w:tc>
          <w:tcPr>
            <w:tcW w:w="1419" w:type="dxa"/>
            <w:tcBorders>
              <w:top w:val="nil"/>
              <w:left w:val="nil"/>
              <w:bottom w:val="nil"/>
              <w:right w:val="nil"/>
            </w:tcBorders>
            <w:shd w:val="clear" w:color="auto" w:fill="auto"/>
            <w:noWrap/>
            <w:vAlign w:val="bottom"/>
            <w:hideMark/>
          </w:tcPr>
          <w:p w14:paraId="02478C8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(0.382)</w:t>
            </w:r>
          </w:p>
        </w:tc>
        <w:tc>
          <w:tcPr>
            <w:tcW w:w="1227" w:type="dxa"/>
            <w:tcBorders>
              <w:top w:val="nil"/>
              <w:left w:val="nil"/>
              <w:bottom w:val="nil"/>
              <w:right w:val="nil"/>
            </w:tcBorders>
            <w:shd w:val="clear" w:color="auto" w:fill="auto"/>
            <w:noWrap/>
            <w:vAlign w:val="bottom"/>
            <w:hideMark/>
          </w:tcPr>
          <w:p w14:paraId="0DE71C9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(0.464)</w:t>
            </w:r>
          </w:p>
        </w:tc>
        <w:tc>
          <w:tcPr>
            <w:tcW w:w="1170" w:type="dxa"/>
            <w:tcBorders>
              <w:top w:val="nil"/>
              <w:left w:val="nil"/>
              <w:bottom w:val="nil"/>
              <w:right w:val="nil"/>
            </w:tcBorders>
            <w:shd w:val="clear" w:color="auto" w:fill="auto"/>
            <w:noWrap/>
            <w:vAlign w:val="bottom"/>
            <w:hideMark/>
          </w:tcPr>
          <w:p w14:paraId="763FB46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c>
          <w:tcPr>
            <w:tcW w:w="1170" w:type="dxa"/>
            <w:tcBorders>
              <w:top w:val="nil"/>
              <w:left w:val="nil"/>
              <w:bottom w:val="nil"/>
              <w:right w:val="nil"/>
            </w:tcBorders>
            <w:shd w:val="clear" w:color="auto" w:fill="auto"/>
            <w:noWrap/>
            <w:vAlign w:val="bottom"/>
            <w:hideMark/>
          </w:tcPr>
          <w:p w14:paraId="04F7C59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r>
      <w:tr w:rsidR="003F3FFC" w:rsidRPr="00642F03" w14:paraId="3A14213B" w14:textId="77777777" w:rsidTr="00E30957">
        <w:trPr>
          <w:trHeight w:val="300"/>
        </w:trPr>
        <w:tc>
          <w:tcPr>
            <w:tcW w:w="1530" w:type="dxa"/>
            <w:tcBorders>
              <w:top w:val="nil"/>
              <w:left w:val="nil"/>
              <w:bottom w:val="nil"/>
              <w:right w:val="nil"/>
            </w:tcBorders>
            <w:shd w:val="clear" w:color="auto" w:fill="auto"/>
            <w:noWrap/>
            <w:vAlign w:val="bottom"/>
            <w:hideMark/>
          </w:tcPr>
          <w:p w14:paraId="78C839A2"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3457E4D4"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2AF25EED"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2F306FA2"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03762E7"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17DA3BF2"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2A3A687D"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DC75862"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3965A55"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72878C24" w14:textId="77777777" w:rsidTr="00E30957">
        <w:trPr>
          <w:trHeight w:val="280"/>
        </w:trPr>
        <w:tc>
          <w:tcPr>
            <w:tcW w:w="1530" w:type="dxa"/>
            <w:tcBorders>
              <w:top w:val="nil"/>
              <w:left w:val="nil"/>
              <w:bottom w:val="nil"/>
              <w:right w:val="nil"/>
            </w:tcBorders>
            <w:shd w:val="clear" w:color="auto" w:fill="auto"/>
            <w:noWrap/>
            <w:vAlign w:val="center"/>
            <w:hideMark/>
          </w:tcPr>
          <w:p w14:paraId="314BB0AC"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Strike × Week</w:t>
            </w:r>
          </w:p>
        </w:tc>
        <w:tc>
          <w:tcPr>
            <w:tcW w:w="1266" w:type="dxa"/>
            <w:tcBorders>
              <w:top w:val="nil"/>
              <w:left w:val="nil"/>
              <w:bottom w:val="nil"/>
              <w:right w:val="nil"/>
            </w:tcBorders>
            <w:shd w:val="clear" w:color="auto" w:fill="auto"/>
            <w:noWrap/>
            <w:vAlign w:val="bottom"/>
            <w:hideMark/>
          </w:tcPr>
          <w:p w14:paraId="3FC580F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0.095***</w:t>
            </w:r>
          </w:p>
        </w:tc>
        <w:tc>
          <w:tcPr>
            <w:tcW w:w="1266" w:type="dxa"/>
            <w:tcBorders>
              <w:top w:val="nil"/>
              <w:left w:val="nil"/>
              <w:bottom w:val="nil"/>
              <w:right w:val="nil"/>
            </w:tcBorders>
            <w:shd w:val="clear" w:color="auto" w:fill="auto"/>
            <w:noWrap/>
            <w:vAlign w:val="bottom"/>
            <w:hideMark/>
          </w:tcPr>
          <w:p w14:paraId="16F14C5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0.002</w:t>
            </w:r>
          </w:p>
        </w:tc>
        <w:tc>
          <w:tcPr>
            <w:tcW w:w="1326" w:type="dxa"/>
            <w:tcBorders>
              <w:top w:val="nil"/>
              <w:left w:val="nil"/>
              <w:bottom w:val="nil"/>
              <w:right w:val="nil"/>
            </w:tcBorders>
            <w:shd w:val="clear" w:color="auto" w:fill="auto"/>
            <w:noWrap/>
            <w:vAlign w:val="bottom"/>
            <w:hideMark/>
          </w:tcPr>
          <w:p w14:paraId="420A597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1.978***</w:t>
            </w:r>
          </w:p>
        </w:tc>
        <w:tc>
          <w:tcPr>
            <w:tcW w:w="1326" w:type="dxa"/>
            <w:tcBorders>
              <w:top w:val="nil"/>
              <w:left w:val="nil"/>
              <w:bottom w:val="nil"/>
              <w:right w:val="nil"/>
            </w:tcBorders>
            <w:shd w:val="clear" w:color="auto" w:fill="auto"/>
            <w:noWrap/>
            <w:vAlign w:val="bottom"/>
            <w:hideMark/>
          </w:tcPr>
          <w:p w14:paraId="2216ABA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0.094</w:t>
            </w:r>
          </w:p>
        </w:tc>
        <w:tc>
          <w:tcPr>
            <w:tcW w:w="1419" w:type="dxa"/>
            <w:tcBorders>
              <w:top w:val="nil"/>
              <w:left w:val="nil"/>
              <w:bottom w:val="nil"/>
              <w:right w:val="nil"/>
            </w:tcBorders>
            <w:shd w:val="clear" w:color="auto" w:fill="auto"/>
            <w:noWrap/>
            <w:vAlign w:val="bottom"/>
            <w:hideMark/>
          </w:tcPr>
          <w:p w14:paraId="5AC410D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6.428***</w:t>
            </w:r>
          </w:p>
        </w:tc>
        <w:tc>
          <w:tcPr>
            <w:tcW w:w="1227" w:type="dxa"/>
            <w:tcBorders>
              <w:top w:val="nil"/>
              <w:left w:val="nil"/>
              <w:bottom w:val="nil"/>
              <w:right w:val="nil"/>
            </w:tcBorders>
            <w:shd w:val="clear" w:color="auto" w:fill="auto"/>
            <w:noWrap/>
            <w:vAlign w:val="bottom"/>
            <w:hideMark/>
          </w:tcPr>
          <w:p w14:paraId="2EC5F20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-2.403</w:t>
            </w:r>
          </w:p>
        </w:tc>
        <w:tc>
          <w:tcPr>
            <w:tcW w:w="1170" w:type="dxa"/>
            <w:tcBorders>
              <w:top w:val="nil"/>
              <w:left w:val="nil"/>
              <w:bottom w:val="nil"/>
              <w:right w:val="nil"/>
            </w:tcBorders>
            <w:shd w:val="clear" w:color="auto" w:fill="auto"/>
            <w:noWrap/>
            <w:vAlign w:val="bottom"/>
            <w:hideMark/>
          </w:tcPr>
          <w:p w14:paraId="7AE2B0A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-0.005***</w:t>
            </w:r>
          </w:p>
        </w:tc>
        <w:tc>
          <w:tcPr>
            <w:tcW w:w="1170" w:type="dxa"/>
            <w:tcBorders>
              <w:top w:val="nil"/>
              <w:left w:val="nil"/>
              <w:bottom w:val="nil"/>
              <w:right w:val="nil"/>
            </w:tcBorders>
            <w:shd w:val="clear" w:color="auto" w:fill="auto"/>
            <w:noWrap/>
            <w:vAlign w:val="bottom"/>
            <w:hideMark/>
          </w:tcPr>
          <w:p w14:paraId="65A127F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-0.003***</w:t>
            </w:r>
          </w:p>
        </w:tc>
      </w:tr>
      <w:tr w:rsidR="003F3FFC" w:rsidRPr="00642F03" w14:paraId="0CC8B71A" w14:textId="77777777" w:rsidTr="00E30957">
        <w:trPr>
          <w:trHeight w:val="300"/>
        </w:trPr>
        <w:tc>
          <w:tcPr>
            <w:tcW w:w="1530" w:type="dxa"/>
            <w:tcBorders>
              <w:top w:val="nil"/>
              <w:left w:val="nil"/>
              <w:bottom w:val="nil"/>
              <w:right w:val="nil"/>
            </w:tcBorders>
            <w:shd w:val="clear" w:color="auto" w:fill="auto"/>
            <w:noWrap/>
            <w:vAlign w:val="bottom"/>
            <w:hideMark/>
          </w:tcPr>
          <w:p w14:paraId="5518379D"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1D1A69A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(0.031)</w:t>
            </w:r>
          </w:p>
        </w:tc>
        <w:tc>
          <w:tcPr>
            <w:tcW w:w="1266" w:type="dxa"/>
            <w:tcBorders>
              <w:top w:val="nil"/>
              <w:left w:val="nil"/>
              <w:bottom w:val="nil"/>
              <w:right w:val="nil"/>
            </w:tcBorders>
            <w:shd w:val="clear" w:color="auto" w:fill="auto"/>
            <w:noWrap/>
            <w:vAlign w:val="bottom"/>
            <w:hideMark/>
          </w:tcPr>
          <w:p w14:paraId="19545A4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(0.034)</w:t>
            </w:r>
          </w:p>
        </w:tc>
        <w:tc>
          <w:tcPr>
            <w:tcW w:w="1326" w:type="dxa"/>
            <w:tcBorders>
              <w:top w:val="nil"/>
              <w:left w:val="nil"/>
              <w:bottom w:val="nil"/>
              <w:right w:val="nil"/>
            </w:tcBorders>
            <w:shd w:val="clear" w:color="auto" w:fill="auto"/>
            <w:noWrap/>
            <w:vAlign w:val="bottom"/>
            <w:hideMark/>
          </w:tcPr>
          <w:p w14:paraId="54172BA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(0.522)</w:t>
            </w:r>
          </w:p>
        </w:tc>
        <w:tc>
          <w:tcPr>
            <w:tcW w:w="1326" w:type="dxa"/>
            <w:tcBorders>
              <w:top w:val="nil"/>
              <w:left w:val="nil"/>
              <w:bottom w:val="nil"/>
              <w:right w:val="nil"/>
            </w:tcBorders>
            <w:shd w:val="clear" w:color="auto" w:fill="auto"/>
            <w:noWrap/>
            <w:vAlign w:val="bottom"/>
            <w:hideMark/>
          </w:tcPr>
          <w:p w14:paraId="17F1AC4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(0.567)</w:t>
            </w:r>
          </w:p>
        </w:tc>
        <w:tc>
          <w:tcPr>
            <w:tcW w:w="1419" w:type="dxa"/>
            <w:tcBorders>
              <w:top w:val="nil"/>
              <w:left w:val="nil"/>
              <w:bottom w:val="nil"/>
              <w:right w:val="nil"/>
            </w:tcBorders>
            <w:shd w:val="clear" w:color="auto" w:fill="auto"/>
            <w:noWrap/>
            <w:vAlign w:val="bottom"/>
            <w:hideMark/>
          </w:tcPr>
          <w:p w14:paraId="2D6B3C7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(1.574)</w:t>
            </w:r>
          </w:p>
        </w:tc>
        <w:tc>
          <w:tcPr>
            <w:tcW w:w="1227" w:type="dxa"/>
            <w:tcBorders>
              <w:top w:val="nil"/>
              <w:left w:val="nil"/>
              <w:bottom w:val="nil"/>
              <w:right w:val="nil"/>
            </w:tcBorders>
            <w:shd w:val="clear" w:color="auto" w:fill="auto"/>
            <w:noWrap/>
            <w:vAlign w:val="bottom"/>
            <w:hideMark/>
          </w:tcPr>
          <w:p w14:paraId="05FB9A2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(1.813)</w:t>
            </w:r>
          </w:p>
        </w:tc>
        <w:tc>
          <w:tcPr>
            <w:tcW w:w="1170" w:type="dxa"/>
            <w:tcBorders>
              <w:top w:val="nil"/>
              <w:left w:val="nil"/>
              <w:bottom w:val="nil"/>
              <w:right w:val="nil"/>
            </w:tcBorders>
            <w:shd w:val="clear" w:color="auto" w:fill="auto"/>
            <w:noWrap/>
            <w:vAlign w:val="bottom"/>
            <w:hideMark/>
          </w:tcPr>
          <w:p w14:paraId="20561D8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c>
          <w:tcPr>
            <w:tcW w:w="1170" w:type="dxa"/>
            <w:tcBorders>
              <w:top w:val="nil"/>
              <w:left w:val="nil"/>
              <w:bottom w:val="nil"/>
              <w:right w:val="nil"/>
            </w:tcBorders>
            <w:shd w:val="clear" w:color="auto" w:fill="auto"/>
            <w:noWrap/>
            <w:vAlign w:val="bottom"/>
            <w:hideMark/>
          </w:tcPr>
          <w:p w14:paraId="22B820A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r>
      <w:tr w:rsidR="003F3FFC" w:rsidRPr="00642F03" w14:paraId="004DD5A7" w14:textId="77777777" w:rsidTr="00E30957">
        <w:trPr>
          <w:trHeight w:val="300"/>
        </w:trPr>
        <w:tc>
          <w:tcPr>
            <w:tcW w:w="1530" w:type="dxa"/>
            <w:tcBorders>
              <w:top w:val="nil"/>
              <w:left w:val="nil"/>
              <w:bottom w:val="nil"/>
              <w:right w:val="nil"/>
            </w:tcBorders>
            <w:shd w:val="clear" w:color="auto" w:fill="auto"/>
            <w:noWrap/>
            <w:vAlign w:val="bottom"/>
            <w:hideMark/>
          </w:tcPr>
          <w:p w14:paraId="0B252888"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2B9092D8"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645E2D1A"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0BF526F9"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56E4E0D8"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259295C3"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038824C6"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8F7659F"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602463F"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6F4C1004" w14:textId="77777777" w:rsidTr="00E30957">
        <w:trPr>
          <w:trHeight w:val="280"/>
        </w:trPr>
        <w:tc>
          <w:tcPr>
            <w:tcW w:w="1530" w:type="dxa"/>
            <w:tcBorders>
              <w:top w:val="nil"/>
              <w:left w:val="nil"/>
              <w:bottom w:val="nil"/>
              <w:right w:val="nil"/>
            </w:tcBorders>
            <w:shd w:val="clear" w:color="auto" w:fill="auto"/>
            <w:noWrap/>
            <w:vAlign w:val="center"/>
            <w:hideMark/>
          </w:tcPr>
          <w:p w14:paraId="450A1753"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Treat × Week</w:t>
            </w:r>
          </w:p>
        </w:tc>
        <w:tc>
          <w:tcPr>
            <w:tcW w:w="1266" w:type="dxa"/>
            <w:tcBorders>
              <w:top w:val="nil"/>
              <w:left w:val="nil"/>
              <w:bottom w:val="nil"/>
              <w:right w:val="nil"/>
            </w:tcBorders>
            <w:shd w:val="clear" w:color="auto" w:fill="auto"/>
            <w:noWrap/>
            <w:vAlign w:val="bottom"/>
            <w:hideMark/>
          </w:tcPr>
          <w:p w14:paraId="2F2D92B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c>
          <w:tcPr>
            <w:tcW w:w="1266" w:type="dxa"/>
            <w:tcBorders>
              <w:top w:val="nil"/>
              <w:left w:val="nil"/>
              <w:bottom w:val="nil"/>
              <w:right w:val="nil"/>
            </w:tcBorders>
            <w:shd w:val="clear" w:color="auto" w:fill="auto"/>
            <w:noWrap/>
            <w:vAlign w:val="bottom"/>
            <w:hideMark/>
          </w:tcPr>
          <w:p w14:paraId="026223E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-0.032***</w:t>
            </w:r>
          </w:p>
        </w:tc>
        <w:tc>
          <w:tcPr>
            <w:tcW w:w="1326" w:type="dxa"/>
            <w:tcBorders>
              <w:top w:val="nil"/>
              <w:left w:val="nil"/>
              <w:bottom w:val="nil"/>
              <w:right w:val="nil"/>
            </w:tcBorders>
            <w:shd w:val="clear" w:color="auto" w:fill="auto"/>
            <w:noWrap/>
            <w:vAlign w:val="bottom"/>
            <w:hideMark/>
          </w:tcPr>
          <w:p w14:paraId="0A07982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-0.315</w:t>
            </w:r>
          </w:p>
        </w:tc>
        <w:tc>
          <w:tcPr>
            <w:tcW w:w="1326" w:type="dxa"/>
            <w:tcBorders>
              <w:top w:val="nil"/>
              <w:left w:val="nil"/>
              <w:bottom w:val="nil"/>
              <w:right w:val="nil"/>
            </w:tcBorders>
            <w:shd w:val="clear" w:color="auto" w:fill="auto"/>
            <w:noWrap/>
            <w:vAlign w:val="bottom"/>
            <w:hideMark/>
          </w:tcPr>
          <w:p w14:paraId="6064DE1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-0.837***</w:t>
            </w:r>
          </w:p>
        </w:tc>
        <w:tc>
          <w:tcPr>
            <w:tcW w:w="1419" w:type="dxa"/>
            <w:tcBorders>
              <w:top w:val="nil"/>
              <w:left w:val="nil"/>
              <w:bottom w:val="nil"/>
              <w:right w:val="nil"/>
            </w:tcBorders>
            <w:shd w:val="clear" w:color="auto" w:fill="auto"/>
            <w:noWrap/>
            <w:vAlign w:val="bottom"/>
            <w:hideMark/>
          </w:tcPr>
          <w:p w14:paraId="18A92BF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1.329*</w:t>
            </w:r>
          </w:p>
        </w:tc>
        <w:tc>
          <w:tcPr>
            <w:tcW w:w="1227" w:type="dxa"/>
            <w:tcBorders>
              <w:top w:val="nil"/>
              <w:left w:val="nil"/>
              <w:bottom w:val="nil"/>
              <w:right w:val="nil"/>
            </w:tcBorders>
            <w:shd w:val="clear" w:color="auto" w:fill="auto"/>
            <w:noWrap/>
            <w:vAlign w:val="bottom"/>
            <w:hideMark/>
          </w:tcPr>
          <w:p w14:paraId="2D081A1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-1.136*</w:t>
            </w:r>
          </w:p>
        </w:tc>
        <w:tc>
          <w:tcPr>
            <w:tcW w:w="1170" w:type="dxa"/>
            <w:tcBorders>
              <w:top w:val="nil"/>
              <w:left w:val="nil"/>
              <w:bottom w:val="nil"/>
              <w:right w:val="nil"/>
            </w:tcBorders>
            <w:shd w:val="clear" w:color="auto" w:fill="auto"/>
            <w:noWrap/>
            <w:vAlign w:val="bottom"/>
            <w:hideMark/>
          </w:tcPr>
          <w:p w14:paraId="2ADEA8A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3AF8A12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r>
      <w:tr w:rsidR="003F3FFC" w:rsidRPr="00642F03" w14:paraId="10C8F66C" w14:textId="77777777" w:rsidTr="00E30957">
        <w:trPr>
          <w:trHeight w:val="300"/>
        </w:trPr>
        <w:tc>
          <w:tcPr>
            <w:tcW w:w="1530" w:type="dxa"/>
            <w:tcBorders>
              <w:top w:val="nil"/>
              <w:left w:val="nil"/>
              <w:bottom w:val="nil"/>
              <w:right w:val="nil"/>
            </w:tcBorders>
            <w:shd w:val="clear" w:color="auto" w:fill="auto"/>
            <w:noWrap/>
            <w:vAlign w:val="bottom"/>
            <w:hideMark/>
          </w:tcPr>
          <w:p w14:paraId="540F4D08"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6A0B152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(0.009)</w:t>
            </w:r>
          </w:p>
        </w:tc>
        <w:tc>
          <w:tcPr>
            <w:tcW w:w="1266" w:type="dxa"/>
            <w:tcBorders>
              <w:top w:val="nil"/>
              <w:left w:val="nil"/>
              <w:bottom w:val="nil"/>
              <w:right w:val="nil"/>
            </w:tcBorders>
            <w:shd w:val="clear" w:color="auto" w:fill="auto"/>
            <w:noWrap/>
            <w:vAlign w:val="bottom"/>
            <w:hideMark/>
          </w:tcPr>
          <w:p w14:paraId="4638676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(0.007)</w:t>
            </w:r>
          </w:p>
        </w:tc>
        <w:tc>
          <w:tcPr>
            <w:tcW w:w="1326" w:type="dxa"/>
            <w:tcBorders>
              <w:top w:val="nil"/>
              <w:left w:val="nil"/>
              <w:bottom w:val="nil"/>
              <w:right w:val="nil"/>
            </w:tcBorders>
            <w:shd w:val="clear" w:color="auto" w:fill="auto"/>
            <w:noWrap/>
            <w:vAlign w:val="bottom"/>
            <w:hideMark/>
          </w:tcPr>
          <w:p w14:paraId="7CE4485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(0.186)</w:t>
            </w:r>
          </w:p>
        </w:tc>
        <w:tc>
          <w:tcPr>
            <w:tcW w:w="1326" w:type="dxa"/>
            <w:tcBorders>
              <w:top w:val="nil"/>
              <w:left w:val="nil"/>
              <w:bottom w:val="nil"/>
              <w:right w:val="nil"/>
            </w:tcBorders>
            <w:shd w:val="clear" w:color="auto" w:fill="auto"/>
            <w:noWrap/>
            <w:vAlign w:val="bottom"/>
            <w:hideMark/>
          </w:tcPr>
          <w:p w14:paraId="5CB71A1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(0.123)</w:t>
            </w:r>
          </w:p>
        </w:tc>
        <w:tc>
          <w:tcPr>
            <w:tcW w:w="1419" w:type="dxa"/>
            <w:tcBorders>
              <w:top w:val="nil"/>
              <w:left w:val="nil"/>
              <w:bottom w:val="nil"/>
              <w:right w:val="nil"/>
            </w:tcBorders>
            <w:shd w:val="clear" w:color="auto" w:fill="auto"/>
            <w:noWrap/>
            <w:vAlign w:val="bottom"/>
            <w:hideMark/>
          </w:tcPr>
          <w:p w14:paraId="777126C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(0.695)</w:t>
            </w:r>
          </w:p>
        </w:tc>
        <w:tc>
          <w:tcPr>
            <w:tcW w:w="1227" w:type="dxa"/>
            <w:tcBorders>
              <w:top w:val="nil"/>
              <w:left w:val="nil"/>
              <w:bottom w:val="nil"/>
              <w:right w:val="nil"/>
            </w:tcBorders>
            <w:shd w:val="clear" w:color="auto" w:fill="auto"/>
            <w:noWrap/>
            <w:vAlign w:val="bottom"/>
            <w:hideMark/>
          </w:tcPr>
          <w:p w14:paraId="4AEA214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(0.554)</w:t>
            </w:r>
          </w:p>
        </w:tc>
        <w:tc>
          <w:tcPr>
            <w:tcW w:w="1170" w:type="dxa"/>
            <w:tcBorders>
              <w:top w:val="nil"/>
              <w:left w:val="nil"/>
              <w:bottom w:val="nil"/>
              <w:right w:val="nil"/>
            </w:tcBorders>
            <w:shd w:val="clear" w:color="auto" w:fill="auto"/>
            <w:noWrap/>
            <w:vAlign w:val="bottom"/>
            <w:hideMark/>
          </w:tcPr>
          <w:p w14:paraId="130C3BA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c>
          <w:tcPr>
            <w:tcW w:w="1170" w:type="dxa"/>
            <w:tcBorders>
              <w:top w:val="nil"/>
              <w:left w:val="nil"/>
              <w:bottom w:val="nil"/>
              <w:right w:val="nil"/>
            </w:tcBorders>
            <w:shd w:val="clear" w:color="auto" w:fill="auto"/>
            <w:noWrap/>
            <w:vAlign w:val="bottom"/>
            <w:hideMark/>
          </w:tcPr>
          <w:p w14:paraId="57591D6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r>
      <w:tr w:rsidR="003F3FFC" w:rsidRPr="00642F03" w14:paraId="475DC2AF" w14:textId="77777777" w:rsidTr="00E30957">
        <w:trPr>
          <w:trHeight w:val="300"/>
        </w:trPr>
        <w:tc>
          <w:tcPr>
            <w:tcW w:w="1530" w:type="dxa"/>
            <w:tcBorders>
              <w:top w:val="nil"/>
              <w:left w:val="nil"/>
              <w:bottom w:val="nil"/>
              <w:right w:val="nil"/>
            </w:tcBorders>
            <w:shd w:val="clear" w:color="auto" w:fill="auto"/>
            <w:noWrap/>
            <w:vAlign w:val="bottom"/>
            <w:hideMark/>
          </w:tcPr>
          <w:p w14:paraId="08A23B18"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52C1C17D"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6E28B3F8"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2A8D2FF3"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057544B0"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7ED8CB62"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5DFF5853"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7EC4D62"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F616B4A"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694B4691" w14:textId="77777777" w:rsidTr="00E30957">
        <w:trPr>
          <w:trHeight w:val="280"/>
        </w:trPr>
        <w:tc>
          <w:tcPr>
            <w:tcW w:w="1530" w:type="dxa"/>
            <w:tcBorders>
              <w:top w:val="nil"/>
              <w:left w:val="nil"/>
              <w:bottom w:val="nil"/>
              <w:right w:val="nil"/>
            </w:tcBorders>
            <w:shd w:val="clear" w:color="auto" w:fill="auto"/>
            <w:noWrap/>
            <w:vAlign w:val="center"/>
            <w:hideMark/>
          </w:tcPr>
          <w:p w14:paraId="73029461"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Strike × Treat</w:t>
            </w:r>
          </w:p>
        </w:tc>
        <w:tc>
          <w:tcPr>
            <w:tcW w:w="1266" w:type="dxa"/>
            <w:tcBorders>
              <w:top w:val="nil"/>
              <w:left w:val="nil"/>
              <w:bottom w:val="nil"/>
              <w:right w:val="nil"/>
            </w:tcBorders>
            <w:shd w:val="clear" w:color="auto" w:fill="auto"/>
            <w:noWrap/>
            <w:vAlign w:val="bottom"/>
            <w:hideMark/>
          </w:tcPr>
          <w:p w14:paraId="4503412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0.110**</w:t>
            </w:r>
          </w:p>
        </w:tc>
        <w:tc>
          <w:tcPr>
            <w:tcW w:w="1266" w:type="dxa"/>
            <w:tcBorders>
              <w:top w:val="nil"/>
              <w:left w:val="nil"/>
              <w:bottom w:val="nil"/>
              <w:right w:val="nil"/>
            </w:tcBorders>
            <w:shd w:val="clear" w:color="auto" w:fill="auto"/>
            <w:noWrap/>
            <w:vAlign w:val="bottom"/>
            <w:hideMark/>
          </w:tcPr>
          <w:p w14:paraId="28E74F0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0.109**</w:t>
            </w:r>
          </w:p>
        </w:tc>
        <w:tc>
          <w:tcPr>
            <w:tcW w:w="1326" w:type="dxa"/>
            <w:tcBorders>
              <w:top w:val="nil"/>
              <w:left w:val="nil"/>
              <w:bottom w:val="nil"/>
              <w:right w:val="nil"/>
            </w:tcBorders>
            <w:shd w:val="clear" w:color="auto" w:fill="auto"/>
            <w:noWrap/>
            <w:vAlign w:val="bottom"/>
            <w:hideMark/>
          </w:tcPr>
          <w:p w14:paraId="4CCED16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1.438</w:t>
            </w:r>
          </w:p>
        </w:tc>
        <w:tc>
          <w:tcPr>
            <w:tcW w:w="1326" w:type="dxa"/>
            <w:tcBorders>
              <w:top w:val="nil"/>
              <w:left w:val="nil"/>
              <w:bottom w:val="nil"/>
              <w:right w:val="nil"/>
            </w:tcBorders>
            <w:shd w:val="clear" w:color="auto" w:fill="auto"/>
            <w:noWrap/>
            <w:vAlign w:val="bottom"/>
            <w:hideMark/>
          </w:tcPr>
          <w:p w14:paraId="35440F7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1.430</w:t>
            </w:r>
          </w:p>
        </w:tc>
        <w:tc>
          <w:tcPr>
            <w:tcW w:w="1419" w:type="dxa"/>
            <w:tcBorders>
              <w:top w:val="nil"/>
              <w:left w:val="nil"/>
              <w:bottom w:val="nil"/>
              <w:right w:val="nil"/>
            </w:tcBorders>
            <w:shd w:val="clear" w:color="auto" w:fill="auto"/>
            <w:noWrap/>
            <w:vAlign w:val="bottom"/>
            <w:hideMark/>
          </w:tcPr>
          <w:p w14:paraId="0F1156A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12.383***</w:t>
            </w:r>
          </w:p>
        </w:tc>
        <w:tc>
          <w:tcPr>
            <w:tcW w:w="1227" w:type="dxa"/>
            <w:tcBorders>
              <w:top w:val="nil"/>
              <w:left w:val="nil"/>
              <w:bottom w:val="nil"/>
              <w:right w:val="nil"/>
            </w:tcBorders>
            <w:shd w:val="clear" w:color="auto" w:fill="auto"/>
            <w:noWrap/>
            <w:vAlign w:val="bottom"/>
            <w:hideMark/>
          </w:tcPr>
          <w:p w14:paraId="27359D5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12.377***</w:t>
            </w:r>
          </w:p>
        </w:tc>
        <w:tc>
          <w:tcPr>
            <w:tcW w:w="1170" w:type="dxa"/>
            <w:tcBorders>
              <w:top w:val="nil"/>
              <w:left w:val="nil"/>
              <w:bottom w:val="nil"/>
              <w:right w:val="nil"/>
            </w:tcBorders>
            <w:shd w:val="clear" w:color="auto" w:fill="auto"/>
            <w:noWrap/>
            <w:vAlign w:val="bottom"/>
            <w:hideMark/>
          </w:tcPr>
          <w:p w14:paraId="4EE191D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0.002***</w:t>
            </w:r>
          </w:p>
        </w:tc>
        <w:tc>
          <w:tcPr>
            <w:tcW w:w="1170" w:type="dxa"/>
            <w:tcBorders>
              <w:top w:val="nil"/>
              <w:left w:val="nil"/>
              <w:bottom w:val="nil"/>
              <w:right w:val="nil"/>
            </w:tcBorders>
            <w:shd w:val="clear" w:color="auto" w:fill="auto"/>
            <w:noWrap/>
            <w:vAlign w:val="bottom"/>
            <w:hideMark/>
          </w:tcPr>
          <w:p w14:paraId="3EA55F7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0.002***</w:t>
            </w:r>
          </w:p>
        </w:tc>
      </w:tr>
      <w:tr w:rsidR="003F3FFC" w:rsidRPr="00642F03" w14:paraId="31B127FE" w14:textId="77777777" w:rsidTr="00E30957">
        <w:trPr>
          <w:trHeight w:val="280"/>
        </w:trPr>
        <w:tc>
          <w:tcPr>
            <w:tcW w:w="1530" w:type="dxa"/>
            <w:tcBorders>
              <w:top w:val="nil"/>
              <w:left w:val="nil"/>
              <w:bottom w:val="nil"/>
              <w:right w:val="nil"/>
            </w:tcBorders>
            <w:shd w:val="clear" w:color="auto" w:fill="auto"/>
            <w:noWrap/>
            <w:vAlign w:val="bottom"/>
            <w:hideMark/>
          </w:tcPr>
          <w:p w14:paraId="07DF24B0"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 Week</w:t>
            </w:r>
          </w:p>
        </w:tc>
        <w:tc>
          <w:tcPr>
            <w:tcW w:w="1266" w:type="dxa"/>
            <w:tcBorders>
              <w:top w:val="nil"/>
              <w:left w:val="nil"/>
              <w:bottom w:val="nil"/>
              <w:right w:val="nil"/>
            </w:tcBorders>
            <w:shd w:val="clear" w:color="auto" w:fill="auto"/>
            <w:noWrap/>
            <w:vAlign w:val="bottom"/>
            <w:hideMark/>
          </w:tcPr>
          <w:p w14:paraId="168F18A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(0.045)</w:t>
            </w:r>
          </w:p>
        </w:tc>
        <w:tc>
          <w:tcPr>
            <w:tcW w:w="1266" w:type="dxa"/>
            <w:tcBorders>
              <w:top w:val="nil"/>
              <w:left w:val="nil"/>
              <w:bottom w:val="nil"/>
              <w:right w:val="nil"/>
            </w:tcBorders>
            <w:shd w:val="clear" w:color="auto" w:fill="auto"/>
            <w:noWrap/>
            <w:vAlign w:val="bottom"/>
            <w:hideMark/>
          </w:tcPr>
          <w:p w14:paraId="0AB198A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(0.047)</w:t>
            </w:r>
          </w:p>
        </w:tc>
        <w:tc>
          <w:tcPr>
            <w:tcW w:w="1326" w:type="dxa"/>
            <w:tcBorders>
              <w:top w:val="nil"/>
              <w:left w:val="nil"/>
              <w:bottom w:val="nil"/>
              <w:right w:val="nil"/>
            </w:tcBorders>
            <w:shd w:val="clear" w:color="auto" w:fill="auto"/>
            <w:noWrap/>
            <w:vAlign w:val="bottom"/>
            <w:hideMark/>
          </w:tcPr>
          <w:p w14:paraId="5A3A44A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(0.897)</w:t>
            </w:r>
          </w:p>
        </w:tc>
        <w:tc>
          <w:tcPr>
            <w:tcW w:w="1326" w:type="dxa"/>
            <w:tcBorders>
              <w:top w:val="nil"/>
              <w:left w:val="nil"/>
              <w:bottom w:val="nil"/>
              <w:right w:val="nil"/>
            </w:tcBorders>
            <w:shd w:val="clear" w:color="auto" w:fill="auto"/>
            <w:noWrap/>
            <w:vAlign w:val="bottom"/>
            <w:hideMark/>
          </w:tcPr>
          <w:p w14:paraId="086818B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(0.922)</w:t>
            </w:r>
          </w:p>
        </w:tc>
        <w:tc>
          <w:tcPr>
            <w:tcW w:w="1419" w:type="dxa"/>
            <w:tcBorders>
              <w:top w:val="nil"/>
              <w:left w:val="nil"/>
              <w:bottom w:val="nil"/>
              <w:right w:val="nil"/>
            </w:tcBorders>
            <w:shd w:val="clear" w:color="auto" w:fill="auto"/>
            <w:noWrap/>
            <w:vAlign w:val="bottom"/>
            <w:hideMark/>
          </w:tcPr>
          <w:p w14:paraId="1C89668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(3.166)</w:t>
            </w:r>
          </w:p>
        </w:tc>
        <w:tc>
          <w:tcPr>
            <w:tcW w:w="1227" w:type="dxa"/>
            <w:tcBorders>
              <w:top w:val="nil"/>
              <w:left w:val="nil"/>
              <w:bottom w:val="nil"/>
              <w:right w:val="nil"/>
            </w:tcBorders>
            <w:shd w:val="clear" w:color="auto" w:fill="auto"/>
            <w:noWrap/>
            <w:vAlign w:val="bottom"/>
            <w:hideMark/>
          </w:tcPr>
          <w:p w14:paraId="5E2FCD9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(3.271)</w:t>
            </w:r>
          </w:p>
        </w:tc>
        <w:tc>
          <w:tcPr>
            <w:tcW w:w="1170" w:type="dxa"/>
            <w:tcBorders>
              <w:top w:val="nil"/>
              <w:left w:val="nil"/>
              <w:bottom w:val="nil"/>
              <w:right w:val="nil"/>
            </w:tcBorders>
            <w:shd w:val="clear" w:color="auto" w:fill="auto"/>
            <w:noWrap/>
            <w:vAlign w:val="bottom"/>
            <w:hideMark/>
          </w:tcPr>
          <w:p w14:paraId="6AEE232B"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4CC80D4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r>
      <w:tr w:rsidR="003F3FFC" w:rsidRPr="00642F03" w14:paraId="57BC6461" w14:textId="77777777" w:rsidTr="00E30957">
        <w:trPr>
          <w:trHeight w:val="300"/>
        </w:trPr>
        <w:tc>
          <w:tcPr>
            <w:tcW w:w="1530" w:type="dxa"/>
            <w:tcBorders>
              <w:top w:val="nil"/>
              <w:left w:val="nil"/>
              <w:bottom w:val="nil"/>
              <w:right w:val="nil"/>
            </w:tcBorders>
            <w:shd w:val="clear" w:color="auto" w:fill="auto"/>
            <w:noWrap/>
            <w:vAlign w:val="bottom"/>
            <w:hideMark/>
          </w:tcPr>
          <w:p w14:paraId="745809A5"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7076FEFE"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20214073"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36B23E17"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6F04C8AD"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25938A43"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282BF818"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9D97CB2"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791998B"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1F6EF869" w14:textId="77777777" w:rsidTr="00E30957">
        <w:trPr>
          <w:trHeight w:val="280"/>
        </w:trPr>
        <w:tc>
          <w:tcPr>
            <w:tcW w:w="1530" w:type="dxa"/>
            <w:tcBorders>
              <w:top w:val="nil"/>
              <w:left w:val="nil"/>
              <w:bottom w:val="nil"/>
              <w:right w:val="nil"/>
            </w:tcBorders>
            <w:shd w:val="clear" w:color="auto" w:fill="auto"/>
            <w:noWrap/>
            <w:vAlign w:val="center"/>
            <w:hideMark/>
          </w:tcPr>
          <w:p w14:paraId="7163B2E1"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Wind Speed</w:t>
            </w:r>
          </w:p>
        </w:tc>
        <w:tc>
          <w:tcPr>
            <w:tcW w:w="1266" w:type="dxa"/>
            <w:tcBorders>
              <w:top w:val="nil"/>
              <w:left w:val="nil"/>
              <w:bottom w:val="nil"/>
              <w:right w:val="nil"/>
            </w:tcBorders>
            <w:shd w:val="clear" w:color="auto" w:fill="auto"/>
            <w:noWrap/>
            <w:vAlign w:val="bottom"/>
            <w:hideMark/>
          </w:tcPr>
          <w:p w14:paraId="18D2532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-0.165***</w:t>
            </w:r>
          </w:p>
        </w:tc>
        <w:tc>
          <w:tcPr>
            <w:tcW w:w="1266" w:type="dxa"/>
            <w:tcBorders>
              <w:top w:val="nil"/>
              <w:left w:val="nil"/>
              <w:bottom w:val="nil"/>
              <w:right w:val="nil"/>
            </w:tcBorders>
            <w:shd w:val="clear" w:color="auto" w:fill="auto"/>
            <w:noWrap/>
            <w:vAlign w:val="bottom"/>
            <w:hideMark/>
          </w:tcPr>
          <w:p w14:paraId="57CDE5D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-0.200***</w:t>
            </w:r>
          </w:p>
        </w:tc>
        <w:tc>
          <w:tcPr>
            <w:tcW w:w="1326" w:type="dxa"/>
            <w:tcBorders>
              <w:top w:val="nil"/>
              <w:left w:val="nil"/>
              <w:bottom w:val="nil"/>
              <w:right w:val="nil"/>
            </w:tcBorders>
            <w:shd w:val="clear" w:color="auto" w:fill="auto"/>
            <w:noWrap/>
            <w:vAlign w:val="bottom"/>
            <w:hideMark/>
          </w:tcPr>
          <w:p w14:paraId="10F7A36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-2.378**</w:t>
            </w:r>
          </w:p>
        </w:tc>
        <w:tc>
          <w:tcPr>
            <w:tcW w:w="1326" w:type="dxa"/>
            <w:tcBorders>
              <w:top w:val="nil"/>
              <w:left w:val="nil"/>
              <w:bottom w:val="nil"/>
              <w:right w:val="nil"/>
            </w:tcBorders>
            <w:shd w:val="clear" w:color="auto" w:fill="auto"/>
            <w:noWrap/>
            <w:vAlign w:val="bottom"/>
            <w:hideMark/>
          </w:tcPr>
          <w:p w14:paraId="0743892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-2.591***</w:t>
            </w:r>
          </w:p>
        </w:tc>
        <w:tc>
          <w:tcPr>
            <w:tcW w:w="1419" w:type="dxa"/>
            <w:tcBorders>
              <w:top w:val="nil"/>
              <w:left w:val="nil"/>
              <w:bottom w:val="nil"/>
              <w:right w:val="nil"/>
            </w:tcBorders>
            <w:shd w:val="clear" w:color="auto" w:fill="auto"/>
            <w:noWrap/>
            <w:vAlign w:val="bottom"/>
            <w:hideMark/>
          </w:tcPr>
          <w:p w14:paraId="44F1202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-7.790**</w:t>
            </w:r>
          </w:p>
        </w:tc>
        <w:tc>
          <w:tcPr>
            <w:tcW w:w="1227" w:type="dxa"/>
            <w:tcBorders>
              <w:top w:val="nil"/>
              <w:left w:val="nil"/>
              <w:bottom w:val="nil"/>
              <w:right w:val="nil"/>
            </w:tcBorders>
            <w:shd w:val="clear" w:color="auto" w:fill="auto"/>
            <w:noWrap/>
            <w:vAlign w:val="bottom"/>
            <w:hideMark/>
          </w:tcPr>
          <w:p w14:paraId="716BCF4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-10.094***</w:t>
            </w:r>
          </w:p>
        </w:tc>
        <w:tc>
          <w:tcPr>
            <w:tcW w:w="1170" w:type="dxa"/>
            <w:tcBorders>
              <w:top w:val="nil"/>
              <w:left w:val="nil"/>
              <w:bottom w:val="nil"/>
              <w:right w:val="nil"/>
            </w:tcBorders>
            <w:shd w:val="clear" w:color="auto" w:fill="auto"/>
            <w:noWrap/>
            <w:vAlign w:val="bottom"/>
            <w:hideMark/>
          </w:tcPr>
          <w:p w14:paraId="4FFC102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0.002***</w:t>
            </w:r>
          </w:p>
        </w:tc>
        <w:tc>
          <w:tcPr>
            <w:tcW w:w="1170" w:type="dxa"/>
            <w:tcBorders>
              <w:top w:val="nil"/>
              <w:left w:val="nil"/>
              <w:bottom w:val="nil"/>
              <w:right w:val="nil"/>
            </w:tcBorders>
            <w:shd w:val="clear" w:color="auto" w:fill="auto"/>
            <w:noWrap/>
            <w:vAlign w:val="bottom"/>
            <w:hideMark/>
          </w:tcPr>
          <w:p w14:paraId="140503C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0.002***</w:t>
            </w:r>
          </w:p>
        </w:tc>
      </w:tr>
      <w:tr w:rsidR="003F3FFC" w:rsidRPr="00642F03" w14:paraId="6E16CD25" w14:textId="77777777" w:rsidTr="00E30957">
        <w:trPr>
          <w:trHeight w:val="300"/>
        </w:trPr>
        <w:tc>
          <w:tcPr>
            <w:tcW w:w="1530" w:type="dxa"/>
            <w:tcBorders>
              <w:top w:val="nil"/>
              <w:left w:val="nil"/>
              <w:bottom w:val="nil"/>
              <w:right w:val="nil"/>
            </w:tcBorders>
            <w:shd w:val="clear" w:color="auto" w:fill="auto"/>
            <w:noWrap/>
            <w:vAlign w:val="bottom"/>
            <w:hideMark/>
          </w:tcPr>
          <w:p w14:paraId="7F3C8512"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4FC9F4D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(0.045)</w:t>
            </w:r>
          </w:p>
        </w:tc>
        <w:tc>
          <w:tcPr>
            <w:tcW w:w="1266" w:type="dxa"/>
            <w:tcBorders>
              <w:top w:val="nil"/>
              <w:left w:val="nil"/>
              <w:bottom w:val="nil"/>
              <w:right w:val="nil"/>
            </w:tcBorders>
            <w:shd w:val="clear" w:color="auto" w:fill="auto"/>
            <w:noWrap/>
            <w:vAlign w:val="bottom"/>
            <w:hideMark/>
          </w:tcPr>
          <w:p w14:paraId="11C25B6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(0.043)</w:t>
            </w:r>
          </w:p>
        </w:tc>
        <w:tc>
          <w:tcPr>
            <w:tcW w:w="1326" w:type="dxa"/>
            <w:tcBorders>
              <w:top w:val="nil"/>
              <w:left w:val="nil"/>
              <w:bottom w:val="nil"/>
              <w:right w:val="nil"/>
            </w:tcBorders>
            <w:shd w:val="clear" w:color="auto" w:fill="auto"/>
            <w:noWrap/>
            <w:vAlign w:val="bottom"/>
            <w:hideMark/>
          </w:tcPr>
          <w:p w14:paraId="683A72C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(0.867)</w:t>
            </w:r>
          </w:p>
        </w:tc>
        <w:tc>
          <w:tcPr>
            <w:tcW w:w="1326" w:type="dxa"/>
            <w:tcBorders>
              <w:top w:val="nil"/>
              <w:left w:val="nil"/>
              <w:bottom w:val="nil"/>
              <w:right w:val="nil"/>
            </w:tcBorders>
            <w:shd w:val="clear" w:color="auto" w:fill="auto"/>
            <w:noWrap/>
            <w:vAlign w:val="bottom"/>
            <w:hideMark/>
          </w:tcPr>
          <w:p w14:paraId="255365F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(0.778)</w:t>
            </w:r>
          </w:p>
        </w:tc>
        <w:tc>
          <w:tcPr>
            <w:tcW w:w="1419" w:type="dxa"/>
            <w:tcBorders>
              <w:top w:val="nil"/>
              <w:left w:val="nil"/>
              <w:bottom w:val="nil"/>
              <w:right w:val="nil"/>
            </w:tcBorders>
            <w:shd w:val="clear" w:color="auto" w:fill="auto"/>
            <w:noWrap/>
            <w:vAlign w:val="bottom"/>
            <w:hideMark/>
          </w:tcPr>
          <w:p w14:paraId="0B7B646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(3.609)</w:t>
            </w:r>
          </w:p>
        </w:tc>
        <w:tc>
          <w:tcPr>
            <w:tcW w:w="1227" w:type="dxa"/>
            <w:tcBorders>
              <w:top w:val="nil"/>
              <w:left w:val="nil"/>
              <w:bottom w:val="nil"/>
              <w:right w:val="nil"/>
            </w:tcBorders>
            <w:shd w:val="clear" w:color="auto" w:fill="auto"/>
            <w:noWrap/>
            <w:vAlign w:val="bottom"/>
            <w:hideMark/>
          </w:tcPr>
          <w:p w14:paraId="17C6F18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(3.467)</w:t>
            </w:r>
          </w:p>
        </w:tc>
        <w:tc>
          <w:tcPr>
            <w:tcW w:w="1170" w:type="dxa"/>
            <w:tcBorders>
              <w:top w:val="nil"/>
              <w:left w:val="nil"/>
              <w:bottom w:val="nil"/>
              <w:right w:val="nil"/>
            </w:tcBorders>
            <w:shd w:val="clear" w:color="auto" w:fill="auto"/>
            <w:noWrap/>
            <w:vAlign w:val="bottom"/>
            <w:hideMark/>
          </w:tcPr>
          <w:p w14:paraId="462C671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307AB24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(0.000)</w:t>
            </w:r>
          </w:p>
        </w:tc>
      </w:tr>
      <w:tr w:rsidR="003F3FFC" w:rsidRPr="00642F03" w14:paraId="0DABA2D0" w14:textId="77777777" w:rsidTr="00E30957">
        <w:trPr>
          <w:trHeight w:val="300"/>
        </w:trPr>
        <w:tc>
          <w:tcPr>
            <w:tcW w:w="1530" w:type="dxa"/>
            <w:tcBorders>
              <w:top w:val="nil"/>
              <w:left w:val="nil"/>
              <w:bottom w:val="nil"/>
              <w:right w:val="nil"/>
            </w:tcBorders>
            <w:shd w:val="clear" w:color="auto" w:fill="auto"/>
            <w:noWrap/>
            <w:vAlign w:val="bottom"/>
            <w:hideMark/>
          </w:tcPr>
          <w:p w14:paraId="7BC905D7" w14:textId="77777777" w:rsidR="003F3FFC" w:rsidRPr="00642F03" w:rsidRDefault="003F3FFC" w:rsidP="00E30957">
            <w:pPr>
              <w:rPr>
                <w:rFonts w:eastAsia="Times New Roman" w:cs="Times New Roman"/>
                <w:color w:val="000000"/>
              </w:rPr>
            </w:pPr>
          </w:p>
        </w:tc>
        <w:tc>
          <w:tcPr>
            <w:tcW w:w="1266" w:type="dxa"/>
            <w:tcBorders>
              <w:top w:val="nil"/>
              <w:left w:val="nil"/>
              <w:bottom w:val="nil"/>
              <w:right w:val="nil"/>
            </w:tcBorders>
            <w:shd w:val="clear" w:color="auto" w:fill="auto"/>
            <w:noWrap/>
            <w:vAlign w:val="bottom"/>
            <w:hideMark/>
          </w:tcPr>
          <w:p w14:paraId="69F1FD9E"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bottom"/>
            <w:hideMark/>
          </w:tcPr>
          <w:p w14:paraId="039B81A0"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7FC887D3"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bottom"/>
            <w:hideMark/>
          </w:tcPr>
          <w:p w14:paraId="4B0FAC67"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bottom"/>
            <w:hideMark/>
          </w:tcPr>
          <w:p w14:paraId="3355C3E9"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bottom"/>
            <w:hideMark/>
          </w:tcPr>
          <w:p w14:paraId="7C4988F9"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C18B5AA"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AFE0250"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10379132" w14:textId="77777777" w:rsidTr="00E30957">
        <w:trPr>
          <w:trHeight w:val="280"/>
        </w:trPr>
        <w:tc>
          <w:tcPr>
            <w:tcW w:w="1530" w:type="dxa"/>
            <w:tcBorders>
              <w:top w:val="nil"/>
              <w:left w:val="nil"/>
              <w:bottom w:val="nil"/>
              <w:right w:val="nil"/>
            </w:tcBorders>
            <w:shd w:val="clear" w:color="auto" w:fill="auto"/>
            <w:noWrap/>
            <w:vAlign w:val="center"/>
            <w:hideMark/>
          </w:tcPr>
          <w:p w14:paraId="38985ACA"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Monitor FE</w:t>
            </w:r>
          </w:p>
        </w:tc>
        <w:tc>
          <w:tcPr>
            <w:tcW w:w="1266" w:type="dxa"/>
            <w:tcBorders>
              <w:top w:val="nil"/>
              <w:left w:val="nil"/>
              <w:bottom w:val="nil"/>
              <w:right w:val="nil"/>
            </w:tcBorders>
            <w:shd w:val="clear" w:color="auto" w:fill="auto"/>
            <w:noWrap/>
            <w:vAlign w:val="center"/>
            <w:hideMark/>
          </w:tcPr>
          <w:p w14:paraId="47DFBC1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266" w:type="dxa"/>
            <w:tcBorders>
              <w:top w:val="nil"/>
              <w:left w:val="nil"/>
              <w:bottom w:val="nil"/>
              <w:right w:val="nil"/>
            </w:tcBorders>
            <w:shd w:val="clear" w:color="auto" w:fill="auto"/>
            <w:noWrap/>
            <w:vAlign w:val="center"/>
            <w:hideMark/>
          </w:tcPr>
          <w:p w14:paraId="6D3FADD9"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3EFD427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14EB809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29B1AF0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227" w:type="dxa"/>
            <w:tcBorders>
              <w:top w:val="nil"/>
              <w:left w:val="nil"/>
              <w:bottom w:val="nil"/>
              <w:right w:val="nil"/>
            </w:tcBorders>
            <w:shd w:val="clear" w:color="auto" w:fill="auto"/>
            <w:noWrap/>
            <w:vAlign w:val="center"/>
            <w:hideMark/>
          </w:tcPr>
          <w:p w14:paraId="2095390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17BA6B7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65B9492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r>
      <w:tr w:rsidR="003F3FFC" w:rsidRPr="00642F03" w14:paraId="2904DBE1" w14:textId="77777777" w:rsidTr="00E30957">
        <w:trPr>
          <w:trHeight w:val="280"/>
        </w:trPr>
        <w:tc>
          <w:tcPr>
            <w:tcW w:w="1530" w:type="dxa"/>
            <w:tcBorders>
              <w:top w:val="nil"/>
              <w:left w:val="nil"/>
              <w:bottom w:val="nil"/>
              <w:right w:val="nil"/>
            </w:tcBorders>
            <w:shd w:val="clear" w:color="auto" w:fill="auto"/>
            <w:noWrap/>
            <w:vAlign w:val="center"/>
            <w:hideMark/>
          </w:tcPr>
          <w:p w14:paraId="3EC9D799"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Month FE</w:t>
            </w:r>
          </w:p>
        </w:tc>
        <w:tc>
          <w:tcPr>
            <w:tcW w:w="1266" w:type="dxa"/>
            <w:tcBorders>
              <w:top w:val="nil"/>
              <w:left w:val="nil"/>
              <w:bottom w:val="nil"/>
              <w:right w:val="nil"/>
            </w:tcBorders>
            <w:shd w:val="clear" w:color="auto" w:fill="auto"/>
            <w:noWrap/>
            <w:vAlign w:val="center"/>
            <w:hideMark/>
          </w:tcPr>
          <w:p w14:paraId="6060D76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266" w:type="dxa"/>
            <w:tcBorders>
              <w:top w:val="nil"/>
              <w:left w:val="nil"/>
              <w:bottom w:val="nil"/>
              <w:right w:val="nil"/>
            </w:tcBorders>
            <w:shd w:val="clear" w:color="auto" w:fill="auto"/>
            <w:noWrap/>
            <w:vAlign w:val="center"/>
            <w:hideMark/>
          </w:tcPr>
          <w:p w14:paraId="7E348DE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413541B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326" w:type="dxa"/>
            <w:tcBorders>
              <w:top w:val="nil"/>
              <w:left w:val="nil"/>
              <w:bottom w:val="nil"/>
              <w:right w:val="nil"/>
            </w:tcBorders>
            <w:shd w:val="clear" w:color="auto" w:fill="auto"/>
            <w:noWrap/>
            <w:vAlign w:val="center"/>
            <w:hideMark/>
          </w:tcPr>
          <w:p w14:paraId="3327FA0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1FB0B15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227" w:type="dxa"/>
            <w:tcBorders>
              <w:top w:val="nil"/>
              <w:left w:val="nil"/>
              <w:bottom w:val="nil"/>
              <w:right w:val="nil"/>
            </w:tcBorders>
            <w:shd w:val="clear" w:color="auto" w:fill="auto"/>
            <w:noWrap/>
            <w:vAlign w:val="center"/>
            <w:hideMark/>
          </w:tcPr>
          <w:p w14:paraId="58914B8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590B2E7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1D03774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r>
      <w:tr w:rsidR="003F3FFC" w:rsidRPr="00642F03" w14:paraId="5A403A27" w14:textId="77777777" w:rsidTr="00E30957">
        <w:trPr>
          <w:trHeight w:val="280"/>
        </w:trPr>
        <w:tc>
          <w:tcPr>
            <w:tcW w:w="1530" w:type="dxa"/>
            <w:tcBorders>
              <w:top w:val="nil"/>
              <w:left w:val="nil"/>
              <w:bottom w:val="nil"/>
              <w:right w:val="nil"/>
            </w:tcBorders>
            <w:shd w:val="clear" w:color="auto" w:fill="auto"/>
            <w:noWrap/>
            <w:vAlign w:val="center"/>
            <w:hideMark/>
          </w:tcPr>
          <w:p w14:paraId="3A7419D6"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Time Trends</w:t>
            </w:r>
          </w:p>
        </w:tc>
        <w:tc>
          <w:tcPr>
            <w:tcW w:w="1266" w:type="dxa"/>
            <w:tcBorders>
              <w:top w:val="nil"/>
              <w:left w:val="nil"/>
              <w:bottom w:val="nil"/>
              <w:right w:val="nil"/>
            </w:tcBorders>
            <w:shd w:val="clear" w:color="auto" w:fill="auto"/>
            <w:noWrap/>
            <w:vAlign w:val="center"/>
            <w:hideMark/>
          </w:tcPr>
          <w:p w14:paraId="130FEB1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266" w:type="dxa"/>
            <w:tcBorders>
              <w:top w:val="nil"/>
              <w:left w:val="nil"/>
              <w:bottom w:val="nil"/>
              <w:right w:val="nil"/>
            </w:tcBorders>
            <w:shd w:val="clear" w:color="auto" w:fill="auto"/>
            <w:noWrap/>
            <w:vAlign w:val="center"/>
            <w:hideMark/>
          </w:tcPr>
          <w:p w14:paraId="64BA2AEA"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326" w:type="dxa"/>
            <w:tcBorders>
              <w:top w:val="nil"/>
              <w:left w:val="nil"/>
              <w:bottom w:val="nil"/>
              <w:right w:val="nil"/>
            </w:tcBorders>
            <w:shd w:val="clear" w:color="auto" w:fill="auto"/>
            <w:noWrap/>
            <w:vAlign w:val="center"/>
            <w:hideMark/>
          </w:tcPr>
          <w:p w14:paraId="550D4C3E"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326" w:type="dxa"/>
            <w:tcBorders>
              <w:top w:val="nil"/>
              <w:left w:val="nil"/>
              <w:bottom w:val="nil"/>
              <w:right w:val="nil"/>
            </w:tcBorders>
            <w:shd w:val="clear" w:color="auto" w:fill="auto"/>
            <w:noWrap/>
            <w:vAlign w:val="center"/>
            <w:hideMark/>
          </w:tcPr>
          <w:p w14:paraId="7A32BC50"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419" w:type="dxa"/>
            <w:tcBorders>
              <w:top w:val="nil"/>
              <w:left w:val="nil"/>
              <w:bottom w:val="nil"/>
              <w:right w:val="nil"/>
            </w:tcBorders>
            <w:shd w:val="clear" w:color="auto" w:fill="auto"/>
            <w:noWrap/>
            <w:vAlign w:val="center"/>
            <w:hideMark/>
          </w:tcPr>
          <w:p w14:paraId="076F487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227" w:type="dxa"/>
            <w:tcBorders>
              <w:top w:val="nil"/>
              <w:left w:val="nil"/>
              <w:bottom w:val="nil"/>
              <w:right w:val="nil"/>
            </w:tcBorders>
            <w:shd w:val="clear" w:color="auto" w:fill="auto"/>
            <w:noWrap/>
            <w:vAlign w:val="center"/>
            <w:hideMark/>
          </w:tcPr>
          <w:p w14:paraId="533AE8C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1601BA7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5B5B57B2"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Yes</w:t>
            </w:r>
          </w:p>
        </w:tc>
      </w:tr>
      <w:tr w:rsidR="003F3FFC" w:rsidRPr="00642F03" w14:paraId="41BC8273" w14:textId="77777777" w:rsidTr="00E30957">
        <w:trPr>
          <w:trHeight w:val="280"/>
        </w:trPr>
        <w:tc>
          <w:tcPr>
            <w:tcW w:w="1530" w:type="dxa"/>
            <w:tcBorders>
              <w:top w:val="nil"/>
              <w:left w:val="nil"/>
              <w:bottom w:val="nil"/>
              <w:right w:val="nil"/>
            </w:tcBorders>
            <w:shd w:val="clear" w:color="auto" w:fill="auto"/>
            <w:noWrap/>
            <w:vAlign w:val="center"/>
            <w:hideMark/>
          </w:tcPr>
          <w:p w14:paraId="6D03D8FC" w14:textId="77777777" w:rsidR="003F3FFC" w:rsidRPr="00642F03" w:rsidRDefault="003F3FFC" w:rsidP="00E30957">
            <w:pP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center"/>
            <w:hideMark/>
          </w:tcPr>
          <w:p w14:paraId="47A82E30" w14:textId="77777777" w:rsidR="003F3FFC" w:rsidRPr="00642F03" w:rsidRDefault="003F3FFC" w:rsidP="00E30957">
            <w:pPr>
              <w:jc w:val="center"/>
              <w:rPr>
                <w:rFonts w:ascii="Calibri" w:eastAsia="Times New Roman" w:hAnsi="Calibri" w:cs="Times New Roman"/>
                <w:color w:val="000000"/>
                <w:sz w:val="22"/>
                <w:szCs w:val="22"/>
              </w:rPr>
            </w:pPr>
          </w:p>
        </w:tc>
        <w:tc>
          <w:tcPr>
            <w:tcW w:w="1266" w:type="dxa"/>
            <w:tcBorders>
              <w:top w:val="nil"/>
              <w:left w:val="nil"/>
              <w:bottom w:val="nil"/>
              <w:right w:val="nil"/>
            </w:tcBorders>
            <w:shd w:val="clear" w:color="auto" w:fill="auto"/>
            <w:noWrap/>
            <w:vAlign w:val="center"/>
            <w:hideMark/>
          </w:tcPr>
          <w:p w14:paraId="1A00BDFB"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center"/>
            <w:hideMark/>
          </w:tcPr>
          <w:p w14:paraId="29851828" w14:textId="77777777" w:rsidR="003F3FFC" w:rsidRPr="00642F03" w:rsidRDefault="003F3FFC" w:rsidP="00E30957">
            <w:pPr>
              <w:jc w:val="center"/>
              <w:rPr>
                <w:rFonts w:ascii="Calibri" w:eastAsia="Times New Roman" w:hAnsi="Calibri" w:cs="Times New Roman"/>
                <w:color w:val="000000"/>
                <w:sz w:val="22"/>
                <w:szCs w:val="22"/>
              </w:rPr>
            </w:pPr>
          </w:p>
        </w:tc>
        <w:tc>
          <w:tcPr>
            <w:tcW w:w="1326" w:type="dxa"/>
            <w:tcBorders>
              <w:top w:val="nil"/>
              <w:left w:val="nil"/>
              <w:bottom w:val="nil"/>
              <w:right w:val="nil"/>
            </w:tcBorders>
            <w:shd w:val="clear" w:color="auto" w:fill="auto"/>
            <w:noWrap/>
            <w:vAlign w:val="center"/>
            <w:hideMark/>
          </w:tcPr>
          <w:p w14:paraId="71FC856E" w14:textId="77777777" w:rsidR="003F3FFC" w:rsidRPr="00642F03" w:rsidRDefault="003F3FFC" w:rsidP="00E30957">
            <w:pPr>
              <w:jc w:val="center"/>
              <w:rPr>
                <w:rFonts w:ascii="Calibri" w:eastAsia="Times New Roman" w:hAnsi="Calibri" w:cs="Times New Roman"/>
                <w:color w:val="000000"/>
                <w:sz w:val="22"/>
                <w:szCs w:val="22"/>
              </w:rPr>
            </w:pPr>
          </w:p>
        </w:tc>
        <w:tc>
          <w:tcPr>
            <w:tcW w:w="1419" w:type="dxa"/>
            <w:tcBorders>
              <w:top w:val="nil"/>
              <w:left w:val="nil"/>
              <w:bottom w:val="nil"/>
              <w:right w:val="nil"/>
            </w:tcBorders>
            <w:shd w:val="clear" w:color="auto" w:fill="auto"/>
            <w:noWrap/>
            <w:vAlign w:val="center"/>
            <w:hideMark/>
          </w:tcPr>
          <w:p w14:paraId="7F97B110" w14:textId="77777777" w:rsidR="003F3FFC" w:rsidRPr="00642F03" w:rsidRDefault="003F3FFC" w:rsidP="00E30957">
            <w:pPr>
              <w:jc w:val="center"/>
              <w:rPr>
                <w:rFonts w:ascii="Calibri" w:eastAsia="Times New Roman" w:hAnsi="Calibri" w:cs="Times New Roman"/>
                <w:color w:val="000000"/>
                <w:sz w:val="22"/>
                <w:szCs w:val="22"/>
              </w:rPr>
            </w:pPr>
          </w:p>
        </w:tc>
        <w:tc>
          <w:tcPr>
            <w:tcW w:w="1227" w:type="dxa"/>
            <w:tcBorders>
              <w:top w:val="nil"/>
              <w:left w:val="nil"/>
              <w:bottom w:val="nil"/>
              <w:right w:val="nil"/>
            </w:tcBorders>
            <w:shd w:val="clear" w:color="auto" w:fill="auto"/>
            <w:noWrap/>
            <w:vAlign w:val="center"/>
            <w:hideMark/>
          </w:tcPr>
          <w:p w14:paraId="7970A66C"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center"/>
            <w:hideMark/>
          </w:tcPr>
          <w:p w14:paraId="71AD87ED" w14:textId="77777777" w:rsidR="003F3FFC" w:rsidRPr="00642F03" w:rsidRDefault="003F3FFC" w:rsidP="00E30957">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center"/>
            <w:hideMark/>
          </w:tcPr>
          <w:p w14:paraId="29447155" w14:textId="77777777" w:rsidR="003F3FFC" w:rsidRPr="00642F03" w:rsidRDefault="003F3FFC" w:rsidP="00E30957">
            <w:pPr>
              <w:jc w:val="center"/>
              <w:rPr>
                <w:rFonts w:ascii="Calibri" w:eastAsia="Times New Roman" w:hAnsi="Calibri" w:cs="Times New Roman"/>
                <w:color w:val="000000"/>
                <w:sz w:val="22"/>
                <w:szCs w:val="22"/>
              </w:rPr>
            </w:pPr>
          </w:p>
        </w:tc>
      </w:tr>
      <w:tr w:rsidR="003F3FFC" w:rsidRPr="00642F03" w14:paraId="6DAB6780" w14:textId="77777777" w:rsidTr="00E30957">
        <w:trPr>
          <w:trHeight w:val="280"/>
        </w:trPr>
        <w:tc>
          <w:tcPr>
            <w:tcW w:w="1530" w:type="dxa"/>
            <w:tcBorders>
              <w:top w:val="nil"/>
              <w:left w:val="nil"/>
              <w:bottom w:val="nil"/>
              <w:right w:val="nil"/>
            </w:tcBorders>
            <w:shd w:val="clear" w:color="auto" w:fill="auto"/>
            <w:noWrap/>
            <w:vAlign w:val="center"/>
            <w:hideMark/>
          </w:tcPr>
          <w:p w14:paraId="77E554EF"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Observations</w:t>
            </w:r>
          </w:p>
        </w:tc>
        <w:tc>
          <w:tcPr>
            <w:tcW w:w="1266" w:type="dxa"/>
            <w:tcBorders>
              <w:top w:val="nil"/>
              <w:left w:val="nil"/>
              <w:bottom w:val="nil"/>
              <w:right w:val="nil"/>
            </w:tcBorders>
            <w:shd w:val="clear" w:color="auto" w:fill="auto"/>
            <w:noWrap/>
            <w:vAlign w:val="center"/>
            <w:hideMark/>
          </w:tcPr>
          <w:p w14:paraId="33F848E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489</w:t>
            </w:r>
          </w:p>
        </w:tc>
        <w:tc>
          <w:tcPr>
            <w:tcW w:w="1266" w:type="dxa"/>
            <w:tcBorders>
              <w:top w:val="nil"/>
              <w:left w:val="nil"/>
              <w:bottom w:val="nil"/>
              <w:right w:val="nil"/>
            </w:tcBorders>
            <w:shd w:val="clear" w:color="auto" w:fill="auto"/>
            <w:noWrap/>
            <w:vAlign w:val="center"/>
            <w:hideMark/>
          </w:tcPr>
          <w:p w14:paraId="5711143D"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489</w:t>
            </w:r>
          </w:p>
        </w:tc>
        <w:tc>
          <w:tcPr>
            <w:tcW w:w="1326" w:type="dxa"/>
            <w:tcBorders>
              <w:top w:val="nil"/>
              <w:left w:val="nil"/>
              <w:bottom w:val="nil"/>
              <w:right w:val="nil"/>
            </w:tcBorders>
            <w:shd w:val="clear" w:color="auto" w:fill="auto"/>
            <w:noWrap/>
            <w:vAlign w:val="center"/>
            <w:hideMark/>
          </w:tcPr>
          <w:p w14:paraId="454257F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686</w:t>
            </w:r>
          </w:p>
        </w:tc>
        <w:tc>
          <w:tcPr>
            <w:tcW w:w="1326" w:type="dxa"/>
            <w:tcBorders>
              <w:top w:val="nil"/>
              <w:left w:val="nil"/>
              <w:bottom w:val="nil"/>
              <w:right w:val="nil"/>
            </w:tcBorders>
            <w:shd w:val="clear" w:color="auto" w:fill="auto"/>
            <w:noWrap/>
            <w:vAlign w:val="center"/>
            <w:hideMark/>
          </w:tcPr>
          <w:p w14:paraId="1D3505C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686</w:t>
            </w:r>
          </w:p>
        </w:tc>
        <w:tc>
          <w:tcPr>
            <w:tcW w:w="1419" w:type="dxa"/>
            <w:tcBorders>
              <w:top w:val="nil"/>
              <w:left w:val="nil"/>
              <w:bottom w:val="nil"/>
              <w:right w:val="nil"/>
            </w:tcBorders>
            <w:shd w:val="clear" w:color="auto" w:fill="auto"/>
            <w:noWrap/>
            <w:vAlign w:val="center"/>
            <w:hideMark/>
          </w:tcPr>
          <w:p w14:paraId="162B90D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686</w:t>
            </w:r>
          </w:p>
        </w:tc>
        <w:tc>
          <w:tcPr>
            <w:tcW w:w="1227" w:type="dxa"/>
            <w:tcBorders>
              <w:top w:val="nil"/>
              <w:left w:val="nil"/>
              <w:bottom w:val="nil"/>
              <w:right w:val="nil"/>
            </w:tcBorders>
            <w:shd w:val="clear" w:color="auto" w:fill="auto"/>
            <w:noWrap/>
            <w:vAlign w:val="center"/>
            <w:hideMark/>
          </w:tcPr>
          <w:p w14:paraId="2060510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686</w:t>
            </w:r>
          </w:p>
        </w:tc>
        <w:tc>
          <w:tcPr>
            <w:tcW w:w="1170" w:type="dxa"/>
            <w:tcBorders>
              <w:top w:val="nil"/>
              <w:left w:val="nil"/>
              <w:bottom w:val="nil"/>
              <w:right w:val="nil"/>
            </w:tcBorders>
            <w:shd w:val="clear" w:color="auto" w:fill="auto"/>
            <w:noWrap/>
            <w:vAlign w:val="center"/>
            <w:hideMark/>
          </w:tcPr>
          <w:p w14:paraId="2A10AFD1"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718</w:t>
            </w:r>
          </w:p>
        </w:tc>
        <w:tc>
          <w:tcPr>
            <w:tcW w:w="1170" w:type="dxa"/>
            <w:tcBorders>
              <w:top w:val="nil"/>
              <w:left w:val="nil"/>
              <w:bottom w:val="nil"/>
              <w:right w:val="nil"/>
            </w:tcBorders>
            <w:shd w:val="clear" w:color="auto" w:fill="auto"/>
            <w:noWrap/>
            <w:vAlign w:val="center"/>
            <w:hideMark/>
          </w:tcPr>
          <w:p w14:paraId="5D35A29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718</w:t>
            </w:r>
          </w:p>
        </w:tc>
      </w:tr>
      <w:tr w:rsidR="003F3FFC" w:rsidRPr="00642F03" w14:paraId="0BFF7864" w14:textId="77777777" w:rsidTr="00E30957">
        <w:trPr>
          <w:trHeight w:val="300"/>
        </w:trPr>
        <w:tc>
          <w:tcPr>
            <w:tcW w:w="1530" w:type="dxa"/>
            <w:tcBorders>
              <w:top w:val="nil"/>
              <w:left w:val="nil"/>
              <w:bottom w:val="single" w:sz="8" w:space="0" w:color="auto"/>
              <w:right w:val="nil"/>
            </w:tcBorders>
            <w:shd w:val="clear" w:color="auto" w:fill="auto"/>
            <w:noWrap/>
            <w:vAlign w:val="center"/>
            <w:hideMark/>
          </w:tcPr>
          <w:p w14:paraId="63AE81E0" w14:textId="77777777" w:rsidR="003F3FFC" w:rsidRPr="00642F03" w:rsidRDefault="003F3FFC" w:rsidP="00E30957">
            <w:pP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R-squared</w:t>
            </w:r>
          </w:p>
        </w:tc>
        <w:tc>
          <w:tcPr>
            <w:tcW w:w="1266" w:type="dxa"/>
            <w:tcBorders>
              <w:top w:val="nil"/>
              <w:left w:val="nil"/>
              <w:bottom w:val="single" w:sz="8" w:space="0" w:color="000000"/>
              <w:right w:val="nil"/>
            </w:tcBorders>
            <w:shd w:val="clear" w:color="auto" w:fill="auto"/>
            <w:noWrap/>
            <w:vAlign w:val="center"/>
            <w:hideMark/>
          </w:tcPr>
          <w:p w14:paraId="38B94944"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0.715</w:t>
            </w:r>
          </w:p>
        </w:tc>
        <w:tc>
          <w:tcPr>
            <w:tcW w:w="1266" w:type="dxa"/>
            <w:tcBorders>
              <w:top w:val="nil"/>
              <w:left w:val="nil"/>
              <w:bottom w:val="single" w:sz="8" w:space="0" w:color="000000"/>
              <w:right w:val="nil"/>
            </w:tcBorders>
            <w:shd w:val="clear" w:color="auto" w:fill="auto"/>
            <w:noWrap/>
            <w:vAlign w:val="center"/>
            <w:hideMark/>
          </w:tcPr>
          <w:p w14:paraId="373C75D8"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0.824</w:t>
            </w:r>
          </w:p>
        </w:tc>
        <w:tc>
          <w:tcPr>
            <w:tcW w:w="1326" w:type="dxa"/>
            <w:tcBorders>
              <w:top w:val="nil"/>
              <w:left w:val="nil"/>
              <w:bottom w:val="single" w:sz="8" w:space="0" w:color="000000"/>
              <w:right w:val="nil"/>
            </w:tcBorders>
            <w:shd w:val="clear" w:color="auto" w:fill="auto"/>
            <w:noWrap/>
            <w:vAlign w:val="center"/>
            <w:hideMark/>
          </w:tcPr>
          <w:p w14:paraId="2581A587"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0.765</w:t>
            </w:r>
          </w:p>
        </w:tc>
        <w:tc>
          <w:tcPr>
            <w:tcW w:w="1326" w:type="dxa"/>
            <w:tcBorders>
              <w:top w:val="nil"/>
              <w:left w:val="nil"/>
              <w:bottom w:val="single" w:sz="8" w:space="0" w:color="000000"/>
              <w:right w:val="nil"/>
            </w:tcBorders>
            <w:shd w:val="clear" w:color="auto" w:fill="auto"/>
            <w:noWrap/>
            <w:vAlign w:val="center"/>
            <w:hideMark/>
          </w:tcPr>
          <w:p w14:paraId="79B7FF83"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0.847</w:t>
            </w:r>
          </w:p>
        </w:tc>
        <w:tc>
          <w:tcPr>
            <w:tcW w:w="1419" w:type="dxa"/>
            <w:tcBorders>
              <w:top w:val="nil"/>
              <w:left w:val="nil"/>
              <w:bottom w:val="single" w:sz="8" w:space="0" w:color="000000"/>
              <w:right w:val="nil"/>
            </w:tcBorders>
            <w:shd w:val="clear" w:color="auto" w:fill="auto"/>
            <w:noWrap/>
            <w:vAlign w:val="center"/>
            <w:hideMark/>
          </w:tcPr>
          <w:p w14:paraId="22D22BC5"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0.703</w:t>
            </w:r>
          </w:p>
        </w:tc>
        <w:tc>
          <w:tcPr>
            <w:tcW w:w="1227" w:type="dxa"/>
            <w:tcBorders>
              <w:top w:val="nil"/>
              <w:left w:val="nil"/>
              <w:bottom w:val="single" w:sz="8" w:space="0" w:color="000000"/>
              <w:right w:val="nil"/>
            </w:tcBorders>
            <w:shd w:val="clear" w:color="auto" w:fill="auto"/>
            <w:noWrap/>
            <w:vAlign w:val="center"/>
            <w:hideMark/>
          </w:tcPr>
          <w:p w14:paraId="73E5DCAF"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0.814</w:t>
            </w:r>
          </w:p>
        </w:tc>
        <w:tc>
          <w:tcPr>
            <w:tcW w:w="1170" w:type="dxa"/>
            <w:tcBorders>
              <w:top w:val="nil"/>
              <w:left w:val="nil"/>
              <w:bottom w:val="single" w:sz="8" w:space="0" w:color="000000"/>
              <w:right w:val="nil"/>
            </w:tcBorders>
            <w:shd w:val="clear" w:color="auto" w:fill="auto"/>
            <w:noWrap/>
            <w:vAlign w:val="center"/>
            <w:hideMark/>
          </w:tcPr>
          <w:p w14:paraId="545027A6"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0.822</w:t>
            </w:r>
          </w:p>
        </w:tc>
        <w:tc>
          <w:tcPr>
            <w:tcW w:w="1170" w:type="dxa"/>
            <w:tcBorders>
              <w:top w:val="nil"/>
              <w:left w:val="nil"/>
              <w:bottom w:val="single" w:sz="8" w:space="0" w:color="000000"/>
              <w:right w:val="nil"/>
            </w:tcBorders>
            <w:shd w:val="clear" w:color="auto" w:fill="auto"/>
            <w:noWrap/>
            <w:vAlign w:val="center"/>
            <w:hideMark/>
          </w:tcPr>
          <w:p w14:paraId="220DF1BC" w14:textId="77777777" w:rsidR="003F3FFC" w:rsidRPr="00642F03" w:rsidRDefault="003F3FFC" w:rsidP="00E30957">
            <w:pPr>
              <w:jc w:val="center"/>
              <w:rPr>
                <w:rFonts w:ascii="Calibri" w:eastAsia="Times New Roman" w:hAnsi="Calibri" w:cs="Times New Roman"/>
                <w:color w:val="000000"/>
                <w:sz w:val="22"/>
                <w:szCs w:val="22"/>
              </w:rPr>
            </w:pPr>
            <w:r w:rsidRPr="00642F03">
              <w:rPr>
                <w:rFonts w:ascii="Calibri" w:eastAsia="Times New Roman" w:hAnsi="Calibri" w:cs="Times New Roman"/>
                <w:color w:val="000000"/>
                <w:sz w:val="22"/>
                <w:szCs w:val="22"/>
              </w:rPr>
              <w:t>0.908</w:t>
            </w:r>
          </w:p>
        </w:tc>
      </w:tr>
      <w:tr w:rsidR="003F3FFC" w:rsidRPr="00642F03" w14:paraId="1F0B3F64" w14:textId="77777777" w:rsidTr="00E30957">
        <w:trPr>
          <w:trHeight w:val="280"/>
        </w:trPr>
        <w:tc>
          <w:tcPr>
            <w:tcW w:w="11700" w:type="dxa"/>
            <w:gridSpan w:val="9"/>
            <w:vMerge w:val="restart"/>
            <w:tcBorders>
              <w:top w:val="nil"/>
              <w:left w:val="nil"/>
              <w:bottom w:val="nil"/>
              <w:right w:val="nil"/>
            </w:tcBorders>
            <w:shd w:val="clear" w:color="auto" w:fill="auto"/>
            <w:vAlign w:val="center"/>
            <w:hideMark/>
          </w:tcPr>
          <w:p w14:paraId="62BA458E" w14:textId="77777777" w:rsidR="003F3FFC" w:rsidRPr="00642F03" w:rsidRDefault="003F3FFC" w:rsidP="00E30957">
            <w:pPr>
              <w:rPr>
                <w:rFonts w:ascii="Calibri" w:eastAsia="Times New Roman" w:hAnsi="Calibri" w:cs="Times New Roman"/>
                <w:color w:val="000000"/>
                <w:sz w:val="20"/>
                <w:szCs w:val="20"/>
              </w:rPr>
            </w:pPr>
            <w:r w:rsidRPr="00642F03">
              <w:rPr>
                <w:rFonts w:ascii="Calibri" w:eastAsia="Times New Roman" w:hAnsi="Calibri" w:cs="Times New Roman"/>
                <w:color w:val="000000"/>
                <w:sz w:val="20"/>
                <w:szCs w:val="20"/>
              </w:rPr>
              <w:t>Observations are at the weekly-monitor level.  All columns include monitor fixed effects. Columns 2, 4, 6 and 8 include month fixed effects and monitor-specific time trends. The sample of monitors is 30,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w:t>
            </w:r>
          </w:p>
        </w:tc>
      </w:tr>
      <w:tr w:rsidR="003F3FFC" w:rsidRPr="00642F03" w14:paraId="3FC22C8A" w14:textId="77777777" w:rsidTr="00E30957">
        <w:trPr>
          <w:trHeight w:val="280"/>
        </w:trPr>
        <w:tc>
          <w:tcPr>
            <w:tcW w:w="11700" w:type="dxa"/>
            <w:gridSpan w:val="9"/>
            <w:vMerge/>
            <w:tcBorders>
              <w:top w:val="nil"/>
              <w:left w:val="nil"/>
              <w:bottom w:val="nil"/>
              <w:right w:val="nil"/>
            </w:tcBorders>
            <w:vAlign w:val="center"/>
            <w:hideMark/>
          </w:tcPr>
          <w:p w14:paraId="0D8B9AE6" w14:textId="77777777" w:rsidR="003F3FFC" w:rsidRPr="00642F03" w:rsidRDefault="003F3FFC" w:rsidP="00E30957">
            <w:pPr>
              <w:rPr>
                <w:rFonts w:ascii="Calibri" w:eastAsia="Times New Roman" w:hAnsi="Calibri" w:cs="Times New Roman"/>
                <w:color w:val="000000"/>
                <w:sz w:val="20"/>
                <w:szCs w:val="20"/>
              </w:rPr>
            </w:pPr>
          </w:p>
        </w:tc>
      </w:tr>
      <w:tr w:rsidR="003F3FFC" w:rsidRPr="00642F03" w14:paraId="3093DF86" w14:textId="77777777" w:rsidTr="00E30957">
        <w:trPr>
          <w:trHeight w:val="280"/>
        </w:trPr>
        <w:tc>
          <w:tcPr>
            <w:tcW w:w="11700" w:type="dxa"/>
            <w:gridSpan w:val="9"/>
            <w:vMerge/>
            <w:tcBorders>
              <w:top w:val="nil"/>
              <w:left w:val="nil"/>
              <w:bottom w:val="nil"/>
              <w:right w:val="nil"/>
            </w:tcBorders>
            <w:vAlign w:val="center"/>
            <w:hideMark/>
          </w:tcPr>
          <w:p w14:paraId="173392CF" w14:textId="77777777" w:rsidR="003F3FFC" w:rsidRPr="00642F03" w:rsidRDefault="003F3FFC" w:rsidP="00E30957">
            <w:pPr>
              <w:rPr>
                <w:rFonts w:ascii="Calibri" w:eastAsia="Times New Roman" w:hAnsi="Calibri" w:cs="Times New Roman"/>
                <w:color w:val="000000"/>
                <w:sz w:val="20"/>
                <w:szCs w:val="20"/>
              </w:rPr>
            </w:pPr>
          </w:p>
        </w:tc>
      </w:tr>
      <w:tr w:rsidR="003F3FFC" w:rsidRPr="00642F03" w14:paraId="088A5F9D" w14:textId="77777777" w:rsidTr="00E30957">
        <w:trPr>
          <w:trHeight w:val="280"/>
        </w:trPr>
        <w:tc>
          <w:tcPr>
            <w:tcW w:w="11700" w:type="dxa"/>
            <w:gridSpan w:val="9"/>
            <w:vMerge/>
            <w:tcBorders>
              <w:top w:val="nil"/>
              <w:left w:val="nil"/>
              <w:bottom w:val="nil"/>
              <w:right w:val="nil"/>
            </w:tcBorders>
            <w:vAlign w:val="center"/>
            <w:hideMark/>
          </w:tcPr>
          <w:p w14:paraId="33F2E6BB" w14:textId="77777777" w:rsidR="003F3FFC" w:rsidRPr="00642F03" w:rsidRDefault="003F3FFC" w:rsidP="00E30957">
            <w:pPr>
              <w:rPr>
                <w:rFonts w:ascii="Calibri" w:eastAsia="Times New Roman" w:hAnsi="Calibri" w:cs="Times New Roman"/>
                <w:color w:val="000000"/>
                <w:sz w:val="20"/>
                <w:szCs w:val="20"/>
              </w:rPr>
            </w:pPr>
          </w:p>
        </w:tc>
      </w:tr>
    </w:tbl>
    <w:p w14:paraId="0395B672" w14:textId="77777777" w:rsidR="002F5D47" w:rsidRDefault="002F5D47" w:rsidP="002F5D47">
      <w:pPr>
        <w:spacing w:line="480" w:lineRule="auto"/>
      </w:pPr>
    </w:p>
    <w:p w14:paraId="3C44D974" w14:textId="77777777" w:rsidR="002F5D47" w:rsidRDefault="002F5D47" w:rsidP="002F5D47">
      <w:pPr>
        <w:spacing w:line="480" w:lineRule="auto"/>
      </w:pPr>
    </w:p>
    <w:p w14:paraId="38571C38" w14:textId="77777777" w:rsidR="002F5D47" w:rsidRPr="000B1005" w:rsidRDefault="002F5D47" w:rsidP="002F5D47">
      <w:pPr>
        <w:spacing w:line="480" w:lineRule="auto"/>
        <w:jc w:val="center"/>
        <w:rPr>
          <w:sz w:val="36"/>
          <w:szCs w:val="36"/>
        </w:rPr>
      </w:pPr>
    </w:p>
    <w:tbl>
      <w:tblPr>
        <w:tblW w:w="11700" w:type="dxa"/>
        <w:tblInd w:w="-1062" w:type="dxa"/>
        <w:tblLayout w:type="fixed"/>
        <w:tblLook w:val="04A0" w:firstRow="1" w:lastRow="0" w:firstColumn="1" w:lastColumn="0" w:noHBand="0" w:noVBand="1"/>
      </w:tblPr>
      <w:tblGrid>
        <w:gridCol w:w="1710"/>
        <w:gridCol w:w="1254"/>
        <w:gridCol w:w="1162"/>
        <w:gridCol w:w="1312"/>
        <w:gridCol w:w="1312"/>
        <w:gridCol w:w="1312"/>
        <w:gridCol w:w="1312"/>
        <w:gridCol w:w="1156"/>
        <w:gridCol w:w="1170"/>
      </w:tblGrid>
      <w:tr w:rsidR="002F5D47" w:rsidRPr="00F64E4D" w14:paraId="29AD717E" w14:textId="77777777" w:rsidTr="00C04359">
        <w:trPr>
          <w:trHeight w:val="560"/>
        </w:trPr>
        <w:tc>
          <w:tcPr>
            <w:tcW w:w="11700" w:type="dxa"/>
            <w:gridSpan w:val="9"/>
            <w:tcBorders>
              <w:top w:val="nil"/>
              <w:left w:val="nil"/>
              <w:bottom w:val="nil"/>
              <w:right w:val="nil"/>
            </w:tcBorders>
            <w:shd w:val="clear" w:color="auto" w:fill="auto"/>
            <w:vAlign w:val="center"/>
            <w:hideMark/>
          </w:tcPr>
          <w:p w14:paraId="00E26B76" w14:textId="77777777" w:rsidR="002F5D47" w:rsidRDefault="002F5D47" w:rsidP="00C04359">
            <w:pPr>
              <w:rPr>
                <w:rFonts w:ascii="Calibri" w:eastAsia="Times New Roman" w:hAnsi="Calibri" w:cs="Times New Roman"/>
                <w:b/>
                <w:bCs/>
                <w:color w:val="000000"/>
                <w:sz w:val="22"/>
                <w:szCs w:val="22"/>
              </w:rPr>
            </w:pPr>
          </w:p>
          <w:p w14:paraId="09413C8D" w14:textId="77777777" w:rsidR="002F5D47" w:rsidRDefault="002F5D47" w:rsidP="00C04359">
            <w:pPr>
              <w:jc w:val="center"/>
              <w:rPr>
                <w:rFonts w:ascii="Calibri" w:eastAsia="Times New Roman" w:hAnsi="Calibri" w:cs="Times New Roman"/>
                <w:b/>
                <w:bCs/>
                <w:color w:val="000000"/>
                <w:sz w:val="22"/>
                <w:szCs w:val="22"/>
              </w:rPr>
            </w:pPr>
          </w:p>
          <w:p w14:paraId="1B6CD07F" w14:textId="77777777" w:rsidR="00837A0A" w:rsidRDefault="00837A0A" w:rsidP="00C04359">
            <w:pPr>
              <w:jc w:val="center"/>
              <w:rPr>
                <w:rFonts w:ascii="Calibri" w:eastAsia="Times New Roman" w:hAnsi="Calibri" w:cs="Times New Roman"/>
                <w:b/>
                <w:bCs/>
                <w:color w:val="000000"/>
                <w:sz w:val="22"/>
                <w:szCs w:val="22"/>
              </w:rPr>
            </w:pPr>
          </w:p>
          <w:p w14:paraId="3F96EE43" w14:textId="77777777" w:rsidR="00E30957" w:rsidRDefault="00E30957" w:rsidP="00C04359">
            <w:pPr>
              <w:jc w:val="center"/>
              <w:rPr>
                <w:rFonts w:ascii="Calibri" w:eastAsia="Times New Roman" w:hAnsi="Calibri" w:cs="Times New Roman"/>
                <w:b/>
                <w:bCs/>
                <w:color w:val="000000"/>
                <w:sz w:val="22"/>
                <w:szCs w:val="22"/>
              </w:rPr>
            </w:pPr>
          </w:p>
          <w:p w14:paraId="1C3F64AC" w14:textId="77777777" w:rsidR="00E30957" w:rsidRDefault="00E30957" w:rsidP="00C04359">
            <w:pPr>
              <w:jc w:val="center"/>
              <w:rPr>
                <w:rFonts w:ascii="Calibri" w:eastAsia="Times New Roman" w:hAnsi="Calibri" w:cs="Times New Roman"/>
                <w:b/>
                <w:bCs/>
                <w:color w:val="000000"/>
                <w:sz w:val="22"/>
                <w:szCs w:val="22"/>
              </w:rPr>
            </w:pPr>
          </w:p>
          <w:p w14:paraId="26BCA6EC" w14:textId="77777777" w:rsidR="002F5D47" w:rsidRDefault="002F5D47" w:rsidP="00C04359">
            <w:pPr>
              <w:jc w:val="center"/>
              <w:rPr>
                <w:rFonts w:ascii="Calibri" w:eastAsia="Times New Roman" w:hAnsi="Calibri" w:cs="Times New Roman"/>
                <w:b/>
                <w:bCs/>
                <w:color w:val="000000"/>
                <w:sz w:val="22"/>
                <w:szCs w:val="22"/>
              </w:rPr>
            </w:pPr>
          </w:p>
          <w:p w14:paraId="2E5C6578" w14:textId="375BAA2D" w:rsidR="002F5D47" w:rsidRPr="000701CF" w:rsidRDefault="00B27BBA" w:rsidP="00C04359">
            <w:pPr>
              <w:jc w:val="center"/>
              <w:rPr>
                <w:rFonts w:eastAsia="Times New Roman" w:cs="Times New Roman"/>
                <w:b/>
                <w:bCs/>
                <w:color w:val="000000"/>
              </w:rPr>
            </w:pPr>
            <w:r>
              <w:rPr>
                <w:rFonts w:eastAsia="Times New Roman" w:cs="Times New Roman"/>
                <w:b/>
                <w:bCs/>
                <w:color w:val="000000"/>
              </w:rPr>
              <w:t>Table 9</w:t>
            </w:r>
            <w:r>
              <w:rPr>
                <w:rFonts w:eastAsia="Times New Roman" w:cs="Times New Roman"/>
                <w:b/>
                <w:bCs/>
                <w:color w:val="000000"/>
              </w:rPr>
              <w:br/>
              <w:t>Difference-in-</w:t>
            </w:r>
            <w:r w:rsidR="002F5D47" w:rsidRPr="000701CF">
              <w:rPr>
                <w:rFonts w:eastAsia="Times New Roman" w:cs="Times New Roman"/>
                <w:b/>
                <w:bCs/>
                <w:color w:val="000000"/>
              </w:rPr>
              <w:t>Difference</w:t>
            </w:r>
            <w:r>
              <w:rPr>
                <w:rFonts w:eastAsia="Times New Roman" w:cs="Times New Roman"/>
                <w:b/>
                <w:bCs/>
                <w:color w:val="000000"/>
              </w:rPr>
              <w:t>s</w:t>
            </w:r>
            <w:r w:rsidR="002F5D47" w:rsidRPr="000701CF">
              <w:rPr>
                <w:rFonts w:eastAsia="Times New Roman" w:cs="Times New Roman"/>
                <w:b/>
                <w:bCs/>
                <w:color w:val="000000"/>
              </w:rPr>
              <w:t xml:space="preserve"> Regression Without Time Trends</w:t>
            </w:r>
            <w:r w:rsidR="00F81F14">
              <w:rPr>
                <w:rFonts w:eastAsia="Times New Roman" w:cs="Times New Roman"/>
                <w:b/>
                <w:bCs/>
                <w:color w:val="000000"/>
              </w:rPr>
              <w:t xml:space="preserve"> for 2003</w:t>
            </w:r>
          </w:p>
        </w:tc>
      </w:tr>
      <w:tr w:rsidR="002F5D47" w:rsidRPr="00F64E4D" w14:paraId="6F4AF49B" w14:textId="77777777" w:rsidTr="00C04359">
        <w:trPr>
          <w:trHeight w:val="280"/>
        </w:trPr>
        <w:tc>
          <w:tcPr>
            <w:tcW w:w="1710" w:type="dxa"/>
            <w:tcBorders>
              <w:top w:val="single" w:sz="4" w:space="0" w:color="auto"/>
              <w:left w:val="nil"/>
              <w:bottom w:val="nil"/>
              <w:right w:val="nil"/>
            </w:tcBorders>
            <w:shd w:val="clear" w:color="auto" w:fill="auto"/>
            <w:noWrap/>
            <w:vAlign w:val="bottom"/>
            <w:hideMark/>
          </w:tcPr>
          <w:p w14:paraId="7DE7B624"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254" w:type="dxa"/>
            <w:tcBorders>
              <w:top w:val="single" w:sz="4" w:space="0" w:color="auto"/>
              <w:left w:val="nil"/>
              <w:bottom w:val="nil"/>
              <w:right w:val="nil"/>
            </w:tcBorders>
            <w:shd w:val="clear" w:color="auto" w:fill="auto"/>
            <w:noWrap/>
            <w:vAlign w:val="bottom"/>
            <w:hideMark/>
          </w:tcPr>
          <w:p w14:paraId="3D43709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w:t>
            </w:r>
          </w:p>
        </w:tc>
        <w:tc>
          <w:tcPr>
            <w:tcW w:w="1162" w:type="dxa"/>
            <w:tcBorders>
              <w:top w:val="single" w:sz="4" w:space="0" w:color="auto"/>
              <w:left w:val="nil"/>
              <w:bottom w:val="nil"/>
              <w:right w:val="nil"/>
            </w:tcBorders>
            <w:shd w:val="clear" w:color="auto" w:fill="auto"/>
            <w:noWrap/>
            <w:vAlign w:val="bottom"/>
            <w:hideMark/>
          </w:tcPr>
          <w:p w14:paraId="5F43032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w:t>
            </w:r>
          </w:p>
        </w:tc>
        <w:tc>
          <w:tcPr>
            <w:tcW w:w="1312" w:type="dxa"/>
            <w:tcBorders>
              <w:top w:val="single" w:sz="4" w:space="0" w:color="auto"/>
              <w:left w:val="nil"/>
              <w:bottom w:val="nil"/>
              <w:right w:val="nil"/>
            </w:tcBorders>
            <w:shd w:val="clear" w:color="auto" w:fill="auto"/>
            <w:noWrap/>
            <w:vAlign w:val="bottom"/>
            <w:hideMark/>
          </w:tcPr>
          <w:p w14:paraId="28DC049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(3)</w:t>
            </w:r>
          </w:p>
        </w:tc>
        <w:tc>
          <w:tcPr>
            <w:tcW w:w="1312" w:type="dxa"/>
            <w:tcBorders>
              <w:top w:val="single" w:sz="4" w:space="0" w:color="auto"/>
              <w:left w:val="nil"/>
              <w:bottom w:val="nil"/>
              <w:right w:val="nil"/>
            </w:tcBorders>
            <w:shd w:val="clear" w:color="auto" w:fill="auto"/>
            <w:noWrap/>
            <w:vAlign w:val="bottom"/>
            <w:hideMark/>
          </w:tcPr>
          <w:p w14:paraId="1BAA165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(4)</w:t>
            </w:r>
          </w:p>
        </w:tc>
        <w:tc>
          <w:tcPr>
            <w:tcW w:w="1312" w:type="dxa"/>
            <w:tcBorders>
              <w:top w:val="single" w:sz="4" w:space="0" w:color="auto"/>
              <w:left w:val="nil"/>
              <w:bottom w:val="nil"/>
              <w:right w:val="nil"/>
            </w:tcBorders>
            <w:shd w:val="clear" w:color="auto" w:fill="auto"/>
            <w:noWrap/>
            <w:vAlign w:val="bottom"/>
            <w:hideMark/>
          </w:tcPr>
          <w:p w14:paraId="6728B60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(5)</w:t>
            </w:r>
          </w:p>
        </w:tc>
        <w:tc>
          <w:tcPr>
            <w:tcW w:w="1312" w:type="dxa"/>
            <w:tcBorders>
              <w:top w:val="single" w:sz="4" w:space="0" w:color="auto"/>
              <w:left w:val="nil"/>
              <w:bottom w:val="nil"/>
              <w:right w:val="nil"/>
            </w:tcBorders>
            <w:shd w:val="clear" w:color="auto" w:fill="auto"/>
            <w:noWrap/>
            <w:vAlign w:val="bottom"/>
            <w:hideMark/>
          </w:tcPr>
          <w:p w14:paraId="1FDB953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(6)</w:t>
            </w:r>
          </w:p>
        </w:tc>
        <w:tc>
          <w:tcPr>
            <w:tcW w:w="1156" w:type="dxa"/>
            <w:tcBorders>
              <w:top w:val="single" w:sz="4" w:space="0" w:color="auto"/>
              <w:left w:val="nil"/>
              <w:bottom w:val="nil"/>
              <w:right w:val="nil"/>
            </w:tcBorders>
            <w:shd w:val="clear" w:color="auto" w:fill="auto"/>
            <w:noWrap/>
            <w:vAlign w:val="bottom"/>
            <w:hideMark/>
          </w:tcPr>
          <w:p w14:paraId="45F7353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(7)</w:t>
            </w:r>
          </w:p>
        </w:tc>
        <w:tc>
          <w:tcPr>
            <w:tcW w:w="1170" w:type="dxa"/>
            <w:tcBorders>
              <w:top w:val="single" w:sz="4" w:space="0" w:color="auto"/>
              <w:left w:val="nil"/>
              <w:bottom w:val="nil"/>
              <w:right w:val="nil"/>
            </w:tcBorders>
            <w:shd w:val="clear" w:color="auto" w:fill="auto"/>
            <w:noWrap/>
            <w:vAlign w:val="bottom"/>
            <w:hideMark/>
          </w:tcPr>
          <w:p w14:paraId="37C08213"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(8)</w:t>
            </w:r>
          </w:p>
        </w:tc>
      </w:tr>
      <w:tr w:rsidR="002F5D47" w:rsidRPr="00F64E4D" w14:paraId="78B96930" w14:textId="77777777" w:rsidTr="00C04359">
        <w:trPr>
          <w:trHeight w:val="320"/>
        </w:trPr>
        <w:tc>
          <w:tcPr>
            <w:tcW w:w="1710" w:type="dxa"/>
            <w:tcBorders>
              <w:top w:val="nil"/>
              <w:left w:val="nil"/>
              <w:bottom w:val="nil"/>
              <w:right w:val="nil"/>
            </w:tcBorders>
            <w:shd w:val="clear" w:color="auto" w:fill="auto"/>
            <w:noWrap/>
            <w:vAlign w:val="bottom"/>
            <w:hideMark/>
          </w:tcPr>
          <w:p w14:paraId="2996D91E"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Pollutant</w:t>
            </w:r>
          </w:p>
        </w:tc>
        <w:tc>
          <w:tcPr>
            <w:tcW w:w="1254" w:type="dxa"/>
            <w:tcBorders>
              <w:top w:val="nil"/>
              <w:left w:val="nil"/>
              <w:bottom w:val="nil"/>
              <w:right w:val="nil"/>
            </w:tcBorders>
            <w:shd w:val="clear" w:color="auto" w:fill="auto"/>
            <w:noWrap/>
            <w:vAlign w:val="bottom"/>
            <w:hideMark/>
          </w:tcPr>
          <w:p w14:paraId="1B1422A7"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CO</w:t>
            </w:r>
          </w:p>
        </w:tc>
        <w:tc>
          <w:tcPr>
            <w:tcW w:w="1162" w:type="dxa"/>
            <w:tcBorders>
              <w:top w:val="nil"/>
              <w:left w:val="nil"/>
              <w:bottom w:val="nil"/>
              <w:right w:val="nil"/>
            </w:tcBorders>
            <w:shd w:val="clear" w:color="auto" w:fill="auto"/>
            <w:noWrap/>
            <w:vAlign w:val="bottom"/>
            <w:hideMark/>
          </w:tcPr>
          <w:p w14:paraId="6E82107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CO</w:t>
            </w:r>
          </w:p>
        </w:tc>
        <w:tc>
          <w:tcPr>
            <w:tcW w:w="1312" w:type="dxa"/>
            <w:tcBorders>
              <w:top w:val="nil"/>
              <w:left w:val="nil"/>
              <w:bottom w:val="nil"/>
              <w:right w:val="nil"/>
            </w:tcBorders>
            <w:shd w:val="clear" w:color="auto" w:fill="auto"/>
            <w:noWrap/>
            <w:vAlign w:val="bottom"/>
            <w:hideMark/>
          </w:tcPr>
          <w:p w14:paraId="0EBEC77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r w:rsidRPr="00F64E4D">
              <w:rPr>
                <w:rFonts w:ascii="Calibri" w:eastAsia="Times New Roman" w:hAnsi="Calibri" w:cs="Times New Roman"/>
                <w:color w:val="000000"/>
                <w:sz w:val="22"/>
                <w:szCs w:val="22"/>
                <w:vertAlign w:val="subscript"/>
              </w:rPr>
              <w:t>2</w:t>
            </w:r>
          </w:p>
        </w:tc>
        <w:tc>
          <w:tcPr>
            <w:tcW w:w="1312" w:type="dxa"/>
            <w:tcBorders>
              <w:top w:val="nil"/>
              <w:left w:val="nil"/>
              <w:bottom w:val="nil"/>
              <w:right w:val="nil"/>
            </w:tcBorders>
            <w:shd w:val="clear" w:color="auto" w:fill="auto"/>
            <w:noWrap/>
            <w:vAlign w:val="bottom"/>
            <w:hideMark/>
          </w:tcPr>
          <w:p w14:paraId="47F66A5B"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r w:rsidRPr="00F64E4D">
              <w:rPr>
                <w:rFonts w:ascii="Calibri" w:eastAsia="Times New Roman" w:hAnsi="Calibri" w:cs="Times New Roman"/>
                <w:color w:val="000000"/>
                <w:sz w:val="22"/>
                <w:szCs w:val="22"/>
                <w:vertAlign w:val="subscript"/>
              </w:rPr>
              <w:t>2</w:t>
            </w:r>
          </w:p>
        </w:tc>
        <w:tc>
          <w:tcPr>
            <w:tcW w:w="1312" w:type="dxa"/>
            <w:tcBorders>
              <w:top w:val="nil"/>
              <w:left w:val="nil"/>
              <w:bottom w:val="nil"/>
              <w:right w:val="nil"/>
            </w:tcBorders>
            <w:shd w:val="clear" w:color="auto" w:fill="auto"/>
            <w:noWrap/>
            <w:vAlign w:val="bottom"/>
            <w:hideMark/>
          </w:tcPr>
          <w:p w14:paraId="535B0E4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r w:rsidRPr="00F64E4D">
              <w:rPr>
                <w:rFonts w:ascii="Calibri" w:eastAsia="Times New Roman" w:hAnsi="Calibri" w:cs="Times New Roman"/>
                <w:color w:val="000000"/>
                <w:sz w:val="22"/>
                <w:szCs w:val="22"/>
                <w:vertAlign w:val="subscript"/>
              </w:rPr>
              <w:t>x</w:t>
            </w:r>
          </w:p>
        </w:tc>
        <w:tc>
          <w:tcPr>
            <w:tcW w:w="1312" w:type="dxa"/>
            <w:tcBorders>
              <w:top w:val="nil"/>
              <w:left w:val="nil"/>
              <w:bottom w:val="nil"/>
              <w:right w:val="nil"/>
            </w:tcBorders>
            <w:shd w:val="clear" w:color="auto" w:fill="auto"/>
            <w:noWrap/>
            <w:vAlign w:val="bottom"/>
            <w:hideMark/>
          </w:tcPr>
          <w:p w14:paraId="673ED4B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r w:rsidRPr="00F64E4D">
              <w:rPr>
                <w:rFonts w:ascii="Calibri" w:eastAsia="Times New Roman" w:hAnsi="Calibri" w:cs="Times New Roman"/>
                <w:color w:val="000000"/>
                <w:sz w:val="22"/>
                <w:szCs w:val="22"/>
                <w:vertAlign w:val="subscript"/>
              </w:rPr>
              <w:t>x</w:t>
            </w:r>
          </w:p>
        </w:tc>
        <w:tc>
          <w:tcPr>
            <w:tcW w:w="1156" w:type="dxa"/>
            <w:tcBorders>
              <w:top w:val="nil"/>
              <w:left w:val="nil"/>
              <w:bottom w:val="nil"/>
              <w:right w:val="nil"/>
            </w:tcBorders>
            <w:shd w:val="clear" w:color="auto" w:fill="auto"/>
            <w:noWrap/>
            <w:vAlign w:val="bottom"/>
            <w:hideMark/>
          </w:tcPr>
          <w:p w14:paraId="7073490B"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O</w:t>
            </w:r>
            <w:r w:rsidRPr="00F64E4D">
              <w:rPr>
                <w:rFonts w:ascii="Calibri" w:eastAsia="Times New Roman" w:hAnsi="Calibri" w:cs="Times New Roman"/>
                <w:color w:val="000000"/>
                <w:sz w:val="22"/>
                <w:szCs w:val="22"/>
                <w:vertAlign w:val="subscript"/>
              </w:rPr>
              <w:t>3</w:t>
            </w:r>
          </w:p>
        </w:tc>
        <w:tc>
          <w:tcPr>
            <w:tcW w:w="1170" w:type="dxa"/>
            <w:tcBorders>
              <w:top w:val="nil"/>
              <w:left w:val="nil"/>
              <w:bottom w:val="nil"/>
              <w:right w:val="nil"/>
            </w:tcBorders>
            <w:shd w:val="clear" w:color="auto" w:fill="auto"/>
            <w:noWrap/>
            <w:vAlign w:val="bottom"/>
            <w:hideMark/>
          </w:tcPr>
          <w:p w14:paraId="11C61FA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O</w:t>
            </w:r>
            <w:r w:rsidRPr="00F64E4D">
              <w:rPr>
                <w:rFonts w:ascii="Calibri" w:eastAsia="Times New Roman" w:hAnsi="Calibri" w:cs="Times New Roman"/>
                <w:color w:val="000000"/>
                <w:sz w:val="22"/>
                <w:szCs w:val="22"/>
                <w:vertAlign w:val="subscript"/>
              </w:rPr>
              <w:t>3</w:t>
            </w:r>
          </w:p>
        </w:tc>
      </w:tr>
      <w:tr w:rsidR="002F5D47" w:rsidRPr="00F64E4D" w14:paraId="514CED44" w14:textId="77777777" w:rsidTr="00C04359">
        <w:trPr>
          <w:trHeight w:val="280"/>
        </w:trPr>
        <w:tc>
          <w:tcPr>
            <w:tcW w:w="1710" w:type="dxa"/>
            <w:tcBorders>
              <w:top w:val="single" w:sz="4" w:space="0" w:color="auto"/>
              <w:left w:val="nil"/>
              <w:bottom w:val="nil"/>
              <w:right w:val="nil"/>
            </w:tcBorders>
            <w:shd w:val="clear" w:color="auto" w:fill="auto"/>
            <w:noWrap/>
            <w:vAlign w:val="bottom"/>
            <w:hideMark/>
          </w:tcPr>
          <w:p w14:paraId="7C054B9F"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254" w:type="dxa"/>
            <w:tcBorders>
              <w:top w:val="single" w:sz="4" w:space="0" w:color="auto"/>
              <w:left w:val="nil"/>
              <w:bottom w:val="nil"/>
              <w:right w:val="nil"/>
            </w:tcBorders>
            <w:shd w:val="clear" w:color="auto" w:fill="auto"/>
            <w:noWrap/>
            <w:vAlign w:val="bottom"/>
            <w:hideMark/>
          </w:tcPr>
          <w:p w14:paraId="7233164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162" w:type="dxa"/>
            <w:tcBorders>
              <w:top w:val="single" w:sz="4" w:space="0" w:color="auto"/>
              <w:left w:val="nil"/>
              <w:bottom w:val="nil"/>
              <w:right w:val="nil"/>
            </w:tcBorders>
            <w:shd w:val="clear" w:color="auto" w:fill="auto"/>
            <w:noWrap/>
            <w:vAlign w:val="bottom"/>
            <w:hideMark/>
          </w:tcPr>
          <w:p w14:paraId="2CE9D9C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312" w:type="dxa"/>
            <w:tcBorders>
              <w:top w:val="single" w:sz="4" w:space="0" w:color="auto"/>
              <w:left w:val="nil"/>
              <w:bottom w:val="nil"/>
              <w:right w:val="nil"/>
            </w:tcBorders>
            <w:shd w:val="clear" w:color="auto" w:fill="auto"/>
            <w:noWrap/>
            <w:vAlign w:val="bottom"/>
            <w:hideMark/>
          </w:tcPr>
          <w:p w14:paraId="2254DEF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312" w:type="dxa"/>
            <w:tcBorders>
              <w:top w:val="single" w:sz="4" w:space="0" w:color="auto"/>
              <w:left w:val="nil"/>
              <w:bottom w:val="nil"/>
              <w:right w:val="nil"/>
            </w:tcBorders>
            <w:shd w:val="clear" w:color="auto" w:fill="auto"/>
            <w:noWrap/>
            <w:vAlign w:val="bottom"/>
            <w:hideMark/>
          </w:tcPr>
          <w:p w14:paraId="2CF9A51C"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312" w:type="dxa"/>
            <w:tcBorders>
              <w:top w:val="single" w:sz="4" w:space="0" w:color="auto"/>
              <w:left w:val="nil"/>
              <w:bottom w:val="nil"/>
              <w:right w:val="nil"/>
            </w:tcBorders>
            <w:shd w:val="clear" w:color="auto" w:fill="auto"/>
            <w:noWrap/>
            <w:vAlign w:val="bottom"/>
            <w:hideMark/>
          </w:tcPr>
          <w:p w14:paraId="003FE9A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312" w:type="dxa"/>
            <w:tcBorders>
              <w:top w:val="single" w:sz="4" w:space="0" w:color="auto"/>
              <w:left w:val="nil"/>
              <w:bottom w:val="nil"/>
              <w:right w:val="nil"/>
            </w:tcBorders>
            <w:shd w:val="clear" w:color="auto" w:fill="auto"/>
            <w:noWrap/>
            <w:vAlign w:val="bottom"/>
            <w:hideMark/>
          </w:tcPr>
          <w:p w14:paraId="2EF48F2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156" w:type="dxa"/>
            <w:tcBorders>
              <w:top w:val="single" w:sz="4" w:space="0" w:color="auto"/>
              <w:left w:val="nil"/>
              <w:bottom w:val="nil"/>
              <w:right w:val="nil"/>
            </w:tcBorders>
            <w:shd w:val="clear" w:color="auto" w:fill="auto"/>
            <w:noWrap/>
            <w:vAlign w:val="bottom"/>
            <w:hideMark/>
          </w:tcPr>
          <w:p w14:paraId="7723B370"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2FA7BEBC"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 </w:t>
            </w:r>
          </w:p>
        </w:tc>
      </w:tr>
      <w:tr w:rsidR="002F5D47" w:rsidRPr="00F64E4D" w14:paraId="434D8291" w14:textId="77777777" w:rsidTr="00C04359">
        <w:trPr>
          <w:trHeight w:val="280"/>
        </w:trPr>
        <w:tc>
          <w:tcPr>
            <w:tcW w:w="1710" w:type="dxa"/>
            <w:tcBorders>
              <w:top w:val="nil"/>
              <w:left w:val="nil"/>
              <w:bottom w:val="nil"/>
              <w:right w:val="nil"/>
            </w:tcBorders>
            <w:shd w:val="clear" w:color="auto" w:fill="auto"/>
            <w:noWrap/>
            <w:vAlign w:val="bottom"/>
            <w:hideMark/>
          </w:tcPr>
          <w:p w14:paraId="0F3721AC"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Strike × Week</w:t>
            </w:r>
          </w:p>
        </w:tc>
        <w:tc>
          <w:tcPr>
            <w:tcW w:w="1254" w:type="dxa"/>
            <w:tcBorders>
              <w:top w:val="nil"/>
              <w:left w:val="nil"/>
              <w:bottom w:val="nil"/>
              <w:right w:val="nil"/>
            </w:tcBorders>
            <w:shd w:val="clear" w:color="auto" w:fill="auto"/>
            <w:noWrap/>
            <w:vAlign w:val="bottom"/>
            <w:hideMark/>
          </w:tcPr>
          <w:p w14:paraId="5113806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0.080</w:t>
            </w:r>
          </w:p>
        </w:tc>
        <w:tc>
          <w:tcPr>
            <w:tcW w:w="1162" w:type="dxa"/>
            <w:tcBorders>
              <w:top w:val="nil"/>
              <w:left w:val="nil"/>
              <w:bottom w:val="nil"/>
              <w:right w:val="nil"/>
            </w:tcBorders>
            <w:shd w:val="clear" w:color="auto" w:fill="auto"/>
            <w:noWrap/>
            <w:vAlign w:val="bottom"/>
            <w:hideMark/>
          </w:tcPr>
          <w:p w14:paraId="7431BCBE"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0.075</w:t>
            </w:r>
          </w:p>
        </w:tc>
        <w:tc>
          <w:tcPr>
            <w:tcW w:w="1312" w:type="dxa"/>
            <w:tcBorders>
              <w:top w:val="nil"/>
              <w:left w:val="nil"/>
              <w:bottom w:val="nil"/>
              <w:right w:val="nil"/>
            </w:tcBorders>
            <w:shd w:val="clear" w:color="auto" w:fill="auto"/>
            <w:noWrap/>
            <w:vAlign w:val="bottom"/>
            <w:hideMark/>
          </w:tcPr>
          <w:p w14:paraId="3322B03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3.135*</w:t>
            </w:r>
          </w:p>
        </w:tc>
        <w:tc>
          <w:tcPr>
            <w:tcW w:w="1312" w:type="dxa"/>
            <w:tcBorders>
              <w:top w:val="nil"/>
              <w:left w:val="nil"/>
              <w:bottom w:val="nil"/>
              <w:right w:val="nil"/>
            </w:tcBorders>
            <w:shd w:val="clear" w:color="auto" w:fill="auto"/>
            <w:noWrap/>
            <w:vAlign w:val="bottom"/>
            <w:hideMark/>
          </w:tcPr>
          <w:p w14:paraId="54D03807"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2.828*</w:t>
            </w:r>
          </w:p>
        </w:tc>
        <w:tc>
          <w:tcPr>
            <w:tcW w:w="1312" w:type="dxa"/>
            <w:tcBorders>
              <w:top w:val="nil"/>
              <w:left w:val="nil"/>
              <w:bottom w:val="nil"/>
              <w:right w:val="nil"/>
            </w:tcBorders>
            <w:shd w:val="clear" w:color="auto" w:fill="auto"/>
            <w:noWrap/>
            <w:vAlign w:val="bottom"/>
            <w:hideMark/>
          </w:tcPr>
          <w:p w14:paraId="530247E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16.734***</w:t>
            </w:r>
          </w:p>
        </w:tc>
        <w:tc>
          <w:tcPr>
            <w:tcW w:w="1312" w:type="dxa"/>
            <w:tcBorders>
              <w:top w:val="nil"/>
              <w:left w:val="nil"/>
              <w:bottom w:val="nil"/>
              <w:right w:val="nil"/>
            </w:tcBorders>
            <w:shd w:val="clear" w:color="auto" w:fill="auto"/>
            <w:noWrap/>
            <w:vAlign w:val="bottom"/>
            <w:hideMark/>
          </w:tcPr>
          <w:p w14:paraId="198D16D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14.309***</w:t>
            </w:r>
          </w:p>
        </w:tc>
        <w:tc>
          <w:tcPr>
            <w:tcW w:w="1156" w:type="dxa"/>
            <w:tcBorders>
              <w:top w:val="nil"/>
              <w:left w:val="nil"/>
              <w:bottom w:val="nil"/>
              <w:right w:val="nil"/>
            </w:tcBorders>
            <w:shd w:val="clear" w:color="auto" w:fill="auto"/>
            <w:noWrap/>
            <w:vAlign w:val="bottom"/>
            <w:hideMark/>
          </w:tcPr>
          <w:p w14:paraId="54B269E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-0.002</w:t>
            </w:r>
          </w:p>
        </w:tc>
        <w:tc>
          <w:tcPr>
            <w:tcW w:w="1170" w:type="dxa"/>
            <w:tcBorders>
              <w:top w:val="nil"/>
              <w:left w:val="nil"/>
              <w:bottom w:val="nil"/>
              <w:right w:val="nil"/>
            </w:tcBorders>
            <w:shd w:val="clear" w:color="auto" w:fill="auto"/>
            <w:noWrap/>
            <w:vAlign w:val="bottom"/>
            <w:hideMark/>
          </w:tcPr>
          <w:p w14:paraId="5B96CD4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16043096" w14:textId="77777777" w:rsidTr="00C04359">
        <w:trPr>
          <w:trHeight w:val="280"/>
        </w:trPr>
        <w:tc>
          <w:tcPr>
            <w:tcW w:w="1710" w:type="dxa"/>
            <w:tcBorders>
              <w:top w:val="nil"/>
              <w:left w:val="nil"/>
              <w:bottom w:val="nil"/>
              <w:right w:val="nil"/>
            </w:tcBorders>
            <w:shd w:val="clear" w:color="auto" w:fill="auto"/>
            <w:noWrap/>
            <w:vAlign w:val="bottom"/>
            <w:hideMark/>
          </w:tcPr>
          <w:p w14:paraId="0F96DEDA"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29F0136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(0.078)</w:t>
            </w:r>
          </w:p>
        </w:tc>
        <w:tc>
          <w:tcPr>
            <w:tcW w:w="1162" w:type="dxa"/>
            <w:tcBorders>
              <w:top w:val="nil"/>
              <w:left w:val="nil"/>
              <w:bottom w:val="nil"/>
              <w:right w:val="nil"/>
            </w:tcBorders>
            <w:shd w:val="clear" w:color="auto" w:fill="auto"/>
            <w:noWrap/>
            <w:vAlign w:val="bottom"/>
            <w:hideMark/>
          </w:tcPr>
          <w:p w14:paraId="7A2652A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(0.067)</w:t>
            </w:r>
          </w:p>
        </w:tc>
        <w:tc>
          <w:tcPr>
            <w:tcW w:w="1312" w:type="dxa"/>
            <w:tcBorders>
              <w:top w:val="nil"/>
              <w:left w:val="nil"/>
              <w:bottom w:val="nil"/>
              <w:right w:val="nil"/>
            </w:tcBorders>
            <w:shd w:val="clear" w:color="auto" w:fill="auto"/>
            <w:noWrap/>
            <w:vAlign w:val="bottom"/>
            <w:hideMark/>
          </w:tcPr>
          <w:p w14:paraId="2B3EB06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(1.578)</w:t>
            </w:r>
          </w:p>
        </w:tc>
        <w:tc>
          <w:tcPr>
            <w:tcW w:w="1312" w:type="dxa"/>
            <w:tcBorders>
              <w:top w:val="nil"/>
              <w:left w:val="nil"/>
              <w:bottom w:val="nil"/>
              <w:right w:val="nil"/>
            </w:tcBorders>
            <w:shd w:val="clear" w:color="auto" w:fill="auto"/>
            <w:noWrap/>
            <w:vAlign w:val="bottom"/>
            <w:hideMark/>
          </w:tcPr>
          <w:p w14:paraId="1F016B0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(1.454)</w:t>
            </w:r>
          </w:p>
        </w:tc>
        <w:tc>
          <w:tcPr>
            <w:tcW w:w="1312" w:type="dxa"/>
            <w:tcBorders>
              <w:top w:val="nil"/>
              <w:left w:val="nil"/>
              <w:bottom w:val="nil"/>
              <w:right w:val="nil"/>
            </w:tcBorders>
            <w:shd w:val="clear" w:color="auto" w:fill="auto"/>
            <w:noWrap/>
            <w:vAlign w:val="bottom"/>
            <w:hideMark/>
          </w:tcPr>
          <w:p w14:paraId="1474CE8E"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(4.820)</w:t>
            </w:r>
          </w:p>
        </w:tc>
        <w:tc>
          <w:tcPr>
            <w:tcW w:w="1312" w:type="dxa"/>
            <w:tcBorders>
              <w:top w:val="nil"/>
              <w:left w:val="nil"/>
              <w:bottom w:val="nil"/>
              <w:right w:val="nil"/>
            </w:tcBorders>
            <w:shd w:val="clear" w:color="auto" w:fill="auto"/>
            <w:noWrap/>
            <w:vAlign w:val="bottom"/>
            <w:hideMark/>
          </w:tcPr>
          <w:p w14:paraId="6024E89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(4.318)</w:t>
            </w:r>
          </w:p>
        </w:tc>
        <w:tc>
          <w:tcPr>
            <w:tcW w:w="1156" w:type="dxa"/>
            <w:tcBorders>
              <w:top w:val="nil"/>
              <w:left w:val="nil"/>
              <w:bottom w:val="nil"/>
              <w:right w:val="nil"/>
            </w:tcBorders>
            <w:shd w:val="clear" w:color="auto" w:fill="auto"/>
            <w:noWrap/>
            <w:vAlign w:val="bottom"/>
            <w:hideMark/>
          </w:tcPr>
          <w:p w14:paraId="02FBBBE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0E63641C"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44FB8613" w14:textId="77777777" w:rsidTr="00C04359">
        <w:trPr>
          <w:trHeight w:val="280"/>
        </w:trPr>
        <w:tc>
          <w:tcPr>
            <w:tcW w:w="1710" w:type="dxa"/>
            <w:tcBorders>
              <w:top w:val="nil"/>
              <w:left w:val="nil"/>
              <w:bottom w:val="nil"/>
              <w:right w:val="nil"/>
            </w:tcBorders>
            <w:shd w:val="clear" w:color="auto" w:fill="auto"/>
            <w:noWrap/>
            <w:vAlign w:val="bottom"/>
            <w:hideMark/>
          </w:tcPr>
          <w:p w14:paraId="39C8ADA1"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62B9C9BC" w14:textId="77777777" w:rsidR="002F5D47" w:rsidRPr="00F64E4D" w:rsidRDefault="002F5D47" w:rsidP="00C04359">
            <w:pPr>
              <w:jc w:val="center"/>
              <w:rPr>
                <w:rFonts w:ascii="Calibri" w:eastAsia="Times New Roman" w:hAnsi="Calibri" w:cs="Times New Roman"/>
                <w:color w:val="000000"/>
                <w:sz w:val="22"/>
                <w:szCs w:val="22"/>
              </w:rPr>
            </w:pPr>
          </w:p>
        </w:tc>
        <w:tc>
          <w:tcPr>
            <w:tcW w:w="1162" w:type="dxa"/>
            <w:tcBorders>
              <w:top w:val="nil"/>
              <w:left w:val="nil"/>
              <w:bottom w:val="nil"/>
              <w:right w:val="nil"/>
            </w:tcBorders>
            <w:shd w:val="clear" w:color="auto" w:fill="auto"/>
            <w:noWrap/>
            <w:vAlign w:val="bottom"/>
            <w:hideMark/>
          </w:tcPr>
          <w:p w14:paraId="0C7D1FBF"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37378BD3"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68FBE249"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2224F30C"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7E8CD5BE" w14:textId="77777777" w:rsidR="002F5D47" w:rsidRPr="00F64E4D"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bottom"/>
            <w:hideMark/>
          </w:tcPr>
          <w:p w14:paraId="7BF0D7AD" w14:textId="77777777" w:rsidR="002F5D47" w:rsidRPr="00F64E4D"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18EF936" w14:textId="77777777" w:rsidR="002F5D47" w:rsidRPr="00F64E4D" w:rsidRDefault="002F5D47" w:rsidP="00C04359">
            <w:pPr>
              <w:jc w:val="center"/>
              <w:rPr>
                <w:rFonts w:ascii="Calibri" w:eastAsia="Times New Roman" w:hAnsi="Calibri" w:cs="Times New Roman"/>
                <w:color w:val="000000"/>
                <w:sz w:val="22"/>
                <w:szCs w:val="22"/>
              </w:rPr>
            </w:pPr>
          </w:p>
        </w:tc>
      </w:tr>
      <w:tr w:rsidR="002F5D47" w:rsidRPr="00F64E4D" w14:paraId="791478FA" w14:textId="77777777" w:rsidTr="00C04359">
        <w:trPr>
          <w:trHeight w:val="280"/>
        </w:trPr>
        <w:tc>
          <w:tcPr>
            <w:tcW w:w="1710" w:type="dxa"/>
            <w:tcBorders>
              <w:top w:val="nil"/>
              <w:left w:val="nil"/>
              <w:bottom w:val="nil"/>
              <w:right w:val="nil"/>
            </w:tcBorders>
            <w:shd w:val="clear" w:color="auto" w:fill="auto"/>
            <w:noWrap/>
            <w:vAlign w:val="bottom"/>
            <w:hideMark/>
          </w:tcPr>
          <w:p w14:paraId="0053719B"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Treat</w:t>
            </w:r>
          </w:p>
        </w:tc>
        <w:tc>
          <w:tcPr>
            <w:tcW w:w="1254" w:type="dxa"/>
            <w:tcBorders>
              <w:top w:val="nil"/>
              <w:left w:val="nil"/>
              <w:bottom w:val="nil"/>
              <w:right w:val="nil"/>
            </w:tcBorders>
            <w:shd w:val="clear" w:color="auto" w:fill="auto"/>
            <w:noWrap/>
            <w:vAlign w:val="bottom"/>
            <w:hideMark/>
          </w:tcPr>
          <w:p w14:paraId="1C39ED99"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0.463***</w:t>
            </w:r>
          </w:p>
        </w:tc>
        <w:tc>
          <w:tcPr>
            <w:tcW w:w="1162" w:type="dxa"/>
            <w:tcBorders>
              <w:top w:val="nil"/>
              <w:left w:val="nil"/>
              <w:bottom w:val="nil"/>
              <w:right w:val="nil"/>
            </w:tcBorders>
            <w:shd w:val="clear" w:color="auto" w:fill="auto"/>
            <w:noWrap/>
            <w:vAlign w:val="bottom"/>
            <w:hideMark/>
          </w:tcPr>
          <w:p w14:paraId="755CD97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0.375***</w:t>
            </w:r>
          </w:p>
        </w:tc>
        <w:tc>
          <w:tcPr>
            <w:tcW w:w="1312" w:type="dxa"/>
            <w:tcBorders>
              <w:top w:val="nil"/>
              <w:left w:val="nil"/>
              <w:bottom w:val="nil"/>
              <w:right w:val="nil"/>
            </w:tcBorders>
            <w:shd w:val="clear" w:color="auto" w:fill="auto"/>
            <w:noWrap/>
            <w:vAlign w:val="bottom"/>
            <w:hideMark/>
          </w:tcPr>
          <w:p w14:paraId="060F1B53"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14.547***</w:t>
            </w:r>
          </w:p>
        </w:tc>
        <w:tc>
          <w:tcPr>
            <w:tcW w:w="1312" w:type="dxa"/>
            <w:tcBorders>
              <w:top w:val="nil"/>
              <w:left w:val="nil"/>
              <w:bottom w:val="nil"/>
              <w:right w:val="nil"/>
            </w:tcBorders>
            <w:shd w:val="clear" w:color="auto" w:fill="auto"/>
            <w:noWrap/>
            <w:vAlign w:val="bottom"/>
            <w:hideMark/>
          </w:tcPr>
          <w:p w14:paraId="0C97ED1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15.086***</w:t>
            </w:r>
          </w:p>
        </w:tc>
        <w:tc>
          <w:tcPr>
            <w:tcW w:w="1312" w:type="dxa"/>
            <w:tcBorders>
              <w:top w:val="nil"/>
              <w:left w:val="nil"/>
              <w:bottom w:val="nil"/>
              <w:right w:val="nil"/>
            </w:tcBorders>
            <w:shd w:val="clear" w:color="auto" w:fill="auto"/>
            <w:noWrap/>
            <w:vAlign w:val="bottom"/>
            <w:hideMark/>
          </w:tcPr>
          <w:p w14:paraId="3B6F25BB"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34.727***</w:t>
            </w:r>
          </w:p>
        </w:tc>
        <w:tc>
          <w:tcPr>
            <w:tcW w:w="1312" w:type="dxa"/>
            <w:tcBorders>
              <w:top w:val="nil"/>
              <w:left w:val="nil"/>
              <w:bottom w:val="nil"/>
              <w:right w:val="nil"/>
            </w:tcBorders>
            <w:shd w:val="clear" w:color="auto" w:fill="auto"/>
            <w:noWrap/>
            <w:vAlign w:val="bottom"/>
            <w:hideMark/>
          </w:tcPr>
          <w:p w14:paraId="32074E60"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25.833***</w:t>
            </w:r>
          </w:p>
        </w:tc>
        <w:tc>
          <w:tcPr>
            <w:tcW w:w="1156" w:type="dxa"/>
            <w:tcBorders>
              <w:top w:val="nil"/>
              <w:left w:val="nil"/>
              <w:bottom w:val="nil"/>
              <w:right w:val="nil"/>
            </w:tcBorders>
            <w:shd w:val="clear" w:color="auto" w:fill="auto"/>
            <w:noWrap/>
            <w:vAlign w:val="bottom"/>
            <w:hideMark/>
          </w:tcPr>
          <w:p w14:paraId="5D5691B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-0.010***</w:t>
            </w:r>
          </w:p>
        </w:tc>
        <w:tc>
          <w:tcPr>
            <w:tcW w:w="1170" w:type="dxa"/>
            <w:tcBorders>
              <w:top w:val="nil"/>
              <w:left w:val="nil"/>
              <w:bottom w:val="nil"/>
              <w:right w:val="nil"/>
            </w:tcBorders>
            <w:shd w:val="clear" w:color="auto" w:fill="auto"/>
            <w:noWrap/>
            <w:vAlign w:val="bottom"/>
            <w:hideMark/>
          </w:tcPr>
          <w:p w14:paraId="5D21E9D5"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-0.009***</w:t>
            </w:r>
          </w:p>
        </w:tc>
      </w:tr>
      <w:tr w:rsidR="002F5D47" w:rsidRPr="00F64E4D" w14:paraId="42F667D0" w14:textId="77777777" w:rsidTr="00C04359">
        <w:trPr>
          <w:trHeight w:val="280"/>
        </w:trPr>
        <w:tc>
          <w:tcPr>
            <w:tcW w:w="1710" w:type="dxa"/>
            <w:tcBorders>
              <w:top w:val="nil"/>
              <w:left w:val="nil"/>
              <w:bottom w:val="nil"/>
              <w:right w:val="nil"/>
            </w:tcBorders>
            <w:shd w:val="clear" w:color="auto" w:fill="auto"/>
            <w:noWrap/>
            <w:vAlign w:val="bottom"/>
            <w:hideMark/>
          </w:tcPr>
          <w:p w14:paraId="2171FE8A"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2D3EC76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(0.083)</w:t>
            </w:r>
          </w:p>
        </w:tc>
        <w:tc>
          <w:tcPr>
            <w:tcW w:w="1162" w:type="dxa"/>
            <w:tcBorders>
              <w:top w:val="nil"/>
              <w:left w:val="nil"/>
              <w:bottom w:val="nil"/>
              <w:right w:val="nil"/>
            </w:tcBorders>
            <w:shd w:val="clear" w:color="auto" w:fill="auto"/>
            <w:noWrap/>
            <w:vAlign w:val="bottom"/>
            <w:hideMark/>
          </w:tcPr>
          <w:p w14:paraId="5C73A68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(0.070)</w:t>
            </w:r>
          </w:p>
        </w:tc>
        <w:tc>
          <w:tcPr>
            <w:tcW w:w="1312" w:type="dxa"/>
            <w:tcBorders>
              <w:top w:val="nil"/>
              <w:left w:val="nil"/>
              <w:bottom w:val="nil"/>
              <w:right w:val="nil"/>
            </w:tcBorders>
            <w:shd w:val="clear" w:color="auto" w:fill="auto"/>
            <w:noWrap/>
            <w:vAlign w:val="bottom"/>
            <w:hideMark/>
          </w:tcPr>
          <w:p w14:paraId="5BC7B3F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(1.375)</w:t>
            </w:r>
          </w:p>
        </w:tc>
        <w:tc>
          <w:tcPr>
            <w:tcW w:w="1312" w:type="dxa"/>
            <w:tcBorders>
              <w:top w:val="nil"/>
              <w:left w:val="nil"/>
              <w:bottom w:val="nil"/>
              <w:right w:val="nil"/>
            </w:tcBorders>
            <w:shd w:val="clear" w:color="auto" w:fill="auto"/>
            <w:noWrap/>
            <w:vAlign w:val="bottom"/>
            <w:hideMark/>
          </w:tcPr>
          <w:p w14:paraId="1751379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(1.037)</w:t>
            </w:r>
          </w:p>
        </w:tc>
        <w:tc>
          <w:tcPr>
            <w:tcW w:w="1312" w:type="dxa"/>
            <w:tcBorders>
              <w:top w:val="nil"/>
              <w:left w:val="nil"/>
              <w:bottom w:val="nil"/>
              <w:right w:val="nil"/>
            </w:tcBorders>
            <w:shd w:val="clear" w:color="auto" w:fill="auto"/>
            <w:noWrap/>
            <w:vAlign w:val="bottom"/>
            <w:hideMark/>
          </w:tcPr>
          <w:p w14:paraId="21CF9D83"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(5.874)</w:t>
            </w:r>
          </w:p>
        </w:tc>
        <w:tc>
          <w:tcPr>
            <w:tcW w:w="1312" w:type="dxa"/>
            <w:tcBorders>
              <w:top w:val="nil"/>
              <w:left w:val="nil"/>
              <w:bottom w:val="nil"/>
              <w:right w:val="nil"/>
            </w:tcBorders>
            <w:shd w:val="clear" w:color="auto" w:fill="auto"/>
            <w:noWrap/>
            <w:vAlign w:val="bottom"/>
            <w:hideMark/>
          </w:tcPr>
          <w:p w14:paraId="34DA80C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(3.991)</w:t>
            </w:r>
          </w:p>
        </w:tc>
        <w:tc>
          <w:tcPr>
            <w:tcW w:w="1156" w:type="dxa"/>
            <w:tcBorders>
              <w:top w:val="nil"/>
              <w:left w:val="nil"/>
              <w:bottom w:val="nil"/>
              <w:right w:val="nil"/>
            </w:tcBorders>
            <w:shd w:val="clear" w:color="auto" w:fill="auto"/>
            <w:noWrap/>
            <w:vAlign w:val="bottom"/>
            <w:hideMark/>
          </w:tcPr>
          <w:p w14:paraId="3D8A67F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(0.002)</w:t>
            </w:r>
          </w:p>
        </w:tc>
        <w:tc>
          <w:tcPr>
            <w:tcW w:w="1170" w:type="dxa"/>
            <w:tcBorders>
              <w:top w:val="nil"/>
              <w:left w:val="nil"/>
              <w:bottom w:val="nil"/>
              <w:right w:val="nil"/>
            </w:tcBorders>
            <w:shd w:val="clear" w:color="auto" w:fill="auto"/>
            <w:noWrap/>
            <w:vAlign w:val="bottom"/>
            <w:hideMark/>
          </w:tcPr>
          <w:p w14:paraId="01C3789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0427C60C" w14:textId="77777777" w:rsidTr="00C04359">
        <w:trPr>
          <w:trHeight w:val="280"/>
        </w:trPr>
        <w:tc>
          <w:tcPr>
            <w:tcW w:w="1710" w:type="dxa"/>
            <w:tcBorders>
              <w:top w:val="nil"/>
              <w:left w:val="nil"/>
              <w:bottom w:val="nil"/>
              <w:right w:val="nil"/>
            </w:tcBorders>
            <w:shd w:val="clear" w:color="auto" w:fill="auto"/>
            <w:noWrap/>
            <w:vAlign w:val="bottom"/>
            <w:hideMark/>
          </w:tcPr>
          <w:p w14:paraId="01F9756E"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5A1A9F6D" w14:textId="77777777" w:rsidR="002F5D47" w:rsidRPr="00F64E4D" w:rsidRDefault="002F5D47" w:rsidP="00C04359">
            <w:pPr>
              <w:jc w:val="center"/>
              <w:rPr>
                <w:rFonts w:ascii="Calibri" w:eastAsia="Times New Roman" w:hAnsi="Calibri" w:cs="Times New Roman"/>
                <w:color w:val="000000"/>
                <w:sz w:val="22"/>
                <w:szCs w:val="22"/>
              </w:rPr>
            </w:pPr>
          </w:p>
        </w:tc>
        <w:tc>
          <w:tcPr>
            <w:tcW w:w="1162" w:type="dxa"/>
            <w:tcBorders>
              <w:top w:val="nil"/>
              <w:left w:val="nil"/>
              <w:bottom w:val="nil"/>
              <w:right w:val="nil"/>
            </w:tcBorders>
            <w:shd w:val="clear" w:color="auto" w:fill="auto"/>
            <w:noWrap/>
            <w:vAlign w:val="bottom"/>
            <w:hideMark/>
          </w:tcPr>
          <w:p w14:paraId="4A6307B8"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542BF6A2"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35A1880F"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10ED6DCF"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7F9A672D" w14:textId="77777777" w:rsidR="002F5D47" w:rsidRPr="00F64E4D"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bottom"/>
            <w:hideMark/>
          </w:tcPr>
          <w:p w14:paraId="61752667" w14:textId="77777777" w:rsidR="002F5D47" w:rsidRPr="00F64E4D"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64F1D66" w14:textId="77777777" w:rsidR="002F5D47" w:rsidRPr="00F64E4D" w:rsidRDefault="002F5D47" w:rsidP="00C04359">
            <w:pPr>
              <w:jc w:val="center"/>
              <w:rPr>
                <w:rFonts w:ascii="Calibri" w:eastAsia="Times New Roman" w:hAnsi="Calibri" w:cs="Times New Roman"/>
                <w:color w:val="000000"/>
                <w:sz w:val="22"/>
                <w:szCs w:val="22"/>
              </w:rPr>
            </w:pPr>
          </w:p>
        </w:tc>
      </w:tr>
      <w:tr w:rsidR="002F5D47" w:rsidRPr="00F64E4D" w14:paraId="6820420F" w14:textId="77777777" w:rsidTr="00C04359">
        <w:trPr>
          <w:trHeight w:val="280"/>
        </w:trPr>
        <w:tc>
          <w:tcPr>
            <w:tcW w:w="1710" w:type="dxa"/>
            <w:tcBorders>
              <w:top w:val="nil"/>
              <w:left w:val="nil"/>
              <w:bottom w:val="nil"/>
              <w:right w:val="nil"/>
            </w:tcBorders>
            <w:shd w:val="clear" w:color="auto" w:fill="auto"/>
            <w:noWrap/>
            <w:vAlign w:val="bottom"/>
            <w:hideMark/>
          </w:tcPr>
          <w:p w14:paraId="04E574BC"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Strike</w:t>
            </w:r>
          </w:p>
        </w:tc>
        <w:tc>
          <w:tcPr>
            <w:tcW w:w="1254" w:type="dxa"/>
            <w:tcBorders>
              <w:top w:val="nil"/>
              <w:left w:val="nil"/>
              <w:bottom w:val="nil"/>
              <w:right w:val="nil"/>
            </w:tcBorders>
            <w:shd w:val="clear" w:color="auto" w:fill="auto"/>
            <w:noWrap/>
            <w:vAlign w:val="bottom"/>
            <w:hideMark/>
          </w:tcPr>
          <w:p w14:paraId="71BBF083"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0.106*</w:t>
            </w:r>
          </w:p>
        </w:tc>
        <w:tc>
          <w:tcPr>
            <w:tcW w:w="1162" w:type="dxa"/>
            <w:tcBorders>
              <w:top w:val="nil"/>
              <w:left w:val="nil"/>
              <w:bottom w:val="nil"/>
              <w:right w:val="nil"/>
            </w:tcBorders>
            <w:shd w:val="clear" w:color="auto" w:fill="auto"/>
            <w:noWrap/>
            <w:vAlign w:val="bottom"/>
            <w:hideMark/>
          </w:tcPr>
          <w:p w14:paraId="5206D5D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0.170***</w:t>
            </w:r>
          </w:p>
        </w:tc>
        <w:tc>
          <w:tcPr>
            <w:tcW w:w="1312" w:type="dxa"/>
            <w:tcBorders>
              <w:top w:val="nil"/>
              <w:left w:val="nil"/>
              <w:bottom w:val="nil"/>
              <w:right w:val="nil"/>
            </w:tcBorders>
            <w:shd w:val="clear" w:color="auto" w:fill="auto"/>
            <w:noWrap/>
            <w:vAlign w:val="bottom"/>
            <w:hideMark/>
          </w:tcPr>
          <w:p w14:paraId="6B46638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4.531***</w:t>
            </w:r>
          </w:p>
        </w:tc>
        <w:tc>
          <w:tcPr>
            <w:tcW w:w="1312" w:type="dxa"/>
            <w:tcBorders>
              <w:top w:val="nil"/>
              <w:left w:val="nil"/>
              <w:bottom w:val="nil"/>
              <w:right w:val="nil"/>
            </w:tcBorders>
            <w:shd w:val="clear" w:color="auto" w:fill="auto"/>
            <w:noWrap/>
            <w:vAlign w:val="bottom"/>
            <w:hideMark/>
          </w:tcPr>
          <w:p w14:paraId="06645A3B"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4.529***</w:t>
            </w:r>
          </w:p>
        </w:tc>
        <w:tc>
          <w:tcPr>
            <w:tcW w:w="1312" w:type="dxa"/>
            <w:tcBorders>
              <w:top w:val="nil"/>
              <w:left w:val="nil"/>
              <w:bottom w:val="nil"/>
              <w:right w:val="nil"/>
            </w:tcBorders>
            <w:shd w:val="clear" w:color="auto" w:fill="auto"/>
            <w:noWrap/>
            <w:vAlign w:val="bottom"/>
            <w:hideMark/>
          </w:tcPr>
          <w:p w14:paraId="52E64167"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2.522</w:t>
            </w:r>
          </w:p>
        </w:tc>
        <w:tc>
          <w:tcPr>
            <w:tcW w:w="1312" w:type="dxa"/>
            <w:tcBorders>
              <w:top w:val="nil"/>
              <w:left w:val="nil"/>
              <w:bottom w:val="nil"/>
              <w:right w:val="nil"/>
            </w:tcBorders>
            <w:shd w:val="clear" w:color="auto" w:fill="auto"/>
            <w:noWrap/>
            <w:vAlign w:val="bottom"/>
            <w:hideMark/>
          </w:tcPr>
          <w:p w14:paraId="6668008E"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6.044**</w:t>
            </w:r>
          </w:p>
        </w:tc>
        <w:tc>
          <w:tcPr>
            <w:tcW w:w="1156" w:type="dxa"/>
            <w:tcBorders>
              <w:top w:val="nil"/>
              <w:left w:val="nil"/>
              <w:bottom w:val="nil"/>
              <w:right w:val="nil"/>
            </w:tcBorders>
            <w:shd w:val="clear" w:color="auto" w:fill="auto"/>
            <w:noWrap/>
            <w:vAlign w:val="bottom"/>
            <w:hideMark/>
          </w:tcPr>
          <w:p w14:paraId="3EEA364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-0.004***</w:t>
            </w:r>
          </w:p>
        </w:tc>
        <w:tc>
          <w:tcPr>
            <w:tcW w:w="1170" w:type="dxa"/>
            <w:tcBorders>
              <w:top w:val="nil"/>
              <w:left w:val="nil"/>
              <w:bottom w:val="nil"/>
              <w:right w:val="nil"/>
            </w:tcBorders>
            <w:shd w:val="clear" w:color="auto" w:fill="auto"/>
            <w:noWrap/>
            <w:vAlign w:val="bottom"/>
            <w:hideMark/>
          </w:tcPr>
          <w:p w14:paraId="3A30405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05C83711" w14:textId="77777777" w:rsidTr="00C04359">
        <w:trPr>
          <w:trHeight w:val="280"/>
        </w:trPr>
        <w:tc>
          <w:tcPr>
            <w:tcW w:w="1710" w:type="dxa"/>
            <w:tcBorders>
              <w:top w:val="nil"/>
              <w:left w:val="nil"/>
              <w:bottom w:val="nil"/>
              <w:right w:val="nil"/>
            </w:tcBorders>
            <w:shd w:val="clear" w:color="auto" w:fill="auto"/>
            <w:noWrap/>
            <w:vAlign w:val="bottom"/>
            <w:hideMark/>
          </w:tcPr>
          <w:p w14:paraId="38932319"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7FB65443"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(0.053)</w:t>
            </w:r>
          </w:p>
        </w:tc>
        <w:tc>
          <w:tcPr>
            <w:tcW w:w="1162" w:type="dxa"/>
            <w:tcBorders>
              <w:top w:val="nil"/>
              <w:left w:val="nil"/>
              <w:bottom w:val="nil"/>
              <w:right w:val="nil"/>
            </w:tcBorders>
            <w:shd w:val="clear" w:color="auto" w:fill="auto"/>
            <w:noWrap/>
            <w:vAlign w:val="bottom"/>
            <w:hideMark/>
          </w:tcPr>
          <w:p w14:paraId="10CB9AE9"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(0.048)</w:t>
            </w:r>
          </w:p>
        </w:tc>
        <w:tc>
          <w:tcPr>
            <w:tcW w:w="1312" w:type="dxa"/>
            <w:tcBorders>
              <w:top w:val="nil"/>
              <w:left w:val="nil"/>
              <w:bottom w:val="nil"/>
              <w:right w:val="nil"/>
            </w:tcBorders>
            <w:shd w:val="clear" w:color="auto" w:fill="auto"/>
            <w:noWrap/>
            <w:vAlign w:val="bottom"/>
            <w:hideMark/>
          </w:tcPr>
          <w:p w14:paraId="6E0286D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(1.052)</w:t>
            </w:r>
          </w:p>
        </w:tc>
        <w:tc>
          <w:tcPr>
            <w:tcW w:w="1312" w:type="dxa"/>
            <w:tcBorders>
              <w:top w:val="nil"/>
              <w:left w:val="nil"/>
              <w:bottom w:val="nil"/>
              <w:right w:val="nil"/>
            </w:tcBorders>
            <w:shd w:val="clear" w:color="auto" w:fill="auto"/>
            <w:noWrap/>
            <w:vAlign w:val="bottom"/>
            <w:hideMark/>
          </w:tcPr>
          <w:p w14:paraId="71FB56F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(1.350)</w:t>
            </w:r>
          </w:p>
        </w:tc>
        <w:tc>
          <w:tcPr>
            <w:tcW w:w="1312" w:type="dxa"/>
            <w:tcBorders>
              <w:top w:val="nil"/>
              <w:left w:val="nil"/>
              <w:bottom w:val="nil"/>
              <w:right w:val="nil"/>
            </w:tcBorders>
            <w:shd w:val="clear" w:color="auto" w:fill="auto"/>
            <w:noWrap/>
            <w:vAlign w:val="bottom"/>
            <w:hideMark/>
          </w:tcPr>
          <w:p w14:paraId="52444DEC"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(2.902)</w:t>
            </w:r>
          </w:p>
        </w:tc>
        <w:tc>
          <w:tcPr>
            <w:tcW w:w="1312" w:type="dxa"/>
            <w:tcBorders>
              <w:top w:val="nil"/>
              <w:left w:val="nil"/>
              <w:bottom w:val="nil"/>
              <w:right w:val="nil"/>
            </w:tcBorders>
            <w:shd w:val="clear" w:color="auto" w:fill="auto"/>
            <w:noWrap/>
            <w:vAlign w:val="bottom"/>
            <w:hideMark/>
          </w:tcPr>
          <w:p w14:paraId="216E2AE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(2.449)</w:t>
            </w:r>
          </w:p>
        </w:tc>
        <w:tc>
          <w:tcPr>
            <w:tcW w:w="1156" w:type="dxa"/>
            <w:tcBorders>
              <w:top w:val="nil"/>
              <w:left w:val="nil"/>
              <w:bottom w:val="nil"/>
              <w:right w:val="nil"/>
            </w:tcBorders>
            <w:shd w:val="clear" w:color="auto" w:fill="auto"/>
            <w:noWrap/>
            <w:vAlign w:val="bottom"/>
            <w:hideMark/>
          </w:tcPr>
          <w:p w14:paraId="1A6FD2E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4EFAC79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4083C699" w14:textId="77777777" w:rsidTr="00C04359">
        <w:trPr>
          <w:trHeight w:val="280"/>
        </w:trPr>
        <w:tc>
          <w:tcPr>
            <w:tcW w:w="1710" w:type="dxa"/>
            <w:tcBorders>
              <w:top w:val="nil"/>
              <w:left w:val="nil"/>
              <w:bottom w:val="nil"/>
              <w:right w:val="nil"/>
            </w:tcBorders>
            <w:shd w:val="clear" w:color="auto" w:fill="auto"/>
            <w:noWrap/>
            <w:vAlign w:val="bottom"/>
            <w:hideMark/>
          </w:tcPr>
          <w:p w14:paraId="6CF52BAA"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14990435" w14:textId="77777777" w:rsidR="002F5D47" w:rsidRPr="00F64E4D" w:rsidRDefault="002F5D47" w:rsidP="00C04359">
            <w:pPr>
              <w:jc w:val="center"/>
              <w:rPr>
                <w:rFonts w:ascii="Calibri" w:eastAsia="Times New Roman" w:hAnsi="Calibri" w:cs="Times New Roman"/>
                <w:color w:val="000000"/>
                <w:sz w:val="22"/>
                <w:szCs w:val="22"/>
              </w:rPr>
            </w:pPr>
          </w:p>
        </w:tc>
        <w:tc>
          <w:tcPr>
            <w:tcW w:w="1162" w:type="dxa"/>
            <w:tcBorders>
              <w:top w:val="nil"/>
              <w:left w:val="nil"/>
              <w:bottom w:val="nil"/>
              <w:right w:val="nil"/>
            </w:tcBorders>
            <w:shd w:val="clear" w:color="auto" w:fill="auto"/>
            <w:noWrap/>
            <w:vAlign w:val="bottom"/>
            <w:hideMark/>
          </w:tcPr>
          <w:p w14:paraId="4D432B03"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24D5F00D"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3E66F405"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0EAC40BB"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013C0268" w14:textId="77777777" w:rsidR="002F5D47" w:rsidRPr="00F64E4D"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bottom"/>
            <w:hideMark/>
          </w:tcPr>
          <w:p w14:paraId="7634F34B" w14:textId="77777777" w:rsidR="002F5D47" w:rsidRPr="00F64E4D"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8668832" w14:textId="77777777" w:rsidR="002F5D47" w:rsidRPr="00F64E4D" w:rsidRDefault="002F5D47" w:rsidP="00C04359">
            <w:pPr>
              <w:jc w:val="center"/>
              <w:rPr>
                <w:rFonts w:ascii="Calibri" w:eastAsia="Times New Roman" w:hAnsi="Calibri" w:cs="Times New Roman"/>
                <w:color w:val="000000"/>
                <w:sz w:val="22"/>
                <w:szCs w:val="22"/>
              </w:rPr>
            </w:pPr>
          </w:p>
        </w:tc>
      </w:tr>
      <w:tr w:rsidR="002F5D47" w:rsidRPr="00F64E4D" w14:paraId="622B7A2C" w14:textId="77777777" w:rsidTr="00C04359">
        <w:trPr>
          <w:trHeight w:val="280"/>
        </w:trPr>
        <w:tc>
          <w:tcPr>
            <w:tcW w:w="1710" w:type="dxa"/>
            <w:tcBorders>
              <w:top w:val="nil"/>
              <w:left w:val="nil"/>
              <w:bottom w:val="nil"/>
              <w:right w:val="nil"/>
            </w:tcBorders>
            <w:shd w:val="clear" w:color="auto" w:fill="auto"/>
            <w:noWrap/>
            <w:vAlign w:val="bottom"/>
            <w:hideMark/>
          </w:tcPr>
          <w:p w14:paraId="1A66ACA8"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Wind Speed</w:t>
            </w:r>
          </w:p>
        </w:tc>
        <w:tc>
          <w:tcPr>
            <w:tcW w:w="1254" w:type="dxa"/>
            <w:tcBorders>
              <w:top w:val="nil"/>
              <w:left w:val="nil"/>
              <w:bottom w:val="nil"/>
              <w:right w:val="nil"/>
            </w:tcBorders>
            <w:shd w:val="clear" w:color="auto" w:fill="auto"/>
            <w:noWrap/>
            <w:vAlign w:val="bottom"/>
            <w:hideMark/>
          </w:tcPr>
          <w:p w14:paraId="6FFA7109"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-0.193***</w:t>
            </w:r>
          </w:p>
        </w:tc>
        <w:tc>
          <w:tcPr>
            <w:tcW w:w="1162" w:type="dxa"/>
            <w:tcBorders>
              <w:top w:val="nil"/>
              <w:left w:val="nil"/>
              <w:bottom w:val="nil"/>
              <w:right w:val="nil"/>
            </w:tcBorders>
            <w:shd w:val="clear" w:color="auto" w:fill="auto"/>
            <w:noWrap/>
            <w:vAlign w:val="bottom"/>
            <w:hideMark/>
          </w:tcPr>
          <w:p w14:paraId="75CF557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-0.077**</w:t>
            </w:r>
          </w:p>
        </w:tc>
        <w:tc>
          <w:tcPr>
            <w:tcW w:w="1312" w:type="dxa"/>
            <w:tcBorders>
              <w:top w:val="nil"/>
              <w:left w:val="nil"/>
              <w:bottom w:val="nil"/>
              <w:right w:val="nil"/>
            </w:tcBorders>
            <w:shd w:val="clear" w:color="auto" w:fill="auto"/>
            <w:noWrap/>
            <w:vAlign w:val="bottom"/>
            <w:hideMark/>
          </w:tcPr>
          <w:p w14:paraId="2E0E7EF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-2.624***</w:t>
            </w:r>
          </w:p>
        </w:tc>
        <w:tc>
          <w:tcPr>
            <w:tcW w:w="1312" w:type="dxa"/>
            <w:tcBorders>
              <w:top w:val="nil"/>
              <w:left w:val="nil"/>
              <w:bottom w:val="nil"/>
              <w:right w:val="nil"/>
            </w:tcBorders>
            <w:shd w:val="clear" w:color="auto" w:fill="auto"/>
            <w:noWrap/>
            <w:vAlign w:val="bottom"/>
            <w:hideMark/>
          </w:tcPr>
          <w:p w14:paraId="7D2A71C5"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-1.069*</w:t>
            </w:r>
          </w:p>
        </w:tc>
        <w:tc>
          <w:tcPr>
            <w:tcW w:w="1312" w:type="dxa"/>
            <w:tcBorders>
              <w:top w:val="nil"/>
              <w:left w:val="nil"/>
              <w:bottom w:val="nil"/>
              <w:right w:val="nil"/>
            </w:tcBorders>
            <w:shd w:val="clear" w:color="auto" w:fill="auto"/>
            <w:noWrap/>
            <w:vAlign w:val="bottom"/>
            <w:hideMark/>
          </w:tcPr>
          <w:p w14:paraId="605B85CE"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-10.028**</w:t>
            </w:r>
          </w:p>
        </w:tc>
        <w:tc>
          <w:tcPr>
            <w:tcW w:w="1312" w:type="dxa"/>
            <w:tcBorders>
              <w:top w:val="nil"/>
              <w:left w:val="nil"/>
              <w:bottom w:val="nil"/>
              <w:right w:val="nil"/>
            </w:tcBorders>
            <w:shd w:val="clear" w:color="auto" w:fill="auto"/>
            <w:noWrap/>
            <w:vAlign w:val="bottom"/>
            <w:hideMark/>
          </w:tcPr>
          <w:p w14:paraId="322917C3"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-3.347</w:t>
            </w:r>
          </w:p>
        </w:tc>
        <w:tc>
          <w:tcPr>
            <w:tcW w:w="1156" w:type="dxa"/>
            <w:tcBorders>
              <w:top w:val="nil"/>
              <w:left w:val="nil"/>
              <w:bottom w:val="nil"/>
              <w:right w:val="nil"/>
            </w:tcBorders>
            <w:shd w:val="clear" w:color="auto" w:fill="auto"/>
            <w:noWrap/>
            <w:vAlign w:val="bottom"/>
            <w:hideMark/>
          </w:tcPr>
          <w:p w14:paraId="6D816B3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0.005***</w:t>
            </w:r>
          </w:p>
        </w:tc>
        <w:tc>
          <w:tcPr>
            <w:tcW w:w="1170" w:type="dxa"/>
            <w:tcBorders>
              <w:top w:val="nil"/>
              <w:left w:val="nil"/>
              <w:bottom w:val="nil"/>
              <w:right w:val="nil"/>
            </w:tcBorders>
            <w:shd w:val="clear" w:color="auto" w:fill="auto"/>
            <w:noWrap/>
            <w:vAlign w:val="bottom"/>
            <w:hideMark/>
          </w:tcPr>
          <w:p w14:paraId="18FAA227"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13D8DE33" w14:textId="77777777" w:rsidTr="00C04359">
        <w:trPr>
          <w:trHeight w:val="280"/>
        </w:trPr>
        <w:tc>
          <w:tcPr>
            <w:tcW w:w="1710" w:type="dxa"/>
            <w:tcBorders>
              <w:top w:val="nil"/>
              <w:left w:val="nil"/>
              <w:bottom w:val="nil"/>
              <w:right w:val="nil"/>
            </w:tcBorders>
            <w:shd w:val="clear" w:color="auto" w:fill="auto"/>
            <w:noWrap/>
            <w:vAlign w:val="bottom"/>
            <w:hideMark/>
          </w:tcPr>
          <w:p w14:paraId="38FAD92E"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0A6A827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(0.050)</w:t>
            </w:r>
          </w:p>
        </w:tc>
        <w:tc>
          <w:tcPr>
            <w:tcW w:w="1162" w:type="dxa"/>
            <w:tcBorders>
              <w:top w:val="nil"/>
              <w:left w:val="nil"/>
              <w:bottom w:val="nil"/>
              <w:right w:val="nil"/>
            </w:tcBorders>
            <w:shd w:val="clear" w:color="auto" w:fill="auto"/>
            <w:noWrap/>
            <w:vAlign w:val="bottom"/>
            <w:hideMark/>
          </w:tcPr>
          <w:p w14:paraId="331BF76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(0.030)</w:t>
            </w:r>
          </w:p>
        </w:tc>
        <w:tc>
          <w:tcPr>
            <w:tcW w:w="1312" w:type="dxa"/>
            <w:tcBorders>
              <w:top w:val="nil"/>
              <w:left w:val="nil"/>
              <w:bottom w:val="nil"/>
              <w:right w:val="nil"/>
            </w:tcBorders>
            <w:shd w:val="clear" w:color="auto" w:fill="auto"/>
            <w:noWrap/>
            <w:vAlign w:val="bottom"/>
            <w:hideMark/>
          </w:tcPr>
          <w:p w14:paraId="52EE308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(0.928)</w:t>
            </w:r>
          </w:p>
        </w:tc>
        <w:tc>
          <w:tcPr>
            <w:tcW w:w="1312" w:type="dxa"/>
            <w:tcBorders>
              <w:top w:val="nil"/>
              <w:left w:val="nil"/>
              <w:bottom w:val="nil"/>
              <w:right w:val="nil"/>
            </w:tcBorders>
            <w:shd w:val="clear" w:color="auto" w:fill="auto"/>
            <w:noWrap/>
            <w:vAlign w:val="bottom"/>
            <w:hideMark/>
          </w:tcPr>
          <w:p w14:paraId="16C7D720"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(0.588)</w:t>
            </w:r>
          </w:p>
        </w:tc>
        <w:tc>
          <w:tcPr>
            <w:tcW w:w="1312" w:type="dxa"/>
            <w:tcBorders>
              <w:top w:val="nil"/>
              <w:left w:val="nil"/>
              <w:bottom w:val="nil"/>
              <w:right w:val="nil"/>
            </w:tcBorders>
            <w:shd w:val="clear" w:color="auto" w:fill="auto"/>
            <w:noWrap/>
            <w:vAlign w:val="bottom"/>
            <w:hideMark/>
          </w:tcPr>
          <w:p w14:paraId="0B94AFA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(4.089)</w:t>
            </w:r>
          </w:p>
        </w:tc>
        <w:tc>
          <w:tcPr>
            <w:tcW w:w="1312" w:type="dxa"/>
            <w:tcBorders>
              <w:top w:val="nil"/>
              <w:left w:val="nil"/>
              <w:bottom w:val="nil"/>
              <w:right w:val="nil"/>
            </w:tcBorders>
            <w:shd w:val="clear" w:color="auto" w:fill="auto"/>
            <w:noWrap/>
            <w:vAlign w:val="bottom"/>
            <w:hideMark/>
          </w:tcPr>
          <w:p w14:paraId="622483D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(2.299)</w:t>
            </w:r>
          </w:p>
        </w:tc>
        <w:tc>
          <w:tcPr>
            <w:tcW w:w="1156" w:type="dxa"/>
            <w:tcBorders>
              <w:top w:val="nil"/>
              <w:left w:val="nil"/>
              <w:bottom w:val="nil"/>
              <w:right w:val="nil"/>
            </w:tcBorders>
            <w:shd w:val="clear" w:color="auto" w:fill="auto"/>
            <w:noWrap/>
            <w:vAlign w:val="bottom"/>
            <w:hideMark/>
          </w:tcPr>
          <w:p w14:paraId="2DE3DDC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19C0C88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(0.001)</w:t>
            </w:r>
          </w:p>
        </w:tc>
      </w:tr>
      <w:tr w:rsidR="002F5D47" w:rsidRPr="00F64E4D" w14:paraId="65316AB2" w14:textId="77777777" w:rsidTr="00C04359">
        <w:trPr>
          <w:trHeight w:val="280"/>
        </w:trPr>
        <w:tc>
          <w:tcPr>
            <w:tcW w:w="1710" w:type="dxa"/>
            <w:tcBorders>
              <w:top w:val="nil"/>
              <w:left w:val="nil"/>
              <w:bottom w:val="nil"/>
              <w:right w:val="nil"/>
            </w:tcBorders>
            <w:shd w:val="clear" w:color="auto" w:fill="auto"/>
            <w:noWrap/>
            <w:vAlign w:val="bottom"/>
            <w:hideMark/>
          </w:tcPr>
          <w:p w14:paraId="01D0FC22"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49656145" w14:textId="77777777" w:rsidR="002F5D47" w:rsidRPr="00F64E4D" w:rsidRDefault="002F5D47" w:rsidP="00C04359">
            <w:pPr>
              <w:jc w:val="center"/>
              <w:rPr>
                <w:rFonts w:ascii="Calibri" w:eastAsia="Times New Roman" w:hAnsi="Calibri" w:cs="Times New Roman"/>
                <w:color w:val="000000"/>
                <w:sz w:val="22"/>
                <w:szCs w:val="22"/>
              </w:rPr>
            </w:pPr>
          </w:p>
        </w:tc>
        <w:tc>
          <w:tcPr>
            <w:tcW w:w="1162" w:type="dxa"/>
            <w:tcBorders>
              <w:top w:val="nil"/>
              <w:left w:val="nil"/>
              <w:bottom w:val="nil"/>
              <w:right w:val="nil"/>
            </w:tcBorders>
            <w:shd w:val="clear" w:color="auto" w:fill="auto"/>
            <w:noWrap/>
            <w:vAlign w:val="bottom"/>
            <w:hideMark/>
          </w:tcPr>
          <w:p w14:paraId="51516165"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3A123B8E"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68838496"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18824BB5"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599F10BB" w14:textId="77777777" w:rsidR="002F5D47" w:rsidRPr="00F64E4D"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bottom"/>
            <w:hideMark/>
          </w:tcPr>
          <w:p w14:paraId="4651B5B1" w14:textId="77777777" w:rsidR="002F5D47" w:rsidRPr="00F64E4D"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7B42662" w14:textId="77777777" w:rsidR="002F5D47" w:rsidRPr="00F64E4D" w:rsidRDefault="002F5D47" w:rsidP="00C04359">
            <w:pPr>
              <w:jc w:val="center"/>
              <w:rPr>
                <w:rFonts w:ascii="Calibri" w:eastAsia="Times New Roman" w:hAnsi="Calibri" w:cs="Times New Roman"/>
                <w:color w:val="000000"/>
                <w:sz w:val="22"/>
                <w:szCs w:val="22"/>
              </w:rPr>
            </w:pPr>
          </w:p>
        </w:tc>
      </w:tr>
      <w:tr w:rsidR="002F5D47" w:rsidRPr="00F64E4D" w14:paraId="0688AC38" w14:textId="77777777" w:rsidTr="00C04359">
        <w:trPr>
          <w:trHeight w:val="280"/>
        </w:trPr>
        <w:tc>
          <w:tcPr>
            <w:tcW w:w="1710" w:type="dxa"/>
            <w:tcBorders>
              <w:top w:val="nil"/>
              <w:left w:val="nil"/>
              <w:bottom w:val="nil"/>
              <w:right w:val="nil"/>
            </w:tcBorders>
            <w:shd w:val="clear" w:color="auto" w:fill="auto"/>
            <w:noWrap/>
            <w:vAlign w:val="center"/>
            <w:hideMark/>
          </w:tcPr>
          <w:p w14:paraId="7E1B8B05"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Monitor FE</w:t>
            </w:r>
          </w:p>
        </w:tc>
        <w:tc>
          <w:tcPr>
            <w:tcW w:w="1254" w:type="dxa"/>
            <w:tcBorders>
              <w:top w:val="nil"/>
              <w:left w:val="nil"/>
              <w:bottom w:val="nil"/>
              <w:right w:val="nil"/>
            </w:tcBorders>
            <w:shd w:val="clear" w:color="auto" w:fill="auto"/>
            <w:noWrap/>
            <w:vAlign w:val="center"/>
            <w:hideMark/>
          </w:tcPr>
          <w:p w14:paraId="01B12FD0"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162" w:type="dxa"/>
            <w:tcBorders>
              <w:top w:val="nil"/>
              <w:left w:val="nil"/>
              <w:bottom w:val="nil"/>
              <w:right w:val="nil"/>
            </w:tcBorders>
            <w:shd w:val="clear" w:color="auto" w:fill="auto"/>
            <w:noWrap/>
            <w:vAlign w:val="center"/>
            <w:hideMark/>
          </w:tcPr>
          <w:p w14:paraId="0583EEB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316AC100"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677ADC87"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6F6B193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7AB275C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156" w:type="dxa"/>
            <w:tcBorders>
              <w:top w:val="nil"/>
              <w:left w:val="nil"/>
              <w:bottom w:val="nil"/>
              <w:right w:val="nil"/>
            </w:tcBorders>
            <w:shd w:val="clear" w:color="auto" w:fill="auto"/>
            <w:noWrap/>
            <w:vAlign w:val="center"/>
            <w:hideMark/>
          </w:tcPr>
          <w:p w14:paraId="2B5CE1E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255344F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r>
      <w:tr w:rsidR="002F5D47" w:rsidRPr="00F64E4D" w14:paraId="2F0B2D14" w14:textId="77777777" w:rsidTr="00C04359">
        <w:trPr>
          <w:trHeight w:val="280"/>
        </w:trPr>
        <w:tc>
          <w:tcPr>
            <w:tcW w:w="1710" w:type="dxa"/>
            <w:tcBorders>
              <w:top w:val="nil"/>
              <w:left w:val="nil"/>
              <w:bottom w:val="nil"/>
              <w:right w:val="nil"/>
            </w:tcBorders>
            <w:shd w:val="clear" w:color="auto" w:fill="auto"/>
            <w:noWrap/>
            <w:vAlign w:val="center"/>
            <w:hideMark/>
          </w:tcPr>
          <w:p w14:paraId="44438B94"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Month FE</w:t>
            </w:r>
          </w:p>
        </w:tc>
        <w:tc>
          <w:tcPr>
            <w:tcW w:w="1254" w:type="dxa"/>
            <w:tcBorders>
              <w:top w:val="nil"/>
              <w:left w:val="nil"/>
              <w:bottom w:val="nil"/>
              <w:right w:val="nil"/>
            </w:tcBorders>
            <w:shd w:val="clear" w:color="auto" w:fill="auto"/>
            <w:noWrap/>
            <w:vAlign w:val="center"/>
            <w:hideMark/>
          </w:tcPr>
          <w:p w14:paraId="6E4E7F2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162" w:type="dxa"/>
            <w:tcBorders>
              <w:top w:val="nil"/>
              <w:left w:val="nil"/>
              <w:bottom w:val="nil"/>
              <w:right w:val="nil"/>
            </w:tcBorders>
            <w:shd w:val="clear" w:color="auto" w:fill="auto"/>
            <w:noWrap/>
            <w:vAlign w:val="center"/>
            <w:hideMark/>
          </w:tcPr>
          <w:p w14:paraId="547226C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3A46B879"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312" w:type="dxa"/>
            <w:tcBorders>
              <w:top w:val="nil"/>
              <w:left w:val="nil"/>
              <w:bottom w:val="nil"/>
              <w:right w:val="nil"/>
            </w:tcBorders>
            <w:shd w:val="clear" w:color="auto" w:fill="auto"/>
            <w:noWrap/>
            <w:vAlign w:val="center"/>
            <w:hideMark/>
          </w:tcPr>
          <w:p w14:paraId="461FD06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4D8BB09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312" w:type="dxa"/>
            <w:tcBorders>
              <w:top w:val="nil"/>
              <w:left w:val="nil"/>
              <w:bottom w:val="nil"/>
              <w:right w:val="nil"/>
            </w:tcBorders>
            <w:shd w:val="clear" w:color="auto" w:fill="auto"/>
            <w:noWrap/>
            <w:vAlign w:val="center"/>
            <w:hideMark/>
          </w:tcPr>
          <w:p w14:paraId="0302D6F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156" w:type="dxa"/>
            <w:tcBorders>
              <w:top w:val="nil"/>
              <w:left w:val="nil"/>
              <w:bottom w:val="nil"/>
              <w:right w:val="nil"/>
            </w:tcBorders>
            <w:shd w:val="clear" w:color="auto" w:fill="auto"/>
            <w:noWrap/>
            <w:vAlign w:val="center"/>
            <w:hideMark/>
          </w:tcPr>
          <w:p w14:paraId="1EFDA57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03C170A5"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r>
      <w:tr w:rsidR="002F5D47" w:rsidRPr="00F64E4D" w14:paraId="2A929715" w14:textId="77777777" w:rsidTr="00C04359">
        <w:trPr>
          <w:trHeight w:val="280"/>
        </w:trPr>
        <w:tc>
          <w:tcPr>
            <w:tcW w:w="1710" w:type="dxa"/>
            <w:tcBorders>
              <w:top w:val="nil"/>
              <w:left w:val="nil"/>
              <w:bottom w:val="nil"/>
              <w:right w:val="nil"/>
            </w:tcBorders>
            <w:shd w:val="clear" w:color="auto" w:fill="auto"/>
            <w:noWrap/>
            <w:vAlign w:val="center"/>
            <w:hideMark/>
          </w:tcPr>
          <w:p w14:paraId="5ACD2883"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Time Trends</w:t>
            </w:r>
          </w:p>
        </w:tc>
        <w:tc>
          <w:tcPr>
            <w:tcW w:w="1254" w:type="dxa"/>
            <w:tcBorders>
              <w:top w:val="nil"/>
              <w:left w:val="nil"/>
              <w:bottom w:val="nil"/>
              <w:right w:val="nil"/>
            </w:tcBorders>
            <w:shd w:val="clear" w:color="auto" w:fill="auto"/>
            <w:noWrap/>
            <w:vAlign w:val="center"/>
            <w:hideMark/>
          </w:tcPr>
          <w:p w14:paraId="0B98180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162" w:type="dxa"/>
            <w:tcBorders>
              <w:top w:val="nil"/>
              <w:left w:val="nil"/>
              <w:bottom w:val="nil"/>
              <w:right w:val="nil"/>
            </w:tcBorders>
            <w:shd w:val="clear" w:color="auto" w:fill="auto"/>
            <w:noWrap/>
            <w:vAlign w:val="center"/>
            <w:hideMark/>
          </w:tcPr>
          <w:p w14:paraId="64DEE11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556D342C"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312" w:type="dxa"/>
            <w:tcBorders>
              <w:top w:val="nil"/>
              <w:left w:val="nil"/>
              <w:bottom w:val="nil"/>
              <w:right w:val="nil"/>
            </w:tcBorders>
            <w:shd w:val="clear" w:color="auto" w:fill="auto"/>
            <w:noWrap/>
            <w:vAlign w:val="center"/>
            <w:hideMark/>
          </w:tcPr>
          <w:p w14:paraId="5977648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312" w:type="dxa"/>
            <w:tcBorders>
              <w:top w:val="nil"/>
              <w:left w:val="nil"/>
              <w:bottom w:val="nil"/>
              <w:right w:val="nil"/>
            </w:tcBorders>
            <w:shd w:val="clear" w:color="auto" w:fill="auto"/>
            <w:noWrap/>
            <w:vAlign w:val="center"/>
            <w:hideMark/>
          </w:tcPr>
          <w:p w14:paraId="5457B7F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312" w:type="dxa"/>
            <w:tcBorders>
              <w:top w:val="nil"/>
              <w:left w:val="nil"/>
              <w:bottom w:val="nil"/>
              <w:right w:val="nil"/>
            </w:tcBorders>
            <w:shd w:val="clear" w:color="auto" w:fill="auto"/>
            <w:noWrap/>
            <w:vAlign w:val="center"/>
            <w:hideMark/>
          </w:tcPr>
          <w:p w14:paraId="4439C91D"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c>
          <w:tcPr>
            <w:tcW w:w="1156" w:type="dxa"/>
            <w:tcBorders>
              <w:top w:val="nil"/>
              <w:left w:val="nil"/>
              <w:bottom w:val="nil"/>
              <w:right w:val="nil"/>
            </w:tcBorders>
            <w:shd w:val="clear" w:color="auto" w:fill="auto"/>
            <w:noWrap/>
            <w:vAlign w:val="center"/>
            <w:hideMark/>
          </w:tcPr>
          <w:p w14:paraId="77E5287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2D4E2949"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Yes</w:t>
            </w:r>
          </w:p>
        </w:tc>
      </w:tr>
      <w:tr w:rsidR="002F5D47" w:rsidRPr="00F64E4D" w14:paraId="23E988A3" w14:textId="77777777" w:rsidTr="00C04359">
        <w:trPr>
          <w:trHeight w:val="280"/>
        </w:trPr>
        <w:tc>
          <w:tcPr>
            <w:tcW w:w="1710" w:type="dxa"/>
            <w:tcBorders>
              <w:top w:val="nil"/>
              <w:left w:val="nil"/>
              <w:bottom w:val="nil"/>
              <w:right w:val="nil"/>
            </w:tcBorders>
            <w:shd w:val="clear" w:color="auto" w:fill="auto"/>
            <w:noWrap/>
            <w:vAlign w:val="bottom"/>
            <w:hideMark/>
          </w:tcPr>
          <w:p w14:paraId="54BAD7FF" w14:textId="77777777" w:rsidR="002F5D47" w:rsidRPr="00F64E4D" w:rsidRDefault="002F5D47" w:rsidP="00C04359">
            <w:pPr>
              <w:rPr>
                <w:rFonts w:ascii="Calibri" w:eastAsia="Times New Roman" w:hAnsi="Calibri" w:cs="Times New Roman"/>
                <w:color w:val="000000"/>
                <w:sz w:val="22"/>
                <w:szCs w:val="22"/>
              </w:rPr>
            </w:pPr>
          </w:p>
        </w:tc>
        <w:tc>
          <w:tcPr>
            <w:tcW w:w="1254" w:type="dxa"/>
            <w:tcBorders>
              <w:top w:val="nil"/>
              <w:left w:val="nil"/>
              <w:bottom w:val="nil"/>
              <w:right w:val="nil"/>
            </w:tcBorders>
            <w:shd w:val="clear" w:color="auto" w:fill="auto"/>
            <w:noWrap/>
            <w:vAlign w:val="bottom"/>
            <w:hideMark/>
          </w:tcPr>
          <w:p w14:paraId="1EFD2389" w14:textId="77777777" w:rsidR="002F5D47" w:rsidRPr="00F64E4D" w:rsidRDefault="002F5D47" w:rsidP="00C04359">
            <w:pPr>
              <w:jc w:val="center"/>
              <w:rPr>
                <w:rFonts w:ascii="Calibri" w:eastAsia="Times New Roman" w:hAnsi="Calibri" w:cs="Times New Roman"/>
                <w:color w:val="000000"/>
                <w:sz w:val="22"/>
                <w:szCs w:val="22"/>
              </w:rPr>
            </w:pPr>
          </w:p>
        </w:tc>
        <w:tc>
          <w:tcPr>
            <w:tcW w:w="1162" w:type="dxa"/>
            <w:tcBorders>
              <w:top w:val="nil"/>
              <w:left w:val="nil"/>
              <w:bottom w:val="nil"/>
              <w:right w:val="nil"/>
            </w:tcBorders>
            <w:shd w:val="clear" w:color="auto" w:fill="auto"/>
            <w:noWrap/>
            <w:vAlign w:val="bottom"/>
            <w:hideMark/>
          </w:tcPr>
          <w:p w14:paraId="704906B3"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3C92E941"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6B0B2F90"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272C960F" w14:textId="77777777" w:rsidR="002F5D47" w:rsidRPr="00F64E4D" w:rsidRDefault="002F5D47" w:rsidP="00C04359">
            <w:pPr>
              <w:jc w:val="center"/>
              <w:rPr>
                <w:rFonts w:ascii="Calibri" w:eastAsia="Times New Roman" w:hAnsi="Calibri" w:cs="Times New Roman"/>
                <w:color w:val="000000"/>
                <w:sz w:val="22"/>
                <w:szCs w:val="22"/>
              </w:rPr>
            </w:pPr>
          </w:p>
        </w:tc>
        <w:tc>
          <w:tcPr>
            <w:tcW w:w="1312" w:type="dxa"/>
            <w:tcBorders>
              <w:top w:val="nil"/>
              <w:left w:val="nil"/>
              <w:bottom w:val="nil"/>
              <w:right w:val="nil"/>
            </w:tcBorders>
            <w:shd w:val="clear" w:color="auto" w:fill="auto"/>
            <w:noWrap/>
            <w:vAlign w:val="bottom"/>
            <w:hideMark/>
          </w:tcPr>
          <w:p w14:paraId="748582E8" w14:textId="77777777" w:rsidR="002F5D47" w:rsidRPr="00F64E4D" w:rsidRDefault="002F5D47" w:rsidP="00C04359">
            <w:pPr>
              <w:jc w:val="center"/>
              <w:rPr>
                <w:rFonts w:ascii="Calibri" w:eastAsia="Times New Roman" w:hAnsi="Calibri" w:cs="Times New Roman"/>
                <w:color w:val="000000"/>
                <w:sz w:val="22"/>
                <w:szCs w:val="22"/>
              </w:rPr>
            </w:pPr>
          </w:p>
        </w:tc>
        <w:tc>
          <w:tcPr>
            <w:tcW w:w="1156" w:type="dxa"/>
            <w:tcBorders>
              <w:top w:val="nil"/>
              <w:left w:val="nil"/>
              <w:bottom w:val="nil"/>
              <w:right w:val="nil"/>
            </w:tcBorders>
            <w:shd w:val="clear" w:color="auto" w:fill="auto"/>
            <w:noWrap/>
            <w:vAlign w:val="bottom"/>
            <w:hideMark/>
          </w:tcPr>
          <w:p w14:paraId="40FBE6BB" w14:textId="77777777" w:rsidR="002F5D47" w:rsidRPr="00F64E4D"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ACF75DE" w14:textId="77777777" w:rsidR="002F5D47" w:rsidRPr="00F64E4D" w:rsidRDefault="002F5D47" w:rsidP="00C04359">
            <w:pPr>
              <w:jc w:val="center"/>
              <w:rPr>
                <w:rFonts w:ascii="Calibri" w:eastAsia="Times New Roman" w:hAnsi="Calibri" w:cs="Times New Roman"/>
                <w:color w:val="000000"/>
                <w:sz w:val="22"/>
                <w:szCs w:val="22"/>
              </w:rPr>
            </w:pPr>
          </w:p>
        </w:tc>
      </w:tr>
      <w:tr w:rsidR="002F5D47" w:rsidRPr="00F64E4D" w14:paraId="4A51AE6A" w14:textId="77777777" w:rsidTr="00C04359">
        <w:trPr>
          <w:trHeight w:val="280"/>
        </w:trPr>
        <w:tc>
          <w:tcPr>
            <w:tcW w:w="1710" w:type="dxa"/>
            <w:tcBorders>
              <w:top w:val="nil"/>
              <w:left w:val="nil"/>
              <w:bottom w:val="nil"/>
              <w:right w:val="nil"/>
            </w:tcBorders>
            <w:shd w:val="clear" w:color="auto" w:fill="auto"/>
            <w:noWrap/>
            <w:vAlign w:val="bottom"/>
            <w:hideMark/>
          </w:tcPr>
          <w:p w14:paraId="512B9787"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Observations</w:t>
            </w:r>
          </w:p>
        </w:tc>
        <w:tc>
          <w:tcPr>
            <w:tcW w:w="1254" w:type="dxa"/>
            <w:tcBorders>
              <w:top w:val="nil"/>
              <w:left w:val="nil"/>
              <w:bottom w:val="nil"/>
              <w:right w:val="nil"/>
            </w:tcBorders>
            <w:shd w:val="clear" w:color="auto" w:fill="auto"/>
            <w:noWrap/>
            <w:vAlign w:val="bottom"/>
            <w:hideMark/>
          </w:tcPr>
          <w:p w14:paraId="1060E65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961</w:t>
            </w:r>
          </w:p>
        </w:tc>
        <w:tc>
          <w:tcPr>
            <w:tcW w:w="1162" w:type="dxa"/>
            <w:tcBorders>
              <w:top w:val="nil"/>
              <w:left w:val="nil"/>
              <w:bottom w:val="nil"/>
              <w:right w:val="nil"/>
            </w:tcBorders>
            <w:shd w:val="clear" w:color="auto" w:fill="auto"/>
            <w:noWrap/>
            <w:vAlign w:val="bottom"/>
            <w:hideMark/>
          </w:tcPr>
          <w:p w14:paraId="7072733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961</w:t>
            </w:r>
          </w:p>
        </w:tc>
        <w:tc>
          <w:tcPr>
            <w:tcW w:w="1312" w:type="dxa"/>
            <w:tcBorders>
              <w:top w:val="nil"/>
              <w:left w:val="nil"/>
              <w:bottom w:val="nil"/>
              <w:right w:val="nil"/>
            </w:tcBorders>
            <w:shd w:val="clear" w:color="auto" w:fill="auto"/>
            <w:noWrap/>
            <w:vAlign w:val="bottom"/>
            <w:hideMark/>
          </w:tcPr>
          <w:p w14:paraId="71BA3734"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1,388</w:t>
            </w:r>
          </w:p>
        </w:tc>
        <w:tc>
          <w:tcPr>
            <w:tcW w:w="1312" w:type="dxa"/>
            <w:tcBorders>
              <w:top w:val="nil"/>
              <w:left w:val="nil"/>
              <w:bottom w:val="nil"/>
              <w:right w:val="nil"/>
            </w:tcBorders>
            <w:shd w:val="clear" w:color="auto" w:fill="auto"/>
            <w:noWrap/>
            <w:vAlign w:val="bottom"/>
            <w:hideMark/>
          </w:tcPr>
          <w:p w14:paraId="0FE4B16A"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1,388</w:t>
            </w:r>
          </w:p>
        </w:tc>
        <w:tc>
          <w:tcPr>
            <w:tcW w:w="1312" w:type="dxa"/>
            <w:tcBorders>
              <w:top w:val="nil"/>
              <w:left w:val="nil"/>
              <w:bottom w:val="nil"/>
              <w:right w:val="nil"/>
            </w:tcBorders>
            <w:shd w:val="clear" w:color="auto" w:fill="auto"/>
            <w:noWrap/>
            <w:vAlign w:val="bottom"/>
            <w:hideMark/>
          </w:tcPr>
          <w:p w14:paraId="5376FC29"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1,388</w:t>
            </w:r>
          </w:p>
        </w:tc>
        <w:tc>
          <w:tcPr>
            <w:tcW w:w="1312" w:type="dxa"/>
            <w:tcBorders>
              <w:top w:val="nil"/>
              <w:left w:val="nil"/>
              <w:bottom w:val="nil"/>
              <w:right w:val="nil"/>
            </w:tcBorders>
            <w:shd w:val="clear" w:color="auto" w:fill="auto"/>
            <w:noWrap/>
            <w:vAlign w:val="bottom"/>
            <w:hideMark/>
          </w:tcPr>
          <w:p w14:paraId="16B483C5"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1,388</w:t>
            </w:r>
          </w:p>
        </w:tc>
        <w:tc>
          <w:tcPr>
            <w:tcW w:w="1156" w:type="dxa"/>
            <w:tcBorders>
              <w:top w:val="nil"/>
              <w:left w:val="nil"/>
              <w:bottom w:val="nil"/>
              <w:right w:val="nil"/>
            </w:tcBorders>
            <w:shd w:val="clear" w:color="auto" w:fill="auto"/>
            <w:noWrap/>
            <w:vAlign w:val="bottom"/>
            <w:hideMark/>
          </w:tcPr>
          <w:p w14:paraId="262FCBFF"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1,443</w:t>
            </w:r>
          </w:p>
        </w:tc>
        <w:tc>
          <w:tcPr>
            <w:tcW w:w="1170" w:type="dxa"/>
            <w:tcBorders>
              <w:top w:val="nil"/>
              <w:left w:val="nil"/>
              <w:bottom w:val="nil"/>
              <w:right w:val="nil"/>
            </w:tcBorders>
            <w:shd w:val="clear" w:color="auto" w:fill="auto"/>
            <w:noWrap/>
            <w:vAlign w:val="bottom"/>
            <w:hideMark/>
          </w:tcPr>
          <w:p w14:paraId="12B1CEA8"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1,443</w:t>
            </w:r>
          </w:p>
        </w:tc>
      </w:tr>
      <w:tr w:rsidR="002F5D47" w:rsidRPr="00F64E4D" w14:paraId="29EAFF7F" w14:textId="77777777" w:rsidTr="00C04359">
        <w:trPr>
          <w:trHeight w:val="280"/>
        </w:trPr>
        <w:tc>
          <w:tcPr>
            <w:tcW w:w="1710" w:type="dxa"/>
            <w:tcBorders>
              <w:top w:val="nil"/>
              <w:left w:val="nil"/>
              <w:bottom w:val="single" w:sz="4" w:space="0" w:color="auto"/>
              <w:right w:val="nil"/>
            </w:tcBorders>
            <w:shd w:val="clear" w:color="auto" w:fill="auto"/>
            <w:noWrap/>
            <w:vAlign w:val="bottom"/>
            <w:hideMark/>
          </w:tcPr>
          <w:p w14:paraId="3A9CF8DE"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R-squared</w:t>
            </w:r>
          </w:p>
        </w:tc>
        <w:tc>
          <w:tcPr>
            <w:tcW w:w="1254" w:type="dxa"/>
            <w:tcBorders>
              <w:top w:val="nil"/>
              <w:left w:val="nil"/>
              <w:bottom w:val="single" w:sz="4" w:space="0" w:color="auto"/>
              <w:right w:val="nil"/>
            </w:tcBorders>
            <w:shd w:val="clear" w:color="auto" w:fill="auto"/>
            <w:noWrap/>
            <w:vAlign w:val="bottom"/>
            <w:hideMark/>
          </w:tcPr>
          <w:p w14:paraId="330426C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0.504</w:t>
            </w:r>
          </w:p>
        </w:tc>
        <w:tc>
          <w:tcPr>
            <w:tcW w:w="1162" w:type="dxa"/>
            <w:tcBorders>
              <w:top w:val="nil"/>
              <w:left w:val="nil"/>
              <w:bottom w:val="single" w:sz="4" w:space="0" w:color="auto"/>
              <w:right w:val="nil"/>
            </w:tcBorders>
            <w:shd w:val="clear" w:color="auto" w:fill="auto"/>
            <w:noWrap/>
            <w:vAlign w:val="bottom"/>
            <w:hideMark/>
          </w:tcPr>
          <w:p w14:paraId="414F863E"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0.731</w:t>
            </w:r>
          </w:p>
        </w:tc>
        <w:tc>
          <w:tcPr>
            <w:tcW w:w="1312" w:type="dxa"/>
            <w:tcBorders>
              <w:top w:val="nil"/>
              <w:left w:val="nil"/>
              <w:bottom w:val="single" w:sz="4" w:space="0" w:color="auto"/>
              <w:right w:val="nil"/>
            </w:tcBorders>
            <w:shd w:val="clear" w:color="auto" w:fill="auto"/>
            <w:noWrap/>
            <w:vAlign w:val="bottom"/>
            <w:hideMark/>
          </w:tcPr>
          <w:p w14:paraId="22DDC0FB"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0.678</w:t>
            </w:r>
          </w:p>
        </w:tc>
        <w:tc>
          <w:tcPr>
            <w:tcW w:w="1312" w:type="dxa"/>
            <w:tcBorders>
              <w:top w:val="nil"/>
              <w:left w:val="nil"/>
              <w:bottom w:val="single" w:sz="4" w:space="0" w:color="auto"/>
              <w:right w:val="nil"/>
            </w:tcBorders>
            <w:shd w:val="clear" w:color="auto" w:fill="auto"/>
            <w:noWrap/>
            <w:vAlign w:val="bottom"/>
            <w:hideMark/>
          </w:tcPr>
          <w:p w14:paraId="30412976"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0.784</w:t>
            </w:r>
          </w:p>
        </w:tc>
        <w:tc>
          <w:tcPr>
            <w:tcW w:w="1312" w:type="dxa"/>
            <w:tcBorders>
              <w:top w:val="nil"/>
              <w:left w:val="nil"/>
              <w:bottom w:val="single" w:sz="4" w:space="0" w:color="auto"/>
              <w:right w:val="nil"/>
            </w:tcBorders>
            <w:shd w:val="clear" w:color="auto" w:fill="auto"/>
            <w:noWrap/>
            <w:vAlign w:val="bottom"/>
            <w:hideMark/>
          </w:tcPr>
          <w:p w14:paraId="4EE06A42"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0.523</w:t>
            </w:r>
          </w:p>
        </w:tc>
        <w:tc>
          <w:tcPr>
            <w:tcW w:w="1312" w:type="dxa"/>
            <w:tcBorders>
              <w:top w:val="nil"/>
              <w:left w:val="nil"/>
              <w:bottom w:val="single" w:sz="4" w:space="0" w:color="auto"/>
              <w:right w:val="nil"/>
            </w:tcBorders>
            <w:shd w:val="clear" w:color="auto" w:fill="auto"/>
            <w:noWrap/>
            <w:vAlign w:val="bottom"/>
            <w:hideMark/>
          </w:tcPr>
          <w:p w14:paraId="12595061"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0.768</w:t>
            </w:r>
          </w:p>
        </w:tc>
        <w:tc>
          <w:tcPr>
            <w:tcW w:w="1156" w:type="dxa"/>
            <w:tcBorders>
              <w:top w:val="nil"/>
              <w:left w:val="nil"/>
              <w:bottom w:val="single" w:sz="4" w:space="0" w:color="auto"/>
              <w:right w:val="nil"/>
            </w:tcBorders>
            <w:shd w:val="clear" w:color="auto" w:fill="auto"/>
            <w:noWrap/>
            <w:vAlign w:val="bottom"/>
            <w:hideMark/>
          </w:tcPr>
          <w:p w14:paraId="076D4A05"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0.401</w:t>
            </w:r>
          </w:p>
        </w:tc>
        <w:tc>
          <w:tcPr>
            <w:tcW w:w="1170" w:type="dxa"/>
            <w:tcBorders>
              <w:top w:val="nil"/>
              <w:left w:val="nil"/>
              <w:bottom w:val="single" w:sz="4" w:space="0" w:color="auto"/>
              <w:right w:val="nil"/>
            </w:tcBorders>
            <w:shd w:val="clear" w:color="auto" w:fill="auto"/>
            <w:noWrap/>
            <w:vAlign w:val="bottom"/>
            <w:hideMark/>
          </w:tcPr>
          <w:p w14:paraId="06BD5ED0" w14:textId="77777777" w:rsidR="002F5D47" w:rsidRPr="00F64E4D" w:rsidRDefault="002F5D47" w:rsidP="00C04359">
            <w:pPr>
              <w:jc w:val="cente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0.835</w:t>
            </w:r>
          </w:p>
        </w:tc>
      </w:tr>
      <w:tr w:rsidR="002F5D47" w:rsidRPr="00F64E4D" w14:paraId="562F47D1" w14:textId="77777777" w:rsidTr="00C04359">
        <w:trPr>
          <w:trHeight w:val="280"/>
        </w:trPr>
        <w:tc>
          <w:tcPr>
            <w:tcW w:w="11700" w:type="dxa"/>
            <w:gridSpan w:val="9"/>
            <w:vMerge w:val="restart"/>
            <w:tcBorders>
              <w:top w:val="single" w:sz="4" w:space="0" w:color="auto"/>
              <w:left w:val="nil"/>
              <w:bottom w:val="nil"/>
              <w:right w:val="nil"/>
            </w:tcBorders>
            <w:shd w:val="clear" w:color="auto" w:fill="auto"/>
            <w:vAlign w:val="bottom"/>
            <w:hideMark/>
          </w:tcPr>
          <w:p w14:paraId="37586BE0" w14:textId="77777777" w:rsidR="002F5D47" w:rsidRPr="00F64E4D" w:rsidRDefault="002F5D47" w:rsidP="00C04359">
            <w:pPr>
              <w:rPr>
                <w:rFonts w:ascii="Calibri" w:eastAsia="Times New Roman" w:hAnsi="Calibri" w:cs="Times New Roman"/>
                <w:color w:val="000000"/>
                <w:sz w:val="22"/>
                <w:szCs w:val="22"/>
              </w:rPr>
            </w:pPr>
            <w:r w:rsidRPr="00F64E4D">
              <w:rPr>
                <w:rFonts w:ascii="Calibri" w:eastAsia="Times New Roman" w:hAnsi="Calibri" w:cs="Times New Roman"/>
                <w:color w:val="000000"/>
                <w:sz w:val="22"/>
                <w:szCs w:val="22"/>
              </w:rPr>
              <w:t>Observations are at the weekly-monitor level. All columns include monitor fixed effects. Columns 2, 4, 6 and 8 include month fixed effects and monitor-specific time trends. The sample of monitors is 30,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w:t>
            </w:r>
          </w:p>
        </w:tc>
      </w:tr>
      <w:tr w:rsidR="002F5D47" w:rsidRPr="00F64E4D" w14:paraId="13FC308F" w14:textId="77777777" w:rsidTr="00C04359">
        <w:trPr>
          <w:trHeight w:val="280"/>
        </w:trPr>
        <w:tc>
          <w:tcPr>
            <w:tcW w:w="11700" w:type="dxa"/>
            <w:gridSpan w:val="9"/>
            <w:vMerge/>
            <w:tcBorders>
              <w:top w:val="single" w:sz="4" w:space="0" w:color="auto"/>
              <w:left w:val="nil"/>
              <w:bottom w:val="nil"/>
              <w:right w:val="nil"/>
            </w:tcBorders>
            <w:vAlign w:val="center"/>
            <w:hideMark/>
          </w:tcPr>
          <w:p w14:paraId="6EE2F5CA" w14:textId="77777777" w:rsidR="002F5D47" w:rsidRPr="00F64E4D" w:rsidRDefault="002F5D47" w:rsidP="00C04359">
            <w:pPr>
              <w:rPr>
                <w:rFonts w:ascii="Calibri" w:eastAsia="Times New Roman" w:hAnsi="Calibri" w:cs="Times New Roman"/>
                <w:color w:val="000000"/>
                <w:sz w:val="22"/>
                <w:szCs w:val="22"/>
              </w:rPr>
            </w:pPr>
          </w:p>
        </w:tc>
      </w:tr>
      <w:tr w:rsidR="002F5D47" w:rsidRPr="00F64E4D" w14:paraId="3A13FAAA" w14:textId="77777777" w:rsidTr="00C04359">
        <w:trPr>
          <w:trHeight w:val="280"/>
        </w:trPr>
        <w:tc>
          <w:tcPr>
            <w:tcW w:w="11700" w:type="dxa"/>
            <w:gridSpan w:val="9"/>
            <w:vMerge/>
            <w:tcBorders>
              <w:top w:val="single" w:sz="4" w:space="0" w:color="auto"/>
              <w:left w:val="nil"/>
              <w:bottom w:val="nil"/>
              <w:right w:val="nil"/>
            </w:tcBorders>
            <w:vAlign w:val="center"/>
            <w:hideMark/>
          </w:tcPr>
          <w:p w14:paraId="4CDFA043" w14:textId="77777777" w:rsidR="002F5D47" w:rsidRPr="00F64E4D" w:rsidRDefault="002F5D47" w:rsidP="00C04359">
            <w:pPr>
              <w:rPr>
                <w:rFonts w:ascii="Calibri" w:eastAsia="Times New Roman" w:hAnsi="Calibri" w:cs="Times New Roman"/>
                <w:color w:val="000000"/>
                <w:sz w:val="22"/>
                <w:szCs w:val="22"/>
              </w:rPr>
            </w:pPr>
          </w:p>
        </w:tc>
      </w:tr>
      <w:tr w:rsidR="002F5D47" w:rsidRPr="00F64E4D" w14:paraId="060542E1" w14:textId="77777777" w:rsidTr="00C04359">
        <w:trPr>
          <w:trHeight w:val="280"/>
        </w:trPr>
        <w:tc>
          <w:tcPr>
            <w:tcW w:w="11700" w:type="dxa"/>
            <w:gridSpan w:val="9"/>
            <w:vMerge/>
            <w:tcBorders>
              <w:top w:val="single" w:sz="4" w:space="0" w:color="auto"/>
              <w:left w:val="nil"/>
              <w:bottom w:val="nil"/>
              <w:right w:val="nil"/>
            </w:tcBorders>
            <w:vAlign w:val="center"/>
            <w:hideMark/>
          </w:tcPr>
          <w:p w14:paraId="2B841ACF" w14:textId="77777777" w:rsidR="002F5D47" w:rsidRPr="00F64E4D" w:rsidRDefault="002F5D47" w:rsidP="00C04359">
            <w:pPr>
              <w:rPr>
                <w:rFonts w:ascii="Calibri" w:eastAsia="Times New Roman" w:hAnsi="Calibri" w:cs="Times New Roman"/>
                <w:color w:val="000000"/>
                <w:sz w:val="22"/>
                <w:szCs w:val="22"/>
              </w:rPr>
            </w:pPr>
          </w:p>
        </w:tc>
      </w:tr>
    </w:tbl>
    <w:p w14:paraId="12E376C0" w14:textId="77777777" w:rsidR="002F5D47" w:rsidRDefault="002F5D47" w:rsidP="002F5D47">
      <w:pPr>
        <w:spacing w:line="480" w:lineRule="auto"/>
      </w:pPr>
    </w:p>
    <w:p w14:paraId="3B4F6264" w14:textId="77777777" w:rsidR="002F5D47" w:rsidRDefault="002F5D47" w:rsidP="002F5D47">
      <w:pPr>
        <w:spacing w:line="480" w:lineRule="auto"/>
      </w:pPr>
    </w:p>
    <w:p w14:paraId="6F7E6A78" w14:textId="77777777" w:rsidR="002F5D47" w:rsidRDefault="002F5D47" w:rsidP="002F5D47">
      <w:pPr>
        <w:spacing w:line="480" w:lineRule="auto"/>
      </w:pPr>
    </w:p>
    <w:p w14:paraId="5FC77D1F" w14:textId="77777777" w:rsidR="002F5D47" w:rsidRDefault="002F5D47" w:rsidP="002F5D47">
      <w:pPr>
        <w:spacing w:line="480" w:lineRule="auto"/>
      </w:pPr>
    </w:p>
    <w:p w14:paraId="38874C83" w14:textId="77777777" w:rsidR="00837A0A" w:rsidRDefault="00837A0A" w:rsidP="002F5D47">
      <w:pPr>
        <w:spacing w:line="480" w:lineRule="auto"/>
      </w:pPr>
    </w:p>
    <w:p w14:paraId="567E1FCD" w14:textId="77777777" w:rsidR="00E30957" w:rsidRDefault="00E30957" w:rsidP="002F5D47">
      <w:pPr>
        <w:spacing w:line="480" w:lineRule="auto"/>
      </w:pPr>
    </w:p>
    <w:p w14:paraId="4815F4C5" w14:textId="77777777" w:rsidR="002F5D47" w:rsidRDefault="002F5D47" w:rsidP="002F5D47">
      <w:pPr>
        <w:spacing w:line="480" w:lineRule="auto"/>
        <w:jc w:val="center"/>
      </w:pPr>
      <w:r>
        <w:rPr>
          <w:sz w:val="36"/>
          <w:szCs w:val="36"/>
        </w:rPr>
        <w:lastRenderedPageBreak/>
        <w:t>APPENDIX</w:t>
      </w:r>
    </w:p>
    <w:p w14:paraId="0D5C128C" w14:textId="77777777" w:rsidR="002F5D47" w:rsidRDefault="002F5D47" w:rsidP="002F5D47">
      <w:pPr>
        <w:spacing w:line="480" w:lineRule="auto"/>
      </w:pPr>
    </w:p>
    <w:p w14:paraId="20403B56" w14:textId="77777777" w:rsidR="002F5D47" w:rsidRDefault="002F5D47" w:rsidP="002F5D47">
      <w:pPr>
        <w:spacing w:line="480" w:lineRule="auto"/>
      </w:pPr>
    </w:p>
    <w:tbl>
      <w:tblPr>
        <w:tblW w:w="11610" w:type="dxa"/>
        <w:tblInd w:w="-1062" w:type="dxa"/>
        <w:tblLayout w:type="fixed"/>
        <w:tblLook w:val="04A0" w:firstRow="1" w:lastRow="0" w:firstColumn="1" w:lastColumn="0" w:noHBand="0" w:noVBand="1"/>
      </w:tblPr>
      <w:tblGrid>
        <w:gridCol w:w="1530"/>
        <w:gridCol w:w="1260"/>
        <w:gridCol w:w="1260"/>
        <w:gridCol w:w="1260"/>
        <w:gridCol w:w="1350"/>
        <w:gridCol w:w="1350"/>
        <w:gridCol w:w="1170"/>
        <w:gridCol w:w="1260"/>
        <w:gridCol w:w="1170"/>
      </w:tblGrid>
      <w:tr w:rsidR="002F5D47" w:rsidRPr="00873E64" w14:paraId="0302D207" w14:textId="77777777" w:rsidTr="00C04359">
        <w:trPr>
          <w:trHeight w:val="560"/>
        </w:trPr>
        <w:tc>
          <w:tcPr>
            <w:tcW w:w="11610" w:type="dxa"/>
            <w:gridSpan w:val="9"/>
            <w:tcBorders>
              <w:top w:val="nil"/>
              <w:left w:val="nil"/>
              <w:bottom w:val="nil"/>
              <w:right w:val="nil"/>
            </w:tcBorders>
            <w:shd w:val="clear" w:color="auto" w:fill="auto"/>
            <w:vAlign w:val="center"/>
            <w:hideMark/>
          </w:tcPr>
          <w:p w14:paraId="5B3107BD" w14:textId="77777777" w:rsidR="002F5D47" w:rsidRPr="000701CF" w:rsidRDefault="002F5D47" w:rsidP="00C04359">
            <w:pPr>
              <w:jc w:val="center"/>
              <w:rPr>
                <w:rFonts w:eastAsia="Times New Roman" w:cs="Times New Roman"/>
                <w:b/>
                <w:bCs/>
                <w:color w:val="000000"/>
              </w:rPr>
            </w:pPr>
            <w:r>
              <w:rPr>
                <w:rFonts w:eastAsia="Times New Roman" w:cs="Times New Roman"/>
                <w:b/>
                <w:bCs/>
                <w:color w:val="000000"/>
              </w:rPr>
              <w:t xml:space="preserve">Appendix </w:t>
            </w:r>
            <w:r w:rsidRPr="000701CF">
              <w:rPr>
                <w:rFonts w:eastAsia="Times New Roman" w:cs="Times New Roman"/>
                <w:b/>
                <w:bCs/>
                <w:color w:val="000000"/>
              </w:rPr>
              <w:t xml:space="preserve">Table </w:t>
            </w:r>
            <w:r>
              <w:rPr>
                <w:rFonts w:eastAsia="Times New Roman" w:cs="Times New Roman"/>
                <w:b/>
                <w:bCs/>
                <w:color w:val="000000"/>
              </w:rPr>
              <w:t>1</w:t>
            </w:r>
            <w:r w:rsidRPr="000701CF">
              <w:rPr>
                <w:rFonts w:eastAsia="Times New Roman" w:cs="Times New Roman"/>
                <w:b/>
                <w:bCs/>
                <w:color w:val="000000"/>
              </w:rPr>
              <w:br/>
              <w:t>Regression Discontinuity Results</w:t>
            </w:r>
          </w:p>
        </w:tc>
      </w:tr>
      <w:tr w:rsidR="002F5D47" w:rsidRPr="00873E64" w14:paraId="59BC81FA" w14:textId="77777777" w:rsidTr="00C04359">
        <w:trPr>
          <w:trHeight w:val="280"/>
        </w:trPr>
        <w:tc>
          <w:tcPr>
            <w:tcW w:w="1530" w:type="dxa"/>
            <w:tcBorders>
              <w:top w:val="single" w:sz="4" w:space="0" w:color="auto"/>
              <w:left w:val="nil"/>
              <w:bottom w:val="nil"/>
              <w:right w:val="nil"/>
            </w:tcBorders>
            <w:shd w:val="clear" w:color="auto" w:fill="auto"/>
            <w:noWrap/>
            <w:vAlign w:val="bottom"/>
            <w:hideMark/>
          </w:tcPr>
          <w:p w14:paraId="1E400D65"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1A4E8DA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w:t>
            </w:r>
          </w:p>
        </w:tc>
        <w:tc>
          <w:tcPr>
            <w:tcW w:w="1260" w:type="dxa"/>
            <w:tcBorders>
              <w:top w:val="single" w:sz="4" w:space="0" w:color="auto"/>
              <w:left w:val="nil"/>
              <w:bottom w:val="nil"/>
              <w:right w:val="nil"/>
            </w:tcBorders>
            <w:shd w:val="clear" w:color="auto" w:fill="auto"/>
            <w:noWrap/>
            <w:vAlign w:val="bottom"/>
            <w:hideMark/>
          </w:tcPr>
          <w:p w14:paraId="529DCFE2"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(2)</w:t>
            </w:r>
          </w:p>
        </w:tc>
        <w:tc>
          <w:tcPr>
            <w:tcW w:w="1260" w:type="dxa"/>
            <w:tcBorders>
              <w:top w:val="single" w:sz="4" w:space="0" w:color="auto"/>
              <w:left w:val="nil"/>
              <w:bottom w:val="nil"/>
              <w:right w:val="nil"/>
            </w:tcBorders>
            <w:shd w:val="clear" w:color="auto" w:fill="auto"/>
            <w:noWrap/>
            <w:vAlign w:val="bottom"/>
            <w:hideMark/>
          </w:tcPr>
          <w:p w14:paraId="0B3CE71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(3)</w:t>
            </w:r>
          </w:p>
        </w:tc>
        <w:tc>
          <w:tcPr>
            <w:tcW w:w="1350" w:type="dxa"/>
            <w:tcBorders>
              <w:top w:val="single" w:sz="4" w:space="0" w:color="auto"/>
              <w:left w:val="nil"/>
              <w:bottom w:val="nil"/>
              <w:right w:val="nil"/>
            </w:tcBorders>
            <w:shd w:val="clear" w:color="auto" w:fill="auto"/>
            <w:noWrap/>
            <w:vAlign w:val="bottom"/>
            <w:hideMark/>
          </w:tcPr>
          <w:p w14:paraId="3A7B57D2"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(4)</w:t>
            </w:r>
          </w:p>
        </w:tc>
        <w:tc>
          <w:tcPr>
            <w:tcW w:w="1350" w:type="dxa"/>
            <w:tcBorders>
              <w:top w:val="single" w:sz="4" w:space="0" w:color="auto"/>
              <w:left w:val="nil"/>
              <w:bottom w:val="nil"/>
              <w:right w:val="nil"/>
            </w:tcBorders>
            <w:shd w:val="clear" w:color="auto" w:fill="auto"/>
            <w:noWrap/>
            <w:vAlign w:val="bottom"/>
            <w:hideMark/>
          </w:tcPr>
          <w:p w14:paraId="28E4D8A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(5)</w:t>
            </w:r>
          </w:p>
        </w:tc>
        <w:tc>
          <w:tcPr>
            <w:tcW w:w="1170" w:type="dxa"/>
            <w:tcBorders>
              <w:top w:val="single" w:sz="4" w:space="0" w:color="auto"/>
              <w:left w:val="nil"/>
              <w:bottom w:val="nil"/>
              <w:right w:val="nil"/>
            </w:tcBorders>
            <w:shd w:val="clear" w:color="auto" w:fill="auto"/>
            <w:noWrap/>
            <w:vAlign w:val="bottom"/>
            <w:hideMark/>
          </w:tcPr>
          <w:p w14:paraId="6E591FF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(6)</w:t>
            </w:r>
          </w:p>
        </w:tc>
        <w:tc>
          <w:tcPr>
            <w:tcW w:w="1260" w:type="dxa"/>
            <w:tcBorders>
              <w:top w:val="single" w:sz="4" w:space="0" w:color="auto"/>
              <w:left w:val="nil"/>
              <w:bottom w:val="nil"/>
              <w:right w:val="nil"/>
            </w:tcBorders>
            <w:shd w:val="clear" w:color="auto" w:fill="auto"/>
            <w:noWrap/>
            <w:vAlign w:val="bottom"/>
            <w:hideMark/>
          </w:tcPr>
          <w:p w14:paraId="6C2C2CA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(7)</w:t>
            </w:r>
          </w:p>
        </w:tc>
        <w:tc>
          <w:tcPr>
            <w:tcW w:w="1170" w:type="dxa"/>
            <w:tcBorders>
              <w:top w:val="single" w:sz="4" w:space="0" w:color="auto"/>
              <w:left w:val="nil"/>
              <w:bottom w:val="nil"/>
              <w:right w:val="nil"/>
            </w:tcBorders>
            <w:shd w:val="clear" w:color="auto" w:fill="auto"/>
            <w:noWrap/>
            <w:vAlign w:val="bottom"/>
            <w:hideMark/>
          </w:tcPr>
          <w:p w14:paraId="75B91DE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(8)</w:t>
            </w:r>
          </w:p>
        </w:tc>
      </w:tr>
      <w:tr w:rsidR="002F5D47" w:rsidRPr="00873E64" w14:paraId="408C467E" w14:textId="77777777" w:rsidTr="00C04359">
        <w:trPr>
          <w:trHeight w:val="320"/>
        </w:trPr>
        <w:tc>
          <w:tcPr>
            <w:tcW w:w="1530" w:type="dxa"/>
            <w:tcBorders>
              <w:top w:val="nil"/>
              <w:left w:val="nil"/>
              <w:bottom w:val="nil"/>
              <w:right w:val="nil"/>
            </w:tcBorders>
            <w:shd w:val="clear" w:color="auto" w:fill="auto"/>
            <w:noWrap/>
            <w:vAlign w:val="bottom"/>
            <w:hideMark/>
          </w:tcPr>
          <w:p w14:paraId="2FD33F0B"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Pollutant</w:t>
            </w:r>
          </w:p>
        </w:tc>
        <w:tc>
          <w:tcPr>
            <w:tcW w:w="1260" w:type="dxa"/>
            <w:tcBorders>
              <w:top w:val="nil"/>
              <w:left w:val="nil"/>
              <w:bottom w:val="nil"/>
              <w:right w:val="nil"/>
            </w:tcBorders>
            <w:shd w:val="clear" w:color="auto" w:fill="auto"/>
            <w:noWrap/>
            <w:vAlign w:val="bottom"/>
            <w:hideMark/>
          </w:tcPr>
          <w:p w14:paraId="5626601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CO</w:t>
            </w:r>
          </w:p>
        </w:tc>
        <w:tc>
          <w:tcPr>
            <w:tcW w:w="1260" w:type="dxa"/>
            <w:tcBorders>
              <w:top w:val="nil"/>
              <w:left w:val="nil"/>
              <w:bottom w:val="nil"/>
              <w:right w:val="nil"/>
            </w:tcBorders>
            <w:shd w:val="clear" w:color="auto" w:fill="auto"/>
            <w:noWrap/>
            <w:vAlign w:val="bottom"/>
            <w:hideMark/>
          </w:tcPr>
          <w:p w14:paraId="1940223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CO</w:t>
            </w:r>
          </w:p>
        </w:tc>
        <w:tc>
          <w:tcPr>
            <w:tcW w:w="1260" w:type="dxa"/>
            <w:tcBorders>
              <w:top w:val="nil"/>
              <w:left w:val="nil"/>
              <w:bottom w:val="nil"/>
              <w:right w:val="nil"/>
            </w:tcBorders>
            <w:shd w:val="clear" w:color="auto" w:fill="auto"/>
            <w:noWrap/>
            <w:vAlign w:val="bottom"/>
            <w:hideMark/>
          </w:tcPr>
          <w:p w14:paraId="4C6CD6F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r w:rsidRPr="00873E64">
              <w:rPr>
                <w:rFonts w:ascii="Calibri" w:eastAsia="Times New Roman" w:hAnsi="Calibri" w:cs="Times New Roman"/>
                <w:color w:val="000000"/>
                <w:sz w:val="22"/>
                <w:szCs w:val="22"/>
                <w:vertAlign w:val="subscript"/>
              </w:rPr>
              <w:t>2</w:t>
            </w:r>
          </w:p>
        </w:tc>
        <w:tc>
          <w:tcPr>
            <w:tcW w:w="1350" w:type="dxa"/>
            <w:tcBorders>
              <w:top w:val="nil"/>
              <w:left w:val="nil"/>
              <w:bottom w:val="nil"/>
              <w:right w:val="nil"/>
            </w:tcBorders>
            <w:shd w:val="clear" w:color="auto" w:fill="auto"/>
            <w:noWrap/>
            <w:vAlign w:val="bottom"/>
            <w:hideMark/>
          </w:tcPr>
          <w:p w14:paraId="067EC24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r w:rsidRPr="00873E64">
              <w:rPr>
                <w:rFonts w:ascii="Calibri" w:eastAsia="Times New Roman" w:hAnsi="Calibri" w:cs="Times New Roman"/>
                <w:color w:val="000000"/>
                <w:sz w:val="22"/>
                <w:szCs w:val="22"/>
                <w:vertAlign w:val="subscript"/>
              </w:rPr>
              <w:t>2</w:t>
            </w:r>
          </w:p>
        </w:tc>
        <w:tc>
          <w:tcPr>
            <w:tcW w:w="1350" w:type="dxa"/>
            <w:tcBorders>
              <w:top w:val="nil"/>
              <w:left w:val="nil"/>
              <w:bottom w:val="nil"/>
              <w:right w:val="nil"/>
            </w:tcBorders>
            <w:shd w:val="clear" w:color="auto" w:fill="auto"/>
            <w:noWrap/>
            <w:vAlign w:val="bottom"/>
            <w:hideMark/>
          </w:tcPr>
          <w:p w14:paraId="47EFF8C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r w:rsidRPr="00873E64">
              <w:rPr>
                <w:rFonts w:ascii="Calibri" w:eastAsia="Times New Roman" w:hAnsi="Calibri" w:cs="Times New Roman"/>
                <w:color w:val="000000"/>
                <w:sz w:val="22"/>
                <w:szCs w:val="22"/>
                <w:vertAlign w:val="subscript"/>
              </w:rPr>
              <w:t>x</w:t>
            </w:r>
          </w:p>
        </w:tc>
        <w:tc>
          <w:tcPr>
            <w:tcW w:w="1170" w:type="dxa"/>
            <w:tcBorders>
              <w:top w:val="nil"/>
              <w:left w:val="nil"/>
              <w:bottom w:val="nil"/>
              <w:right w:val="nil"/>
            </w:tcBorders>
            <w:shd w:val="clear" w:color="auto" w:fill="auto"/>
            <w:noWrap/>
            <w:vAlign w:val="bottom"/>
            <w:hideMark/>
          </w:tcPr>
          <w:p w14:paraId="5C26F195"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r w:rsidRPr="00873E64">
              <w:rPr>
                <w:rFonts w:ascii="Calibri" w:eastAsia="Times New Roman" w:hAnsi="Calibri" w:cs="Times New Roman"/>
                <w:color w:val="000000"/>
                <w:sz w:val="22"/>
                <w:szCs w:val="22"/>
                <w:vertAlign w:val="subscript"/>
              </w:rPr>
              <w:t>x</w:t>
            </w:r>
          </w:p>
        </w:tc>
        <w:tc>
          <w:tcPr>
            <w:tcW w:w="1260" w:type="dxa"/>
            <w:tcBorders>
              <w:top w:val="nil"/>
              <w:left w:val="nil"/>
              <w:bottom w:val="nil"/>
              <w:right w:val="nil"/>
            </w:tcBorders>
            <w:shd w:val="clear" w:color="auto" w:fill="auto"/>
            <w:noWrap/>
            <w:vAlign w:val="bottom"/>
            <w:hideMark/>
          </w:tcPr>
          <w:p w14:paraId="5D0EC96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O</w:t>
            </w:r>
            <w:r w:rsidRPr="00873E64">
              <w:rPr>
                <w:rFonts w:ascii="Calibri" w:eastAsia="Times New Roman" w:hAnsi="Calibri" w:cs="Times New Roman"/>
                <w:color w:val="000000"/>
                <w:sz w:val="22"/>
                <w:szCs w:val="22"/>
                <w:vertAlign w:val="subscript"/>
              </w:rPr>
              <w:t>3</w:t>
            </w:r>
          </w:p>
        </w:tc>
        <w:tc>
          <w:tcPr>
            <w:tcW w:w="1170" w:type="dxa"/>
            <w:tcBorders>
              <w:top w:val="nil"/>
              <w:left w:val="nil"/>
              <w:bottom w:val="nil"/>
              <w:right w:val="nil"/>
            </w:tcBorders>
            <w:shd w:val="clear" w:color="auto" w:fill="auto"/>
            <w:noWrap/>
            <w:vAlign w:val="bottom"/>
            <w:hideMark/>
          </w:tcPr>
          <w:p w14:paraId="1B5254C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O</w:t>
            </w:r>
            <w:r w:rsidRPr="00873E64">
              <w:rPr>
                <w:rFonts w:ascii="Calibri" w:eastAsia="Times New Roman" w:hAnsi="Calibri" w:cs="Times New Roman"/>
                <w:color w:val="000000"/>
                <w:sz w:val="22"/>
                <w:szCs w:val="22"/>
                <w:vertAlign w:val="subscript"/>
              </w:rPr>
              <w:t>3</w:t>
            </w:r>
          </w:p>
        </w:tc>
      </w:tr>
      <w:tr w:rsidR="002F5D47" w:rsidRPr="00873E64" w14:paraId="458B7669" w14:textId="77777777" w:rsidTr="00C04359">
        <w:trPr>
          <w:trHeight w:val="280"/>
        </w:trPr>
        <w:tc>
          <w:tcPr>
            <w:tcW w:w="1530" w:type="dxa"/>
            <w:tcBorders>
              <w:top w:val="single" w:sz="4" w:space="0" w:color="auto"/>
              <w:left w:val="nil"/>
              <w:bottom w:val="nil"/>
              <w:right w:val="nil"/>
            </w:tcBorders>
            <w:shd w:val="clear" w:color="auto" w:fill="auto"/>
            <w:noWrap/>
            <w:vAlign w:val="bottom"/>
            <w:hideMark/>
          </w:tcPr>
          <w:p w14:paraId="60791993"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20D7196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76F59D8A"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47A9A846"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350" w:type="dxa"/>
            <w:tcBorders>
              <w:top w:val="single" w:sz="4" w:space="0" w:color="auto"/>
              <w:left w:val="nil"/>
              <w:bottom w:val="nil"/>
              <w:right w:val="nil"/>
            </w:tcBorders>
            <w:shd w:val="clear" w:color="auto" w:fill="auto"/>
            <w:noWrap/>
            <w:vAlign w:val="bottom"/>
            <w:hideMark/>
          </w:tcPr>
          <w:p w14:paraId="52A96A0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350" w:type="dxa"/>
            <w:tcBorders>
              <w:top w:val="single" w:sz="4" w:space="0" w:color="auto"/>
              <w:left w:val="nil"/>
              <w:bottom w:val="nil"/>
              <w:right w:val="nil"/>
            </w:tcBorders>
            <w:shd w:val="clear" w:color="auto" w:fill="auto"/>
            <w:noWrap/>
            <w:vAlign w:val="bottom"/>
            <w:hideMark/>
          </w:tcPr>
          <w:p w14:paraId="4856991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3D3CDB4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62B61D25"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7F88FE2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w:t>
            </w:r>
          </w:p>
        </w:tc>
      </w:tr>
      <w:tr w:rsidR="002F5D47" w:rsidRPr="00873E64" w14:paraId="049A75DD" w14:textId="77777777" w:rsidTr="00C04359">
        <w:trPr>
          <w:trHeight w:val="280"/>
        </w:trPr>
        <w:tc>
          <w:tcPr>
            <w:tcW w:w="1530" w:type="dxa"/>
            <w:tcBorders>
              <w:top w:val="nil"/>
              <w:left w:val="nil"/>
              <w:bottom w:val="nil"/>
              <w:right w:val="nil"/>
            </w:tcBorders>
            <w:shd w:val="clear" w:color="auto" w:fill="auto"/>
            <w:noWrap/>
            <w:vAlign w:val="bottom"/>
            <w:hideMark/>
          </w:tcPr>
          <w:p w14:paraId="124A7C61"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Strike</w:t>
            </w:r>
          </w:p>
        </w:tc>
        <w:tc>
          <w:tcPr>
            <w:tcW w:w="1260" w:type="dxa"/>
            <w:tcBorders>
              <w:top w:val="nil"/>
              <w:left w:val="nil"/>
              <w:bottom w:val="nil"/>
              <w:right w:val="nil"/>
            </w:tcBorders>
            <w:shd w:val="clear" w:color="auto" w:fill="auto"/>
            <w:noWrap/>
            <w:vAlign w:val="bottom"/>
            <w:hideMark/>
          </w:tcPr>
          <w:p w14:paraId="4E924DB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0.349***</w:t>
            </w:r>
          </w:p>
        </w:tc>
        <w:tc>
          <w:tcPr>
            <w:tcW w:w="1260" w:type="dxa"/>
            <w:tcBorders>
              <w:top w:val="nil"/>
              <w:left w:val="nil"/>
              <w:bottom w:val="nil"/>
              <w:right w:val="nil"/>
            </w:tcBorders>
            <w:shd w:val="clear" w:color="auto" w:fill="auto"/>
            <w:noWrap/>
            <w:vAlign w:val="bottom"/>
            <w:hideMark/>
          </w:tcPr>
          <w:p w14:paraId="5DBCFD7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0.366***</w:t>
            </w:r>
          </w:p>
        </w:tc>
        <w:tc>
          <w:tcPr>
            <w:tcW w:w="1260" w:type="dxa"/>
            <w:tcBorders>
              <w:top w:val="nil"/>
              <w:left w:val="nil"/>
              <w:bottom w:val="nil"/>
              <w:right w:val="nil"/>
            </w:tcBorders>
            <w:shd w:val="clear" w:color="auto" w:fill="auto"/>
            <w:noWrap/>
            <w:vAlign w:val="bottom"/>
            <w:hideMark/>
          </w:tcPr>
          <w:p w14:paraId="3655763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13.744***</w:t>
            </w:r>
          </w:p>
        </w:tc>
        <w:tc>
          <w:tcPr>
            <w:tcW w:w="1350" w:type="dxa"/>
            <w:tcBorders>
              <w:top w:val="nil"/>
              <w:left w:val="nil"/>
              <w:bottom w:val="nil"/>
              <w:right w:val="nil"/>
            </w:tcBorders>
            <w:shd w:val="clear" w:color="auto" w:fill="auto"/>
            <w:noWrap/>
            <w:vAlign w:val="bottom"/>
            <w:hideMark/>
          </w:tcPr>
          <w:p w14:paraId="07A59CC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13.929***</w:t>
            </w:r>
          </w:p>
        </w:tc>
        <w:tc>
          <w:tcPr>
            <w:tcW w:w="1350" w:type="dxa"/>
            <w:tcBorders>
              <w:top w:val="nil"/>
              <w:left w:val="nil"/>
              <w:bottom w:val="nil"/>
              <w:right w:val="nil"/>
            </w:tcBorders>
            <w:shd w:val="clear" w:color="auto" w:fill="auto"/>
            <w:noWrap/>
            <w:vAlign w:val="bottom"/>
            <w:hideMark/>
          </w:tcPr>
          <w:p w14:paraId="777BAAD2"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45.658***</w:t>
            </w:r>
          </w:p>
        </w:tc>
        <w:tc>
          <w:tcPr>
            <w:tcW w:w="1170" w:type="dxa"/>
            <w:tcBorders>
              <w:top w:val="nil"/>
              <w:left w:val="nil"/>
              <w:bottom w:val="nil"/>
              <w:right w:val="nil"/>
            </w:tcBorders>
            <w:shd w:val="clear" w:color="auto" w:fill="auto"/>
            <w:noWrap/>
            <w:vAlign w:val="bottom"/>
            <w:hideMark/>
          </w:tcPr>
          <w:p w14:paraId="5E552D2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44.303***</w:t>
            </w:r>
          </w:p>
        </w:tc>
        <w:tc>
          <w:tcPr>
            <w:tcW w:w="1260" w:type="dxa"/>
            <w:tcBorders>
              <w:top w:val="nil"/>
              <w:left w:val="nil"/>
              <w:bottom w:val="nil"/>
              <w:right w:val="nil"/>
            </w:tcBorders>
            <w:shd w:val="clear" w:color="auto" w:fill="auto"/>
            <w:noWrap/>
            <w:vAlign w:val="bottom"/>
            <w:hideMark/>
          </w:tcPr>
          <w:p w14:paraId="04B21C8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-0.012***</w:t>
            </w:r>
          </w:p>
        </w:tc>
        <w:tc>
          <w:tcPr>
            <w:tcW w:w="1170" w:type="dxa"/>
            <w:tcBorders>
              <w:top w:val="nil"/>
              <w:left w:val="nil"/>
              <w:bottom w:val="nil"/>
              <w:right w:val="nil"/>
            </w:tcBorders>
            <w:shd w:val="clear" w:color="auto" w:fill="auto"/>
            <w:noWrap/>
            <w:vAlign w:val="bottom"/>
            <w:hideMark/>
          </w:tcPr>
          <w:p w14:paraId="3FFDBF2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-0.012***</w:t>
            </w:r>
          </w:p>
        </w:tc>
      </w:tr>
      <w:tr w:rsidR="002F5D47" w:rsidRPr="00873E64" w14:paraId="1E59559D" w14:textId="77777777" w:rsidTr="00C04359">
        <w:trPr>
          <w:trHeight w:val="280"/>
        </w:trPr>
        <w:tc>
          <w:tcPr>
            <w:tcW w:w="1530" w:type="dxa"/>
            <w:tcBorders>
              <w:top w:val="nil"/>
              <w:left w:val="nil"/>
              <w:bottom w:val="nil"/>
              <w:right w:val="nil"/>
            </w:tcBorders>
            <w:shd w:val="clear" w:color="auto" w:fill="auto"/>
            <w:noWrap/>
            <w:vAlign w:val="bottom"/>
            <w:hideMark/>
          </w:tcPr>
          <w:p w14:paraId="34A85216"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861F5A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(0.078)</w:t>
            </w:r>
          </w:p>
        </w:tc>
        <w:tc>
          <w:tcPr>
            <w:tcW w:w="1260" w:type="dxa"/>
            <w:tcBorders>
              <w:top w:val="nil"/>
              <w:left w:val="nil"/>
              <w:bottom w:val="nil"/>
              <w:right w:val="nil"/>
            </w:tcBorders>
            <w:shd w:val="clear" w:color="auto" w:fill="auto"/>
            <w:noWrap/>
            <w:vAlign w:val="bottom"/>
            <w:hideMark/>
          </w:tcPr>
          <w:p w14:paraId="211AC5F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(0.070)</w:t>
            </w:r>
          </w:p>
        </w:tc>
        <w:tc>
          <w:tcPr>
            <w:tcW w:w="1260" w:type="dxa"/>
            <w:tcBorders>
              <w:top w:val="nil"/>
              <w:left w:val="nil"/>
              <w:bottom w:val="nil"/>
              <w:right w:val="nil"/>
            </w:tcBorders>
            <w:shd w:val="clear" w:color="auto" w:fill="auto"/>
            <w:noWrap/>
            <w:vAlign w:val="bottom"/>
            <w:hideMark/>
          </w:tcPr>
          <w:p w14:paraId="1B295F96"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(3.433)</w:t>
            </w:r>
          </w:p>
        </w:tc>
        <w:tc>
          <w:tcPr>
            <w:tcW w:w="1350" w:type="dxa"/>
            <w:tcBorders>
              <w:top w:val="nil"/>
              <w:left w:val="nil"/>
              <w:bottom w:val="nil"/>
              <w:right w:val="nil"/>
            </w:tcBorders>
            <w:shd w:val="clear" w:color="auto" w:fill="auto"/>
            <w:noWrap/>
            <w:vAlign w:val="bottom"/>
            <w:hideMark/>
          </w:tcPr>
          <w:p w14:paraId="1D44C29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(3.442)</w:t>
            </w:r>
          </w:p>
        </w:tc>
        <w:tc>
          <w:tcPr>
            <w:tcW w:w="1350" w:type="dxa"/>
            <w:tcBorders>
              <w:top w:val="nil"/>
              <w:left w:val="nil"/>
              <w:bottom w:val="nil"/>
              <w:right w:val="nil"/>
            </w:tcBorders>
            <w:shd w:val="clear" w:color="auto" w:fill="auto"/>
            <w:noWrap/>
            <w:vAlign w:val="bottom"/>
            <w:hideMark/>
          </w:tcPr>
          <w:p w14:paraId="71E96D5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(7.690)</w:t>
            </w:r>
          </w:p>
        </w:tc>
        <w:tc>
          <w:tcPr>
            <w:tcW w:w="1170" w:type="dxa"/>
            <w:tcBorders>
              <w:top w:val="nil"/>
              <w:left w:val="nil"/>
              <w:bottom w:val="nil"/>
              <w:right w:val="nil"/>
            </w:tcBorders>
            <w:shd w:val="clear" w:color="auto" w:fill="auto"/>
            <w:noWrap/>
            <w:vAlign w:val="bottom"/>
            <w:hideMark/>
          </w:tcPr>
          <w:p w14:paraId="2315CBE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(7.500)</w:t>
            </w:r>
          </w:p>
        </w:tc>
        <w:tc>
          <w:tcPr>
            <w:tcW w:w="1260" w:type="dxa"/>
            <w:tcBorders>
              <w:top w:val="nil"/>
              <w:left w:val="nil"/>
              <w:bottom w:val="nil"/>
              <w:right w:val="nil"/>
            </w:tcBorders>
            <w:shd w:val="clear" w:color="auto" w:fill="auto"/>
            <w:noWrap/>
            <w:vAlign w:val="bottom"/>
            <w:hideMark/>
          </w:tcPr>
          <w:p w14:paraId="163C101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(0.002)</w:t>
            </w:r>
          </w:p>
        </w:tc>
        <w:tc>
          <w:tcPr>
            <w:tcW w:w="1170" w:type="dxa"/>
            <w:tcBorders>
              <w:top w:val="nil"/>
              <w:left w:val="nil"/>
              <w:bottom w:val="nil"/>
              <w:right w:val="nil"/>
            </w:tcBorders>
            <w:shd w:val="clear" w:color="auto" w:fill="auto"/>
            <w:noWrap/>
            <w:vAlign w:val="bottom"/>
            <w:hideMark/>
          </w:tcPr>
          <w:p w14:paraId="194244E2"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(0.002)</w:t>
            </w:r>
          </w:p>
        </w:tc>
      </w:tr>
      <w:tr w:rsidR="002F5D47" w:rsidRPr="00873E64" w14:paraId="6D18B7DA" w14:textId="77777777" w:rsidTr="00C04359">
        <w:trPr>
          <w:trHeight w:val="280"/>
        </w:trPr>
        <w:tc>
          <w:tcPr>
            <w:tcW w:w="1530" w:type="dxa"/>
            <w:tcBorders>
              <w:top w:val="nil"/>
              <w:left w:val="nil"/>
              <w:bottom w:val="nil"/>
              <w:right w:val="nil"/>
            </w:tcBorders>
            <w:shd w:val="clear" w:color="auto" w:fill="auto"/>
            <w:noWrap/>
            <w:vAlign w:val="bottom"/>
            <w:hideMark/>
          </w:tcPr>
          <w:p w14:paraId="643634C3"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E92F6AF"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70E42E2"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928B17E"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692DFCFF"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244FB4C1"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0D61C18"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51007F3D"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B1E1BAF" w14:textId="77777777" w:rsidR="002F5D47" w:rsidRPr="00873E64" w:rsidRDefault="002F5D47" w:rsidP="00C04359">
            <w:pPr>
              <w:jc w:val="center"/>
              <w:rPr>
                <w:rFonts w:ascii="Calibri" w:eastAsia="Times New Roman" w:hAnsi="Calibri" w:cs="Times New Roman"/>
                <w:color w:val="000000"/>
                <w:sz w:val="22"/>
                <w:szCs w:val="22"/>
              </w:rPr>
            </w:pPr>
          </w:p>
        </w:tc>
      </w:tr>
      <w:tr w:rsidR="002F5D47" w:rsidRPr="00873E64" w14:paraId="267F166C" w14:textId="77777777" w:rsidTr="00C04359">
        <w:trPr>
          <w:trHeight w:val="280"/>
        </w:trPr>
        <w:tc>
          <w:tcPr>
            <w:tcW w:w="1530" w:type="dxa"/>
            <w:tcBorders>
              <w:top w:val="nil"/>
              <w:left w:val="nil"/>
              <w:bottom w:val="nil"/>
              <w:right w:val="nil"/>
            </w:tcBorders>
            <w:shd w:val="clear" w:color="auto" w:fill="auto"/>
            <w:noWrap/>
            <w:vAlign w:val="bottom"/>
            <w:hideMark/>
          </w:tcPr>
          <w:p w14:paraId="685217A2"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Week</w:t>
            </w:r>
          </w:p>
        </w:tc>
        <w:tc>
          <w:tcPr>
            <w:tcW w:w="1260" w:type="dxa"/>
            <w:tcBorders>
              <w:top w:val="nil"/>
              <w:left w:val="nil"/>
              <w:bottom w:val="nil"/>
              <w:right w:val="nil"/>
            </w:tcBorders>
            <w:shd w:val="clear" w:color="auto" w:fill="auto"/>
            <w:noWrap/>
            <w:vAlign w:val="bottom"/>
            <w:hideMark/>
          </w:tcPr>
          <w:p w14:paraId="3061A25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0.028</w:t>
            </w:r>
          </w:p>
        </w:tc>
        <w:tc>
          <w:tcPr>
            <w:tcW w:w="1260" w:type="dxa"/>
            <w:tcBorders>
              <w:top w:val="nil"/>
              <w:left w:val="nil"/>
              <w:bottom w:val="nil"/>
              <w:right w:val="nil"/>
            </w:tcBorders>
            <w:shd w:val="clear" w:color="auto" w:fill="auto"/>
            <w:noWrap/>
            <w:vAlign w:val="bottom"/>
            <w:hideMark/>
          </w:tcPr>
          <w:p w14:paraId="2C9E443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0.038</w:t>
            </w:r>
          </w:p>
        </w:tc>
        <w:tc>
          <w:tcPr>
            <w:tcW w:w="1260" w:type="dxa"/>
            <w:tcBorders>
              <w:top w:val="nil"/>
              <w:left w:val="nil"/>
              <w:bottom w:val="nil"/>
              <w:right w:val="nil"/>
            </w:tcBorders>
            <w:shd w:val="clear" w:color="auto" w:fill="auto"/>
            <w:noWrap/>
            <w:vAlign w:val="bottom"/>
            <w:hideMark/>
          </w:tcPr>
          <w:p w14:paraId="4EACC76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0.756</w:t>
            </w:r>
          </w:p>
        </w:tc>
        <w:tc>
          <w:tcPr>
            <w:tcW w:w="1350" w:type="dxa"/>
            <w:tcBorders>
              <w:top w:val="nil"/>
              <w:left w:val="nil"/>
              <w:bottom w:val="nil"/>
              <w:right w:val="nil"/>
            </w:tcBorders>
            <w:shd w:val="clear" w:color="auto" w:fill="auto"/>
            <w:noWrap/>
            <w:vAlign w:val="bottom"/>
            <w:hideMark/>
          </w:tcPr>
          <w:p w14:paraId="556B96A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0.916</w:t>
            </w:r>
          </w:p>
        </w:tc>
        <w:tc>
          <w:tcPr>
            <w:tcW w:w="1350" w:type="dxa"/>
            <w:tcBorders>
              <w:top w:val="nil"/>
              <w:left w:val="nil"/>
              <w:bottom w:val="nil"/>
              <w:right w:val="nil"/>
            </w:tcBorders>
            <w:shd w:val="clear" w:color="auto" w:fill="auto"/>
            <w:noWrap/>
            <w:vAlign w:val="bottom"/>
            <w:hideMark/>
          </w:tcPr>
          <w:p w14:paraId="1B809B9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-0.017</w:t>
            </w:r>
          </w:p>
        </w:tc>
        <w:tc>
          <w:tcPr>
            <w:tcW w:w="1170" w:type="dxa"/>
            <w:tcBorders>
              <w:top w:val="nil"/>
              <w:left w:val="nil"/>
              <w:bottom w:val="nil"/>
              <w:right w:val="nil"/>
            </w:tcBorders>
            <w:shd w:val="clear" w:color="auto" w:fill="auto"/>
            <w:noWrap/>
            <w:vAlign w:val="bottom"/>
            <w:hideMark/>
          </w:tcPr>
          <w:p w14:paraId="2FDE4F9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-0.703</w:t>
            </w:r>
          </w:p>
        </w:tc>
        <w:tc>
          <w:tcPr>
            <w:tcW w:w="1260" w:type="dxa"/>
            <w:tcBorders>
              <w:top w:val="nil"/>
              <w:left w:val="nil"/>
              <w:bottom w:val="nil"/>
              <w:right w:val="nil"/>
            </w:tcBorders>
            <w:shd w:val="clear" w:color="auto" w:fill="auto"/>
            <w:noWrap/>
            <w:vAlign w:val="bottom"/>
            <w:hideMark/>
          </w:tcPr>
          <w:p w14:paraId="7EA03C3A"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64337E3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r>
      <w:tr w:rsidR="002F5D47" w:rsidRPr="00873E64" w14:paraId="165FCE85" w14:textId="77777777" w:rsidTr="00C04359">
        <w:trPr>
          <w:trHeight w:val="280"/>
        </w:trPr>
        <w:tc>
          <w:tcPr>
            <w:tcW w:w="1530" w:type="dxa"/>
            <w:tcBorders>
              <w:top w:val="nil"/>
              <w:left w:val="nil"/>
              <w:bottom w:val="nil"/>
              <w:right w:val="nil"/>
            </w:tcBorders>
            <w:shd w:val="clear" w:color="auto" w:fill="auto"/>
            <w:noWrap/>
            <w:vAlign w:val="bottom"/>
            <w:hideMark/>
          </w:tcPr>
          <w:p w14:paraId="748BF769"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89F709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(0.020)</w:t>
            </w:r>
          </w:p>
        </w:tc>
        <w:tc>
          <w:tcPr>
            <w:tcW w:w="1260" w:type="dxa"/>
            <w:tcBorders>
              <w:top w:val="nil"/>
              <w:left w:val="nil"/>
              <w:bottom w:val="nil"/>
              <w:right w:val="nil"/>
            </w:tcBorders>
            <w:shd w:val="clear" w:color="auto" w:fill="auto"/>
            <w:noWrap/>
            <w:vAlign w:val="bottom"/>
            <w:hideMark/>
          </w:tcPr>
          <w:p w14:paraId="57AFAEB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(0.023)</w:t>
            </w:r>
          </w:p>
        </w:tc>
        <w:tc>
          <w:tcPr>
            <w:tcW w:w="1260" w:type="dxa"/>
            <w:tcBorders>
              <w:top w:val="nil"/>
              <w:left w:val="nil"/>
              <w:bottom w:val="nil"/>
              <w:right w:val="nil"/>
            </w:tcBorders>
            <w:shd w:val="clear" w:color="auto" w:fill="auto"/>
            <w:noWrap/>
            <w:vAlign w:val="bottom"/>
            <w:hideMark/>
          </w:tcPr>
          <w:p w14:paraId="09CE9C7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(0.778)</w:t>
            </w:r>
          </w:p>
        </w:tc>
        <w:tc>
          <w:tcPr>
            <w:tcW w:w="1350" w:type="dxa"/>
            <w:tcBorders>
              <w:top w:val="nil"/>
              <w:left w:val="nil"/>
              <w:bottom w:val="nil"/>
              <w:right w:val="nil"/>
            </w:tcBorders>
            <w:shd w:val="clear" w:color="auto" w:fill="auto"/>
            <w:noWrap/>
            <w:vAlign w:val="bottom"/>
            <w:hideMark/>
          </w:tcPr>
          <w:p w14:paraId="56554FF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(0.791)</w:t>
            </w:r>
          </w:p>
        </w:tc>
        <w:tc>
          <w:tcPr>
            <w:tcW w:w="1350" w:type="dxa"/>
            <w:tcBorders>
              <w:top w:val="nil"/>
              <w:left w:val="nil"/>
              <w:bottom w:val="nil"/>
              <w:right w:val="nil"/>
            </w:tcBorders>
            <w:shd w:val="clear" w:color="auto" w:fill="auto"/>
            <w:noWrap/>
            <w:vAlign w:val="bottom"/>
            <w:hideMark/>
          </w:tcPr>
          <w:p w14:paraId="21EA265A"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(1.038)</w:t>
            </w:r>
          </w:p>
        </w:tc>
        <w:tc>
          <w:tcPr>
            <w:tcW w:w="1170" w:type="dxa"/>
            <w:tcBorders>
              <w:top w:val="nil"/>
              <w:left w:val="nil"/>
              <w:bottom w:val="nil"/>
              <w:right w:val="nil"/>
            </w:tcBorders>
            <w:shd w:val="clear" w:color="auto" w:fill="auto"/>
            <w:noWrap/>
            <w:vAlign w:val="bottom"/>
            <w:hideMark/>
          </w:tcPr>
          <w:p w14:paraId="2ECE203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(1.755)</w:t>
            </w:r>
          </w:p>
        </w:tc>
        <w:tc>
          <w:tcPr>
            <w:tcW w:w="1260" w:type="dxa"/>
            <w:tcBorders>
              <w:top w:val="nil"/>
              <w:left w:val="nil"/>
              <w:bottom w:val="nil"/>
              <w:right w:val="nil"/>
            </w:tcBorders>
            <w:shd w:val="clear" w:color="auto" w:fill="auto"/>
            <w:noWrap/>
            <w:vAlign w:val="bottom"/>
            <w:hideMark/>
          </w:tcPr>
          <w:p w14:paraId="34B5B4F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39EB63C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r>
      <w:tr w:rsidR="002F5D47" w:rsidRPr="00873E64" w14:paraId="4FE484BA" w14:textId="77777777" w:rsidTr="00C04359">
        <w:trPr>
          <w:trHeight w:val="280"/>
        </w:trPr>
        <w:tc>
          <w:tcPr>
            <w:tcW w:w="1530" w:type="dxa"/>
            <w:tcBorders>
              <w:top w:val="nil"/>
              <w:left w:val="nil"/>
              <w:bottom w:val="nil"/>
              <w:right w:val="nil"/>
            </w:tcBorders>
            <w:shd w:val="clear" w:color="auto" w:fill="auto"/>
            <w:noWrap/>
            <w:vAlign w:val="bottom"/>
            <w:hideMark/>
          </w:tcPr>
          <w:p w14:paraId="74827624"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BFB3B43"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01D60AC"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212461C"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12184651"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84E3E5F"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CBB9BDC"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4574B3F"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3EE8155" w14:textId="77777777" w:rsidR="002F5D47" w:rsidRPr="00873E64" w:rsidRDefault="002F5D47" w:rsidP="00C04359">
            <w:pPr>
              <w:jc w:val="center"/>
              <w:rPr>
                <w:rFonts w:ascii="Calibri" w:eastAsia="Times New Roman" w:hAnsi="Calibri" w:cs="Times New Roman"/>
                <w:color w:val="000000"/>
                <w:sz w:val="22"/>
                <w:szCs w:val="22"/>
              </w:rPr>
            </w:pPr>
          </w:p>
        </w:tc>
      </w:tr>
      <w:tr w:rsidR="002F5D47" w:rsidRPr="00873E64" w14:paraId="760B15DA" w14:textId="77777777" w:rsidTr="00C04359">
        <w:trPr>
          <w:trHeight w:val="280"/>
        </w:trPr>
        <w:tc>
          <w:tcPr>
            <w:tcW w:w="1530" w:type="dxa"/>
            <w:tcBorders>
              <w:top w:val="nil"/>
              <w:left w:val="nil"/>
              <w:bottom w:val="nil"/>
              <w:right w:val="nil"/>
            </w:tcBorders>
            <w:shd w:val="clear" w:color="auto" w:fill="auto"/>
            <w:noWrap/>
            <w:vAlign w:val="bottom"/>
            <w:hideMark/>
          </w:tcPr>
          <w:p w14:paraId="0CC4AE29"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Strike × Week</w:t>
            </w:r>
          </w:p>
        </w:tc>
        <w:tc>
          <w:tcPr>
            <w:tcW w:w="1260" w:type="dxa"/>
            <w:tcBorders>
              <w:top w:val="nil"/>
              <w:left w:val="nil"/>
              <w:bottom w:val="nil"/>
              <w:right w:val="nil"/>
            </w:tcBorders>
            <w:shd w:val="clear" w:color="auto" w:fill="auto"/>
            <w:noWrap/>
            <w:vAlign w:val="bottom"/>
            <w:hideMark/>
          </w:tcPr>
          <w:p w14:paraId="705A2585"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-0.070*</w:t>
            </w:r>
          </w:p>
        </w:tc>
        <w:tc>
          <w:tcPr>
            <w:tcW w:w="1260" w:type="dxa"/>
            <w:tcBorders>
              <w:top w:val="nil"/>
              <w:left w:val="nil"/>
              <w:bottom w:val="nil"/>
              <w:right w:val="nil"/>
            </w:tcBorders>
            <w:shd w:val="clear" w:color="auto" w:fill="auto"/>
            <w:noWrap/>
            <w:vAlign w:val="bottom"/>
            <w:hideMark/>
          </w:tcPr>
          <w:p w14:paraId="4D5E5C3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-0.076*</w:t>
            </w:r>
          </w:p>
        </w:tc>
        <w:tc>
          <w:tcPr>
            <w:tcW w:w="1260" w:type="dxa"/>
            <w:tcBorders>
              <w:top w:val="nil"/>
              <w:left w:val="nil"/>
              <w:bottom w:val="nil"/>
              <w:right w:val="nil"/>
            </w:tcBorders>
            <w:shd w:val="clear" w:color="auto" w:fill="auto"/>
            <w:noWrap/>
            <w:vAlign w:val="bottom"/>
            <w:hideMark/>
          </w:tcPr>
          <w:p w14:paraId="3804C8C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-5.012***</w:t>
            </w:r>
          </w:p>
        </w:tc>
        <w:tc>
          <w:tcPr>
            <w:tcW w:w="1350" w:type="dxa"/>
            <w:tcBorders>
              <w:top w:val="nil"/>
              <w:left w:val="nil"/>
              <w:bottom w:val="nil"/>
              <w:right w:val="nil"/>
            </w:tcBorders>
            <w:shd w:val="clear" w:color="auto" w:fill="auto"/>
            <w:noWrap/>
            <w:vAlign w:val="bottom"/>
            <w:hideMark/>
          </w:tcPr>
          <w:p w14:paraId="2A9669F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-5.029***</w:t>
            </w:r>
          </w:p>
        </w:tc>
        <w:tc>
          <w:tcPr>
            <w:tcW w:w="1350" w:type="dxa"/>
            <w:tcBorders>
              <w:top w:val="nil"/>
              <w:left w:val="nil"/>
              <w:bottom w:val="nil"/>
              <w:right w:val="nil"/>
            </w:tcBorders>
            <w:shd w:val="clear" w:color="auto" w:fill="auto"/>
            <w:noWrap/>
            <w:vAlign w:val="bottom"/>
            <w:hideMark/>
          </w:tcPr>
          <w:p w14:paraId="676CA22A"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-3.093</w:t>
            </w:r>
          </w:p>
        </w:tc>
        <w:tc>
          <w:tcPr>
            <w:tcW w:w="1170" w:type="dxa"/>
            <w:tcBorders>
              <w:top w:val="nil"/>
              <w:left w:val="nil"/>
              <w:bottom w:val="nil"/>
              <w:right w:val="nil"/>
            </w:tcBorders>
            <w:shd w:val="clear" w:color="auto" w:fill="auto"/>
            <w:noWrap/>
            <w:vAlign w:val="bottom"/>
            <w:hideMark/>
          </w:tcPr>
          <w:p w14:paraId="4D96193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-2.274</w:t>
            </w:r>
          </w:p>
        </w:tc>
        <w:tc>
          <w:tcPr>
            <w:tcW w:w="1260" w:type="dxa"/>
            <w:tcBorders>
              <w:top w:val="nil"/>
              <w:left w:val="nil"/>
              <w:bottom w:val="nil"/>
              <w:right w:val="nil"/>
            </w:tcBorders>
            <w:shd w:val="clear" w:color="auto" w:fill="auto"/>
            <w:noWrap/>
            <w:vAlign w:val="bottom"/>
            <w:hideMark/>
          </w:tcPr>
          <w:p w14:paraId="1253669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-0.004***</w:t>
            </w:r>
          </w:p>
        </w:tc>
        <w:tc>
          <w:tcPr>
            <w:tcW w:w="1170" w:type="dxa"/>
            <w:tcBorders>
              <w:top w:val="nil"/>
              <w:left w:val="nil"/>
              <w:bottom w:val="nil"/>
              <w:right w:val="nil"/>
            </w:tcBorders>
            <w:shd w:val="clear" w:color="auto" w:fill="auto"/>
            <w:noWrap/>
            <w:vAlign w:val="bottom"/>
            <w:hideMark/>
          </w:tcPr>
          <w:p w14:paraId="2494A85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-0.004***</w:t>
            </w:r>
          </w:p>
        </w:tc>
      </w:tr>
      <w:tr w:rsidR="002F5D47" w:rsidRPr="00873E64" w14:paraId="19D1DC13" w14:textId="77777777" w:rsidTr="00C04359">
        <w:trPr>
          <w:trHeight w:val="280"/>
        </w:trPr>
        <w:tc>
          <w:tcPr>
            <w:tcW w:w="1530" w:type="dxa"/>
            <w:tcBorders>
              <w:top w:val="nil"/>
              <w:left w:val="nil"/>
              <w:bottom w:val="nil"/>
              <w:right w:val="nil"/>
            </w:tcBorders>
            <w:shd w:val="clear" w:color="auto" w:fill="auto"/>
            <w:noWrap/>
            <w:vAlign w:val="bottom"/>
            <w:hideMark/>
          </w:tcPr>
          <w:p w14:paraId="22523CE4"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7F6B17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(0.036)</w:t>
            </w:r>
          </w:p>
        </w:tc>
        <w:tc>
          <w:tcPr>
            <w:tcW w:w="1260" w:type="dxa"/>
            <w:tcBorders>
              <w:top w:val="nil"/>
              <w:left w:val="nil"/>
              <w:bottom w:val="nil"/>
              <w:right w:val="nil"/>
            </w:tcBorders>
            <w:shd w:val="clear" w:color="auto" w:fill="auto"/>
            <w:noWrap/>
            <w:vAlign w:val="bottom"/>
            <w:hideMark/>
          </w:tcPr>
          <w:p w14:paraId="5E04379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(0.038)</w:t>
            </w:r>
          </w:p>
        </w:tc>
        <w:tc>
          <w:tcPr>
            <w:tcW w:w="1260" w:type="dxa"/>
            <w:tcBorders>
              <w:top w:val="nil"/>
              <w:left w:val="nil"/>
              <w:bottom w:val="nil"/>
              <w:right w:val="nil"/>
            </w:tcBorders>
            <w:shd w:val="clear" w:color="auto" w:fill="auto"/>
            <w:noWrap/>
            <w:vAlign w:val="bottom"/>
            <w:hideMark/>
          </w:tcPr>
          <w:p w14:paraId="62D58F9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(1.075)</w:t>
            </w:r>
          </w:p>
        </w:tc>
        <w:tc>
          <w:tcPr>
            <w:tcW w:w="1350" w:type="dxa"/>
            <w:tcBorders>
              <w:top w:val="nil"/>
              <w:left w:val="nil"/>
              <w:bottom w:val="nil"/>
              <w:right w:val="nil"/>
            </w:tcBorders>
            <w:shd w:val="clear" w:color="auto" w:fill="auto"/>
            <w:noWrap/>
            <w:vAlign w:val="bottom"/>
            <w:hideMark/>
          </w:tcPr>
          <w:p w14:paraId="35F3929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(1.053)</w:t>
            </w:r>
          </w:p>
        </w:tc>
        <w:tc>
          <w:tcPr>
            <w:tcW w:w="1350" w:type="dxa"/>
            <w:tcBorders>
              <w:top w:val="nil"/>
              <w:left w:val="nil"/>
              <w:bottom w:val="nil"/>
              <w:right w:val="nil"/>
            </w:tcBorders>
            <w:shd w:val="clear" w:color="auto" w:fill="auto"/>
            <w:noWrap/>
            <w:vAlign w:val="bottom"/>
            <w:hideMark/>
          </w:tcPr>
          <w:p w14:paraId="5C4B7DC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(1.763)</w:t>
            </w:r>
          </w:p>
        </w:tc>
        <w:tc>
          <w:tcPr>
            <w:tcW w:w="1170" w:type="dxa"/>
            <w:tcBorders>
              <w:top w:val="nil"/>
              <w:left w:val="nil"/>
              <w:bottom w:val="nil"/>
              <w:right w:val="nil"/>
            </w:tcBorders>
            <w:shd w:val="clear" w:color="auto" w:fill="auto"/>
            <w:noWrap/>
            <w:vAlign w:val="bottom"/>
            <w:hideMark/>
          </w:tcPr>
          <w:p w14:paraId="5725FE3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(2.355)</w:t>
            </w:r>
          </w:p>
        </w:tc>
        <w:tc>
          <w:tcPr>
            <w:tcW w:w="1260" w:type="dxa"/>
            <w:tcBorders>
              <w:top w:val="nil"/>
              <w:left w:val="nil"/>
              <w:bottom w:val="nil"/>
              <w:right w:val="nil"/>
            </w:tcBorders>
            <w:shd w:val="clear" w:color="auto" w:fill="auto"/>
            <w:noWrap/>
            <w:vAlign w:val="bottom"/>
            <w:hideMark/>
          </w:tcPr>
          <w:p w14:paraId="679718B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2A9B106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r>
      <w:tr w:rsidR="002F5D47" w:rsidRPr="00873E64" w14:paraId="3D1044E0" w14:textId="77777777" w:rsidTr="00C04359">
        <w:trPr>
          <w:trHeight w:val="280"/>
        </w:trPr>
        <w:tc>
          <w:tcPr>
            <w:tcW w:w="1530" w:type="dxa"/>
            <w:tcBorders>
              <w:top w:val="nil"/>
              <w:left w:val="nil"/>
              <w:bottom w:val="nil"/>
              <w:right w:val="nil"/>
            </w:tcBorders>
            <w:shd w:val="clear" w:color="auto" w:fill="auto"/>
            <w:noWrap/>
            <w:vAlign w:val="bottom"/>
            <w:hideMark/>
          </w:tcPr>
          <w:p w14:paraId="22F47A67"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8088F6C"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B72D916"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FFED2F9"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DF053DB"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57CDB147"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916DDE4"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D4B3949"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59E18DF8" w14:textId="77777777" w:rsidR="002F5D47" w:rsidRPr="00873E64" w:rsidRDefault="002F5D47" w:rsidP="00C04359">
            <w:pPr>
              <w:jc w:val="center"/>
              <w:rPr>
                <w:rFonts w:ascii="Calibri" w:eastAsia="Times New Roman" w:hAnsi="Calibri" w:cs="Times New Roman"/>
                <w:color w:val="000000"/>
                <w:sz w:val="22"/>
                <w:szCs w:val="22"/>
              </w:rPr>
            </w:pPr>
          </w:p>
        </w:tc>
      </w:tr>
      <w:tr w:rsidR="002F5D47" w:rsidRPr="00873E64" w14:paraId="073046E0" w14:textId="77777777" w:rsidTr="00C04359">
        <w:trPr>
          <w:trHeight w:val="280"/>
        </w:trPr>
        <w:tc>
          <w:tcPr>
            <w:tcW w:w="1530" w:type="dxa"/>
            <w:tcBorders>
              <w:top w:val="nil"/>
              <w:left w:val="nil"/>
              <w:bottom w:val="nil"/>
              <w:right w:val="nil"/>
            </w:tcBorders>
            <w:shd w:val="clear" w:color="auto" w:fill="auto"/>
            <w:noWrap/>
            <w:vAlign w:val="bottom"/>
            <w:hideMark/>
          </w:tcPr>
          <w:p w14:paraId="342F20CA"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Wind Speed</w:t>
            </w:r>
          </w:p>
        </w:tc>
        <w:tc>
          <w:tcPr>
            <w:tcW w:w="1260" w:type="dxa"/>
            <w:tcBorders>
              <w:top w:val="nil"/>
              <w:left w:val="nil"/>
              <w:bottom w:val="nil"/>
              <w:right w:val="nil"/>
            </w:tcBorders>
            <w:shd w:val="clear" w:color="auto" w:fill="auto"/>
            <w:noWrap/>
            <w:vAlign w:val="bottom"/>
            <w:hideMark/>
          </w:tcPr>
          <w:p w14:paraId="0F09AFF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-0.107**</w:t>
            </w:r>
          </w:p>
        </w:tc>
        <w:tc>
          <w:tcPr>
            <w:tcW w:w="1260" w:type="dxa"/>
            <w:tcBorders>
              <w:top w:val="nil"/>
              <w:left w:val="nil"/>
              <w:bottom w:val="nil"/>
              <w:right w:val="nil"/>
            </w:tcBorders>
            <w:shd w:val="clear" w:color="auto" w:fill="auto"/>
            <w:noWrap/>
            <w:vAlign w:val="bottom"/>
            <w:hideMark/>
          </w:tcPr>
          <w:p w14:paraId="01AF59C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-0.039</w:t>
            </w:r>
          </w:p>
        </w:tc>
        <w:tc>
          <w:tcPr>
            <w:tcW w:w="1260" w:type="dxa"/>
            <w:tcBorders>
              <w:top w:val="nil"/>
              <w:left w:val="nil"/>
              <w:bottom w:val="nil"/>
              <w:right w:val="nil"/>
            </w:tcBorders>
            <w:shd w:val="clear" w:color="auto" w:fill="auto"/>
            <w:noWrap/>
            <w:vAlign w:val="bottom"/>
            <w:hideMark/>
          </w:tcPr>
          <w:p w14:paraId="3F1363E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-0.003</w:t>
            </w:r>
          </w:p>
        </w:tc>
        <w:tc>
          <w:tcPr>
            <w:tcW w:w="1350" w:type="dxa"/>
            <w:tcBorders>
              <w:top w:val="nil"/>
              <w:left w:val="nil"/>
              <w:bottom w:val="nil"/>
              <w:right w:val="nil"/>
            </w:tcBorders>
            <w:shd w:val="clear" w:color="auto" w:fill="auto"/>
            <w:noWrap/>
            <w:vAlign w:val="bottom"/>
            <w:hideMark/>
          </w:tcPr>
          <w:p w14:paraId="65ED965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1.051</w:t>
            </w:r>
          </w:p>
        </w:tc>
        <w:tc>
          <w:tcPr>
            <w:tcW w:w="1350" w:type="dxa"/>
            <w:tcBorders>
              <w:top w:val="nil"/>
              <w:left w:val="nil"/>
              <w:bottom w:val="nil"/>
              <w:right w:val="nil"/>
            </w:tcBorders>
            <w:shd w:val="clear" w:color="auto" w:fill="auto"/>
            <w:noWrap/>
            <w:vAlign w:val="bottom"/>
            <w:hideMark/>
          </w:tcPr>
          <w:p w14:paraId="66ADD2F5"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-1.847</w:t>
            </w:r>
          </w:p>
        </w:tc>
        <w:tc>
          <w:tcPr>
            <w:tcW w:w="1170" w:type="dxa"/>
            <w:tcBorders>
              <w:top w:val="nil"/>
              <w:left w:val="nil"/>
              <w:bottom w:val="nil"/>
              <w:right w:val="nil"/>
            </w:tcBorders>
            <w:shd w:val="clear" w:color="auto" w:fill="auto"/>
            <w:noWrap/>
            <w:vAlign w:val="bottom"/>
            <w:hideMark/>
          </w:tcPr>
          <w:p w14:paraId="3583002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-6.372</w:t>
            </w:r>
          </w:p>
        </w:tc>
        <w:tc>
          <w:tcPr>
            <w:tcW w:w="1260" w:type="dxa"/>
            <w:tcBorders>
              <w:top w:val="nil"/>
              <w:left w:val="nil"/>
              <w:bottom w:val="nil"/>
              <w:right w:val="nil"/>
            </w:tcBorders>
            <w:shd w:val="clear" w:color="auto" w:fill="auto"/>
            <w:noWrap/>
            <w:vAlign w:val="bottom"/>
            <w:hideMark/>
          </w:tcPr>
          <w:p w14:paraId="7DA9E1B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-0.000</w:t>
            </w:r>
          </w:p>
        </w:tc>
        <w:tc>
          <w:tcPr>
            <w:tcW w:w="1170" w:type="dxa"/>
            <w:tcBorders>
              <w:top w:val="nil"/>
              <w:left w:val="nil"/>
              <w:bottom w:val="nil"/>
              <w:right w:val="nil"/>
            </w:tcBorders>
            <w:shd w:val="clear" w:color="auto" w:fill="auto"/>
            <w:noWrap/>
            <w:vAlign w:val="bottom"/>
            <w:hideMark/>
          </w:tcPr>
          <w:p w14:paraId="7945D60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r>
      <w:tr w:rsidR="002F5D47" w:rsidRPr="00873E64" w14:paraId="33F24240" w14:textId="77777777" w:rsidTr="00C04359">
        <w:trPr>
          <w:trHeight w:val="280"/>
        </w:trPr>
        <w:tc>
          <w:tcPr>
            <w:tcW w:w="1530" w:type="dxa"/>
            <w:tcBorders>
              <w:top w:val="nil"/>
              <w:left w:val="nil"/>
              <w:bottom w:val="nil"/>
              <w:right w:val="nil"/>
            </w:tcBorders>
            <w:shd w:val="clear" w:color="auto" w:fill="auto"/>
            <w:noWrap/>
            <w:vAlign w:val="bottom"/>
            <w:hideMark/>
          </w:tcPr>
          <w:p w14:paraId="621BB6BF"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5C3EA02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(0.046)</w:t>
            </w:r>
          </w:p>
        </w:tc>
        <w:tc>
          <w:tcPr>
            <w:tcW w:w="1260" w:type="dxa"/>
            <w:tcBorders>
              <w:top w:val="nil"/>
              <w:left w:val="nil"/>
              <w:bottom w:val="nil"/>
              <w:right w:val="nil"/>
            </w:tcBorders>
            <w:shd w:val="clear" w:color="auto" w:fill="auto"/>
            <w:noWrap/>
            <w:vAlign w:val="bottom"/>
            <w:hideMark/>
          </w:tcPr>
          <w:p w14:paraId="69926E5A"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(0.090)</w:t>
            </w:r>
          </w:p>
        </w:tc>
        <w:tc>
          <w:tcPr>
            <w:tcW w:w="1260" w:type="dxa"/>
            <w:tcBorders>
              <w:top w:val="nil"/>
              <w:left w:val="nil"/>
              <w:bottom w:val="nil"/>
              <w:right w:val="nil"/>
            </w:tcBorders>
            <w:shd w:val="clear" w:color="auto" w:fill="auto"/>
            <w:noWrap/>
            <w:vAlign w:val="bottom"/>
            <w:hideMark/>
          </w:tcPr>
          <w:p w14:paraId="31A0546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(1.110)</w:t>
            </w:r>
          </w:p>
        </w:tc>
        <w:tc>
          <w:tcPr>
            <w:tcW w:w="1350" w:type="dxa"/>
            <w:tcBorders>
              <w:top w:val="nil"/>
              <w:left w:val="nil"/>
              <w:bottom w:val="nil"/>
              <w:right w:val="nil"/>
            </w:tcBorders>
            <w:shd w:val="clear" w:color="auto" w:fill="auto"/>
            <w:noWrap/>
            <w:vAlign w:val="bottom"/>
            <w:hideMark/>
          </w:tcPr>
          <w:p w14:paraId="6ED2C7D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(1.880)</w:t>
            </w:r>
          </w:p>
        </w:tc>
        <w:tc>
          <w:tcPr>
            <w:tcW w:w="1350" w:type="dxa"/>
            <w:tcBorders>
              <w:top w:val="nil"/>
              <w:left w:val="nil"/>
              <w:bottom w:val="nil"/>
              <w:right w:val="nil"/>
            </w:tcBorders>
            <w:shd w:val="clear" w:color="auto" w:fill="auto"/>
            <w:noWrap/>
            <w:vAlign w:val="bottom"/>
            <w:hideMark/>
          </w:tcPr>
          <w:p w14:paraId="274A37F6"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(2.956)</w:t>
            </w:r>
          </w:p>
        </w:tc>
        <w:tc>
          <w:tcPr>
            <w:tcW w:w="1170" w:type="dxa"/>
            <w:tcBorders>
              <w:top w:val="nil"/>
              <w:left w:val="nil"/>
              <w:bottom w:val="nil"/>
              <w:right w:val="nil"/>
            </w:tcBorders>
            <w:shd w:val="clear" w:color="auto" w:fill="auto"/>
            <w:noWrap/>
            <w:vAlign w:val="bottom"/>
            <w:hideMark/>
          </w:tcPr>
          <w:p w14:paraId="6551A7B7"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(8.743)</w:t>
            </w:r>
          </w:p>
        </w:tc>
        <w:tc>
          <w:tcPr>
            <w:tcW w:w="1260" w:type="dxa"/>
            <w:tcBorders>
              <w:top w:val="nil"/>
              <w:left w:val="nil"/>
              <w:bottom w:val="nil"/>
              <w:right w:val="nil"/>
            </w:tcBorders>
            <w:shd w:val="clear" w:color="auto" w:fill="auto"/>
            <w:noWrap/>
            <w:vAlign w:val="bottom"/>
            <w:hideMark/>
          </w:tcPr>
          <w:p w14:paraId="089BFF0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(0.001)</w:t>
            </w:r>
          </w:p>
        </w:tc>
        <w:tc>
          <w:tcPr>
            <w:tcW w:w="1170" w:type="dxa"/>
            <w:tcBorders>
              <w:top w:val="nil"/>
              <w:left w:val="nil"/>
              <w:bottom w:val="nil"/>
              <w:right w:val="nil"/>
            </w:tcBorders>
            <w:shd w:val="clear" w:color="auto" w:fill="auto"/>
            <w:noWrap/>
            <w:vAlign w:val="bottom"/>
            <w:hideMark/>
          </w:tcPr>
          <w:p w14:paraId="6393B0C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(0.000)</w:t>
            </w:r>
          </w:p>
        </w:tc>
      </w:tr>
      <w:tr w:rsidR="002F5D47" w:rsidRPr="00873E64" w14:paraId="2D52E98A" w14:textId="77777777" w:rsidTr="00C04359">
        <w:trPr>
          <w:trHeight w:val="280"/>
        </w:trPr>
        <w:tc>
          <w:tcPr>
            <w:tcW w:w="1530" w:type="dxa"/>
            <w:tcBorders>
              <w:top w:val="nil"/>
              <w:left w:val="nil"/>
              <w:bottom w:val="nil"/>
              <w:right w:val="nil"/>
            </w:tcBorders>
            <w:shd w:val="clear" w:color="auto" w:fill="auto"/>
            <w:noWrap/>
            <w:vAlign w:val="bottom"/>
            <w:hideMark/>
          </w:tcPr>
          <w:p w14:paraId="6FE4574E"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5F6452C"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3C869F2"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A955542"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7DF4B7FD"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30435E25"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37F8763"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E79A18D"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B378E17" w14:textId="77777777" w:rsidR="002F5D47" w:rsidRPr="00873E64" w:rsidRDefault="002F5D47" w:rsidP="00C04359">
            <w:pPr>
              <w:jc w:val="center"/>
              <w:rPr>
                <w:rFonts w:ascii="Calibri" w:eastAsia="Times New Roman" w:hAnsi="Calibri" w:cs="Times New Roman"/>
                <w:color w:val="000000"/>
                <w:sz w:val="22"/>
                <w:szCs w:val="22"/>
              </w:rPr>
            </w:pPr>
          </w:p>
        </w:tc>
      </w:tr>
      <w:tr w:rsidR="002F5D47" w:rsidRPr="00873E64" w14:paraId="2DB279D1" w14:textId="77777777" w:rsidTr="00C04359">
        <w:trPr>
          <w:trHeight w:val="280"/>
        </w:trPr>
        <w:tc>
          <w:tcPr>
            <w:tcW w:w="1530" w:type="dxa"/>
            <w:tcBorders>
              <w:top w:val="nil"/>
              <w:left w:val="nil"/>
              <w:bottom w:val="nil"/>
              <w:right w:val="nil"/>
            </w:tcBorders>
            <w:shd w:val="clear" w:color="auto" w:fill="auto"/>
            <w:noWrap/>
            <w:vAlign w:val="bottom"/>
            <w:hideMark/>
          </w:tcPr>
          <w:p w14:paraId="60D61D29"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Constant</w:t>
            </w:r>
          </w:p>
        </w:tc>
        <w:tc>
          <w:tcPr>
            <w:tcW w:w="1260" w:type="dxa"/>
            <w:tcBorders>
              <w:top w:val="nil"/>
              <w:left w:val="nil"/>
              <w:bottom w:val="nil"/>
              <w:right w:val="nil"/>
            </w:tcBorders>
            <w:shd w:val="clear" w:color="auto" w:fill="auto"/>
            <w:noWrap/>
            <w:vAlign w:val="bottom"/>
            <w:hideMark/>
          </w:tcPr>
          <w:p w14:paraId="1129996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1.192***</w:t>
            </w:r>
          </w:p>
        </w:tc>
        <w:tc>
          <w:tcPr>
            <w:tcW w:w="1260" w:type="dxa"/>
            <w:tcBorders>
              <w:top w:val="nil"/>
              <w:left w:val="nil"/>
              <w:bottom w:val="nil"/>
              <w:right w:val="nil"/>
            </w:tcBorders>
            <w:shd w:val="clear" w:color="auto" w:fill="auto"/>
            <w:noWrap/>
            <w:vAlign w:val="bottom"/>
            <w:hideMark/>
          </w:tcPr>
          <w:p w14:paraId="03EF6A7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0.903***</w:t>
            </w:r>
          </w:p>
        </w:tc>
        <w:tc>
          <w:tcPr>
            <w:tcW w:w="1260" w:type="dxa"/>
            <w:tcBorders>
              <w:top w:val="nil"/>
              <w:left w:val="nil"/>
              <w:bottom w:val="nil"/>
              <w:right w:val="nil"/>
            </w:tcBorders>
            <w:shd w:val="clear" w:color="auto" w:fill="auto"/>
            <w:noWrap/>
            <w:vAlign w:val="bottom"/>
            <w:hideMark/>
          </w:tcPr>
          <w:p w14:paraId="12D389A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36.232***</w:t>
            </w:r>
          </w:p>
        </w:tc>
        <w:tc>
          <w:tcPr>
            <w:tcW w:w="1350" w:type="dxa"/>
            <w:tcBorders>
              <w:top w:val="nil"/>
              <w:left w:val="nil"/>
              <w:bottom w:val="nil"/>
              <w:right w:val="nil"/>
            </w:tcBorders>
            <w:shd w:val="clear" w:color="auto" w:fill="auto"/>
            <w:noWrap/>
            <w:vAlign w:val="bottom"/>
            <w:hideMark/>
          </w:tcPr>
          <w:p w14:paraId="5855B22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35.392***</w:t>
            </w:r>
          </w:p>
        </w:tc>
        <w:tc>
          <w:tcPr>
            <w:tcW w:w="1350" w:type="dxa"/>
            <w:tcBorders>
              <w:top w:val="nil"/>
              <w:left w:val="nil"/>
              <w:bottom w:val="nil"/>
              <w:right w:val="nil"/>
            </w:tcBorders>
            <w:shd w:val="clear" w:color="auto" w:fill="auto"/>
            <w:noWrap/>
            <w:vAlign w:val="bottom"/>
            <w:hideMark/>
          </w:tcPr>
          <w:p w14:paraId="6A9F4E4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54.312***</w:t>
            </w:r>
          </w:p>
        </w:tc>
        <w:tc>
          <w:tcPr>
            <w:tcW w:w="1170" w:type="dxa"/>
            <w:tcBorders>
              <w:top w:val="nil"/>
              <w:left w:val="nil"/>
              <w:bottom w:val="nil"/>
              <w:right w:val="nil"/>
            </w:tcBorders>
            <w:shd w:val="clear" w:color="auto" w:fill="auto"/>
            <w:noWrap/>
            <w:vAlign w:val="bottom"/>
            <w:hideMark/>
          </w:tcPr>
          <w:p w14:paraId="7C8A5BF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67.784**</w:t>
            </w:r>
          </w:p>
        </w:tc>
        <w:tc>
          <w:tcPr>
            <w:tcW w:w="1260" w:type="dxa"/>
            <w:tcBorders>
              <w:top w:val="nil"/>
              <w:left w:val="nil"/>
              <w:bottom w:val="nil"/>
              <w:right w:val="nil"/>
            </w:tcBorders>
            <w:shd w:val="clear" w:color="auto" w:fill="auto"/>
            <w:noWrap/>
            <w:vAlign w:val="bottom"/>
            <w:hideMark/>
          </w:tcPr>
          <w:p w14:paraId="62F72E0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0.036***</w:t>
            </w:r>
          </w:p>
        </w:tc>
        <w:tc>
          <w:tcPr>
            <w:tcW w:w="1170" w:type="dxa"/>
            <w:tcBorders>
              <w:top w:val="nil"/>
              <w:left w:val="nil"/>
              <w:bottom w:val="nil"/>
              <w:right w:val="nil"/>
            </w:tcBorders>
            <w:shd w:val="clear" w:color="auto" w:fill="auto"/>
            <w:noWrap/>
            <w:vAlign w:val="bottom"/>
            <w:hideMark/>
          </w:tcPr>
          <w:p w14:paraId="3FAEBDC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0.028***</w:t>
            </w:r>
          </w:p>
        </w:tc>
      </w:tr>
      <w:tr w:rsidR="002F5D47" w:rsidRPr="00873E64" w14:paraId="762E92F5" w14:textId="77777777" w:rsidTr="00C04359">
        <w:trPr>
          <w:trHeight w:val="280"/>
        </w:trPr>
        <w:tc>
          <w:tcPr>
            <w:tcW w:w="1530" w:type="dxa"/>
            <w:tcBorders>
              <w:top w:val="nil"/>
              <w:left w:val="nil"/>
              <w:bottom w:val="nil"/>
              <w:right w:val="nil"/>
            </w:tcBorders>
            <w:shd w:val="clear" w:color="auto" w:fill="auto"/>
            <w:noWrap/>
            <w:vAlign w:val="bottom"/>
            <w:hideMark/>
          </w:tcPr>
          <w:p w14:paraId="32F82590"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4C5C89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(0.166)</w:t>
            </w:r>
          </w:p>
        </w:tc>
        <w:tc>
          <w:tcPr>
            <w:tcW w:w="1260" w:type="dxa"/>
            <w:tcBorders>
              <w:top w:val="nil"/>
              <w:left w:val="nil"/>
              <w:bottom w:val="nil"/>
              <w:right w:val="nil"/>
            </w:tcBorders>
            <w:shd w:val="clear" w:color="auto" w:fill="auto"/>
            <w:noWrap/>
            <w:vAlign w:val="bottom"/>
            <w:hideMark/>
          </w:tcPr>
          <w:p w14:paraId="62AD73C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(0.278)</w:t>
            </w:r>
          </w:p>
        </w:tc>
        <w:tc>
          <w:tcPr>
            <w:tcW w:w="1260" w:type="dxa"/>
            <w:tcBorders>
              <w:top w:val="nil"/>
              <w:left w:val="nil"/>
              <w:bottom w:val="nil"/>
              <w:right w:val="nil"/>
            </w:tcBorders>
            <w:shd w:val="clear" w:color="auto" w:fill="auto"/>
            <w:noWrap/>
            <w:vAlign w:val="bottom"/>
            <w:hideMark/>
          </w:tcPr>
          <w:p w14:paraId="333F0C7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(4.261)</w:t>
            </w:r>
          </w:p>
        </w:tc>
        <w:tc>
          <w:tcPr>
            <w:tcW w:w="1350" w:type="dxa"/>
            <w:tcBorders>
              <w:top w:val="nil"/>
              <w:left w:val="nil"/>
              <w:bottom w:val="nil"/>
              <w:right w:val="nil"/>
            </w:tcBorders>
            <w:shd w:val="clear" w:color="auto" w:fill="auto"/>
            <w:noWrap/>
            <w:vAlign w:val="bottom"/>
            <w:hideMark/>
          </w:tcPr>
          <w:p w14:paraId="14CEA23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(6.711)</w:t>
            </w:r>
          </w:p>
        </w:tc>
        <w:tc>
          <w:tcPr>
            <w:tcW w:w="1350" w:type="dxa"/>
            <w:tcBorders>
              <w:top w:val="nil"/>
              <w:left w:val="nil"/>
              <w:bottom w:val="nil"/>
              <w:right w:val="nil"/>
            </w:tcBorders>
            <w:shd w:val="clear" w:color="auto" w:fill="auto"/>
            <w:noWrap/>
            <w:vAlign w:val="bottom"/>
            <w:hideMark/>
          </w:tcPr>
          <w:p w14:paraId="56315E5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(9.876)</w:t>
            </w:r>
          </w:p>
        </w:tc>
        <w:tc>
          <w:tcPr>
            <w:tcW w:w="1170" w:type="dxa"/>
            <w:tcBorders>
              <w:top w:val="nil"/>
              <w:left w:val="nil"/>
              <w:bottom w:val="nil"/>
              <w:right w:val="nil"/>
            </w:tcBorders>
            <w:shd w:val="clear" w:color="auto" w:fill="auto"/>
            <w:noWrap/>
            <w:vAlign w:val="bottom"/>
            <w:hideMark/>
          </w:tcPr>
          <w:p w14:paraId="3EFDD57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(27.416)</w:t>
            </w:r>
          </w:p>
        </w:tc>
        <w:tc>
          <w:tcPr>
            <w:tcW w:w="1260" w:type="dxa"/>
            <w:tcBorders>
              <w:top w:val="nil"/>
              <w:left w:val="nil"/>
              <w:bottom w:val="nil"/>
              <w:right w:val="nil"/>
            </w:tcBorders>
            <w:shd w:val="clear" w:color="auto" w:fill="auto"/>
            <w:noWrap/>
            <w:vAlign w:val="bottom"/>
            <w:hideMark/>
          </w:tcPr>
          <w:p w14:paraId="2AF36BEF"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(0.004)</w:t>
            </w:r>
          </w:p>
        </w:tc>
        <w:tc>
          <w:tcPr>
            <w:tcW w:w="1170" w:type="dxa"/>
            <w:tcBorders>
              <w:top w:val="nil"/>
              <w:left w:val="nil"/>
              <w:bottom w:val="nil"/>
              <w:right w:val="nil"/>
            </w:tcBorders>
            <w:shd w:val="clear" w:color="auto" w:fill="auto"/>
            <w:noWrap/>
            <w:vAlign w:val="bottom"/>
            <w:hideMark/>
          </w:tcPr>
          <w:p w14:paraId="578075A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(0.002)</w:t>
            </w:r>
          </w:p>
        </w:tc>
      </w:tr>
      <w:tr w:rsidR="002F5D47" w:rsidRPr="00873E64" w14:paraId="36A75FE2" w14:textId="77777777" w:rsidTr="00C04359">
        <w:trPr>
          <w:trHeight w:val="280"/>
        </w:trPr>
        <w:tc>
          <w:tcPr>
            <w:tcW w:w="1530" w:type="dxa"/>
            <w:tcBorders>
              <w:top w:val="nil"/>
              <w:left w:val="nil"/>
              <w:bottom w:val="nil"/>
              <w:right w:val="nil"/>
            </w:tcBorders>
            <w:shd w:val="clear" w:color="auto" w:fill="auto"/>
            <w:noWrap/>
            <w:vAlign w:val="bottom"/>
            <w:hideMark/>
          </w:tcPr>
          <w:p w14:paraId="73C8B48A"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5C315EE"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582D38C8"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59E82B18"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3ACA1AC6"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7671FCB6"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DF8C9B5"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C5ED456"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D04A7D4" w14:textId="77777777" w:rsidR="002F5D47" w:rsidRPr="00873E64" w:rsidRDefault="002F5D47" w:rsidP="00C04359">
            <w:pPr>
              <w:jc w:val="center"/>
              <w:rPr>
                <w:rFonts w:ascii="Calibri" w:eastAsia="Times New Roman" w:hAnsi="Calibri" w:cs="Times New Roman"/>
                <w:color w:val="000000"/>
                <w:sz w:val="22"/>
                <w:szCs w:val="22"/>
              </w:rPr>
            </w:pPr>
          </w:p>
        </w:tc>
      </w:tr>
      <w:tr w:rsidR="002F5D47" w:rsidRPr="00873E64" w14:paraId="214A7630" w14:textId="77777777" w:rsidTr="00C04359">
        <w:trPr>
          <w:trHeight w:val="280"/>
        </w:trPr>
        <w:tc>
          <w:tcPr>
            <w:tcW w:w="1530" w:type="dxa"/>
            <w:tcBorders>
              <w:top w:val="nil"/>
              <w:left w:val="nil"/>
              <w:bottom w:val="nil"/>
              <w:right w:val="nil"/>
            </w:tcBorders>
            <w:shd w:val="clear" w:color="auto" w:fill="auto"/>
            <w:noWrap/>
            <w:vAlign w:val="center"/>
            <w:hideMark/>
          </w:tcPr>
          <w:p w14:paraId="4E164248"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Monitor FE</w:t>
            </w:r>
          </w:p>
        </w:tc>
        <w:tc>
          <w:tcPr>
            <w:tcW w:w="1260" w:type="dxa"/>
            <w:tcBorders>
              <w:top w:val="nil"/>
              <w:left w:val="nil"/>
              <w:bottom w:val="nil"/>
              <w:right w:val="nil"/>
            </w:tcBorders>
            <w:shd w:val="clear" w:color="auto" w:fill="auto"/>
            <w:noWrap/>
            <w:vAlign w:val="center"/>
            <w:hideMark/>
          </w:tcPr>
          <w:p w14:paraId="46F9B48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p>
        </w:tc>
        <w:tc>
          <w:tcPr>
            <w:tcW w:w="1260" w:type="dxa"/>
            <w:tcBorders>
              <w:top w:val="nil"/>
              <w:left w:val="nil"/>
              <w:bottom w:val="nil"/>
              <w:right w:val="nil"/>
            </w:tcBorders>
            <w:shd w:val="clear" w:color="auto" w:fill="auto"/>
            <w:noWrap/>
            <w:vAlign w:val="center"/>
            <w:hideMark/>
          </w:tcPr>
          <w:p w14:paraId="74904A61"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Yes</w:t>
            </w:r>
          </w:p>
        </w:tc>
        <w:tc>
          <w:tcPr>
            <w:tcW w:w="1260" w:type="dxa"/>
            <w:tcBorders>
              <w:top w:val="nil"/>
              <w:left w:val="nil"/>
              <w:bottom w:val="nil"/>
              <w:right w:val="nil"/>
            </w:tcBorders>
            <w:shd w:val="clear" w:color="auto" w:fill="auto"/>
            <w:noWrap/>
            <w:vAlign w:val="center"/>
            <w:hideMark/>
          </w:tcPr>
          <w:p w14:paraId="5E825E2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p>
        </w:tc>
        <w:tc>
          <w:tcPr>
            <w:tcW w:w="1350" w:type="dxa"/>
            <w:tcBorders>
              <w:top w:val="nil"/>
              <w:left w:val="nil"/>
              <w:bottom w:val="nil"/>
              <w:right w:val="nil"/>
            </w:tcBorders>
            <w:shd w:val="clear" w:color="auto" w:fill="auto"/>
            <w:noWrap/>
            <w:vAlign w:val="center"/>
            <w:hideMark/>
          </w:tcPr>
          <w:p w14:paraId="4A63D6C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Yes</w:t>
            </w:r>
          </w:p>
        </w:tc>
        <w:tc>
          <w:tcPr>
            <w:tcW w:w="1350" w:type="dxa"/>
            <w:tcBorders>
              <w:top w:val="nil"/>
              <w:left w:val="nil"/>
              <w:bottom w:val="nil"/>
              <w:right w:val="nil"/>
            </w:tcBorders>
            <w:shd w:val="clear" w:color="auto" w:fill="auto"/>
            <w:noWrap/>
            <w:vAlign w:val="center"/>
            <w:hideMark/>
          </w:tcPr>
          <w:p w14:paraId="7332DEB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0195FCB4"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Yes</w:t>
            </w:r>
          </w:p>
        </w:tc>
        <w:tc>
          <w:tcPr>
            <w:tcW w:w="1260" w:type="dxa"/>
            <w:tcBorders>
              <w:top w:val="nil"/>
              <w:left w:val="nil"/>
              <w:bottom w:val="nil"/>
              <w:right w:val="nil"/>
            </w:tcBorders>
            <w:shd w:val="clear" w:color="auto" w:fill="auto"/>
            <w:noWrap/>
            <w:vAlign w:val="center"/>
            <w:hideMark/>
          </w:tcPr>
          <w:p w14:paraId="720C351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595EB4C9"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Yes</w:t>
            </w:r>
          </w:p>
        </w:tc>
      </w:tr>
      <w:tr w:rsidR="002F5D47" w:rsidRPr="00873E64" w14:paraId="42B3B926" w14:textId="77777777" w:rsidTr="00C04359">
        <w:trPr>
          <w:trHeight w:val="280"/>
        </w:trPr>
        <w:tc>
          <w:tcPr>
            <w:tcW w:w="1530" w:type="dxa"/>
            <w:tcBorders>
              <w:top w:val="nil"/>
              <w:left w:val="nil"/>
              <w:bottom w:val="nil"/>
              <w:right w:val="nil"/>
            </w:tcBorders>
            <w:shd w:val="clear" w:color="auto" w:fill="auto"/>
            <w:noWrap/>
            <w:vAlign w:val="bottom"/>
            <w:hideMark/>
          </w:tcPr>
          <w:p w14:paraId="40A4C9E2" w14:textId="77777777" w:rsidR="002F5D47" w:rsidRPr="00873E64" w:rsidRDefault="002F5D47" w:rsidP="00C04359">
            <w:pP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CE1B0A8"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942D06F"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342FD08"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5BF1D30D" w14:textId="77777777" w:rsidR="002F5D47" w:rsidRPr="00873E6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673A8DEF"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C63FF76" w14:textId="77777777" w:rsidR="002F5D47" w:rsidRPr="00873E6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34C3273" w14:textId="77777777" w:rsidR="002F5D47" w:rsidRPr="00873E6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D3844CA" w14:textId="77777777" w:rsidR="002F5D47" w:rsidRPr="00873E64" w:rsidRDefault="002F5D47" w:rsidP="00C04359">
            <w:pPr>
              <w:jc w:val="center"/>
              <w:rPr>
                <w:rFonts w:ascii="Calibri" w:eastAsia="Times New Roman" w:hAnsi="Calibri" w:cs="Times New Roman"/>
                <w:color w:val="000000"/>
                <w:sz w:val="22"/>
                <w:szCs w:val="22"/>
              </w:rPr>
            </w:pPr>
          </w:p>
        </w:tc>
      </w:tr>
      <w:tr w:rsidR="002F5D47" w:rsidRPr="00873E64" w14:paraId="48EF0A14" w14:textId="77777777" w:rsidTr="00C04359">
        <w:trPr>
          <w:trHeight w:val="280"/>
        </w:trPr>
        <w:tc>
          <w:tcPr>
            <w:tcW w:w="1530" w:type="dxa"/>
            <w:tcBorders>
              <w:top w:val="nil"/>
              <w:left w:val="nil"/>
              <w:bottom w:val="nil"/>
              <w:right w:val="nil"/>
            </w:tcBorders>
            <w:shd w:val="clear" w:color="auto" w:fill="auto"/>
            <w:noWrap/>
            <w:vAlign w:val="bottom"/>
            <w:hideMark/>
          </w:tcPr>
          <w:p w14:paraId="03D2B063"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Observations</w:t>
            </w:r>
          </w:p>
        </w:tc>
        <w:tc>
          <w:tcPr>
            <w:tcW w:w="1260" w:type="dxa"/>
            <w:tcBorders>
              <w:top w:val="nil"/>
              <w:left w:val="nil"/>
              <w:bottom w:val="nil"/>
              <w:right w:val="nil"/>
            </w:tcBorders>
            <w:shd w:val="clear" w:color="auto" w:fill="auto"/>
            <w:noWrap/>
            <w:vAlign w:val="bottom"/>
            <w:hideMark/>
          </w:tcPr>
          <w:p w14:paraId="44C587AD"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98</w:t>
            </w:r>
          </w:p>
        </w:tc>
        <w:tc>
          <w:tcPr>
            <w:tcW w:w="1260" w:type="dxa"/>
            <w:tcBorders>
              <w:top w:val="nil"/>
              <w:left w:val="nil"/>
              <w:bottom w:val="nil"/>
              <w:right w:val="nil"/>
            </w:tcBorders>
            <w:shd w:val="clear" w:color="auto" w:fill="auto"/>
            <w:noWrap/>
            <w:vAlign w:val="bottom"/>
            <w:hideMark/>
          </w:tcPr>
          <w:p w14:paraId="68F2DD26"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98</w:t>
            </w:r>
          </w:p>
        </w:tc>
        <w:tc>
          <w:tcPr>
            <w:tcW w:w="1260" w:type="dxa"/>
            <w:tcBorders>
              <w:top w:val="nil"/>
              <w:left w:val="nil"/>
              <w:bottom w:val="nil"/>
              <w:right w:val="nil"/>
            </w:tcBorders>
            <w:shd w:val="clear" w:color="auto" w:fill="auto"/>
            <w:noWrap/>
            <w:vAlign w:val="bottom"/>
            <w:hideMark/>
          </w:tcPr>
          <w:p w14:paraId="481AEAD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w:t>
            </w:r>
          </w:p>
        </w:tc>
        <w:tc>
          <w:tcPr>
            <w:tcW w:w="1350" w:type="dxa"/>
            <w:tcBorders>
              <w:top w:val="nil"/>
              <w:left w:val="nil"/>
              <w:bottom w:val="nil"/>
              <w:right w:val="nil"/>
            </w:tcBorders>
            <w:shd w:val="clear" w:color="auto" w:fill="auto"/>
            <w:noWrap/>
            <w:vAlign w:val="bottom"/>
            <w:hideMark/>
          </w:tcPr>
          <w:p w14:paraId="4BAF6955"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w:t>
            </w:r>
          </w:p>
        </w:tc>
        <w:tc>
          <w:tcPr>
            <w:tcW w:w="1350" w:type="dxa"/>
            <w:tcBorders>
              <w:top w:val="nil"/>
              <w:left w:val="nil"/>
              <w:bottom w:val="nil"/>
              <w:right w:val="nil"/>
            </w:tcBorders>
            <w:shd w:val="clear" w:color="auto" w:fill="auto"/>
            <w:noWrap/>
            <w:vAlign w:val="bottom"/>
            <w:hideMark/>
          </w:tcPr>
          <w:p w14:paraId="2368C31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w:t>
            </w:r>
          </w:p>
        </w:tc>
        <w:tc>
          <w:tcPr>
            <w:tcW w:w="1170" w:type="dxa"/>
            <w:tcBorders>
              <w:top w:val="nil"/>
              <w:left w:val="nil"/>
              <w:bottom w:val="nil"/>
              <w:right w:val="nil"/>
            </w:tcBorders>
            <w:shd w:val="clear" w:color="auto" w:fill="auto"/>
            <w:noWrap/>
            <w:vAlign w:val="bottom"/>
            <w:hideMark/>
          </w:tcPr>
          <w:p w14:paraId="051006D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w:t>
            </w:r>
          </w:p>
        </w:tc>
        <w:tc>
          <w:tcPr>
            <w:tcW w:w="1260" w:type="dxa"/>
            <w:tcBorders>
              <w:top w:val="nil"/>
              <w:left w:val="nil"/>
              <w:bottom w:val="nil"/>
              <w:right w:val="nil"/>
            </w:tcBorders>
            <w:shd w:val="clear" w:color="auto" w:fill="auto"/>
            <w:noWrap/>
            <w:vAlign w:val="bottom"/>
            <w:hideMark/>
          </w:tcPr>
          <w:p w14:paraId="52E351A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w:t>
            </w:r>
          </w:p>
        </w:tc>
        <w:tc>
          <w:tcPr>
            <w:tcW w:w="1170" w:type="dxa"/>
            <w:tcBorders>
              <w:top w:val="nil"/>
              <w:left w:val="nil"/>
              <w:bottom w:val="nil"/>
              <w:right w:val="nil"/>
            </w:tcBorders>
            <w:shd w:val="clear" w:color="auto" w:fill="auto"/>
            <w:noWrap/>
            <w:vAlign w:val="bottom"/>
            <w:hideMark/>
          </w:tcPr>
          <w:p w14:paraId="75BF5A10"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107</w:t>
            </w:r>
          </w:p>
        </w:tc>
      </w:tr>
      <w:tr w:rsidR="002F5D47" w:rsidRPr="00873E64" w14:paraId="0D35F901" w14:textId="77777777" w:rsidTr="00C04359">
        <w:trPr>
          <w:trHeight w:val="280"/>
        </w:trPr>
        <w:tc>
          <w:tcPr>
            <w:tcW w:w="1530" w:type="dxa"/>
            <w:tcBorders>
              <w:top w:val="nil"/>
              <w:left w:val="nil"/>
              <w:bottom w:val="single" w:sz="4" w:space="0" w:color="auto"/>
              <w:right w:val="nil"/>
            </w:tcBorders>
            <w:shd w:val="clear" w:color="auto" w:fill="auto"/>
            <w:noWrap/>
            <w:vAlign w:val="bottom"/>
            <w:hideMark/>
          </w:tcPr>
          <w:p w14:paraId="15627B42"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R-squared</w:t>
            </w:r>
          </w:p>
        </w:tc>
        <w:tc>
          <w:tcPr>
            <w:tcW w:w="1260" w:type="dxa"/>
            <w:tcBorders>
              <w:top w:val="nil"/>
              <w:left w:val="nil"/>
              <w:bottom w:val="single" w:sz="4" w:space="0" w:color="auto"/>
              <w:right w:val="nil"/>
            </w:tcBorders>
            <w:shd w:val="clear" w:color="auto" w:fill="auto"/>
            <w:noWrap/>
            <w:vAlign w:val="bottom"/>
            <w:hideMark/>
          </w:tcPr>
          <w:p w14:paraId="7E1F4C38"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0.275</w:t>
            </w:r>
          </w:p>
        </w:tc>
        <w:tc>
          <w:tcPr>
            <w:tcW w:w="1260" w:type="dxa"/>
            <w:tcBorders>
              <w:top w:val="nil"/>
              <w:left w:val="nil"/>
              <w:bottom w:val="single" w:sz="4" w:space="0" w:color="auto"/>
              <w:right w:val="nil"/>
            </w:tcBorders>
            <w:shd w:val="clear" w:color="auto" w:fill="auto"/>
            <w:noWrap/>
            <w:vAlign w:val="bottom"/>
            <w:hideMark/>
          </w:tcPr>
          <w:p w14:paraId="11BBF7D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0.670</w:t>
            </w:r>
          </w:p>
        </w:tc>
        <w:tc>
          <w:tcPr>
            <w:tcW w:w="1260" w:type="dxa"/>
            <w:tcBorders>
              <w:top w:val="nil"/>
              <w:left w:val="nil"/>
              <w:bottom w:val="single" w:sz="4" w:space="0" w:color="auto"/>
              <w:right w:val="nil"/>
            </w:tcBorders>
            <w:shd w:val="clear" w:color="auto" w:fill="auto"/>
            <w:noWrap/>
            <w:vAlign w:val="bottom"/>
            <w:hideMark/>
          </w:tcPr>
          <w:p w14:paraId="73205B9B"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0.226</w:t>
            </w:r>
          </w:p>
        </w:tc>
        <w:tc>
          <w:tcPr>
            <w:tcW w:w="1350" w:type="dxa"/>
            <w:tcBorders>
              <w:top w:val="nil"/>
              <w:left w:val="nil"/>
              <w:bottom w:val="single" w:sz="4" w:space="0" w:color="auto"/>
              <w:right w:val="nil"/>
            </w:tcBorders>
            <w:shd w:val="clear" w:color="auto" w:fill="auto"/>
            <w:noWrap/>
            <w:vAlign w:val="bottom"/>
            <w:hideMark/>
          </w:tcPr>
          <w:p w14:paraId="3B673B5A"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0.598</w:t>
            </w:r>
          </w:p>
        </w:tc>
        <w:tc>
          <w:tcPr>
            <w:tcW w:w="1350" w:type="dxa"/>
            <w:tcBorders>
              <w:top w:val="nil"/>
              <w:left w:val="nil"/>
              <w:bottom w:val="single" w:sz="4" w:space="0" w:color="auto"/>
              <w:right w:val="nil"/>
            </w:tcBorders>
            <w:shd w:val="clear" w:color="auto" w:fill="auto"/>
            <w:noWrap/>
            <w:vAlign w:val="bottom"/>
            <w:hideMark/>
          </w:tcPr>
          <w:p w14:paraId="025CB0DC"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0.308</w:t>
            </w:r>
          </w:p>
        </w:tc>
        <w:tc>
          <w:tcPr>
            <w:tcW w:w="1170" w:type="dxa"/>
            <w:tcBorders>
              <w:top w:val="nil"/>
              <w:left w:val="nil"/>
              <w:bottom w:val="single" w:sz="4" w:space="0" w:color="auto"/>
              <w:right w:val="nil"/>
            </w:tcBorders>
            <w:shd w:val="clear" w:color="auto" w:fill="auto"/>
            <w:noWrap/>
            <w:vAlign w:val="bottom"/>
            <w:hideMark/>
          </w:tcPr>
          <w:p w14:paraId="38F98E23"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0.625</w:t>
            </w:r>
          </w:p>
        </w:tc>
        <w:tc>
          <w:tcPr>
            <w:tcW w:w="1260" w:type="dxa"/>
            <w:tcBorders>
              <w:top w:val="nil"/>
              <w:left w:val="nil"/>
              <w:bottom w:val="single" w:sz="4" w:space="0" w:color="auto"/>
              <w:right w:val="nil"/>
            </w:tcBorders>
            <w:shd w:val="clear" w:color="auto" w:fill="auto"/>
            <w:noWrap/>
            <w:vAlign w:val="bottom"/>
            <w:hideMark/>
          </w:tcPr>
          <w:p w14:paraId="58CEA09E"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0.490</w:t>
            </w:r>
          </w:p>
        </w:tc>
        <w:tc>
          <w:tcPr>
            <w:tcW w:w="1170" w:type="dxa"/>
            <w:tcBorders>
              <w:top w:val="nil"/>
              <w:left w:val="nil"/>
              <w:bottom w:val="single" w:sz="4" w:space="0" w:color="auto"/>
              <w:right w:val="nil"/>
            </w:tcBorders>
            <w:shd w:val="clear" w:color="auto" w:fill="auto"/>
            <w:noWrap/>
            <w:vAlign w:val="bottom"/>
            <w:hideMark/>
          </w:tcPr>
          <w:p w14:paraId="09F4BE52" w14:textId="77777777" w:rsidR="002F5D47" w:rsidRPr="00873E64" w:rsidRDefault="002F5D47" w:rsidP="00C04359">
            <w:pPr>
              <w:jc w:val="cente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0.849</w:t>
            </w:r>
          </w:p>
        </w:tc>
      </w:tr>
      <w:tr w:rsidR="002F5D47" w:rsidRPr="00873E64" w14:paraId="55B3A63E" w14:textId="77777777" w:rsidTr="00C04359">
        <w:trPr>
          <w:trHeight w:val="280"/>
        </w:trPr>
        <w:tc>
          <w:tcPr>
            <w:tcW w:w="11610" w:type="dxa"/>
            <w:gridSpan w:val="9"/>
            <w:vMerge w:val="restart"/>
            <w:tcBorders>
              <w:top w:val="single" w:sz="4" w:space="0" w:color="auto"/>
              <w:left w:val="nil"/>
              <w:bottom w:val="nil"/>
              <w:right w:val="nil"/>
            </w:tcBorders>
            <w:shd w:val="clear" w:color="auto" w:fill="auto"/>
            <w:vAlign w:val="bottom"/>
            <w:hideMark/>
          </w:tcPr>
          <w:p w14:paraId="6A9E4B17" w14:textId="77777777" w:rsidR="002F5D47" w:rsidRPr="00873E64" w:rsidRDefault="002F5D47" w:rsidP="00C04359">
            <w:pPr>
              <w:rPr>
                <w:rFonts w:ascii="Calibri" w:eastAsia="Times New Roman" w:hAnsi="Calibri" w:cs="Times New Roman"/>
                <w:color w:val="000000"/>
                <w:sz w:val="22"/>
                <w:szCs w:val="22"/>
              </w:rPr>
            </w:pPr>
            <w:r w:rsidRPr="00873E64">
              <w:rPr>
                <w:rFonts w:ascii="Calibri" w:eastAsia="Times New Roman" w:hAnsi="Calibri" w:cs="Times New Roman"/>
                <w:color w:val="000000"/>
                <w:sz w:val="22"/>
                <w:szCs w:val="22"/>
              </w:rPr>
              <w:t xml:space="preserve">Observations are at the weekly-monitor level. Columns 2, 4, 6 and 8 include monitor fixed effects. The sample of monitors is 14,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 A triangular kernel bandwidth of five weeks is </w:t>
            </w:r>
            <w:r>
              <w:rPr>
                <w:rFonts w:ascii="Calibri" w:eastAsia="Times New Roman" w:hAnsi="Calibri" w:cs="Times New Roman"/>
                <w:color w:val="000000"/>
                <w:sz w:val="22"/>
                <w:szCs w:val="22"/>
              </w:rPr>
              <w:t>used</w:t>
            </w:r>
            <w:r w:rsidRPr="00873E64">
              <w:rPr>
                <w:rFonts w:ascii="Calibri" w:eastAsia="Times New Roman" w:hAnsi="Calibri" w:cs="Times New Roman"/>
                <w:color w:val="000000"/>
                <w:sz w:val="22"/>
                <w:szCs w:val="22"/>
              </w:rPr>
              <w:t>.</w:t>
            </w:r>
          </w:p>
        </w:tc>
      </w:tr>
      <w:tr w:rsidR="002F5D47" w:rsidRPr="00873E64" w14:paraId="032A13AA" w14:textId="77777777" w:rsidTr="00C04359">
        <w:trPr>
          <w:trHeight w:val="280"/>
        </w:trPr>
        <w:tc>
          <w:tcPr>
            <w:tcW w:w="11610" w:type="dxa"/>
            <w:gridSpan w:val="9"/>
            <w:vMerge/>
            <w:tcBorders>
              <w:top w:val="single" w:sz="4" w:space="0" w:color="auto"/>
              <w:left w:val="nil"/>
              <w:bottom w:val="nil"/>
              <w:right w:val="nil"/>
            </w:tcBorders>
            <w:vAlign w:val="center"/>
            <w:hideMark/>
          </w:tcPr>
          <w:p w14:paraId="67FD8026" w14:textId="77777777" w:rsidR="002F5D47" w:rsidRPr="00873E64" w:rsidRDefault="002F5D47" w:rsidP="00C04359">
            <w:pPr>
              <w:rPr>
                <w:rFonts w:ascii="Calibri" w:eastAsia="Times New Roman" w:hAnsi="Calibri" w:cs="Times New Roman"/>
                <w:color w:val="000000"/>
                <w:sz w:val="22"/>
                <w:szCs w:val="22"/>
              </w:rPr>
            </w:pPr>
          </w:p>
        </w:tc>
      </w:tr>
      <w:tr w:rsidR="002F5D47" w:rsidRPr="00873E64" w14:paraId="5CF9C4BA" w14:textId="77777777" w:rsidTr="00C04359">
        <w:trPr>
          <w:trHeight w:val="280"/>
        </w:trPr>
        <w:tc>
          <w:tcPr>
            <w:tcW w:w="11610" w:type="dxa"/>
            <w:gridSpan w:val="9"/>
            <w:vMerge/>
            <w:tcBorders>
              <w:top w:val="single" w:sz="4" w:space="0" w:color="auto"/>
              <w:left w:val="nil"/>
              <w:bottom w:val="nil"/>
              <w:right w:val="nil"/>
            </w:tcBorders>
            <w:vAlign w:val="center"/>
            <w:hideMark/>
          </w:tcPr>
          <w:p w14:paraId="00411CC8" w14:textId="77777777" w:rsidR="002F5D47" w:rsidRPr="00873E64" w:rsidRDefault="002F5D47" w:rsidP="00C04359">
            <w:pPr>
              <w:rPr>
                <w:rFonts w:ascii="Calibri" w:eastAsia="Times New Roman" w:hAnsi="Calibri" w:cs="Times New Roman"/>
                <w:color w:val="000000"/>
                <w:sz w:val="22"/>
                <w:szCs w:val="22"/>
              </w:rPr>
            </w:pPr>
          </w:p>
        </w:tc>
      </w:tr>
      <w:tr w:rsidR="002F5D47" w:rsidRPr="00873E64" w14:paraId="28237990" w14:textId="77777777" w:rsidTr="00C04359">
        <w:trPr>
          <w:trHeight w:val="280"/>
        </w:trPr>
        <w:tc>
          <w:tcPr>
            <w:tcW w:w="11610" w:type="dxa"/>
            <w:gridSpan w:val="9"/>
            <w:vMerge/>
            <w:tcBorders>
              <w:top w:val="single" w:sz="4" w:space="0" w:color="auto"/>
              <w:left w:val="nil"/>
              <w:bottom w:val="nil"/>
              <w:right w:val="nil"/>
            </w:tcBorders>
            <w:vAlign w:val="center"/>
            <w:hideMark/>
          </w:tcPr>
          <w:p w14:paraId="74FCFA83" w14:textId="77777777" w:rsidR="002F5D47" w:rsidRPr="00873E64" w:rsidRDefault="002F5D47" w:rsidP="00C04359">
            <w:pPr>
              <w:rPr>
                <w:rFonts w:ascii="Calibri" w:eastAsia="Times New Roman" w:hAnsi="Calibri" w:cs="Times New Roman"/>
                <w:color w:val="000000"/>
                <w:sz w:val="22"/>
                <w:szCs w:val="22"/>
              </w:rPr>
            </w:pPr>
          </w:p>
        </w:tc>
      </w:tr>
    </w:tbl>
    <w:p w14:paraId="73FB5A75" w14:textId="77777777" w:rsidR="002F5D47" w:rsidRDefault="002F5D47" w:rsidP="002F5D47">
      <w:pPr>
        <w:spacing w:line="480" w:lineRule="auto"/>
      </w:pPr>
    </w:p>
    <w:p w14:paraId="0CCA2FD8" w14:textId="77777777" w:rsidR="002F5D47" w:rsidRDefault="002F5D47" w:rsidP="002F5D47">
      <w:pPr>
        <w:spacing w:line="480" w:lineRule="auto"/>
      </w:pPr>
    </w:p>
    <w:p w14:paraId="439A3654" w14:textId="77777777" w:rsidR="002F5D47" w:rsidRDefault="002F5D47" w:rsidP="002F5D47">
      <w:pPr>
        <w:spacing w:line="480" w:lineRule="auto"/>
      </w:pPr>
    </w:p>
    <w:p w14:paraId="0E230B96" w14:textId="77777777" w:rsidR="002F5D47" w:rsidRDefault="002F5D47" w:rsidP="002F5D47">
      <w:pPr>
        <w:spacing w:line="480" w:lineRule="auto"/>
      </w:pPr>
    </w:p>
    <w:p w14:paraId="71802F83" w14:textId="77777777" w:rsidR="002F5D47" w:rsidRDefault="002F5D47" w:rsidP="002F5D47">
      <w:pPr>
        <w:spacing w:line="480" w:lineRule="auto"/>
      </w:pPr>
    </w:p>
    <w:p w14:paraId="5DABB35E" w14:textId="77777777" w:rsidR="002F5D47" w:rsidRDefault="002F5D47" w:rsidP="002F5D47">
      <w:pPr>
        <w:spacing w:line="480" w:lineRule="auto"/>
      </w:pPr>
    </w:p>
    <w:p w14:paraId="1F0D03E1" w14:textId="77777777" w:rsidR="002F5D47" w:rsidRDefault="002F5D47" w:rsidP="002F5D47">
      <w:pPr>
        <w:spacing w:line="480" w:lineRule="auto"/>
      </w:pPr>
    </w:p>
    <w:p w14:paraId="515A8356" w14:textId="77777777" w:rsidR="002F5D47" w:rsidRDefault="002F5D47" w:rsidP="002F5D47">
      <w:pPr>
        <w:spacing w:line="480" w:lineRule="auto"/>
      </w:pPr>
    </w:p>
    <w:tbl>
      <w:tblPr>
        <w:tblW w:w="11610" w:type="dxa"/>
        <w:tblInd w:w="-972" w:type="dxa"/>
        <w:tblLayout w:type="fixed"/>
        <w:tblLook w:val="04A0" w:firstRow="1" w:lastRow="0" w:firstColumn="1" w:lastColumn="0" w:noHBand="0" w:noVBand="1"/>
      </w:tblPr>
      <w:tblGrid>
        <w:gridCol w:w="1494"/>
        <w:gridCol w:w="1386"/>
        <w:gridCol w:w="1260"/>
        <w:gridCol w:w="1170"/>
        <w:gridCol w:w="1170"/>
        <w:gridCol w:w="1350"/>
        <w:gridCol w:w="1260"/>
        <w:gridCol w:w="1260"/>
        <w:gridCol w:w="1260"/>
      </w:tblGrid>
      <w:tr w:rsidR="002F5D47" w:rsidRPr="00630B32" w14:paraId="3830996B" w14:textId="77777777" w:rsidTr="00C04359">
        <w:trPr>
          <w:trHeight w:val="560"/>
        </w:trPr>
        <w:tc>
          <w:tcPr>
            <w:tcW w:w="11610" w:type="dxa"/>
            <w:gridSpan w:val="9"/>
            <w:tcBorders>
              <w:top w:val="nil"/>
              <w:left w:val="nil"/>
              <w:bottom w:val="nil"/>
              <w:right w:val="nil"/>
            </w:tcBorders>
            <w:shd w:val="clear" w:color="auto" w:fill="auto"/>
            <w:vAlign w:val="center"/>
            <w:hideMark/>
          </w:tcPr>
          <w:p w14:paraId="186D67B7" w14:textId="77777777" w:rsidR="002F5D47" w:rsidRPr="000701CF" w:rsidRDefault="002F5D47" w:rsidP="00C04359">
            <w:pPr>
              <w:jc w:val="center"/>
              <w:rPr>
                <w:rFonts w:eastAsia="Times New Roman" w:cs="Times New Roman"/>
                <w:b/>
                <w:bCs/>
                <w:color w:val="000000"/>
              </w:rPr>
            </w:pPr>
            <w:r>
              <w:rPr>
                <w:rFonts w:eastAsia="Times New Roman" w:cs="Times New Roman"/>
                <w:b/>
                <w:bCs/>
                <w:color w:val="000000"/>
              </w:rPr>
              <w:t>Appendix Table 2</w:t>
            </w:r>
            <w:r w:rsidRPr="000701CF">
              <w:rPr>
                <w:rFonts w:eastAsia="Times New Roman" w:cs="Times New Roman"/>
                <w:b/>
                <w:bCs/>
                <w:color w:val="000000"/>
              </w:rPr>
              <w:br/>
              <w:t>Regression Discontinuity Results for Control Group</w:t>
            </w:r>
          </w:p>
        </w:tc>
      </w:tr>
      <w:tr w:rsidR="002F5D47" w:rsidRPr="00630B32" w14:paraId="2EA0F283" w14:textId="77777777" w:rsidTr="00C04359">
        <w:trPr>
          <w:trHeight w:val="280"/>
        </w:trPr>
        <w:tc>
          <w:tcPr>
            <w:tcW w:w="1494" w:type="dxa"/>
            <w:tcBorders>
              <w:top w:val="single" w:sz="4" w:space="0" w:color="auto"/>
              <w:left w:val="nil"/>
              <w:bottom w:val="nil"/>
              <w:right w:val="nil"/>
            </w:tcBorders>
            <w:shd w:val="clear" w:color="auto" w:fill="auto"/>
            <w:noWrap/>
            <w:vAlign w:val="bottom"/>
            <w:hideMark/>
          </w:tcPr>
          <w:p w14:paraId="3B7A71B7"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386" w:type="dxa"/>
            <w:tcBorders>
              <w:top w:val="single" w:sz="4" w:space="0" w:color="auto"/>
              <w:left w:val="nil"/>
              <w:bottom w:val="nil"/>
              <w:right w:val="nil"/>
            </w:tcBorders>
            <w:shd w:val="clear" w:color="auto" w:fill="auto"/>
            <w:noWrap/>
            <w:vAlign w:val="bottom"/>
            <w:hideMark/>
          </w:tcPr>
          <w:p w14:paraId="63695D2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w:t>
            </w:r>
          </w:p>
        </w:tc>
        <w:tc>
          <w:tcPr>
            <w:tcW w:w="1260" w:type="dxa"/>
            <w:tcBorders>
              <w:top w:val="single" w:sz="4" w:space="0" w:color="auto"/>
              <w:left w:val="nil"/>
              <w:bottom w:val="nil"/>
              <w:right w:val="nil"/>
            </w:tcBorders>
            <w:shd w:val="clear" w:color="auto" w:fill="auto"/>
            <w:noWrap/>
            <w:vAlign w:val="bottom"/>
            <w:hideMark/>
          </w:tcPr>
          <w:p w14:paraId="5C26D185"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(2)</w:t>
            </w:r>
          </w:p>
        </w:tc>
        <w:tc>
          <w:tcPr>
            <w:tcW w:w="1170" w:type="dxa"/>
            <w:tcBorders>
              <w:top w:val="single" w:sz="4" w:space="0" w:color="auto"/>
              <w:left w:val="nil"/>
              <w:bottom w:val="nil"/>
              <w:right w:val="nil"/>
            </w:tcBorders>
            <w:shd w:val="clear" w:color="auto" w:fill="auto"/>
            <w:noWrap/>
            <w:vAlign w:val="bottom"/>
            <w:hideMark/>
          </w:tcPr>
          <w:p w14:paraId="5840B1E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(3)</w:t>
            </w:r>
          </w:p>
        </w:tc>
        <w:tc>
          <w:tcPr>
            <w:tcW w:w="1170" w:type="dxa"/>
            <w:tcBorders>
              <w:top w:val="single" w:sz="4" w:space="0" w:color="auto"/>
              <w:left w:val="nil"/>
              <w:bottom w:val="nil"/>
              <w:right w:val="nil"/>
            </w:tcBorders>
            <w:shd w:val="clear" w:color="auto" w:fill="auto"/>
            <w:noWrap/>
            <w:vAlign w:val="bottom"/>
            <w:hideMark/>
          </w:tcPr>
          <w:p w14:paraId="44F6F6C4"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(4)</w:t>
            </w:r>
          </w:p>
        </w:tc>
        <w:tc>
          <w:tcPr>
            <w:tcW w:w="1350" w:type="dxa"/>
            <w:tcBorders>
              <w:top w:val="single" w:sz="4" w:space="0" w:color="auto"/>
              <w:left w:val="nil"/>
              <w:bottom w:val="nil"/>
              <w:right w:val="nil"/>
            </w:tcBorders>
            <w:shd w:val="clear" w:color="auto" w:fill="auto"/>
            <w:noWrap/>
            <w:vAlign w:val="bottom"/>
            <w:hideMark/>
          </w:tcPr>
          <w:p w14:paraId="516587F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(5)</w:t>
            </w:r>
          </w:p>
        </w:tc>
        <w:tc>
          <w:tcPr>
            <w:tcW w:w="1260" w:type="dxa"/>
            <w:tcBorders>
              <w:top w:val="single" w:sz="4" w:space="0" w:color="auto"/>
              <w:left w:val="nil"/>
              <w:bottom w:val="nil"/>
              <w:right w:val="nil"/>
            </w:tcBorders>
            <w:shd w:val="clear" w:color="auto" w:fill="auto"/>
            <w:noWrap/>
            <w:vAlign w:val="bottom"/>
            <w:hideMark/>
          </w:tcPr>
          <w:p w14:paraId="3F1E8CA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(6)</w:t>
            </w:r>
          </w:p>
        </w:tc>
        <w:tc>
          <w:tcPr>
            <w:tcW w:w="1260" w:type="dxa"/>
            <w:tcBorders>
              <w:top w:val="single" w:sz="4" w:space="0" w:color="auto"/>
              <w:left w:val="nil"/>
              <w:bottom w:val="nil"/>
              <w:right w:val="nil"/>
            </w:tcBorders>
            <w:shd w:val="clear" w:color="auto" w:fill="auto"/>
            <w:noWrap/>
            <w:vAlign w:val="bottom"/>
            <w:hideMark/>
          </w:tcPr>
          <w:p w14:paraId="12071F7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(7)</w:t>
            </w:r>
          </w:p>
        </w:tc>
        <w:tc>
          <w:tcPr>
            <w:tcW w:w="1260" w:type="dxa"/>
            <w:tcBorders>
              <w:top w:val="single" w:sz="4" w:space="0" w:color="auto"/>
              <w:left w:val="nil"/>
              <w:bottom w:val="nil"/>
              <w:right w:val="nil"/>
            </w:tcBorders>
            <w:shd w:val="clear" w:color="auto" w:fill="auto"/>
            <w:noWrap/>
            <w:vAlign w:val="bottom"/>
            <w:hideMark/>
          </w:tcPr>
          <w:p w14:paraId="364FCE0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(8)</w:t>
            </w:r>
          </w:p>
        </w:tc>
      </w:tr>
      <w:tr w:rsidR="002F5D47" w:rsidRPr="00630B32" w14:paraId="3DA1EB37" w14:textId="77777777" w:rsidTr="00C04359">
        <w:trPr>
          <w:trHeight w:val="320"/>
        </w:trPr>
        <w:tc>
          <w:tcPr>
            <w:tcW w:w="1494" w:type="dxa"/>
            <w:tcBorders>
              <w:top w:val="nil"/>
              <w:left w:val="nil"/>
              <w:bottom w:val="nil"/>
              <w:right w:val="nil"/>
            </w:tcBorders>
            <w:shd w:val="clear" w:color="auto" w:fill="auto"/>
            <w:noWrap/>
            <w:vAlign w:val="bottom"/>
            <w:hideMark/>
          </w:tcPr>
          <w:p w14:paraId="6F8455FE"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Pollutant</w:t>
            </w:r>
          </w:p>
        </w:tc>
        <w:tc>
          <w:tcPr>
            <w:tcW w:w="1386" w:type="dxa"/>
            <w:tcBorders>
              <w:top w:val="nil"/>
              <w:left w:val="nil"/>
              <w:bottom w:val="nil"/>
              <w:right w:val="nil"/>
            </w:tcBorders>
            <w:shd w:val="clear" w:color="auto" w:fill="auto"/>
            <w:noWrap/>
            <w:vAlign w:val="bottom"/>
            <w:hideMark/>
          </w:tcPr>
          <w:p w14:paraId="42E3D94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CO</w:t>
            </w:r>
          </w:p>
        </w:tc>
        <w:tc>
          <w:tcPr>
            <w:tcW w:w="1260" w:type="dxa"/>
            <w:tcBorders>
              <w:top w:val="nil"/>
              <w:left w:val="nil"/>
              <w:bottom w:val="nil"/>
              <w:right w:val="nil"/>
            </w:tcBorders>
            <w:shd w:val="clear" w:color="auto" w:fill="auto"/>
            <w:noWrap/>
            <w:vAlign w:val="bottom"/>
            <w:hideMark/>
          </w:tcPr>
          <w:p w14:paraId="3A1330C4"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CO</w:t>
            </w:r>
          </w:p>
        </w:tc>
        <w:tc>
          <w:tcPr>
            <w:tcW w:w="1170" w:type="dxa"/>
            <w:tcBorders>
              <w:top w:val="nil"/>
              <w:left w:val="nil"/>
              <w:bottom w:val="nil"/>
              <w:right w:val="nil"/>
            </w:tcBorders>
            <w:shd w:val="clear" w:color="auto" w:fill="auto"/>
            <w:noWrap/>
            <w:vAlign w:val="bottom"/>
            <w:hideMark/>
          </w:tcPr>
          <w:p w14:paraId="0D429CF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r w:rsidRPr="00630B32">
              <w:rPr>
                <w:rFonts w:ascii="Calibri" w:eastAsia="Times New Roman" w:hAnsi="Calibri" w:cs="Times New Roman"/>
                <w:color w:val="000000"/>
                <w:sz w:val="22"/>
                <w:szCs w:val="22"/>
                <w:vertAlign w:val="subscript"/>
              </w:rPr>
              <w:t>2</w:t>
            </w:r>
          </w:p>
        </w:tc>
        <w:tc>
          <w:tcPr>
            <w:tcW w:w="1170" w:type="dxa"/>
            <w:tcBorders>
              <w:top w:val="nil"/>
              <w:left w:val="nil"/>
              <w:bottom w:val="nil"/>
              <w:right w:val="nil"/>
            </w:tcBorders>
            <w:shd w:val="clear" w:color="auto" w:fill="auto"/>
            <w:noWrap/>
            <w:vAlign w:val="bottom"/>
            <w:hideMark/>
          </w:tcPr>
          <w:p w14:paraId="4F8D117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r w:rsidRPr="00630B32">
              <w:rPr>
                <w:rFonts w:ascii="Calibri" w:eastAsia="Times New Roman" w:hAnsi="Calibri" w:cs="Times New Roman"/>
                <w:color w:val="000000"/>
                <w:sz w:val="22"/>
                <w:szCs w:val="22"/>
                <w:vertAlign w:val="subscript"/>
              </w:rPr>
              <w:t>2</w:t>
            </w:r>
          </w:p>
        </w:tc>
        <w:tc>
          <w:tcPr>
            <w:tcW w:w="1350" w:type="dxa"/>
            <w:tcBorders>
              <w:top w:val="nil"/>
              <w:left w:val="nil"/>
              <w:bottom w:val="nil"/>
              <w:right w:val="nil"/>
            </w:tcBorders>
            <w:shd w:val="clear" w:color="auto" w:fill="auto"/>
            <w:noWrap/>
            <w:vAlign w:val="bottom"/>
            <w:hideMark/>
          </w:tcPr>
          <w:p w14:paraId="71E4CD1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r w:rsidRPr="00630B32">
              <w:rPr>
                <w:rFonts w:ascii="Calibri" w:eastAsia="Times New Roman" w:hAnsi="Calibri" w:cs="Times New Roman"/>
                <w:color w:val="000000"/>
                <w:sz w:val="22"/>
                <w:szCs w:val="22"/>
                <w:vertAlign w:val="subscript"/>
              </w:rPr>
              <w:t>x</w:t>
            </w:r>
          </w:p>
        </w:tc>
        <w:tc>
          <w:tcPr>
            <w:tcW w:w="1260" w:type="dxa"/>
            <w:tcBorders>
              <w:top w:val="nil"/>
              <w:left w:val="nil"/>
              <w:bottom w:val="nil"/>
              <w:right w:val="nil"/>
            </w:tcBorders>
            <w:shd w:val="clear" w:color="auto" w:fill="auto"/>
            <w:noWrap/>
            <w:vAlign w:val="bottom"/>
            <w:hideMark/>
          </w:tcPr>
          <w:p w14:paraId="719DB02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r w:rsidRPr="00630B32">
              <w:rPr>
                <w:rFonts w:ascii="Calibri" w:eastAsia="Times New Roman" w:hAnsi="Calibri" w:cs="Times New Roman"/>
                <w:color w:val="000000"/>
                <w:sz w:val="22"/>
                <w:szCs w:val="22"/>
                <w:vertAlign w:val="subscript"/>
              </w:rPr>
              <w:t>x</w:t>
            </w:r>
          </w:p>
        </w:tc>
        <w:tc>
          <w:tcPr>
            <w:tcW w:w="1260" w:type="dxa"/>
            <w:tcBorders>
              <w:top w:val="nil"/>
              <w:left w:val="nil"/>
              <w:bottom w:val="nil"/>
              <w:right w:val="nil"/>
            </w:tcBorders>
            <w:shd w:val="clear" w:color="auto" w:fill="auto"/>
            <w:noWrap/>
            <w:vAlign w:val="bottom"/>
            <w:hideMark/>
          </w:tcPr>
          <w:p w14:paraId="497C4B5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O</w:t>
            </w:r>
            <w:r w:rsidRPr="00630B32">
              <w:rPr>
                <w:rFonts w:ascii="Calibri" w:eastAsia="Times New Roman" w:hAnsi="Calibri" w:cs="Times New Roman"/>
                <w:color w:val="000000"/>
                <w:sz w:val="22"/>
                <w:szCs w:val="22"/>
                <w:vertAlign w:val="subscript"/>
              </w:rPr>
              <w:t>3</w:t>
            </w:r>
          </w:p>
        </w:tc>
        <w:tc>
          <w:tcPr>
            <w:tcW w:w="1260" w:type="dxa"/>
            <w:tcBorders>
              <w:top w:val="nil"/>
              <w:left w:val="nil"/>
              <w:bottom w:val="nil"/>
              <w:right w:val="nil"/>
            </w:tcBorders>
            <w:shd w:val="clear" w:color="auto" w:fill="auto"/>
            <w:noWrap/>
            <w:vAlign w:val="bottom"/>
            <w:hideMark/>
          </w:tcPr>
          <w:p w14:paraId="4063543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O</w:t>
            </w:r>
            <w:r w:rsidRPr="00630B32">
              <w:rPr>
                <w:rFonts w:ascii="Calibri" w:eastAsia="Times New Roman" w:hAnsi="Calibri" w:cs="Times New Roman"/>
                <w:color w:val="000000"/>
                <w:sz w:val="22"/>
                <w:szCs w:val="22"/>
                <w:vertAlign w:val="subscript"/>
              </w:rPr>
              <w:t>3</w:t>
            </w:r>
          </w:p>
        </w:tc>
      </w:tr>
      <w:tr w:rsidR="002F5D47" w:rsidRPr="00630B32" w14:paraId="4FE4BBE1" w14:textId="77777777" w:rsidTr="00C04359">
        <w:trPr>
          <w:trHeight w:val="280"/>
        </w:trPr>
        <w:tc>
          <w:tcPr>
            <w:tcW w:w="1494" w:type="dxa"/>
            <w:tcBorders>
              <w:top w:val="single" w:sz="4" w:space="0" w:color="auto"/>
              <w:left w:val="nil"/>
              <w:bottom w:val="nil"/>
              <w:right w:val="nil"/>
            </w:tcBorders>
            <w:shd w:val="clear" w:color="auto" w:fill="auto"/>
            <w:noWrap/>
            <w:vAlign w:val="bottom"/>
            <w:hideMark/>
          </w:tcPr>
          <w:p w14:paraId="07C969C9"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386" w:type="dxa"/>
            <w:tcBorders>
              <w:top w:val="single" w:sz="4" w:space="0" w:color="auto"/>
              <w:left w:val="nil"/>
              <w:bottom w:val="nil"/>
              <w:right w:val="nil"/>
            </w:tcBorders>
            <w:shd w:val="clear" w:color="auto" w:fill="auto"/>
            <w:noWrap/>
            <w:vAlign w:val="bottom"/>
            <w:hideMark/>
          </w:tcPr>
          <w:p w14:paraId="54EBFE7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7C8DE8C7"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6B281A6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7C8A6C1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350" w:type="dxa"/>
            <w:tcBorders>
              <w:top w:val="single" w:sz="4" w:space="0" w:color="auto"/>
              <w:left w:val="nil"/>
              <w:bottom w:val="nil"/>
              <w:right w:val="nil"/>
            </w:tcBorders>
            <w:shd w:val="clear" w:color="auto" w:fill="auto"/>
            <w:noWrap/>
            <w:vAlign w:val="bottom"/>
            <w:hideMark/>
          </w:tcPr>
          <w:p w14:paraId="65617383"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66995B9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245C1C2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7CB1E680"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w:t>
            </w:r>
          </w:p>
        </w:tc>
      </w:tr>
      <w:tr w:rsidR="002F5D47" w:rsidRPr="00630B32" w14:paraId="55C2F931" w14:textId="77777777" w:rsidTr="00C04359">
        <w:trPr>
          <w:trHeight w:val="280"/>
        </w:trPr>
        <w:tc>
          <w:tcPr>
            <w:tcW w:w="1494" w:type="dxa"/>
            <w:tcBorders>
              <w:top w:val="nil"/>
              <w:left w:val="nil"/>
              <w:bottom w:val="nil"/>
              <w:right w:val="nil"/>
            </w:tcBorders>
            <w:shd w:val="clear" w:color="auto" w:fill="auto"/>
            <w:noWrap/>
            <w:vAlign w:val="bottom"/>
            <w:hideMark/>
          </w:tcPr>
          <w:p w14:paraId="1508787D"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Strike</w:t>
            </w:r>
          </w:p>
        </w:tc>
        <w:tc>
          <w:tcPr>
            <w:tcW w:w="1386" w:type="dxa"/>
            <w:tcBorders>
              <w:top w:val="nil"/>
              <w:left w:val="nil"/>
              <w:bottom w:val="nil"/>
              <w:right w:val="nil"/>
            </w:tcBorders>
            <w:shd w:val="clear" w:color="auto" w:fill="auto"/>
            <w:noWrap/>
            <w:vAlign w:val="bottom"/>
            <w:hideMark/>
          </w:tcPr>
          <w:p w14:paraId="01030D6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0.293**</w:t>
            </w:r>
          </w:p>
        </w:tc>
        <w:tc>
          <w:tcPr>
            <w:tcW w:w="1260" w:type="dxa"/>
            <w:tcBorders>
              <w:top w:val="nil"/>
              <w:left w:val="nil"/>
              <w:bottom w:val="nil"/>
              <w:right w:val="nil"/>
            </w:tcBorders>
            <w:shd w:val="clear" w:color="auto" w:fill="auto"/>
            <w:noWrap/>
            <w:vAlign w:val="bottom"/>
            <w:hideMark/>
          </w:tcPr>
          <w:p w14:paraId="6D2618E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0.239**</w:t>
            </w:r>
          </w:p>
        </w:tc>
        <w:tc>
          <w:tcPr>
            <w:tcW w:w="1170" w:type="dxa"/>
            <w:tcBorders>
              <w:top w:val="nil"/>
              <w:left w:val="nil"/>
              <w:bottom w:val="nil"/>
              <w:right w:val="nil"/>
            </w:tcBorders>
            <w:shd w:val="clear" w:color="auto" w:fill="auto"/>
            <w:noWrap/>
            <w:vAlign w:val="bottom"/>
            <w:hideMark/>
          </w:tcPr>
          <w:p w14:paraId="69958897"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8.713***</w:t>
            </w:r>
          </w:p>
        </w:tc>
        <w:tc>
          <w:tcPr>
            <w:tcW w:w="1170" w:type="dxa"/>
            <w:tcBorders>
              <w:top w:val="nil"/>
              <w:left w:val="nil"/>
              <w:bottom w:val="nil"/>
              <w:right w:val="nil"/>
            </w:tcBorders>
            <w:shd w:val="clear" w:color="auto" w:fill="auto"/>
            <w:noWrap/>
            <w:vAlign w:val="bottom"/>
            <w:hideMark/>
          </w:tcPr>
          <w:p w14:paraId="28A60337"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9.518***</w:t>
            </w:r>
          </w:p>
        </w:tc>
        <w:tc>
          <w:tcPr>
            <w:tcW w:w="1350" w:type="dxa"/>
            <w:tcBorders>
              <w:top w:val="nil"/>
              <w:left w:val="nil"/>
              <w:bottom w:val="nil"/>
              <w:right w:val="nil"/>
            </w:tcBorders>
            <w:shd w:val="clear" w:color="auto" w:fill="auto"/>
            <w:noWrap/>
            <w:vAlign w:val="bottom"/>
            <w:hideMark/>
          </w:tcPr>
          <w:p w14:paraId="03D6203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17.398***</w:t>
            </w:r>
          </w:p>
        </w:tc>
        <w:tc>
          <w:tcPr>
            <w:tcW w:w="1260" w:type="dxa"/>
            <w:tcBorders>
              <w:top w:val="nil"/>
              <w:left w:val="nil"/>
              <w:bottom w:val="nil"/>
              <w:right w:val="nil"/>
            </w:tcBorders>
            <w:shd w:val="clear" w:color="auto" w:fill="auto"/>
            <w:noWrap/>
            <w:vAlign w:val="bottom"/>
            <w:hideMark/>
          </w:tcPr>
          <w:p w14:paraId="489E792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18.576***</w:t>
            </w:r>
          </w:p>
        </w:tc>
        <w:tc>
          <w:tcPr>
            <w:tcW w:w="1260" w:type="dxa"/>
            <w:tcBorders>
              <w:top w:val="nil"/>
              <w:left w:val="nil"/>
              <w:bottom w:val="nil"/>
              <w:right w:val="nil"/>
            </w:tcBorders>
            <w:shd w:val="clear" w:color="auto" w:fill="auto"/>
            <w:noWrap/>
            <w:vAlign w:val="bottom"/>
            <w:hideMark/>
          </w:tcPr>
          <w:p w14:paraId="029BB115"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-0.005</w:t>
            </w:r>
          </w:p>
        </w:tc>
        <w:tc>
          <w:tcPr>
            <w:tcW w:w="1260" w:type="dxa"/>
            <w:tcBorders>
              <w:top w:val="nil"/>
              <w:left w:val="nil"/>
              <w:bottom w:val="nil"/>
              <w:right w:val="nil"/>
            </w:tcBorders>
            <w:shd w:val="clear" w:color="auto" w:fill="auto"/>
            <w:noWrap/>
            <w:vAlign w:val="bottom"/>
            <w:hideMark/>
          </w:tcPr>
          <w:p w14:paraId="29E51E2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-0.005</w:t>
            </w:r>
          </w:p>
        </w:tc>
      </w:tr>
      <w:tr w:rsidR="002F5D47" w:rsidRPr="00630B32" w14:paraId="0AA9B094" w14:textId="77777777" w:rsidTr="00C04359">
        <w:trPr>
          <w:trHeight w:val="280"/>
        </w:trPr>
        <w:tc>
          <w:tcPr>
            <w:tcW w:w="1494" w:type="dxa"/>
            <w:tcBorders>
              <w:top w:val="nil"/>
              <w:left w:val="nil"/>
              <w:bottom w:val="nil"/>
              <w:right w:val="nil"/>
            </w:tcBorders>
            <w:shd w:val="clear" w:color="auto" w:fill="auto"/>
            <w:noWrap/>
            <w:vAlign w:val="bottom"/>
            <w:hideMark/>
          </w:tcPr>
          <w:p w14:paraId="33DEA5AB"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7F8654E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(0.093)</w:t>
            </w:r>
          </w:p>
        </w:tc>
        <w:tc>
          <w:tcPr>
            <w:tcW w:w="1260" w:type="dxa"/>
            <w:tcBorders>
              <w:top w:val="nil"/>
              <w:left w:val="nil"/>
              <w:bottom w:val="nil"/>
              <w:right w:val="nil"/>
            </w:tcBorders>
            <w:shd w:val="clear" w:color="auto" w:fill="auto"/>
            <w:noWrap/>
            <w:vAlign w:val="bottom"/>
            <w:hideMark/>
          </w:tcPr>
          <w:p w14:paraId="5F75170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(0.093)</w:t>
            </w:r>
          </w:p>
        </w:tc>
        <w:tc>
          <w:tcPr>
            <w:tcW w:w="1170" w:type="dxa"/>
            <w:tcBorders>
              <w:top w:val="nil"/>
              <w:left w:val="nil"/>
              <w:bottom w:val="nil"/>
              <w:right w:val="nil"/>
            </w:tcBorders>
            <w:shd w:val="clear" w:color="auto" w:fill="auto"/>
            <w:noWrap/>
            <w:vAlign w:val="bottom"/>
            <w:hideMark/>
          </w:tcPr>
          <w:p w14:paraId="2A028A2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(2.206)</w:t>
            </w:r>
          </w:p>
        </w:tc>
        <w:tc>
          <w:tcPr>
            <w:tcW w:w="1170" w:type="dxa"/>
            <w:tcBorders>
              <w:top w:val="nil"/>
              <w:left w:val="nil"/>
              <w:bottom w:val="nil"/>
              <w:right w:val="nil"/>
            </w:tcBorders>
            <w:shd w:val="clear" w:color="auto" w:fill="auto"/>
            <w:noWrap/>
            <w:vAlign w:val="bottom"/>
            <w:hideMark/>
          </w:tcPr>
          <w:p w14:paraId="3E7B66C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(2.291)</w:t>
            </w:r>
          </w:p>
        </w:tc>
        <w:tc>
          <w:tcPr>
            <w:tcW w:w="1350" w:type="dxa"/>
            <w:tcBorders>
              <w:top w:val="nil"/>
              <w:left w:val="nil"/>
              <w:bottom w:val="nil"/>
              <w:right w:val="nil"/>
            </w:tcBorders>
            <w:shd w:val="clear" w:color="auto" w:fill="auto"/>
            <w:noWrap/>
            <w:vAlign w:val="bottom"/>
            <w:hideMark/>
          </w:tcPr>
          <w:p w14:paraId="1F23450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(5.072)</w:t>
            </w:r>
          </w:p>
        </w:tc>
        <w:tc>
          <w:tcPr>
            <w:tcW w:w="1260" w:type="dxa"/>
            <w:tcBorders>
              <w:top w:val="nil"/>
              <w:left w:val="nil"/>
              <w:bottom w:val="nil"/>
              <w:right w:val="nil"/>
            </w:tcBorders>
            <w:shd w:val="clear" w:color="auto" w:fill="auto"/>
            <w:noWrap/>
            <w:vAlign w:val="bottom"/>
            <w:hideMark/>
          </w:tcPr>
          <w:p w14:paraId="271CCC4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(5.334)</w:t>
            </w:r>
          </w:p>
        </w:tc>
        <w:tc>
          <w:tcPr>
            <w:tcW w:w="1260" w:type="dxa"/>
            <w:tcBorders>
              <w:top w:val="nil"/>
              <w:left w:val="nil"/>
              <w:bottom w:val="nil"/>
              <w:right w:val="nil"/>
            </w:tcBorders>
            <w:shd w:val="clear" w:color="auto" w:fill="auto"/>
            <w:noWrap/>
            <w:vAlign w:val="bottom"/>
            <w:hideMark/>
          </w:tcPr>
          <w:p w14:paraId="16D4ACD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(0.003)</w:t>
            </w:r>
          </w:p>
        </w:tc>
        <w:tc>
          <w:tcPr>
            <w:tcW w:w="1260" w:type="dxa"/>
            <w:tcBorders>
              <w:top w:val="nil"/>
              <w:left w:val="nil"/>
              <w:bottom w:val="nil"/>
              <w:right w:val="nil"/>
            </w:tcBorders>
            <w:shd w:val="clear" w:color="auto" w:fill="auto"/>
            <w:noWrap/>
            <w:vAlign w:val="bottom"/>
            <w:hideMark/>
          </w:tcPr>
          <w:p w14:paraId="77F8463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(0.003)</w:t>
            </w:r>
          </w:p>
        </w:tc>
      </w:tr>
      <w:tr w:rsidR="002F5D47" w:rsidRPr="00630B32" w14:paraId="034ED0F8" w14:textId="77777777" w:rsidTr="00C04359">
        <w:trPr>
          <w:trHeight w:val="280"/>
        </w:trPr>
        <w:tc>
          <w:tcPr>
            <w:tcW w:w="1494" w:type="dxa"/>
            <w:tcBorders>
              <w:top w:val="nil"/>
              <w:left w:val="nil"/>
              <w:bottom w:val="nil"/>
              <w:right w:val="nil"/>
            </w:tcBorders>
            <w:shd w:val="clear" w:color="auto" w:fill="auto"/>
            <w:noWrap/>
            <w:vAlign w:val="bottom"/>
            <w:hideMark/>
          </w:tcPr>
          <w:p w14:paraId="2AE7CB19"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196753CD"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C06B185"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7D51130"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401180E" w14:textId="77777777" w:rsidR="002F5D47" w:rsidRPr="00630B32"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1904C514"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7094AA2"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A8115CC"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52E10FE" w14:textId="77777777" w:rsidR="002F5D47" w:rsidRPr="00630B32" w:rsidRDefault="002F5D47" w:rsidP="00C04359">
            <w:pPr>
              <w:jc w:val="center"/>
              <w:rPr>
                <w:rFonts w:ascii="Calibri" w:eastAsia="Times New Roman" w:hAnsi="Calibri" w:cs="Times New Roman"/>
                <w:color w:val="000000"/>
                <w:sz w:val="22"/>
                <w:szCs w:val="22"/>
              </w:rPr>
            </w:pPr>
          </w:p>
        </w:tc>
      </w:tr>
      <w:tr w:rsidR="002F5D47" w:rsidRPr="00630B32" w14:paraId="3303B329" w14:textId="77777777" w:rsidTr="00C04359">
        <w:trPr>
          <w:trHeight w:val="280"/>
        </w:trPr>
        <w:tc>
          <w:tcPr>
            <w:tcW w:w="1494" w:type="dxa"/>
            <w:tcBorders>
              <w:top w:val="nil"/>
              <w:left w:val="nil"/>
              <w:bottom w:val="nil"/>
              <w:right w:val="nil"/>
            </w:tcBorders>
            <w:shd w:val="clear" w:color="auto" w:fill="auto"/>
            <w:noWrap/>
            <w:vAlign w:val="bottom"/>
            <w:hideMark/>
          </w:tcPr>
          <w:p w14:paraId="01B374C4"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Week</w:t>
            </w:r>
          </w:p>
        </w:tc>
        <w:tc>
          <w:tcPr>
            <w:tcW w:w="1386" w:type="dxa"/>
            <w:tcBorders>
              <w:top w:val="nil"/>
              <w:left w:val="nil"/>
              <w:bottom w:val="nil"/>
              <w:right w:val="nil"/>
            </w:tcBorders>
            <w:shd w:val="clear" w:color="auto" w:fill="auto"/>
            <w:noWrap/>
            <w:vAlign w:val="bottom"/>
            <w:hideMark/>
          </w:tcPr>
          <w:p w14:paraId="5C933F4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0.031</w:t>
            </w:r>
          </w:p>
        </w:tc>
        <w:tc>
          <w:tcPr>
            <w:tcW w:w="1260" w:type="dxa"/>
            <w:tcBorders>
              <w:top w:val="nil"/>
              <w:left w:val="nil"/>
              <w:bottom w:val="nil"/>
              <w:right w:val="nil"/>
            </w:tcBorders>
            <w:shd w:val="clear" w:color="auto" w:fill="auto"/>
            <w:noWrap/>
            <w:vAlign w:val="bottom"/>
            <w:hideMark/>
          </w:tcPr>
          <w:p w14:paraId="17F02B03"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0.015</w:t>
            </w:r>
          </w:p>
        </w:tc>
        <w:tc>
          <w:tcPr>
            <w:tcW w:w="1170" w:type="dxa"/>
            <w:tcBorders>
              <w:top w:val="nil"/>
              <w:left w:val="nil"/>
              <w:bottom w:val="nil"/>
              <w:right w:val="nil"/>
            </w:tcBorders>
            <w:shd w:val="clear" w:color="auto" w:fill="auto"/>
            <w:noWrap/>
            <w:vAlign w:val="bottom"/>
            <w:hideMark/>
          </w:tcPr>
          <w:p w14:paraId="73AECD35"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0.290</w:t>
            </w:r>
          </w:p>
        </w:tc>
        <w:tc>
          <w:tcPr>
            <w:tcW w:w="1170" w:type="dxa"/>
            <w:tcBorders>
              <w:top w:val="nil"/>
              <w:left w:val="nil"/>
              <w:bottom w:val="nil"/>
              <w:right w:val="nil"/>
            </w:tcBorders>
            <w:shd w:val="clear" w:color="auto" w:fill="auto"/>
            <w:noWrap/>
            <w:vAlign w:val="bottom"/>
            <w:hideMark/>
          </w:tcPr>
          <w:p w14:paraId="1403502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0.327</w:t>
            </w:r>
          </w:p>
        </w:tc>
        <w:tc>
          <w:tcPr>
            <w:tcW w:w="1350" w:type="dxa"/>
            <w:tcBorders>
              <w:top w:val="nil"/>
              <w:left w:val="nil"/>
              <w:bottom w:val="nil"/>
              <w:right w:val="nil"/>
            </w:tcBorders>
            <w:shd w:val="clear" w:color="auto" w:fill="auto"/>
            <w:noWrap/>
            <w:vAlign w:val="bottom"/>
            <w:hideMark/>
          </w:tcPr>
          <w:p w14:paraId="5E26E99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0.331</w:t>
            </w:r>
          </w:p>
        </w:tc>
        <w:tc>
          <w:tcPr>
            <w:tcW w:w="1260" w:type="dxa"/>
            <w:tcBorders>
              <w:top w:val="nil"/>
              <w:left w:val="nil"/>
              <w:bottom w:val="nil"/>
              <w:right w:val="nil"/>
            </w:tcBorders>
            <w:shd w:val="clear" w:color="auto" w:fill="auto"/>
            <w:noWrap/>
            <w:vAlign w:val="bottom"/>
            <w:hideMark/>
          </w:tcPr>
          <w:p w14:paraId="15DB541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0.384</w:t>
            </w:r>
          </w:p>
        </w:tc>
        <w:tc>
          <w:tcPr>
            <w:tcW w:w="1260" w:type="dxa"/>
            <w:tcBorders>
              <w:top w:val="nil"/>
              <w:left w:val="nil"/>
              <w:bottom w:val="nil"/>
              <w:right w:val="nil"/>
            </w:tcBorders>
            <w:shd w:val="clear" w:color="auto" w:fill="auto"/>
            <w:noWrap/>
            <w:vAlign w:val="bottom"/>
            <w:hideMark/>
          </w:tcPr>
          <w:p w14:paraId="1A36C0B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c>
          <w:tcPr>
            <w:tcW w:w="1260" w:type="dxa"/>
            <w:tcBorders>
              <w:top w:val="nil"/>
              <w:left w:val="nil"/>
              <w:bottom w:val="nil"/>
              <w:right w:val="nil"/>
            </w:tcBorders>
            <w:shd w:val="clear" w:color="auto" w:fill="auto"/>
            <w:noWrap/>
            <w:vAlign w:val="bottom"/>
            <w:hideMark/>
          </w:tcPr>
          <w:p w14:paraId="418C00B3"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r>
      <w:tr w:rsidR="002F5D47" w:rsidRPr="00630B32" w14:paraId="78E52067" w14:textId="77777777" w:rsidTr="00C04359">
        <w:trPr>
          <w:trHeight w:val="280"/>
        </w:trPr>
        <w:tc>
          <w:tcPr>
            <w:tcW w:w="1494" w:type="dxa"/>
            <w:tcBorders>
              <w:top w:val="nil"/>
              <w:left w:val="nil"/>
              <w:bottom w:val="nil"/>
              <w:right w:val="nil"/>
            </w:tcBorders>
            <w:shd w:val="clear" w:color="auto" w:fill="auto"/>
            <w:noWrap/>
            <w:vAlign w:val="bottom"/>
            <w:hideMark/>
          </w:tcPr>
          <w:p w14:paraId="2FFD0775"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1913EBF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(0.021)</w:t>
            </w:r>
          </w:p>
        </w:tc>
        <w:tc>
          <w:tcPr>
            <w:tcW w:w="1260" w:type="dxa"/>
            <w:tcBorders>
              <w:top w:val="nil"/>
              <w:left w:val="nil"/>
              <w:bottom w:val="nil"/>
              <w:right w:val="nil"/>
            </w:tcBorders>
            <w:shd w:val="clear" w:color="auto" w:fill="auto"/>
            <w:noWrap/>
            <w:vAlign w:val="bottom"/>
            <w:hideMark/>
          </w:tcPr>
          <w:p w14:paraId="2C515CF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(0.017)</w:t>
            </w:r>
          </w:p>
        </w:tc>
        <w:tc>
          <w:tcPr>
            <w:tcW w:w="1170" w:type="dxa"/>
            <w:tcBorders>
              <w:top w:val="nil"/>
              <w:left w:val="nil"/>
              <w:bottom w:val="nil"/>
              <w:right w:val="nil"/>
            </w:tcBorders>
            <w:shd w:val="clear" w:color="auto" w:fill="auto"/>
            <w:noWrap/>
            <w:vAlign w:val="bottom"/>
            <w:hideMark/>
          </w:tcPr>
          <w:p w14:paraId="48686CE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(0.267)</w:t>
            </w:r>
          </w:p>
        </w:tc>
        <w:tc>
          <w:tcPr>
            <w:tcW w:w="1170" w:type="dxa"/>
            <w:tcBorders>
              <w:top w:val="nil"/>
              <w:left w:val="nil"/>
              <w:bottom w:val="nil"/>
              <w:right w:val="nil"/>
            </w:tcBorders>
            <w:shd w:val="clear" w:color="auto" w:fill="auto"/>
            <w:noWrap/>
            <w:vAlign w:val="bottom"/>
            <w:hideMark/>
          </w:tcPr>
          <w:p w14:paraId="6927FAA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(0.216)</w:t>
            </w:r>
          </w:p>
        </w:tc>
        <w:tc>
          <w:tcPr>
            <w:tcW w:w="1350" w:type="dxa"/>
            <w:tcBorders>
              <w:top w:val="nil"/>
              <w:left w:val="nil"/>
              <w:bottom w:val="nil"/>
              <w:right w:val="nil"/>
            </w:tcBorders>
            <w:shd w:val="clear" w:color="auto" w:fill="auto"/>
            <w:noWrap/>
            <w:vAlign w:val="bottom"/>
            <w:hideMark/>
          </w:tcPr>
          <w:p w14:paraId="3DC856E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(0.535)</w:t>
            </w:r>
          </w:p>
        </w:tc>
        <w:tc>
          <w:tcPr>
            <w:tcW w:w="1260" w:type="dxa"/>
            <w:tcBorders>
              <w:top w:val="nil"/>
              <w:left w:val="nil"/>
              <w:bottom w:val="nil"/>
              <w:right w:val="nil"/>
            </w:tcBorders>
            <w:shd w:val="clear" w:color="auto" w:fill="auto"/>
            <w:noWrap/>
            <w:vAlign w:val="bottom"/>
            <w:hideMark/>
          </w:tcPr>
          <w:p w14:paraId="49BA9B2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(0.479)</w:t>
            </w:r>
          </w:p>
        </w:tc>
        <w:tc>
          <w:tcPr>
            <w:tcW w:w="1260" w:type="dxa"/>
            <w:tcBorders>
              <w:top w:val="nil"/>
              <w:left w:val="nil"/>
              <w:bottom w:val="nil"/>
              <w:right w:val="nil"/>
            </w:tcBorders>
            <w:shd w:val="clear" w:color="auto" w:fill="auto"/>
            <w:noWrap/>
            <w:vAlign w:val="bottom"/>
            <w:hideMark/>
          </w:tcPr>
          <w:p w14:paraId="16DF3310"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c>
          <w:tcPr>
            <w:tcW w:w="1260" w:type="dxa"/>
            <w:tcBorders>
              <w:top w:val="nil"/>
              <w:left w:val="nil"/>
              <w:bottom w:val="nil"/>
              <w:right w:val="nil"/>
            </w:tcBorders>
            <w:shd w:val="clear" w:color="auto" w:fill="auto"/>
            <w:noWrap/>
            <w:vAlign w:val="bottom"/>
            <w:hideMark/>
          </w:tcPr>
          <w:p w14:paraId="0BB6A503"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r>
      <w:tr w:rsidR="002F5D47" w:rsidRPr="00630B32" w14:paraId="1EBB9F09" w14:textId="77777777" w:rsidTr="00C04359">
        <w:trPr>
          <w:trHeight w:val="280"/>
        </w:trPr>
        <w:tc>
          <w:tcPr>
            <w:tcW w:w="1494" w:type="dxa"/>
            <w:tcBorders>
              <w:top w:val="nil"/>
              <w:left w:val="nil"/>
              <w:bottom w:val="nil"/>
              <w:right w:val="nil"/>
            </w:tcBorders>
            <w:shd w:val="clear" w:color="auto" w:fill="auto"/>
            <w:noWrap/>
            <w:vAlign w:val="bottom"/>
            <w:hideMark/>
          </w:tcPr>
          <w:p w14:paraId="09191817"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22BDE9D2"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ABFF15B"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09B289E"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B721934" w14:textId="77777777" w:rsidR="002F5D47" w:rsidRPr="00630B32"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233DB7A2"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1BA903B"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D3BDAC3"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C442E93" w14:textId="77777777" w:rsidR="002F5D47" w:rsidRPr="00630B32" w:rsidRDefault="002F5D47" w:rsidP="00C04359">
            <w:pPr>
              <w:jc w:val="center"/>
              <w:rPr>
                <w:rFonts w:ascii="Calibri" w:eastAsia="Times New Roman" w:hAnsi="Calibri" w:cs="Times New Roman"/>
                <w:color w:val="000000"/>
                <w:sz w:val="22"/>
                <w:szCs w:val="22"/>
              </w:rPr>
            </w:pPr>
          </w:p>
        </w:tc>
      </w:tr>
      <w:tr w:rsidR="002F5D47" w:rsidRPr="00630B32" w14:paraId="13D055E8" w14:textId="77777777" w:rsidTr="00C04359">
        <w:trPr>
          <w:trHeight w:val="280"/>
        </w:trPr>
        <w:tc>
          <w:tcPr>
            <w:tcW w:w="1494" w:type="dxa"/>
            <w:tcBorders>
              <w:top w:val="nil"/>
              <w:left w:val="nil"/>
              <w:bottom w:val="nil"/>
              <w:right w:val="nil"/>
            </w:tcBorders>
            <w:shd w:val="clear" w:color="auto" w:fill="auto"/>
            <w:noWrap/>
            <w:vAlign w:val="bottom"/>
            <w:hideMark/>
          </w:tcPr>
          <w:p w14:paraId="1ED0E9BF"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Strike × Week</w:t>
            </w:r>
          </w:p>
        </w:tc>
        <w:tc>
          <w:tcPr>
            <w:tcW w:w="1386" w:type="dxa"/>
            <w:tcBorders>
              <w:top w:val="nil"/>
              <w:left w:val="nil"/>
              <w:bottom w:val="nil"/>
              <w:right w:val="nil"/>
            </w:tcBorders>
            <w:shd w:val="clear" w:color="auto" w:fill="auto"/>
            <w:noWrap/>
            <w:vAlign w:val="bottom"/>
            <w:hideMark/>
          </w:tcPr>
          <w:p w14:paraId="4FA4172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-0.051</w:t>
            </w:r>
          </w:p>
        </w:tc>
        <w:tc>
          <w:tcPr>
            <w:tcW w:w="1260" w:type="dxa"/>
            <w:tcBorders>
              <w:top w:val="nil"/>
              <w:left w:val="nil"/>
              <w:bottom w:val="nil"/>
              <w:right w:val="nil"/>
            </w:tcBorders>
            <w:shd w:val="clear" w:color="auto" w:fill="auto"/>
            <w:noWrap/>
            <w:vAlign w:val="bottom"/>
            <w:hideMark/>
          </w:tcPr>
          <w:p w14:paraId="651A34E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-0.016</w:t>
            </w:r>
          </w:p>
        </w:tc>
        <w:tc>
          <w:tcPr>
            <w:tcW w:w="1170" w:type="dxa"/>
            <w:tcBorders>
              <w:top w:val="nil"/>
              <w:left w:val="nil"/>
              <w:bottom w:val="nil"/>
              <w:right w:val="nil"/>
            </w:tcBorders>
            <w:shd w:val="clear" w:color="auto" w:fill="auto"/>
            <w:noWrap/>
            <w:vAlign w:val="bottom"/>
            <w:hideMark/>
          </w:tcPr>
          <w:p w14:paraId="396C38B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-1.821***</w:t>
            </w:r>
          </w:p>
        </w:tc>
        <w:tc>
          <w:tcPr>
            <w:tcW w:w="1170" w:type="dxa"/>
            <w:tcBorders>
              <w:top w:val="nil"/>
              <w:left w:val="nil"/>
              <w:bottom w:val="nil"/>
              <w:right w:val="nil"/>
            </w:tcBorders>
            <w:shd w:val="clear" w:color="auto" w:fill="auto"/>
            <w:noWrap/>
            <w:vAlign w:val="bottom"/>
            <w:hideMark/>
          </w:tcPr>
          <w:p w14:paraId="07C7AFA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-1.991***</w:t>
            </w:r>
          </w:p>
        </w:tc>
        <w:tc>
          <w:tcPr>
            <w:tcW w:w="1350" w:type="dxa"/>
            <w:tcBorders>
              <w:top w:val="nil"/>
              <w:left w:val="nil"/>
              <w:bottom w:val="nil"/>
              <w:right w:val="nil"/>
            </w:tcBorders>
            <w:shd w:val="clear" w:color="auto" w:fill="auto"/>
            <w:noWrap/>
            <w:vAlign w:val="bottom"/>
            <w:hideMark/>
          </w:tcPr>
          <w:p w14:paraId="12AB3D5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-0.723</w:t>
            </w:r>
          </w:p>
        </w:tc>
        <w:tc>
          <w:tcPr>
            <w:tcW w:w="1260" w:type="dxa"/>
            <w:tcBorders>
              <w:top w:val="nil"/>
              <w:left w:val="nil"/>
              <w:bottom w:val="nil"/>
              <w:right w:val="nil"/>
            </w:tcBorders>
            <w:shd w:val="clear" w:color="auto" w:fill="auto"/>
            <w:noWrap/>
            <w:vAlign w:val="bottom"/>
            <w:hideMark/>
          </w:tcPr>
          <w:p w14:paraId="4E5DF77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-0.972</w:t>
            </w:r>
          </w:p>
        </w:tc>
        <w:tc>
          <w:tcPr>
            <w:tcW w:w="1260" w:type="dxa"/>
            <w:tcBorders>
              <w:top w:val="nil"/>
              <w:left w:val="nil"/>
              <w:bottom w:val="nil"/>
              <w:right w:val="nil"/>
            </w:tcBorders>
            <w:shd w:val="clear" w:color="auto" w:fill="auto"/>
            <w:noWrap/>
            <w:vAlign w:val="bottom"/>
            <w:hideMark/>
          </w:tcPr>
          <w:p w14:paraId="05EC8D65"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-0.005***</w:t>
            </w:r>
          </w:p>
        </w:tc>
        <w:tc>
          <w:tcPr>
            <w:tcW w:w="1260" w:type="dxa"/>
            <w:tcBorders>
              <w:top w:val="nil"/>
              <w:left w:val="nil"/>
              <w:bottom w:val="nil"/>
              <w:right w:val="nil"/>
            </w:tcBorders>
            <w:shd w:val="clear" w:color="auto" w:fill="auto"/>
            <w:noWrap/>
            <w:vAlign w:val="bottom"/>
            <w:hideMark/>
          </w:tcPr>
          <w:p w14:paraId="5EF90F64"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-0.005***</w:t>
            </w:r>
          </w:p>
        </w:tc>
      </w:tr>
      <w:tr w:rsidR="002F5D47" w:rsidRPr="00630B32" w14:paraId="31923C3E" w14:textId="77777777" w:rsidTr="00C04359">
        <w:trPr>
          <w:trHeight w:val="280"/>
        </w:trPr>
        <w:tc>
          <w:tcPr>
            <w:tcW w:w="1494" w:type="dxa"/>
            <w:tcBorders>
              <w:top w:val="nil"/>
              <w:left w:val="nil"/>
              <w:bottom w:val="nil"/>
              <w:right w:val="nil"/>
            </w:tcBorders>
            <w:shd w:val="clear" w:color="auto" w:fill="auto"/>
            <w:noWrap/>
            <w:vAlign w:val="bottom"/>
            <w:hideMark/>
          </w:tcPr>
          <w:p w14:paraId="3A7C724F"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533A100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(0.033)</w:t>
            </w:r>
          </w:p>
        </w:tc>
        <w:tc>
          <w:tcPr>
            <w:tcW w:w="1260" w:type="dxa"/>
            <w:tcBorders>
              <w:top w:val="nil"/>
              <w:left w:val="nil"/>
              <w:bottom w:val="nil"/>
              <w:right w:val="nil"/>
            </w:tcBorders>
            <w:shd w:val="clear" w:color="auto" w:fill="auto"/>
            <w:noWrap/>
            <w:vAlign w:val="bottom"/>
            <w:hideMark/>
          </w:tcPr>
          <w:p w14:paraId="758683E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(0.027)</w:t>
            </w:r>
          </w:p>
        </w:tc>
        <w:tc>
          <w:tcPr>
            <w:tcW w:w="1170" w:type="dxa"/>
            <w:tcBorders>
              <w:top w:val="nil"/>
              <w:left w:val="nil"/>
              <w:bottom w:val="nil"/>
              <w:right w:val="nil"/>
            </w:tcBorders>
            <w:shd w:val="clear" w:color="auto" w:fill="auto"/>
            <w:noWrap/>
            <w:vAlign w:val="bottom"/>
            <w:hideMark/>
          </w:tcPr>
          <w:p w14:paraId="447F5C8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(0.462)</w:t>
            </w:r>
          </w:p>
        </w:tc>
        <w:tc>
          <w:tcPr>
            <w:tcW w:w="1170" w:type="dxa"/>
            <w:tcBorders>
              <w:top w:val="nil"/>
              <w:left w:val="nil"/>
              <w:bottom w:val="nil"/>
              <w:right w:val="nil"/>
            </w:tcBorders>
            <w:shd w:val="clear" w:color="auto" w:fill="auto"/>
            <w:noWrap/>
            <w:vAlign w:val="bottom"/>
            <w:hideMark/>
          </w:tcPr>
          <w:p w14:paraId="650DB3F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(0.538)</w:t>
            </w:r>
          </w:p>
        </w:tc>
        <w:tc>
          <w:tcPr>
            <w:tcW w:w="1350" w:type="dxa"/>
            <w:tcBorders>
              <w:top w:val="nil"/>
              <w:left w:val="nil"/>
              <w:bottom w:val="nil"/>
              <w:right w:val="nil"/>
            </w:tcBorders>
            <w:shd w:val="clear" w:color="auto" w:fill="auto"/>
            <w:noWrap/>
            <w:vAlign w:val="bottom"/>
            <w:hideMark/>
          </w:tcPr>
          <w:p w14:paraId="59BE979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(0.600)</w:t>
            </w:r>
          </w:p>
        </w:tc>
        <w:tc>
          <w:tcPr>
            <w:tcW w:w="1260" w:type="dxa"/>
            <w:tcBorders>
              <w:top w:val="nil"/>
              <w:left w:val="nil"/>
              <w:bottom w:val="nil"/>
              <w:right w:val="nil"/>
            </w:tcBorders>
            <w:shd w:val="clear" w:color="auto" w:fill="auto"/>
            <w:noWrap/>
            <w:vAlign w:val="bottom"/>
            <w:hideMark/>
          </w:tcPr>
          <w:p w14:paraId="7FC9B1B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(0.681)</w:t>
            </w:r>
          </w:p>
        </w:tc>
        <w:tc>
          <w:tcPr>
            <w:tcW w:w="1260" w:type="dxa"/>
            <w:tcBorders>
              <w:top w:val="nil"/>
              <w:left w:val="nil"/>
              <w:bottom w:val="nil"/>
              <w:right w:val="nil"/>
            </w:tcBorders>
            <w:shd w:val="clear" w:color="auto" w:fill="auto"/>
            <w:noWrap/>
            <w:vAlign w:val="bottom"/>
            <w:hideMark/>
          </w:tcPr>
          <w:p w14:paraId="77B4FA4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c>
          <w:tcPr>
            <w:tcW w:w="1260" w:type="dxa"/>
            <w:tcBorders>
              <w:top w:val="nil"/>
              <w:left w:val="nil"/>
              <w:bottom w:val="nil"/>
              <w:right w:val="nil"/>
            </w:tcBorders>
            <w:shd w:val="clear" w:color="auto" w:fill="auto"/>
            <w:noWrap/>
            <w:vAlign w:val="bottom"/>
            <w:hideMark/>
          </w:tcPr>
          <w:p w14:paraId="74F3370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r>
      <w:tr w:rsidR="002F5D47" w:rsidRPr="00630B32" w14:paraId="23CB44F9" w14:textId="77777777" w:rsidTr="00C04359">
        <w:trPr>
          <w:trHeight w:val="280"/>
        </w:trPr>
        <w:tc>
          <w:tcPr>
            <w:tcW w:w="1494" w:type="dxa"/>
            <w:tcBorders>
              <w:top w:val="nil"/>
              <w:left w:val="nil"/>
              <w:bottom w:val="nil"/>
              <w:right w:val="nil"/>
            </w:tcBorders>
            <w:shd w:val="clear" w:color="auto" w:fill="auto"/>
            <w:noWrap/>
            <w:vAlign w:val="bottom"/>
            <w:hideMark/>
          </w:tcPr>
          <w:p w14:paraId="521DDB62"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5E7615AB"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32A1D81"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1BADCA5"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8AF664D" w14:textId="77777777" w:rsidR="002F5D47" w:rsidRPr="00630B32"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2BF4994D"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1A9E614"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DEC7591"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3670F86" w14:textId="77777777" w:rsidR="002F5D47" w:rsidRPr="00630B32" w:rsidRDefault="002F5D47" w:rsidP="00C04359">
            <w:pPr>
              <w:jc w:val="center"/>
              <w:rPr>
                <w:rFonts w:ascii="Calibri" w:eastAsia="Times New Roman" w:hAnsi="Calibri" w:cs="Times New Roman"/>
                <w:color w:val="000000"/>
                <w:sz w:val="22"/>
                <w:szCs w:val="22"/>
              </w:rPr>
            </w:pPr>
          </w:p>
        </w:tc>
      </w:tr>
      <w:tr w:rsidR="002F5D47" w:rsidRPr="00630B32" w14:paraId="3B2C120C" w14:textId="77777777" w:rsidTr="00C04359">
        <w:trPr>
          <w:trHeight w:val="280"/>
        </w:trPr>
        <w:tc>
          <w:tcPr>
            <w:tcW w:w="1494" w:type="dxa"/>
            <w:tcBorders>
              <w:top w:val="nil"/>
              <w:left w:val="nil"/>
              <w:bottom w:val="nil"/>
              <w:right w:val="nil"/>
            </w:tcBorders>
            <w:shd w:val="clear" w:color="auto" w:fill="auto"/>
            <w:noWrap/>
            <w:vAlign w:val="bottom"/>
            <w:hideMark/>
          </w:tcPr>
          <w:p w14:paraId="4821CE43"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Wind Speed</w:t>
            </w:r>
          </w:p>
        </w:tc>
        <w:tc>
          <w:tcPr>
            <w:tcW w:w="1386" w:type="dxa"/>
            <w:tcBorders>
              <w:top w:val="nil"/>
              <w:left w:val="nil"/>
              <w:bottom w:val="nil"/>
              <w:right w:val="nil"/>
            </w:tcBorders>
            <w:shd w:val="clear" w:color="auto" w:fill="auto"/>
            <w:noWrap/>
            <w:vAlign w:val="bottom"/>
            <w:hideMark/>
          </w:tcPr>
          <w:p w14:paraId="53F2B6F5"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-0.061</w:t>
            </w:r>
          </w:p>
        </w:tc>
        <w:tc>
          <w:tcPr>
            <w:tcW w:w="1260" w:type="dxa"/>
            <w:tcBorders>
              <w:top w:val="nil"/>
              <w:left w:val="nil"/>
              <w:bottom w:val="nil"/>
              <w:right w:val="nil"/>
            </w:tcBorders>
            <w:shd w:val="clear" w:color="auto" w:fill="auto"/>
            <w:noWrap/>
            <w:vAlign w:val="bottom"/>
            <w:hideMark/>
          </w:tcPr>
          <w:p w14:paraId="2161ADF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-0.238*</w:t>
            </w:r>
          </w:p>
        </w:tc>
        <w:tc>
          <w:tcPr>
            <w:tcW w:w="1170" w:type="dxa"/>
            <w:tcBorders>
              <w:top w:val="nil"/>
              <w:left w:val="nil"/>
              <w:bottom w:val="nil"/>
              <w:right w:val="nil"/>
            </w:tcBorders>
            <w:shd w:val="clear" w:color="auto" w:fill="auto"/>
            <w:noWrap/>
            <w:vAlign w:val="bottom"/>
            <w:hideMark/>
          </w:tcPr>
          <w:p w14:paraId="3B5AE7B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-2.448**</w:t>
            </w:r>
          </w:p>
        </w:tc>
        <w:tc>
          <w:tcPr>
            <w:tcW w:w="1170" w:type="dxa"/>
            <w:tcBorders>
              <w:top w:val="nil"/>
              <w:left w:val="nil"/>
              <w:bottom w:val="nil"/>
              <w:right w:val="nil"/>
            </w:tcBorders>
            <w:shd w:val="clear" w:color="auto" w:fill="auto"/>
            <w:noWrap/>
            <w:vAlign w:val="bottom"/>
            <w:hideMark/>
          </w:tcPr>
          <w:p w14:paraId="297755C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-0.866</w:t>
            </w:r>
          </w:p>
        </w:tc>
        <w:tc>
          <w:tcPr>
            <w:tcW w:w="1350" w:type="dxa"/>
            <w:tcBorders>
              <w:top w:val="nil"/>
              <w:left w:val="nil"/>
              <w:bottom w:val="nil"/>
              <w:right w:val="nil"/>
            </w:tcBorders>
            <w:shd w:val="clear" w:color="auto" w:fill="auto"/>
            <w:noWrap/>
            <w:vAlign w:val="bottom"/>
            <w:hideMark/>
          </w:tcPr>
          <w:p w14:paraId="6222A36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-4.278**</w:t>
            </w:r>
          </w:p>
        </w:tc>
        <w:tc>
          <w:tcPr>
            <w:tcW w:w="1260" w:type="dxa"/>
            <w:tcBorders>
              <w:top w:val="nil"/>
              <w:left w:val="nil"/>
              <w:bottom w:val="nil"/>
              <w:right w:val="nil"/>
            </w:tcBorders>
            <w:shd w:val="clear" w:color="auto" w:fill="auto"/>
            <w:noWrap/>
            <w:vAlign w:val="bottom"/>
            <w:hideMark/>
          </w:tcPr>
          <w:p w14:paraId="65E2DC9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-1.966</w:t>
            </w:r>
          </w:p>
        </w:tc>
        <w:tc>
          <w:tcPr>
            <w:tcW w:w="1260" w:type="dxa"/>
            <w:tcBorders>
              <w:top w:val="nil"/>
              <w:left w:val="nil"/>
              <w:bottom w:val="nil"/>
              <w:right w:val="nil"/>
            </w:tcBorders>
            <w:shd w:val="clear" w:color="auto" w:fill="auto"/>
            <w:noWrap/>
            <w:vAlign w:val="bottom"/>
            <w:hideMark/>
          </w:tcPr>
          <w:p w14:paraId="4B36501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c>
          <w:tcPr>
            <w:tcW w:w="1260" w:type="dxa"/>
            <w:tcBorders>
              <w:top w:val="nil"/>
              <w:left w:val="nil"/>
              <w:bottom w:val="nil"/>
              <w:right w:val="nil"/>
            </w:tcBorders>
            <w:shd w:val="clear" w:color="auto" w:fill="auto"/>
            <w:noWrap/>
            <w:vAlign w:val="bottom"/>
            <w:hideMark/>
          </w:tcPr>
          <w:p w14:paraId="7DAB997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r>
      <w:tr w:rsidR="002F5D47" w:rsidRPr="00630B32" w14:paraId="5C58877E" w14:textId="77777777" w:rsidTr="00C04359">
        <w:trPr>
          <w:trHeight w:val="280"/>
        </w:trPr>
        <w:tc>
          <w:tcPr>
            <w:tcW w:w="1494" w:type="dxa"/>
            <w:tcBorders>
              <w:top w:val="nil"/>
              <w:left w:val="nil"/>
              <w:bottom w:val="nil"/>
              <w:right w:val="nil"/>
            </w:tcBorders>
            <w:shd w:val="clear" w:color="auto" w:fill="auto"/>
            <w:noWrap/>
            <w:vAlign w:val="bottom"/>
            <w:hideMark/>
          </w:tcPr>
          <w:p w14:paraId="24BD34B2"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099B5E7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(0.088)</w:t>
            </w:r>
          </w:p>
        </w:tc>
        <w:tc>
          <w:tcPr>
            <w:tcW w:w="1260" w:type="dxa"/>
            <w:tcBorders>
              <w:top w:val="nil"/>
              <w:left w:val="nil"/>
              <w:bottom w:val="nil"/>
              <w:right w:val="nil"/>
            </w:tcBorders>
            <w:shd w:val="clear" w:color="auto" w:fill="auto"/>
            <w:noWrap/>
            <w:vAlign w:val="bottom"/>
            <w:hideMark/>
          </w:tcPr>
          <w:p w14:paraId="2882DD5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(0.107)</w:t>
            </w:r>
          </w:p>
        </w:tc>
        <w:tc>
          <w:tcPr>
            <w:tcW w:w="1170" w:type="dxa"/>
            <w:tcBorders>
              <w:top w:val="nil"/>
              <w:left w:val="nil"/>
              <w:bottom w:val="nil"/>
              <w:right w:val="nil"/>
            </w:tcBorders>
            <w:shd w:val="clear" w:color="auto" w:fill="auto"/>
            <w:noWrap/>
            <w:vAlign w:val="bottom"/>
            <w:hideMark/>
          </w:tcPr>
          <w:p w14:paraId="3F72D0C3"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(0.823)</w:t>
            </w:r>
          </w:p>
        </w:tc>
        <w:tc>
          <w:tcPr>
            <w:tcW w:w="1170" w:type="dxa"/>
            <w:tcBorders>
              <w:top w:val="nil"/>
              <w:left w:val="nil"/>
              <w:bottom w:val="nil"/>
              <w:right w:val="nil"/>
            </w:tcBorders>
            <w:shd w:val="clear" w:color="auto" w:fill="auto"/>
            <w:noWrap/>
            <w:vAlign w:val="bottom"/>
            <w:hideMark/>
          </w:tcPr>
          <w:p w14:paraId="32BFA77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(0.974)</w:t>
            </w:r>
          </w:p>
        </w:tc>
        <w:tc>
          <w:tcPr>
            <w:tcW w:w="1350" w:type="dxa"/>
            <w:tcBorders>
              <w:top w:val="nil"/>
              <w:left w:val="nil"/>
              <w:bottom w:val="nil"/>
              <w:right w:val="nil"/>
            </w:tcBorders>
            <w:shd w:val="clear" w:color="auto" w:fill="auto"/>
            <w:noWrap/>
            <w:vAlign w:val="bottom"/>
            <w:hideMark/>
          </w:tcPr>
          <w:p w14:paraId="7D88B69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(1.575)</w:t>
            </w:r>
          </w:p>
        </w:tc>
        <w:tc>
          <w:tcPr>
            <w:tcW w:w="1260" w:type="dxa"/>
            <w:tcBorders>
              <w:top w:val="nil"/>
              <w:left w:val="nil"/>
              <w:bottom w:val="nil"/>
              <w:right w:val="nil"/>
            </w:tcBorders>
            <w:shd w:val="clear" w:color="auto" w:fill="auto"/>
            <w:noWrap/>
            <w:vAlign w:val="bottom"/>
            <w:hideMark/>
          </w:tcPr>
          <w:p w14:paraId="00D2367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(2.250)</w:t>
            </w:r>
          </w:p>
        </w:tc>
        <w:tc>
          <w:tcPr>
            <w:tcW w:w="1260" w:type="dxa"/>
            <w:tcBorders>
              <w:top w:val="nil"/>
              <w:left w:val="nil"/>
              <w:bottom w:val="nil"/>
              <w:right w:val="nil"/>
            </w:tcBorders>
            <w:shd w:val="clear" w:color="auto" w:fill="auto"/>
            <w:noWrap/>
            <w:vAlign w:val="bottom"/>
            <w:hideMark/>
          </w:tcPr>
          <w:p w14:paraId="1B81660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(0.001)</w:t>
            </w:r>
          </w:p>
        </w:tc>
        <w:tc>
          <w:tcPr>
            <w:tcW w:w="1260" w:type="dxa"/>
            <w:tcBorders>
              <w:top w:val="nil"/>
              <w:left w:val="nil"/>
              <w:bottom w:val="nil"/>
              <w:right w:val="nil"/>
            </w:tcBorders>
            <w:shd w:val="clear" w:color="auto" w:fill="auto"/>
            <w:noWrap/>
            <w:vAlign w:val="bottom"/>
            <w:hideMark/>
          </w:tcPr>
          <w:p w14:paraId="4E34D83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(0.000)</w:t>
            </w:r>
          </w:p>
        </w:tc>
      </w:tr>
      <w:tr w:rsidR="002F5D47" w:rsidRPr="00630B32" w14:paraId="209788EB" w14:textId="77777777" w:rsidTr="00C04359">
        <w:trPr>
          <w:trHeight w:val="280"/>
        </w:trPr>
        <w:tc>
          <w:tcPr>
            <w:tcW w:w="1494" w:type="dxa"/>
            <w:tcBorders>
              <w:top w:val="nil"/>
              <w:left w:val="nil"/>
              <w:bottom w:val="nil"/>
              <w:right w:val="nil"/>
            </w:tcBorders>
            <w:shd w:val="clear" w:color="auto" w:fill="auto"/>
            <w:noWrap/>
            <w:vAlign w:val="bottom"/>
            <w:hideMark/>
          </w:tcPr>
          <w:p w14:paraId="4B52E183"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45A23847"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B55E5E3"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9613D76"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27FA56C" w14:textId="77777777" w:rsidR="002F5D47" w:rsidRPr="00630B32"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5F9D3A3"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C38DEEC"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CCCBAE2"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52A3DF3" w14:textId="77777777" w:rsidR="002F5D47" w:rsidRPr="00630B32" w:rsidRDefault="002F5D47" w:rsidP="00C04359">
            <w:pPr>
              <w:jc w:val="center"/>
              <w:rPr>
                <w:rFonts w:ascii="Calibri" w:eastAsia="Times New Roman" w:hAnsi="Calibri" w:cs="Times New Roman"/>
                <w:color w:val="000000"/>
                <w:sz w:val="22"/>
                <w:szCs w:val="22"/>
              </w:rPr>
            </w:pPr>
          </w:p>
        </w:tc>
      </w:tr>
      <w:tr w:rsidR="002F5D47" w:rsidRPr="00630B32" w14:paraId="028C836D" w14:textId="77777777" w:rsidTr="00C04359">
        <w:trPr>
          <w:trHeight w:val="280"/>
        </w:trPr>
        <w:tc>
          <w:tcPr>
            <w:tcW w:w="1494" w:type="dxa"/>
            <w:tcBorders>
              <w:top w:val="nil"/>
              <w:left w:val="nil"/>
              <w:bottom w:val="nil"/>
              <w:right w:val="nil"/>
            </w:tcBorders>
            <w:shd w:val="clear" w:color="auto" w:fill="auto"/>
            <w:noWrap/>
            <w:vAlign w:val="bottom"/>
            <w:hideMark/>
          </w:tcPr>
          <w:p w14:paraId="706C5996"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Constant</w:t>
            </w:r>
          </w:p>
        </w:tc>
        <w:tc>
          <w:tcPr>
            <w:tcW w:w="1386" w:type="dxa"/>
            <w:tcBorders>
              <w:top w:val="nil"/>
              <w:left w:val="nil"/>
              <w:bottom w:val="nil"/>
              <w:right w:val="nil"/>
            </w:tcBorders>
            <w:shd w:val="clear" w:color="auto" w:fill="auto"/>
            <w:noWrap/>
            <w:vAlign w:val="bottom"/>
            <w:hideMark/>
          </w:tcPr>
          <w:p w14:paraId="07B5D4D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0.747**</w:t>
            </w:r>
          </w:p>
        </w:tc>
        <w:tc>
          <w:tcPr>
            <w:tcW w:w="1260" w:type="dxa"/>
            <w:tcBorders>
              <w:top w:val="nil"/>
              <w:left w:val="nil"/>
              <w:bottom w:val="nil"/>
              <w:right w:val="nil"/>
            </w:tcBorders>
            <w:shd w:val="clear" w:color="auto" w:fill="auto"/>
            <w:noWrap/>
            <w:vAlign w:val="bottom"/>
            <w:hideMark/>
          </w:tcPr>
          <w:p w14:paraId="65B4086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0.977***</w:t>
            </w:r>
          </w:p>
        </w:tc>
        <w:tc>
          <w:tcPr>
            <w:tcW w:w="1170" w:type="dxa"/>
            <w:tcBorders>
              <w:top w:val="nil"/>
              <w:left w:val="nil"/>
              <w:bottom w:val="nil"/>
              <w:right w:val="nil"/>
            </w:tcBorders>
            <w:shd w:val="clear" w:color="auto" w:fill="auto"/>
            <w:noWrap/>
            <w:vAlign w:val="bottom"/>
            <w:hideMark/>
          </w:tcPr>
          <w:p w14:paraId="46B3941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24.730***</w:t>
            </w:r>
          </w:p>
        </w:tc>
        <w:tc>
          <w:tcPr>
            <w:tcW w:w="1170" w:type="dxa"/>
            <w:tcBorders>
              <w:top w:val="nil"/>
              <w:left w:val="nil"/>
              <w:bottom w:val="nil"/>
              <w:right w:val="nil"/>
            </w:tcBorders>
            <w:shd w:val="clear" w:color="auto" w:fill="auto"/>
            <w:noWrap/>
            <w:vAlign w:val="bottom"/>
            <w:hideMark/>
          </w:tcPr>
          <w:p w14:paraId="7244F81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15.560***</w:t>
            </w:r>
          </w:p>
        </w:tc>
        <w:tc>
          <w:tcPr>
            <w:tcW w:w="1350" w:type="dxa"/>
            <w:tcBorders>
              <w:top w:val="nil"/>
              <w:left w:val="nil"/>
              <w:bottom w:val="nil"/>
              <w:right w:val="nil"/>
            </w:tcBorders>
            <w:shd w:val="clear" w:color="auto" w:fill="auto"/>
            <w:noWrap/>
            <w:vAlign w:val="bottom"/>
            <w:hideMark/>
          </w:tcPr>
          <w:p w14:paraId="5AED897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35.624***</w:t>
            </w:r>
          </w:p>
        </w:tc>
        <w:tc>
          <w:tcPr>
            <w:tcW w:w="1260" w:type="dxa"/>
            <w:tcBorders>
              <w:top w:val="nil"/>
              <w:left w:val="nil"/>
              <w:bottom w:val="nil"/>
              <w:right w:val="nil"/>
            </w:tcBorders>
            <w:shd w:val="clear" w:color="auto" w:fill="auto"/>
            <w:noWrap/>
            <w:vAlign w:val="bottom"/>
            <w:hideMark/>
          </w:tcPr>
          <w:p w14:paraId="65BFFD5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16.383**</w:t>
            </w:r>
          </w:p>
        </w:tc>
        <w:tc>
          <w:tcPr>
            <w:tcW w:w="1260" w:type="dxa"/>
            <w:tcBorders>
              <w:top w:val="nil"/>
              <w:left w:val="nil"/>
              <w:bottom w:val="nil"/>
              <w:right w:val="nil"/>
            </w:tcBorders>
            <w:shd w:val="clear" w:color="auto" w:fill="auto"/>
            <w:noWrap/>
            <w:vAlign w:val="bottom"/>
            <w:hideMark/>
          </w:tcPr>
          <w:p w14:paraId="1166BB4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0.040***</w:t>
            </w:r>
          </w:p>
        </w:tc>
        <w:tc>
          <w:tcPr>
            <w:tcW w:w="1260" w:type="dxa"/>
            <w:tcBorders>
              <w:top w:val="nil"/>
              <w:left w:val="nil"/>
              <w:bottom w:val="nil"/>
              <w:right w:val="nil"/>
            </w:tcBorders>
            <w:shd w:val="clear" w:color="auto" w:fill="auto"/>
            <w:noWrap/>
            <w:vAlign w:val="bottom"/>
            <w:hideMark/>
          </w:tcPr>
          <w:p w14:paraId="2D2BC0B4"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0.047***</w:t>
            </w:r>
          </w:p>
        </w:tc>
      </w:tr>
      <w:tr w:rsidR="002F5D47" w:rsidRPr="00630B32" w14:paraId="248EB222" w14:textId="77777777" w:rsidTr="00C04359">
        <w:trPr>
          <w:trHeight w:val="280"/>
        </w:trPr>
        <w:tc>
          <w:tcPr>
            <w:tcW w:w="1494" w:type="dxa"/>
            <w:tcBorders>
              <w:top w:val="nil"/>
              <w:left w:val="nil"/>
              <w:bottom w:val="nil"/>
              <w:right w:val="nil"/>
            </w:tcBorders>
            <w:shd w:val="clear" w:color="auto" w:fill="auto"/>
            <w:noWrap/>
            <w:vAlign w:val="bottom"/>
            <w:hideMark/>
          </w:tcPr>
          <w:p w14:paraId="639A8B64"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3AE26E45"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(0.279)</w:t>
            </w:r>
          </w:p>
        </w:tc>
        <w:tc>
          <w:tcPr>
            <w:tcW w:w="1260" w:type="dxa"/>
            <w:tcBorders>
              <w:top w:val="nil"/>
              <w:left w:val="nil"/>
              <w:bottom w:val="nil"/>
              <w:right w:val="nil"/>
            </w:tcBorders>
            <w:shd w:val="clear" w:color="auto" w:fill="auto"/>
            <w:noWrap/>
            <w:vAlign w:val="bottom"/>
            <w:hideMark/>
          </w:tcPr>
          <w:p w14:paraId="1BAD2FF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(0.245)</w:t>
            </w:r>
          </w:p>
        </w:tc>
        <w:tc>
          <w:tcPr>
            <w:tcW w:w="1170" w:type="dxa"/>
            <w:tcBorders>
              <w:top w:val="nil"/>
              <w:left w:val="nil"/>
              <w:bottom w:val="nil"/>
              <w:right w:val="nil"/>
            </w:tcBorders>
            <w:shd w:val="clear" w:color="auto" w:fill="auto"/>
            <w:noWrap/>
            <w:vAlign w:val="bottom"/>
            <w:hideMark/>
          </w:tcPr>
          <w:p w14:paraId="5E16344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(3.833)</w:t>
            </w:r>
          </w:p>
        </w:tc>
        <w:tc>
          <w:tcPr>
            <w:tcW w:w="1170" w:type="dxa"/>
            <w:tcBorders>
              <w:top w:val="nil"/>
              <w:left w:val="nil"/>
              <w:bottom w:val="nil"/>
              <w:right w:val="nil"/>
            </w:tcBorders>
            <w:shd w:val="clear" w:color="auto" w:fill="auto"/>
            <w:noWrap/>
            <w:vAlign w:val="bottom"/>
            <w:hideMark/>
          </w:tcPr>
          <w:p w14:paraId="14E16DC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(3.331)</w:t>
            </w:r>
          </w:p>
        </w:tc>
        <w:tc>
          <w:tcPr>
            <w:tcW w:w="1350" w:type="dxa"/>
            <w:tcBorders>
              <w:top w:val="nil"/>
              <w:left w:val="nil"/>
              <w:bottom w:val="nil"/>
              <w:right w:val="nil"/>
            </w:tcBorders>
            <w:shd w:val="clear" w:color="auto" w:fill="auto"/>
            <w:noWrap/>
            <w:vAlign w:val="bottom"/>
            <w:hideMark/>
          </w:tcPr>
          <w:p w14:paraId="273E26A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(6.367)</w:t>
            </w:r>
          </w:p>
        </w:tc>
        <w:tc>
          <w:tcPr>
            <w:tcW w:w="1260" w:type="dxa"/>
            <w:tcBorders>
              <w:top w:val="nil"/>
              <w:left w:val="nil"/>
              <w:bottom w:val="nil"/>
              <w:right w:val="nil"/>
            </w:tcBorders>
            <w:shd w:val="clear" w:color="auto" w:fill="auto"/>
            <w:noWrap/>
            <w:vAlign w:val="bottom"/>
            <w:hideMark/>
          </w:tcPr>
          <w:p w14:paraId="165E35C1"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(7.516)</w:t>
            </w:r>
          </w:p>
        </w:tc>
        <w:tc>
          <w:tcPr>
            <w:tcW w:w="1260" w:type="dxa"/>
            <w:tcBorders>
              <w:top w:val="nil"/>
              <w:left w:val="nil"/>
              <w:bottom w:val="nil"/>
              <w:right w:val="nil"/>
            </w:tcBorders>
            <w:shd w:val="clear" w:color="auto" w:fill="auto"/>
            <w:noWrap/>
            <w:vAlign w:val="bottom"/>
            <w:hideMark/>
          </w:tcPr>
          <w:p w14:paraId="3740F977"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(0.005)</w:t>
            </w:r>
          </w:p>
        </w:tc>
        <w:tc>
          <w:tcPr>
            <w:tcW w:w="1260" w:type="dxa"/>
            <w:tcBorders>
              <w:top w:val="nil"/>
              <w:left w:val="nil"/>
              <w:bottom w:val="nil"/>
              <w:right w:val="nil"/>
            </w:tcBorders>
            <w:shd w:val="clear" w:color="auto" w:fill="auto"/>
            <w:noWrap/>
            <w:vAlign w:val="bottom"/>
            <w:hideMark/>
          </w:tcPr>
          <w:p w14:paraId="52AF2797"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(0.003)</w:t>
            </w:r>
          </w:p>
        </w:tc>
      </w:tr>
      <w:tr w:rsidR="002F5D47" w:rsidRPr="00630B32" w14:paraId="43954E0B" w14:textId="77777777" w:rsidTr="00C04359">
        <w:trPr>
          <w:trHeight w:val="280"/>
        </w:trPr>
        <w:tc>
          <w:tcPr>
            <w:tcW w:w="1494" w:type="dxa"/>
            <w:tcBorders>
              <w:top w:val="nil"/>
              <w:left w:val="nil"/>
              <w:bottom w:val="nil"/>
              <w:right w:val="nil"/>
            </w:tcBorders>
            <w:shd w:val="clear" w:color="auto" w:fill="auto"/>
            <w:noWrap/>
            <w:vAlign w:val="bottom"/>
            <w:hideMark/>
          </w:tcPr>
          <w:p w14:paraId="115499DF"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759FB97B"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B9B89BD"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8FFDA6B"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A6B3501" w14:textId="77777777" w:rsidR="002F5D47" w:rsidRPr="00630B32"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3DDD440D"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C8874A5"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9EFDA8C"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1A00966" w14:textId="77777777" w:rsidR="002F5D47" w:rsidRPr="00630B32" w:rsidRDefault="002F5D47" w:rsidP="00C04359">
            <w:pPr>
              <w:jc w:val="center"/>
              <w:rPr>
                <w:rFonts w:ascii="Calibri" w:eastAsia="Times New Roman" w:hAnsi="Calibri" w:cs="Times New Roman"/>
                <w:color w:val="000000"/>
                <w:sz w:val="22"/>
                <w:szCs w:val="22"/>
              </w:rPr>
            </w:pPr>
          </w:p>
        </w:tc>
      </w:tr>
      <w:tr w:rsidR="002F5D47" w:rsidRPr="00630B32" w14:paraId="75541362" w14:textId="77777777" w:rsidTr="00C04359">
        <w:trPr>
          <w:trHeight w:val="280"/>
        </w:trPr>
        <w:tc>
          <w:tcPr>
            <w:tcW w:w="1494" w:type="dxa"/>
            <w:tcBorders>
              <w:top w:val="nil"/>
              <w:left w:val="nil"/>
              <w:bottom w:val="nil"/>
              <w:right w:val="nil"/>
            </w:tcBorders>
            <w:shd w:val="clear" w:color="auto" w:fill="auto"/>
            <w:noWrap/>
            <w:vAlign w:val="center"/>
            <w:hideMark/>
          </w:tcPr>
          <w:p w14:paraId="51DFDA7B"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Monitor FE</w:t>
            </w:r>
          </w:p>
        </w:tc>
        <w:tc>
          <w:tcPr>
            <w:tcW w:w="1386" w:type="dxa"/>
            <w:tcBorders>
              <w:top w:val="nil"/>
              <w:left w:val="nil"/>
              <w:bottom w:val="nil"/>
              <w:right w:val="nil"/>
            </w:tcBorders>
            <w:shd w:val="clear" w:color="auto" w:fill="auto"/>
            <w:noWrap/>
            <w:vAlign w:val="center"/>
            <w:hideMark/>
          </w:tcPr>
          <w:p w14:paraId="13CD7C6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p>
        </w:tc>
        <w:tc>
          <w:tcPr>
            <w:tcW w:w="1260" w:type="dxa"/>
            <w:tcBorders>
              <w:top w:val="nil"/>
              <w:left w:val="nil"/>
              <w:bottom w:val="nil"/>
              <w:right w:val="nil"/>
            </w:tcBorders>
            <w:shd w:val="clear" w:color="auto" w:fill="auto"/>
            <w:noWrap/>
            <w:vAlign w:val="center"/>
            <w:hideMark/>
          </w:tcPr>
          <w:p w14:paraId="4D2A151E"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6279055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57CF2549"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Yes</w:t>
            </w:r>
          </w:p>
        </w:tc>
        <w:tc>
          <w:tcPr>
            <w:tcW w:w="1350" w:type="dxa"/>
            <w:tcBorders>
              <w:top w:val="nil"/>
              <w:left w:val="nil"/>
              <w:bottom w:val="nil"/>
              <w:right w:val="nil"/>
            </w:tcBorders>
            <w:shd w:val="clear" w:color="auto" w:fill="auto"/>
            <w:noWrap/>
            <w:vAlign w:val="center"/>
            <w:hideMark/>
          </w:tcPr>
          <w:p w14:paraId="40D6485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p>
        </w:tc>
        <w:tc>
          <w:tcPr>
            <w:tcW w:w="1260" w:type="dxa"/>
            <w:tcBorders>
              <w:top w:val="nil"/>
              <w:left w:val="nil"/>
              <w:bottom w:val="nil"/>
              <w:right w:val="nil"/>
            </w:tcBorders>
            <w:shd w:val="clear" w:color="auto" w:fill="auto"/>
            <w:noWrap/>
            <w:vAlign w:val="center"/>
            <w:hideMark/>
          </w:tcPr>
          <w:p w14:paraId="77A153B8"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Yes</w:t>
            </w:r>
          </w:p>
        </w:tc>
        <w:tc>
          <w:tcPr>
            <w:tcW w:w="1260" w:type="dxa"/>
            <w:tcBorders>
              <w:top w:val="nil"/>
              <w:left w:val="nil"/>
              <w:bottom w:val="nil"/>
              <w:right w:val="nil"/>
            </w:tcBorders>
            <w:shd w:val="clear" w:color="auto" w:fill="auto"/>
            <w:noWrap/>
            <w:vAlign w:val="center"/>
            <w:hideMark/>
          </w:tcPr>
          <w:p w14:paraId="0315A332"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No</w:t>
            </w:r>
          </w:p>
        </w:tc>
        <w:tc>
          <w:tcPr>
            <w:tcW w:w="1260" w:type="dxa"/>
            <w:tcBorders>
              <w:top w:val="nil"/>
              <w:left w:val="nil"/>
              <w:bottom w:val="nil"/>
              <w:right w:val="nil"/>
            </w:tcBorders>
            <w:shd w:val="clear" w:color="auto" w:fill="auto"/>
            <w:noWrap/>
            <w:vAlign w:val="center"/>
            <w:hideMark/>
          </w:tcPr>
          <w:p w14:paraId="7022779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Yes</w:t>
            </w:r>
          </w:p>
        </w:tc>
      </w:tr>
      <w:tr w:rsidR="002F5D47" w:rsidRPr="00630B32" w14:paraId="7F9E4EBA" w14:textId="77777777" w:rsidTr="00C04359">
        <w:trPr>
          <w:trHeight w:val="280"/>
        </w:trPr>
        <w:tc>
          <w:tcPr>
            <w:tcW w:w="1494" w:type="dxa"/>
            <w:tcBorders>
              <w:top w:val="nil"/>
              <w:left w:val="nil"/>
              <w:bottom w:val="nil"/>
              <w:right w:val="nil"/>
            </w:tcBorders>
            <w:shd w:val="clear" w:color="auto" w:fill="auto"/>
            <w:noWrap/>
            <w:vAlign w:val="bottom"/>
            <w:hideMark/>
          </w:tcPr>
          <w:p w14:paraId="35789ADA" w14:textId="77777777" w:rsidR="002F5D47" w:rsidRPr="00630B32" w:rsidRDefault="002F5D47" w:rsidP="00C04359">
            <w:pPr>
              <w:rPr>
                <w:rFonts w:ascii="Calibri" w:eastAsia="Times New Roman" w:hAnsi="Calibri" w:cs="Times New Roman"/>
                <w:color w:val="000000"/>
                <w:sz w:val="22"/>
                <w:szCs w:val="22"/>
              </w:rPr>
            </w:pPr>
          </w:p>
        </w:tc>
        <w:tc>
          <w:tcPr>
            <w:tcW w:w="1386" w:type="dxa"/>
            <w:tcBorders>
              <w:top w:val="nil"/>
              <w:left w:val="nil"/>
              <w:bottom w:val="nil"/>
              <w:right w:val="nil"/>
            </w:tcBorders>
            <w:shd w:val="clear" w:color="auto" w:fill="auto"/>
            <w:noWrap/>
            <w:vAlign w:val="bottom"/>
            <w:hideMark/>
          </w:tcPr>
          <w:p w14:paraId="6ED96799"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5684096"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B827277" w14:textId="77777777" w:rsidR="002F5D47" w:rsidRPr="00630B32"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66E0D02" w14:textId="77777777" w:rsidR="002F5D47" w:rsidRPr="00630B32"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6F5CE09"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EEDED9D"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8C1584F" w14:textId="77777777" w:rsidR="002F5D47" w:rsidRPr="00630B32"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C6591FD" w14:textId="77777777" w:rsidR="002F5D47" w:rsidRPr="00630B32" w:rsidRDefault="002F5D47" w:rsidP="00C04359">
            <w:pPr>
              <w:jc w:val="center"/>
              <w:rPr>
                <w:rFonts w:ascii="Calibri" w:eastAsia="Times New Roman" w:hAnsi="Calibri" w:cs="Times New Roman"/>
                <w:color w:val="000000"/>
                <w:sz w:val="22"/>
                <w:szCs w:val="22"/>
              </w:rPr>
            </w:pPr>
          </w:p>
        </w:tc>
      </w:tr>
      <w:tr w:rsidR="002F5D47" w:rsidRPr="00630B32" w14:paraId="11A59DB9" w14:textId="77777777" w:rsidTr="00C04359">
        <w:trPr>
          <w:trHeight w:val="280"/>
        </w:trPr>
        <w:tc>
          <w:tcPr>
            <w:tcW w:w="1494" w:type="dxa"/>
            <w:tcBorders>
              <w:top w:val="nil"/>
              <w:left w:val="nil"/>
              <w:bottom w:val="nil"/>
              <w:right w:val="nil"/>
            </w:tcBorders>
            <w:shd w:val="clear" w:color="auto" w:fill="auto"/>
            <w:noWrap/>
            <w:vAlign w:val="bottom"/>
            <w:hideMark/>
          </w:tcPr>
          <w:p w14:paraId="773F4222"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Observations</w:t>
            </w:r>
          </w:p>
        </w:tc>
        <w:tc>
          <w:tcPr>
            <w:tcW w:w="1386" w:type="dxa"/>
            <w:tcBorders>
              <w:top w:val="nil"/>
              <w:left w:val="nil"/>
              <w:bottom w:val="nil"/>
              <w:right w:val="nil"/>
            </w:tcBorders>
            <w:shd w:val="clear" w:color="auto" w:fill="auto"/>
            <w:noWrap/>
            <w:vAlign w:val="bottom"/>
            <w:hideMark/>
          </w:tcPr>
          <w:p w14:paraId="50D90943"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63</w:t>
            </w:r>
          </w:p>
        </w:tc>
        <w:tc>
          <w:tcPr>
            <w:tcW w:w="1260" w:type="dxa"/>
            <w:tcBorders>
              <w:top w:val="nil"/>
              <w:left w:val="nil"/>
              <w:bottom w:val="nil"/>
              <w:right w:val="nil"/>
            </w:tcBorders>
            <w:shd w:val="clear" w:color="auto" w:fill="auto"/>
            <w:noWrap/>
            <w:vAlign w:val="bottom"/>
            <w:hideMark/>
          </w:tcPr>
          <w:p w14:paraId="3145335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63</w:t>
            </w:r>
          </w:p>
        </w:tc>
        <w:tc>
          <w:tcPr>
            <w:tcW w:w="1170" w:type="dxa"/>
            <w:tcBorders>
              <w:top w:val="nil"/>
              <w:left w:val="nil"/>
              <w:bottom w:val="nil"/>
              <w:right w:val="nil"/>
            </w:tcBorders>
            <w:shd w:val="clear" w:color="auto" w:fill="auto"/>
            <w:noWrap/>
            <w:vAlign w:val="bottom"/>
            <w:hideMark/>
          </w:tcPr>
          <w:p w14:paraId="46D089C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126</w:t>
            </w:r>
          </w:p>
        </w:tc>
        <w:tc>
          <w:tcPr>
            <w:tcW w:w="1170" w:type="dxa"/>
            <w:tcBorders>
              <w:top w:val="nil"/>
              <w:left w:val="nil"/>
              <w:bottom w:val="nil"/>
              <w:right w:val="nil"/>
            </w:tcBorders>
            <w:shd w:val="clear" w:color="auto" w:fill="auto"/>
            <w:noWrap/>
            <w:vAlign w:val="bottom"/>
            <w:hideMark/>
          </w:tcPr>
          <w:p w14:paraId="4943191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126</w:t>
            </w:r>
          </w:p>
        </w:tc>
        <w:tc>
          <w:tcPr>
            <w:tcW w:w="1350" w:type="dxa"/>
            <w:tcBorders>
              <w:top w:val="nil"/>
              <w:left w:val="nil"/>
              <w:bottom w:val="nil"/>
              <w:right w:val="nil"/>
            </w:tcBorders>
            <w:shd w:val="clear" w:color="auto" w:fill="auto"/>
            <w:noWrap/>
            <w:vAlign w:val="bottom"/>
            <w:hideMark/>
          </w:tcPr>
          <w:p w14:paraId="2E279514"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126</w:t>
            </w:r>
          </w:p>
        </w:tc>
        <w:tc>
          <w:tcPr>
            <w:tcW w:w="1260" w:type="dxa"/>
            <w:tcBorders>
              <w:top w:val="nil"/>
              <w:left w:val="nil"/>
              <w:bottom w:val="nil"/>
              <w:right w:val="nil"/>
            </w:tcBorders>
            <w:shd w:val="clear" w:color="auto" w:fill="auto"/>
            <w:noWrap/>
            <w:vAlign w:val="bottom"/>
            <w:hideMark/>
          </w:tcPr>
          <w:p w14:paraId="3F8ED970"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126</w:t>
            </w:r>
          </w:p>
        </w:tc>
        <w:tc>
          <w:tcPr>
            <w:tcW w:w="1260" w:type="dxa"/>
            <w:tcBorders>
              <w:top w:val="nil"/>
              <w:left w:val="nil"/>
              <w:bottom w:val="nil"/>
              <w:right w:val="nil"/>
            </w:tcBorders>
            <w:shd w:val="clear" w:color="auto" w:fill="auto"/>
            <w:noWrap/>
            <w:vAlign w:val="bottom"/>
            <w:hideMark/>
          </w:tcPr>
          <w:p w14:paraId="663867D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135</w:t>
            </w:r>
          </w:p>
        </w:tc>
        <w:tc>
          <w:tcPr>
            <w:tcW w:w="1260" w:type="dxa"/>
            <w:tcBorders>
              <w:top w:val="nil"/>
              <w:left w:val="nil"/>
              <w:bottom w:val="nil"/>
              <w:right w:val="nil"/>
            </w:tcBorders>
            <w:shd w:val="clear" w:color="auto" w:fill="auto"/>
            <w:noWrap/>
            <w:vAlign w:val="bottom"/>
            <w:hideMark/>
          </w:tcPr>
          <w:p w14:paraId="1CF582B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135</w:t>
            </w:r>
          </w:p>
        </w:tc>
      </w:tr>
      <w:tr w:rsidR="002F5D47" w:rsidRPr="00630B32" w14:paraId="509912DD" w14:textId="77777777" w:rsidTr="00C04359">
        <w:trPr>
          <w:trHeight w:val="280"/>
        </w:trPr>
        <w:tc>
          <w:tcPr>
            <w:tcW w:w="1494" w:type="dxa"/>
            <w:tcBorders>
              <w:top w:val="nil"/>
              <w:left w:val="nil"/>
              <w:bottom w:val="single" w:sz="4" w:space="0" w:color="auto"/>
              <w:right w:val="nil"/>
            </w:tcBorders>
            <w:shd w:val="clear" w:color="auto" w:fill="auto"/>
            <w:noWrap/>
            <w:vAlign w:val="bottom"/>
            <w:hideMark/>
          </w:tcPr>
          <w:p w14:paraId="19A08EDD"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R-squared</w:t>
            </w:r>
          </w:p>
        </w:tc>
        <w:tc>
          <w:tcPr>
            <w:tcW w:w="1386" w:type="dxa"/>
            <w:tcBorders>
              <w:top w:val="nil"/>
              <w:left w:val="nil"/>
              <w:bottom w:val="single" w:sz="4" w:space="0" w:color="auto"/>
              <w:right w:val="nil"/>
            </w:tcBorders>
            <w:shd w:val="clear" w:color="auto" w:fill="auto"/>
            <w:noWrap/>
            <w:vAlign w:val="bottom"/>
            <w:hideMark/>
          </w:tcPr>
          <w:p w14:paraId="3F9560CB"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0.320</w:t>
            </w:r>
          </w:p>
        </w:tc>
        <w:tc>
          <w:tcPr>
            <w:tcW w:w="1260" w:type="dxa"/>
            <w:tcBorders>
              <w:top w:val="nil"/>
              <w:left w:val="nil"/>
              <w:bottom w:val="single" w:sz="4" w:space="0" w:color="auto"/>
              <w:right w:val="nil"/>
            </w:tcBorders>
            <w:shd w:val="clear" w:color="auto" w:fill="auto"/>
            <w:noWrap/>
            <w:vAlign w:val="bottom"/>
            <w:hideMark/>
          </w:tcPr>
          <w:p w14:paraId="60AF218A"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0.704</w:t>
            </w:r>
          </w:p>
        </w:tc>
        <w:tc>
          <w:tcPr>
            <w:tcW w:w="1170" w:type="dxa"/>
            <w:tcBorders>
              <w:top w:val="nil"/>
              <w:left w:val="nil"/>
              <w:bottom w:val="single" w:sz="4" w:space="0" w:color="auto"/>
              <w:right w:val="nil"/>
            </w:tcBorders>
            <w:shd w:val="clear" w:color="auto" w:fill="auto"/>
            <w:noWrap/>
            <w:vAlign w:val="bottom"/>
            <w:hideMark/>
          </w:tcPr>
          <w:p w14:paraId="39A68426"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0.336</w:t>
            </w:r>
          </w:p>
        </w:tc>
        <w:tc>
          <w:tcPr>
            <w:tcW w:w="1170" w:type="dxa"/>
            <w:tcBorders>
              <w:top w:val="nil"/>
              <w:left w:val="nil"/>
              <w:bottom w:val="single" w:sz="4" w:space="0" w:color="auto"/>
              <w:right w:val="nil"/>
            </w:tcBorders>
            <w:shd w:val="clear" w:color="auto" w:fill="auto"/>
            <w:noWrap/>
            <w:vAlign w:val="bottom"/>
            <w:hideMark/>
          </w:tcPr>
          <w:p w14:paraId="4428778D"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0.805</w:t>
            </w:r>
          </w:p>
        </w:tc>
        <w:tc>
          <w:tcPr>
            <w:tcW w:w="1350" w:type="dxa"/>
            <w:tcBorders>
              <w:top w:val="nil"/>
              <w:left w:val="nil"/>
              <w:bottom w:val="single" w:sz="4" w:space="0" w:color="auto"/>
              <w:right w:val="nil"/>
            </w:tcBorders>
            <w:shd w:val="clear" w:color="auto" w:fill="auto"/>
            <w:noWrap/>
            <w:vAlign w:val="bottom"/>
            <w:hideMark/>
          </w:tcPr>
          <w:p w14:paraId="5F7F3C94"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0.312</w:t>
            </w:r>
          </w:p>
        </w:tc>
        <w:tc>
          <w:tcPr>
            <w:tcW w:w="1260" w:type="dxa"/>
            <w:tcBorders>
              <w:top w:val="nil"/>
              <w:left w:val="nil"/>
              <w:bottom w:val="single" w:sz="4" w:space="0" w:color="auto"/>
              <w:right w:val="nil"/>
            </w:tcBorders>
            <w:shd w:val="clear" w:color="auto" w:fill="auto"/>
            <w:noWrap/>
            <w:vAlign w:val="bottom"/>
            <w:hideMark/>
          </w:tcPr>
          <w:p w14:paraId="2F43EA3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0.725</w:t>
            </w:r>
          </w:p>
        </w:tc>
        <w:tc>
          <w:tcPr>
            <w:tcW w:w="1260" w:type="dxa"/>
            <w:tcBorders>
              <w:top w:val="nil"/>
              <w:left w:val="nil"/>
              <w:bottom w:val="single" w:sz="4" w:space="0" w:color="auto"/>
              <w:right w:val="nil"/>
            </w:tcBorders>
            <w:shd w:val="clear" w:color="auto" w:fill="auto"/>
            <w:noWrap/>
            <w:vAlign w:val="bottom"/>
            <w:hideMark/>
          </w:tcPr>
          <w:p w14:paraId="5B7DCBEC"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0.382</w:t>
            </w:r>
          </w:p>
        </w:tc>
        <w:tc>
          <w:tcPr>
            <w:tcW w:w="1260" w:type="dxa"/>
            <w:tcBorders>
              <w:top w:val="nil"/>
              <w:left w:val="nil"/>
              <w:bottom w:val="single" w:sz="4" w:space="0" w:color="auto"/>
              <w:right w:val="nil"/>
            </w:tcBorders>
            <w:shd w:val="clear" w:color="auto" w:fill="auto"/>
            <w:noWrap/>
            <w:vAlign w:val="bottom"/>
            <w:hideMark/>
          </w:tcPr>
          <w:p w14:paraId="04050B8F" w14:textId="77777777" w:rsidR="002F5D47" w:rsidRPr="00630B32" w:rsidRDefault="002F5D47" w:rsidP="00C04359">
            <w:pPr>
              <w:jc w:val="cente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0.851</w:t>
            </w:r>
          </w:p>
        </w:tc>
      </w:tr>
      <w:tr w:rsidR="002F5D47" w:rsidRPr="00630B32" w14:paraId="05899D40" w14:textId="77777777" w:rsidTr="00C04359">
        <w:trPr>
          <w:trHeight w:val="280"/>
        </w:trPr>
        <w:tc>
          <w:tcPr>
            <w:tcW w:w="11610" w:type="dxa"/>
            <w:gridSpan w:val="9"/>
            <w:vMerge w:val="restart"/>
            <w:tcBorders>
              <w:top w:val="single" w:sz="4" w:space="0" w:color="auto"/>
              <w:left w:val="nil"/>
              <w:bottom w:val="nil"/>
              <w:right w:val="nil"/>
            </w:tcBorders>
            <w:shd w:val="clear" w:color="auto" w:fill="auto"/>
            <w:vAlign w:val="bottom"/>
            <w:hideMark/>
          </w:tcPr>
          <w:p w14:paraId="1B757EAE" w14:textId="77777777" w:rsidR="002F5D47" w:rsidRPr="00630B32" w:rsidRDefault="002F5D47" w:rsidP="00C04359">
            <w:pPr>
              <w:rPr>
                <w:rFonts w:ascii="Calibri" w:eastAsia="Times New Roman" w:hAnsi="Calibri" w:cs="Times New Roman"/>
                <w:color w:val="000000"/>
                <w:sz w:val="22"/>
                <w:szCs w:val="22"/>
              </w:rPr>
            </w:pPr>
            <w:r w:rsidRPr="00630B32">
              <w:rPr>
                <w:rFonts w:ascii="Calibri" w:eastAsia="Times New Roman" w:hAnsi="Calibri" w:cs="Times New Roman"/>
                <w:color w:val="000000"/>
                <w:sz w:val="22"/>
                <w:szCs w:val="22"/>
              </w:rPr>
              <w:t xml:space="preserve">Observations are at the weekly-monitor level. Columns 2, 4, 6 and 8 include monitor fixed effects. The sample of monitors is 14,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 A triangular kernel bandwidth of five weeks is </w:t>
            </w:r>
            <w:r>
              <w:rPr>
                <w:rFonts w:ascii="Calibri" w:eastAsia="Times New Roman" w:hAnsi="Calibri" w:cs="Times New Roman"/>
                <w:color w:val="000000"/>
                <w:sz w:val="22"/>
                <w:szCs w:val="22"/>
              </w:rPr>
              <w:t>used</w:t>
            </w:r>
            <w:r w:rsidRPr="00630B32">
              <w:rPr>
                <w:rFonts w:ascii="Calibri" w:eastAsia="Times New Roman" w:hAnsi="Calibri" w:cs="Times New Roman"/>
                <w:color w:val="000000"/>
                <w:sz w:val="22"/>
                <w:szCs w:val="22"/>
              </w:rPr>
              <w:t>.</w:t>
            </w:r>
          </w:p>
        </w:tc>
      </w:tr>
      <w:tr w:rsidR="002F5D47" w:rsidRPr="00630B32" w14:paraId="55CB5CE6" w14:textId="77777777" w:rsidTr="00C04359">
        <w:trPr>
          <w:trHeight w:val="280"/>
        </w:trPr>
        <w:tc>
          <w:tcPr>
            <w:tcW w:w="11610" w:type="dxa"/>
            <w:gridSpan w:val="9"/>
            <w:vMerge/>
            <w:tcBorders>
              <w:top w:val="single" w:sz="4" w:space="0" w:color="auto"/>
              <w:left w:val="nil"/>
              <w:bottom w:val="nil"/>
              <w:right w:val="nil"/>
            </w:tcBorders>
            <w:vAlign w:val="center"/>
            <w:hideMark/>
          </w:tcPr>
          <w:p w14:paraId="0B625108" w14:textId="77777777" w:rsidR="002F5D47" w:rsidRPr="00630B32" w:rsidRDefault="002F5D47" w:rsidP="00C04359">
            <w:pPr>
              <w:rPr>
                <w:rFonts w:ascii="Calibri" w:eastAsia="Times New Roman" w:hAnsi="Calibri" w:cs="Times New Roman"/>
                <w:color w:val="000000"/>
                <w:sz w:val="22"/>
                <w:szCs w:val="22"/>
              </w:rPr>
            </w:pPr>
          </w:p>
        </w:tc>
      </w:tr>
      <w:tr w:rsidR="002F5D47" w:rsidRPr="00630B32" w14:paraId="2414E6EF" w14:textId="77777777" w:rsidTr="00C04359">
        <w:trPr>
          <w:trHeight w:val="280"/>
        </w:trPr>
        <w:tc>
          <w:tcPr>
            <w:tcW w:w="11610" w:type="dxa"/>
            <w:gridSpan w:val="9"/>
            <w:vMerge/>
            <w:tcBorders>
              <w:top w:val="single" w:sz="4" w:space="0" w:color="auto"/>
              <w:left w:val="nil"/>
              <w:bottom w:val="nil"/>
              <w:right w:val="nil"/>
            </w:tcBorders>
            <w:vAlign w:val="center"/>
            <w:hideMark/>
          </w:tcPr>
          <w:p w14:paraId="75B7B7D9" w14:textId="77777777" w:rsidR="002F5D47" w:rsidRPr="00630B32" w:rsidRDefault="002F5D47" w:rsidP="00C04359">
            <w:pPr>
              <w:rPr>
                <w:rFonts w:ascii="Calibri" w:eastAsia="Times New Roman" w:hAnsi="Calibri" w:cs="Times New Roman"/>
                <w:color w:val="000000"/>
                <w:sz w:val="22"/>
                <w:szCs w:val="22"/>
              </w:rPr>
            </w:pPr>
          </w:p>
        </w:tc>
      </w:tr>
      <w:tr w:rsidR="002F5D47" w:rsidRPr="00630B32" w14:paraId="10EAA792" w14:textId="77777777" w:rsidTr="00C04359">
        <w:trPr>
          <w:trHeight w:val="280"/>
        </w:trPr>
        <w:tc>
          <w:tcPr>
            <w:tcW w:w="11610" w:type="dxa"/>
            <w:gridSpan w:val="9"/>
            <w:vMerge/>
            <w:tcBorders>
              <w:top w:val="single" w:sz="4" w:space="0" w:color="auto"/>
              <w:left w:val="nil"/>
              <w:bottom w:val="nil"/>
              <w:right w:val="nil"/>
            </w:tcBorders>
            <w:vAlign w:val="center"/>
            <w:hideMark/>
          </w:tcPr>
          <w:p w14:paraId="50EC3644" w14:textId="77777777" w:rsidR="002F5D47" w:rsidRPr="00630B32" w:rsidRDefault="002F5D47" w:rsidP="00C04359">
            <w:pPr>
              <w:rPr>
                <w:rFonts w:ascii="Calibri" w:eastAsia="Times New Roman" w:hAnsi="Calibri" w:cs="Times New Roman"/>
                <w:color w:val="000000"/>
                <w:sz w:val="22"/>
                <w:szCs w:val="22"/>
              </w:rPr>
            </w:pPr>
          </w:p>
        </w:tc>
      </w:tr>
    </w:tbl>
    <w:p w14:paraId="152B4FDA" w14:textId="77777777" w:rsidR="002F5D47" w:rsidRDefault="002F5D47" w:rsidP="002F5D47">
      <w:pPr>
        <w:spacing w:line="480" w:lineRule="auto"/>
      </w:pPr>
    </w:p>
    <w:p w14:paraId="39A3206F" w14:textId="77777777" w:rsidR="002F5D47" w:rsidRDefault="002F5D47" w:rsidP="002F5D47">
      <w:pPr>
        <w:spacing w:line="480" w:lineRule="auto"/>
      </w:pPr>
    </w:p>
    <w:p w14:paraId="42200BAE" w14:textId="77777777" w:rsidR="002F5D47" w:rsidRDefault="002F5D47" w:rsidP="002F5D47">
      <w:pPr>
        <w:spacing w:line="480" w:lineRule="auto"/>
      </w:pPr>
    </w:p>
    <w:p w14:paraId="626CE561" w14:textId="77777777" w:rsidR="002F5D47" w:rsidRDefault="002F5D47" w:rsidP="002F5D47">
      <w:pPr>
        <w:spacing w:line="480" w:lineRule="auto"/>
      </w:pPr>
    </w:p>
    <w:p w14:paraId="06A8ABE9" w14:textId="77777777" w:rsidR="002F5D47" w:rsidRDefault="002F5D47" w:rsidP="002F5D47">
      <w:pPr>
        <w:spacing w:line="480" w:lineRule="auto"/>
      </w:pPr>
    </w:p>
    <w:p w14:paraId="0FD7ABD1" w14:textId="77777777" w:rsidR="002F5D47" w:rsidRDefault="002F5D47" w:rsidP="002F5D47">
      <w:pPr>
        <w:spacing w:line="480" w:lineRule="auto"/>
      </w:pPr>
    </w:p>
    <w:p w14:paraId="5FE71DCE" w14:textId="77777777" w:rsidR="002F5D47" w:rsidRDefault="002F5D47" w:rsidP="002F5D47">
      <w:pPr>
        <w:spacing w:line="480" w:lineRule="auto"/>
      </w:pPr>
    </w:p>
    <w:p w14:paraId="406F6079" w14:textId="77777777" w:rsidR="002F5D47" w:rsidRDefault="002F5D47" w:rsidP="002F5D47">
      <w:pPr>
        <w:spacing w:line="480" w:lineRule="auto"/>
      </w:pPr>
    </w:p>
    <w:p w14:paraId="0BD4C65F" w14:textId="77777777" w:rsidR="002F5D47" w:rsidRDefault="002F5D47" w:rsidP="002F5D47">
      <w:pPr>
        <w:spacing w:line="480" w:lineRule="auto"/>
      </w:pPr>
    </w:p>
    <w:tbl>
      <w:tblPr>
        <w:tblW w:w="11520" w:type="dxa"/>
        <w:tblInd w:w="-972" w:type="dxa"/>
        <w:tblLayout w:type="fixed"/>
        <w:tblLook w:val="04A0" w:firstRow="1" w:lastRow="0" w:firstColumn="1" w:lastColumn="0" w:noHBand="0" w:noVBand="1"/>
      </w:tblPr>
      <w:tblGrid>
        <w:gridCol w:w="1530"/>
        <w:gridCol w:w="1170"/>
        <w:gridCol w:w="1170"/>
        <w:gridCol w:w="1260"/>
        <w:gridCol w:w="1260"/>
        <w:gridCol w:w="1260"/>
        <w:gridCol w:w="1350"/>
        <w:gridCol w:w="1170"/>
        <w:gridCol w:w="1350"/>
      </w:tblGrid>
      <w:tr w:rsidR="002F5D47" w:rsidRPr="00EC1E04" w14:paraId="0CC46F52" w14:textId="77777777" w:rsidTr="00C04359">
        <w:trPr>
          <w:trHeight w:val="560"/>
        </w:trPr>
        <w:tc>
          <w:tcPr>
            <w:tcW w:w="11520" w:type="dxa"/>
            <w:gridSpan w:val="9"/>
            <w:tcBorders>
              <w:top w:val="nil"/>
              <w:left w:val="nil"/>
              <w:bottom w:val="nil"/>
              <w:right w:val="nil"/>
            </w:tcBorders>
            <w:shd w:val="clear" w:color="auto" w:fill="auto"/>
            <w:vAlign w:val="center"/>
            <w:hideMark/>
          </w:tcPr>
          <w:p w14:paraId="7CCAD7C4" w14:textId="36405128" w:rsidR="002F5D47" w:rsidRPr="000701CF" w:rsidRDefault="002F5D47" w:rsidP="00C04359">
            <w:pPr>
              <w:jc w:val="center"/>
              <w:rPr>
                <w:rFonts w:eastAsia="Times New Roman" w:cs="Times New Roman"/>
                <w:b/>
                <w:bCs/>
                <w:color w:val="000000"/>
              </w:rPr>
            </w:pPr>
            <w:r>
              <w:rPr>
                <w:rFonts w:eastAsia="Times New Roman" w:cs="Times New Roman"/>
                <w:b/>
                <w:bCs/>
                <w:color w:val="000000"/>
              </w:rPr>
              <w:t>Appendix Table 3</w:t>
            </w:r>
            <w:r w:rsidRPr="000701CF">
              <w:rPr>
                <w:rFonts w:eastAsia="Times New Roman" w:cs="Times New Roman"/>
                <w:b/>
                <w:bCs/>
                <w:color w:val="000000"/>
              </w:rPr>
              <w:br/>
              <w:t xml:space="preserve">Regression Discontinuity </w:t>
            </w:r>
            <w:r w:rsidR="00EB4B39">
              <w:rPr>
                <w:rFonts w:eastAsia="Times New Roman" w:cs="Times New Roman"/>
                <w:b/>
                <w:bCs/>
                <w:color w:val="000000"/>
              </w:rPr>
              <w:t xml:space="preserve">Results for </w:t>
            </w:r>
            <w:r w:rsidRPr="000701CF">
              <w:rPr>
                <w:rFonts w:eastAsia="Times New Roman" w:cs="Times New Roman"/>
                <w:b/>
                <w:bCs/>
                <w:color w:val="000000"/>
              </w:rPr>
              <w:t>Placebo Test</w:t>
            </w:r>
          </w:p>
        </w:tc>
      </w:tr>
      <w:tr w:rsidR="002F5D47" w:rsidRPr="00EC1E04" w14:paraId="19568F10" w14:textId="77777777" w:rsidTr="00C04359">
        <w:trPr>
          <w:trHeight w:val="280"/>
        </w:trPr>
        <w:tc>
          <w:tcPr>
            <w:tcW w:w="1530" w:type="dxa"/>
            <w:tcBorders>
              <w:top w:val="single" w:sz="4" w:space="0" w:color="auto"/>
              <w:left w:val="nil"/>
              <w:bottom w:val="nil"/>
              <w:right w:val="nil"/>
            </w:tcBorders>
            <w:shd w:val="clear" w:color="auto" w:fill="auto"/>
            <w:noWrap/>
            <w:vAlign w:val="bottom"/>
            <w:hideMark/>
          </w:tcPr>
          <w:p w14:paraId="66EF4CAB"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055D1896"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w:t>
            </w:r>
          </w:p>
        </w:tc>
        <w:tc>
          <w:tcPr>
            <w:tcW w:w="1170" w:type="dxa"/>
            <w:tcBorders>
              <w:top w:val="single" w:sz="4" w:space="0" w:color="auto"/>
              <w:left w:val="nil"/>
              <w:bottom w:val="nil"/>
              <w:right w:val="nil"/>
            </w:tcBorders>
            <w:shd w:val="clear" w:color="auto" w:fill="auto"/>
            <w:noWrap/>
            <w:vAlign w:val="bottom"/>
            <w:hideMark/>
          </w:tcPr>
          <w:p w14:paraId="5F84EB8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(2)</w:t>
            </w:r>
          </w:p>
        </w:tc>
        <w:tc>
          <w:tcPr>
            <w:tcW w:w="1260" w:type="dxa"/>
            <w:tcBorders>
              <w:top w:val="single" w:sz="4" w:space="0" w:color="auto"/>
              <w:left w:val="nil"/>
              <w:bottom w:val="nil"/>
              <w:right w:val="nil"/>
            </w:tcBorders>
            <w:shd w:val="clear" w:color="auto" w:fill="auto"/>
            <w:noWrap/>
            <w:vAlign w:val="bottom"/>
            <w:hideMark/>
          </w:tcPr>
          <w:p w14:paraId="094BE33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w:t>
            </w:r>
          </w:p>
        </w:tc>
        <w:tc>
          <w:tcPr>
            <w:tcW w:w="1260" w:type="dxa"/>
            <w:tcBorders>
              <w:top w:val="single" w:sz="4" w:space="0" w:color="auto"/>
              <w:left w:val="nil"/>
              <w:bottom w:val="nil"/>
              <w:right w:val="nil"/>
            </w:tcBorders>
            <w:shd w:val="clear" w:color="auto" w:fill="auto"/>
            <w:noWrap/>
            <w:vAlign w:val="bottom"/>
            <w:hideMark/>
          </w:tcPr>
          <w:p w14:paraId="3F57D08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(4)</w:t>
            </w:r>
          </w:p>
        </w:tc>
        <w:tc>
          <w:tcPr>
            <w:tcW w:w="1260" w:type="dxa"/>
            <w:tcBorders>
              <w:top w:val="single" w:sz="4" w:space="0" w:color="auto"/>
              <w:left w:val="nil"/>
              <w:bottom w:val="nil"/>
              <w:right w:val="nil"/>
            </w:tcBorders>
            <w:shd w:val="clear" w:color="auto" w:fill="auto"/>
            <w:noWrap/>
            <w:vAlign w:val="bottom"/>
            <w:hideMark/>
          </w:tcPr>
          <w:p w14:paraId="26E6A87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(5)</w:t>
            </w:r>
          </w:p>
        </w:tc>
        <w:tc>
          <w:tcPr>
            <w:tcW w:w="1350" w:type="dxa"/>
            <w:tcBorders>
              <w:top w:val="single" w:sz="4" w:space="0" w:color="auto"/>
              <w:left w:val="nil"/>
              <w:bottom w:val="nil"/>
              <w:right w:val="nil"/>
            </w:tcBorders>
            <w:shd w:val="clear" w:color="auto" w:fill="auto"/>
            <w:noWrap/>
            <w:vAlign w:val="bottom"/>
            <w:hideMark/>
          </w:tcPr>
          <w:p w14:paraId="79D9177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(6)</w:t>
            </w:r>
          </w:p>
        </w:tc>
        <w:tc>
          <w:tcPr>
            <w:tcW w:w="1170" w:type="dxa"/>
            <w:tcBorders>
              <w:top w:val="single" w:sz="4" w:space="0" w:color="auto"/>
              <w:left w:val="nil"/>
              <w:bottom w:val="nil"/>
              <w:right w:val="nil"/>
            </w:tcBorders>
            <w:shd w:val="clear" w:color="auto" w:fill="auto"/>
            <w:noWrap/>
            <w:vAlign w:val="bottom"/>
            <w:hideMark/>
          </w:tcPr>
          <w:p w14:paraId="186652A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(7)</w:t>
            </w:r>
          </w:p>
        </w:tc>
        <w:tc>
          <w:tcPr>
            <w:tcW w:w="1350" w:type="dxa"/>
            <w:tcBorders>
              <w:top w:val="single" w:sz="4" w:space="0" w:color="auto"/>
              <w:left w:val="nil"/>
              <w:bottom w:val="nil"/>
              <w:right w:val="nil"/>
            </w:tcBorders>
            <w:shd w:val="clear" w:color="auto" w:fill="auto"/>
            <w:noWrap/>
            <w:vAlign w:val="bottom"/>
            <w:hideMark/>
          </w:tcPr>
          <w:p w14:paraId="287E88E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(8)</w:t>
            </w:r>
          </w:p>
        </w:tc>
      </w:tr>
      <w:tr w:rsidR="002F5D47" w:rsidRPr="00EC1E04" w14:paraId="5C759B29" w14:textId="77777777" w:rsidTr="00C04359">
        <w:trPr>
          <w:trHeight w:val="320"/>
        </w:trPr>
        <w:tc>
          <w:tcPr>
            <w:tcW w:w="1530" w:type="dxa"/>
            <w:tcBorders>
              <w:top w:val="nil"/>
              <w:left w:val="nil"/>
              <w:bottom w:val="nil"/>
              <w:right w:val="nil"/>
            </w:tcBorders>
            <w:shd w:val="clear" w:color="auto" w:fill="auto"/>
            <w:noWrap/>
            <w:vAlign w:val="bottom"/>
            <w:hideMark/>
          </w:tcPr>
          <w:p w14:paraId="28BB126F"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Pollutant</w:t>
            </w:r>
          </w:p>
        </w:tc>
        <w:tc>
          <w:tcPr>
            <w:tcW w:w="1170" w:type="dxa"/>
            <w:tcBorders>
              <w:top w:val="nil"/>
              <w:left w:val="nil"/>
              <w:bottom w:val="nil"/>
              <w:right w:val="nil"/>
            </w:tcBorders>
            <w:shd w:val="clear" w:color="auto" w:fill="auto"/>
            <w:noWrap/>
            <w:vAlign w:val="bottom"/>
            <w:hideMark/>
          </w:tcPr>
          <w:p w14:paraId="2BBEF9F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CO</w:t>
            </w:r>
          </w:p>
        </w:tc>
        <w:tc>
          <w:tcPr>
            <w:tcW w:w="1170" w:type="dxa"/>
            <w:tcBorders>
              <w:top w:val="nil"/>
              <w:left w:val="nil"/>
              <w:bottom w:val="nil"/>
              <w:right w:val="nil"/>
            </w:tcBorders>
            <w:shd w:val="clear" w:color="auto" w:fill="auto"/>
            <w:noWrap/>
            <w:vAlign w:val="bottom"/>
            <w:hideMark/>
          </w:tcPr>
          <w:p w14:paraId="5887C00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CO</w:t>
            </w:r>
          </w:p>
        </w:tc>
        <w:tc>
          <w:tcPr>
            <w:tcW w:w="1260" w:type="dxa"/>
            <w:tcBorders>
              <w:top w:val="nil"/>
              <w:left w:val="nil"/>
              <w:bottom w:val="nil"/>
              <w:right w:val="nil"/>
            </w:tcBorders>
            <w:shd w:val="clear" w:color="auto" w:fill="auto"/>
            <w:noWrap/>
            <w:vAlign w:val="bottom"/>
            <w:hideMark/>
          </w:tcPr>
          <w:p w14:paraId="6ADDF9AC"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r w:rsidRPr="00EC1E04">
              <w:rPr>
                <w:rFonts w:ascii="Calibri" w:eastAsia="Times New Roman" w:hAnsi="Calibri" w:cs="Times New Roman"/>
                <w:color w:val="000000"/>
                <w:sz w:val="22"/>
                <w:szCs w:val="22"/>
                <w:vertAlign w:val="subscript"/>
              </w:rPr>
              <w:t>2</w:t>
            </w:r>
          </w:p>
        </w:tc>
        <w:tc>
          <w:tcPr>
            <w:tcW w:w="1260" w:type="dxa"/>
            <w:tcBorders>
              <w:top w:val="nil"/>
              <w:left w:val="nil"/>
              <w:bottom w:val="nil"/>
              <w:right w:val="nil"/>
            </w:tcBorders>
            <w:shd w:val="clear" w:color="auto" w:fill="auto"/>
            <w:noWrap/>
            <w:vAlign w:val="bottom"/>
            <w:hideMark/>
          </w:tcPr>
          <w:p w14:paraId="60C0195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r w:rsidRPr="00EC1E04">
              <w:rPr>
                <w:rFonts w:ascii="Calibri" w:eastAsia="Times New Roman" w:hAnsi="Calibri" w:cs="Times New Roman"/>
                <w:color w:val="000000"/>
                <w:sz w:val="22"/>
                <w:szCs w:val="22"/>
                <w:vertAlign w:val="subscript"/>
              </w:rPr>
              <w:t>2</w:t>
            </w:r>
          </w:p>
        </w:tc>
        <w:tc>
          <w:tcPr>
            <w:tcW w:w="1260" w:type="dxa"/>
            <w:tcBorders>
              <w:top w:val="nil"/>
              <w:left w:val="nil"/>
              <w:bottom w:val="nil"/>
              <w:right w:val="nil"/>
            </w:tcBorders>
            <w:shd w:val="clear" w:color="auto" w:fill="auto"/>
            <w:noWrap/>
            <w:vAlign w:val="bottom"/>
            <w:hideMark/>
          </w:tcPr>
          <w:p w14:paraId="449A1BE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r w:rsidRPr="00EC1E04">
              <w:rPr>
                <w:rFonts w:ascii="Calibri" w:eastAsia="Times New Roman" w:hAnsi="Calibri" w:cs="Times New Roman"/>
                <w:color w:val="000000"/>
                <w:sz w:val="22"/>
                <w:szCs w:val="22"/>
                <w:vertAlign w:val="subscript"/>
              </w:rPr>
              <w:t>x</w:t>
            </w:r>
          </w:p>
        </w:tc>
        <w:tc>
          <w:tcPr>
            <w:tcW w:w="1350" w:type="dxa"/>
            <w:tcBorders>
              <w:top w:val="nil"/>
              <w:left w:val="nil"/>
              <w:bottom w:val="nil"/>
              <w:right w:val="nil"/>
            </w:tcBorders>
            <w:shd w:val="clear" w:color="auto" w:fill="auto"/>
            <w:noWrap/>
            <w:vAlign w:val="bottom"/>
            <w:hideMark/>
          </w:tcPr>
          <w:p w14:paraId="672DC80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r w:rsidRPr="00EC1E04">
              <w:rPr>
                <w:rFonts w:ascii="Calibri" w:eastAsia="Times New Roman" w:hAnsi="Calibri" w:cs="Times New Roman"/>
                <w:color w:val="000000"/>
                <w:sz w:val="22"/>
                <w:szCs w:val="22"/>
                <w:vertAlign w:val="subscript"/>
              </w:rPr>
              <w:t>x</w:t>
            </w:r>
          </w:p>
        </w:tc>
        <w:tc>
          <w:tcPr>
            <w:tcW w:w="1170" w:type="dxa"/>
            <w:tcBorders>
              <w:top w:val="nil"/>
              <w:left w:val="nil"/>
              <w:bottom w:val="nil"/>
              <w:right w:val="nil"/>
            </w:tcBorders>
            <w:shd w:val="clear" w:color="auto" w:fill="auto"/>
            <w:noWrap/>
            <w:vAlign w:val="bottom"/>
            <w:hideMark/>
          </w:tcPr>
          <w:p w14:paraId="625ED30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O</w:t>
            </w:r>
            <w:r w:rsidRPr="00EC1E04">
              <w:rPr>
                <w:rFonts w:ascii="Calibri" w:eastAsia="Times New Roman" w:hAnsi="Calibri" w:cs="Times New Roman"/>
                <w:color w:val="000000"/>
                <w:sz w:val="22"/>
                <w:szCs w:val="22"/>
                <w:vertAlign w:val="subscript"/>
              </w:rPr>
              <w:t>3</w:t>
            </w:r>
          </w:p>
        </w:tc>
        <w:tc>
          <w:tcPr>
            <w:tcW w:w="1350" w:type="dxa"/>
            <w:tcBorders>
              <w:top w:val="nil"/>
              <w:left w:val="nil"/>
              <w:bottom w:val="nil"/>
              <w:right w:val="nil"/>
            </w:tcBorders>
            <w:shd w:val="clear" w:color="auto" w:fill="auto"/>
            <w:noWrap/>
            <w:vAlign w:val="bottom"/>
            <w:hideMark/>
          </w:tcPr>
          <w:p w14:paraId="6AD3DA96"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O</w:t>
            </w:r>
            <w:r w:rsidRPr="00EC1E04">
              <w:rPr>
                <w:rFonts w:ascii="Calibri" w:eastAsia="Times New Roman" w:hAnsi="Calibri" w:cs="Times New Roman"/>
                <w:color w:val="000000"/>
                <w:sz w:val="22"/>
                <w:szCs w:val="22"/>
                <w:vertAlign w:val="subscript"/>
              </w:rPr>
              <w:t>3</w:t>
            </w:r>
          </w:p>
        </w:tc>
      </w:tr>
      <w:tr w:rsidR="002F5D47" w:rsidRPr="00EC1E04" w14:paraId="127646B4" w14:textId="77777777" w:rsidTr="00C04359">
        <w:trPr>
          <w:trHeight w:val="280"/>
        </w:trPr>
        <w:tc>
          <w:tcPr>
            <w:tcW w:w="1530" w:type="dxa"/>
            <w:tcBorders>
              <w:top w:val="single" w:sz="4" w:space="0" w:color="auto"/>
              <w:left w:val="nil"/>
              <w:bottom w:val="nil"/>
              <w:right w:val="nil"/>
            </w:tcBorders>
            <w:shd w:val="clear" w:color="auto" w:fill="auto"/>
            <w:noWrap/>
            <w:vAlign w:val="bottom"/>
            <w:hideMark/>
          </w:tcPr>
          <w:p w14:paraId="26CE58AD"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552CA416"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2C9FC586"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08695DE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4D433D0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260" w:type="dxa"/>
            <w:tcBorders>
              <w:top w:val="single" w:sz="4" w:space="0" w:color="auto"/>
              <w:left w:val="nil"/>
              <w:bottom w:val="nil"/>
              <w:right w:val="nil"/>
            </w:tcBorders>
            <w:shd w:val="clear" w:color="auto" w:fill="auto"/>
            <w:noWrap/>
            <w:vAlign w:val="bottom"/>
            <w:hideMark/>
          </w:tcPr>
          <w:p w14:paraId="278A246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350" w:type="dxa"/>
            <w:tcBorders>
              <w:top w:val="single" w:sz="4" w:space="0" w:color="auto"/>
              <w:left w:val="nil"/>
              <w:bottom w:val="nil"/>
              <w:right w:val="nil"/>
            </w:tcBorders>
            <w:shd w:val="clear" w:color="auto" w:fill="auto"/>
            <w:noWrap/>
            <w:vAlign w:val="bottom"/>
            <w:hideMark/>
          </w:tcPr>
          <w:p w14:paraId="79A2F62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170" w:type="dxa"/>
            <w:tcBorders>
              <w:top w:val="single" w:sz="4" w:space="0" w:color="auto"/>
              <w:left w:val="nil"/>
              <w:bottom w:val="nil"/>
              <w:right w:val="nil"/>
            </w:tcBorders>
            <w:shd w:val="clear" w:color="auto" w:fill="auto"/>
            <w:noWrap/>
            <w:vAlign w:val="bottom"/>
            <w:hideMark/>
          </w:tcPr>
          <w:p w14:paraId="7BCA3099"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c>
          <w:tcPr>
            <w:tcW w:w="1350" w:type="dxa"/>
            <w:tcBorders>
              <w:top w:val="single" w:sz="4" w:space="0" w:color="auto"/>
              <w:left w:val="nil"/>
              <w:bottom w:val="nil"/>
              <w:right w:val="nil"/>
            </w:tcBorders>
            <w:shd w:val="clear" w:color="auto" w:fill="auto"/>
            <w:noWrap/>
            <w:vAlign w:val="bottom"/>
            <w:hideMark/>
          </w:tcPr>
          <w:p w14:paraId="16B7564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w:t>
            </w:r>
          </w:p>
        </w:tc>
      </w:tr>
      <w:tr w:rsidR="002F5D47" w:rsidRPr="00EC1E04" w14:paraId="1DC9A1E3" w14:textId="77777777" w:rsidTr="00C04359">
        <w:trPr>
          <w:trHeight w:val="280"/>
        </w:trPr>
        <w:tc>
          <w:tcPr>
            <w:tcW w:w="1530" w:type="dxa"/>
            <w:tcBorders>
              <w:top w:val="nil"/>
              <w:left w:val="nil"/>
              <w:bottom w:val="nil"/>
              <w:right w:val="nil"/>
            </w:tcBorders>
            <w:shd w:val="clear" w:color="auto" w:fill="auto"/>
            <w:noWrap/>
            <w:vAlign w:val="bottom"/>
            <w:hideMark/>
          </w:tcPr>
          <w:p w14:paraId="5E83177E"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Strike</w:t>
            </w:r>
          </w:p>
        </w:tc>
        <w:tc>
          <w:tcPr>
            <w:tcW w:w="1170" w:type="dxa"/>
            <w:tcBorders>
              <w:top w:val="nil"/>
              <w:left w:val="nil"/>
              <w:bottom w:val="nil"/>
              <w:right w:val="nil"/>
            </w:tcBorders>
            <w:shd w:val="clear" w:color="auto" w:fill="auto"/>
            <w:noWrap/>
            <w:vAlign w:val="bottom"/>
            <w:hideMark/>
          </w:tcPr>
          <w:p w14:paraId="66292E2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-0.412***</w:t>
            </w:r>
          </w:p>
        </w:tc>
        <w:tc>
          <w:tcPr>
            <w:tcW w:w="1170" w:type="dxa"/>
            <w:tcBorders>
              <w:top w:val="nil"/>
              <w:left w:val="nil"/>
              <w:bottom w:val="nil"/>
              <w:right w:val="nil"/>
            </w:tcBorders>
            <w:shd w:val="clear" w:color="auto" w:fill="auto"/>
            <w:noWrap/>
            <w:vAlign w:val="bottom"/>
            <w:hideMark/>
          </w:tcPr>
          <w:p w14:paraId="54DBEE19"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-0.391***</w:t>
            </w:r>
          </w:p>
        </w:tc>
        <w:tc>
          <w:tcPr>
            <w:tcW w:w="1260" w:type="dxa"/>
            <w:tcBorders>
              <w:top w:val="nil"/>
              <w:left w:val="nil"/>
              <w:bottom w:val="nil"/>
              <w:right w:val="nil"/>
            </w:tcBorders>
            <w:shd w:val="clear" w:color="auto" w:fill="auto"/>
            <w:noWrap/>
            <w:vAlign w:val="bottom"/>
            <w:hideMark/>
          </w:tcPr>
          <w:p w14:paraId="144A18D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-12.938***</w:t>
            </w:r>
          </w:p>
        </w:tc>
        <w:tc>
          <w:tcPr>
            <w:tcW w:w="1260" w:type="dxa"/>
            <w:tcBorders>
              <w:top w:val="nil"/>
              <w:left w:val="nil"/>
              <w:bottom w:val="nil"/>
              <w:right w:val="nil"/>
            </w:tcBorders>
            <w:shd w:val="clear" w:color="auto" w:fill="auto"/>
            <w:noWrap/>
            <w:vAlign w:val="bottom"/>
            <w:hideMark/>
          </w:tcPr>
          <w:p w14:paraId="79A6B45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-11.815***</w:t>
            </w:r>
          </w:p>
        </w:tc>
        <w:tc>
          <w:tcPr>
            <w:tcW w:w="1260" w:type="dxa"/>
            <w:tcBorders>
              <w:top w:val="nil"/>
              <w:left w:val="nil"/>
              <w:bottom w:val="nil"/>
              <w:right w:val="nil"/>
            </w:tcBorders>
            <w:shd w:val="clear" w:color="auto" w:fill="auto"/>
            <w:noWrap/>
            <w:vAlign w:val="bottom"/>
            <w:hideMark/>
          </w:tcPr>
          <w:p w14:paraId="0B6119B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-34.610***</w:t>
            </w:r>
          </w:p>
        </w:tc>
        <w:tc>
          <w:tcPr>
            <w:tcW w:w="1350" w:type="dxa"/>
            <w:tcBorders>
              <w:top w:val="nil"/>
              <w:left w:val="nil"/>
              <w:bottom w:val="nil"/>
              <w:right w:val="nil"/>
            </w:tcBorders>
            <w:shd w:val="clear" w:color="auto" w:fill="auto"/>
            <w:noWrap/>
            <w:vAlign w:val="bottom"/>
            <w:hideMark/>
          </w:tcPr>
          <w:p w14:paraId="2725410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-33.893***</w:t>
            </w:r>
          </w:p>
        </w:tc>
        <w:tc>
          <w:tcPr>
            <w:tcW w:w="1170" w:type="dxa"/>
            <w:tcBorders>
              <w:top w:val="nil"/>
              <w:left w:val="nil"/>
              <w:bottom w:val="nil"/>
              <w:right w:val="nil"/>
            </w:tcBorders>
            <w:shd w:val="clear" w:color="auto" w:fill="auto"/>
            <w:noWrap/>
            <w:vAlign w:val="bottom"/>
            <w:hideMark/>
          </w:tcPr>
          <w:p w14:paraId="5B3D5DF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0.003</w:t>
            </w:r>
          </w:p>
        </w:tc>
        <w:tc>
          <w:tcPr>
            <w:tcW w:w="1350" w:type="dxa"/>
            <w:tcBorders>
              <w:top w:val="nil"/>
              <w:left w:val="nil"/>
              <w:bottom w:val="nil"/>
              <w:right w:val="nil"/>
            </w:tcBorders>
            <w:shd w:val="clear" w:color="auto" w:fill="auto"/>
            <w:noWrap/>
            <w:vAlign w:val="bottom"/>
            <w:hideMark/>
          </w:tcPr>
          <w:p w14:paraId="5C49FF0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0.002</w:t>
            </w:r>
          </w:p>
        </w:tc>
      </w:tr>
      <w:tr w:rsidR="002F5D47" w:rsidRPr="00EC1E04" w14:paraId="147B5B1E" w14:textId="77777777" w:rsidTr="00C04359">
        <w:trPr>
          <w:trHeight w:val="280"/>
        </w:trPr>
        <w:tc>
          <w:tcPr>
            <w:tcW w:w="1530" w:type="dxa"/>
            <w:tcBorders>
              <w:top w:val="nil"/>
              <w:left w:val="nil"/>
              <w:bottom w:val="nil"/>
              <w:right w:val="nil"/>
            </w:tcBorders>
            <w:shd w:val="clear" w:color="auto" w:fill="auto"/>
            <w:noWrap/>
            <w:vAlign w:val="bottom"/>
            <w:hideMark/>
          </w:tcPr>
          <w:p w14:paraId="5B543BFC"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98E071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(0.052)</w:t>
            </w:r>
          </w:p>
        </w:tc>
        <w:tc>
          <w:tcPr>
            <w:tcW w:w="1170" w:type="dxa"/>
            <w:tcBorders>
              <w:top w:val="nil"/>
              <w:left w:val="nil"/>
              <w:bottom w:val="nil"/>
              <w:right w:val="nil"/>
            </w:tcBorders>
            <w:shd w:val="clear" w:color="auto" w:fill="auto"/>
            <w:noWrap/>
            <w:vAlign w:val="bottom"/>
            <w:hideMark/>
          </w:tcPr>
          <w:p w14:paraId="68B1ECD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(0.047)</w:t>
            </w:r>
          </w:p>
        </w:tc>
        <w:tc>
          <w:tcPr>
            <w:tcW w:w="1260" w:type="dxa"/>
            <w:tcBorders>
              <w:top w:val="nil"/>
              <w:left w:val="nil"/>
              <w:bottom w:val="nil"/>
              <w:right w:val="nil"/>
            </w:tcBorders>
            <w:shd w:val="clear" w:color="auto" w:fill="auto"/>
            <w:noWrap/>
            <w:vAlign w:val="bottom"/>
            <w:hideMark/>
          </w:tcPr>
          <w:p w14:paraId="0CD6FF5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(2.623)</w:t>
            </w:r>
          </w:p>
        </w:tc>
        <w:tc>
          <w:tcPr>
            <w:tcW w:w="1260" w:type="dxa"/>
            <w:tcBorders>
              <w:top w:val="nil"/>
              <w:left w:val="nil"/>
              <w:bottom w:val="nil"/>
              <w:right w:val="nil"/>
            </w:tcBorders>
            <w:shd w:val="clear" w:color="auto" w:fill="auto"/>
            <w:noWrap/>
            <w:vAlign w:val="bottom"/>
            <w:hideMark/>
          </w:tcPr>
          <w:p w14:paraId="2F0F932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(2.043)</w:t>
            </w:r>
          </w:p>
        </w:tc>
        <w:tc>
          <w:tcPr>
            <w:tcW w:w="1260" w:type="dxa"/>
            <w:tcBorders>
              <w:top w:val="nil"/>
              <w:left w:val="nil"/>
              <w:bottom w:val="nil"/>
              <w:right w:val="nil"/>
            </w:tcBorders>
            <w:shd w:val="clear" w:color="auto" w:fill="auto"/>
            <w:noWrap/>
            <w:vAlign w:val="bottom"/>
            <w:hideMark/>
          </w:tcPr>
          <w:p w14:paraId="038C855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(4.890)</w:t>
            </w:r>
          </w:p>
        </w:tc>
        <w:tc>
          <w:tcPr>
            <w:tcW w:w="1350" w:type="dxa"/>
            <w:tcBorders>
              <w:top w:val="nil"/>
              <w:left w:val="nil"/>
              <w:bottom w:val="nil"/>
              <w:right w:val="nil"/>
            </w:tcBorders>
            <w:shd w:val="clear" w:color="auto" w:fill="auto"/>
            <w:noWrap/>
            <w:vAlign w:val="bottom"/>
            <w:hideMark/>
          </w:tcPr>
          <w:p w14:paraId="40E3924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(4.424)</w:t>
            </w:r>
          </w:p>
        </w:tc>
        <w:tc>
          <w:tcPr>
            <w:tcW w:w="1170" w:type="dxa"/>
            <w:tcBorders>
              <w:top w:val="nil"/>
              <w:left w:val="nil"/>
              <w:bottom w:val="nil"/>
              <w:right w:val="nil"/>
            </w:tcBorders>
            <w:shd w:val="clear" w:color="auto" w:fill="auto"/>
            <w:noWrap/>
            <w:vAlign w:val="bottom"/>
            <w:hideMark/>
          </w:tcPr>
          <w:p w14:paraId="757062F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(0.002)</w:t>
            </w:r>
          </w:p>
        </w:tc>
        <w:tc>
          <w:tcPr>
            <w:tcW w:w="1350" w:type="dxa"/>
            <w:tcBorders>
              <w:top w:val="nil"/>
              <w:left w:val="nil"/>
              <w:bottom w:val="nil"/>
              <w:right w:val="nil"/>
            </w:tcBorders>
            <w:shd w:val="clear" w:color="auto" w:fill="auto"/>
            <w:noWrap/>
            <w:vAlign w:val="bottom"/>
            <w:hideMark/>
          </w:tcPr>
          <w:p w14:paraId="7390C8FC"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r>
      <w:tr w:rsidR="002F5D47" w:rsidRPr="00EC1E04" w14:paraId="3824C397" w14:textId="77777777" w:rsidTr="00C04359">
        <w:trPr>
          <w:trHeight w:val="280"/>
        </w:trPr>
        <w:tc>
          <w:tcPr>
            <w:tcW w:w="1530" w:type="dxa"/>
            <w:tcBorders>
              <w:top w:val="nil"/>
              <w:left w:val="nil"/>
              <w:bottom w:val="nil"/>
              <w:right w:val="nil"/>
            </w:tcBorders>
            <w:shd w:val="clear" w:color="auto" w:fill="auto"/>
            <w:noWrap/>
            <w:vAlign w:val="bottom"/>
            <w:hideMark/>
          </w:tcPr>
          <w:p w14:paraId="5B635335"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C7BF2C5"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A1D333B"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D4312BC"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13287E5"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A942E9C"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21CD0F62"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52D3EE0E"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2760658E" w14:textId="77777777" w:rsidR="002F5D47" w:rsidRPr="00EC1E04" w:rsidRDefault="002F5D47" w:rsidP="00C04359">
            <w:pPr>
              <w:jc w:val="center"/>
              <w:rPr>
                <w:rFonts w:ascii="Calibri" w:eastAsia="Times New Roman" w:hAnsi="Calibri" w:cs="Times New Roman"/>
                <w:color w:val="000000"/>
                <w:sz w:val="22"/>
                <w:szCs w:val="22"/>
              </w:rPr>
            </w:pPr>
          </w:p>
        </w:tc>
      </w:tr>
      <w:tr w:rsidR="002F5D47" w:rsidRPr="00EC1E04" w14:paraId="295E325C" w14:textId="77777777" w:rsidTr="00C04359">
        <w:trPr>
          <w:trHeight w:val="280"/>
        </w:trPr>
        <w:tc>
          <w:tcPr>
            <w:tcW w:w="1530" w:type="dxa"/>
            <w:tcBorders>
              <w:top w:val="nil"/>
              <w:left w:val="nil"/>
              <w:bottom w:val="nil"/>
              <w:right w:val="nil"/>
            </w:tcBorders>
            <w:shd w:val="clear" w:color="auto" w:fill="auto"/>
            <w:noWrap/>
            <w:vAlign w:val="bottom"/>
            <w:hideMark/>
          </w:tcPr>
          <w:p w14:paraId="75704AE0"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Week</w:t>
            </w:r>
          </w:p>
        </w:tc>
        <w:tc>
          <w:tcPr>
            <w:tcW w:w="1170" w:type="dxa"/>
            <w:tcBorders>
              <w:top w:val="nil"/>
              <w:left w:val="nil"/>
              <w:bottom w:val="nil"/>
              <w:right w:val="nil"/>
            </w:tcBorders>
            <w:shd w:val="clear" w:color="auto" w:fill="auto"/>
            <w:noWrap/>
            <w:vAlign w:val="bottom"/>
            <w:hideMark/>
          </w:tcPr>
          <w:p w14:paraId="6FF5571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0.039***</w:t>
            </w:r>
          </w:p>
        </w:tc>
        <w:tc>
          <w:tcPr>
            <w:tcW w:w="1170" w:type="dxa"/>
            <w:tcBorders>
              <w:top w:val="nil"/>
              <w:left w:val="nil"/>
              <w:bottom w:val="nil"/>
              <w:right w:val="nil"/>
            </w:tcBorders>
            <w:shd w:val="clear" w:color="auto" w:fill="auto"/>
            <w:noWrap/>
            <w:vAlign w:val="bottom"/>
            <w:hideMark/>
          </w:tcPr>
          <w:p w14:paraId="321B77A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0.036***</w:t>
            </w:r>
          </w:p>
        </w:tc>
        <w:tc>
          <w:tcPr>
            <w:tcW w:w="1260" w:type="dxa"/>
            <w:tcBorders>
              <w:top w:val="nil"/>
              <w:left w:val="nil"/>
              <w:bottom w:val="nil"/>
              <w:right w:val="nil"/>
            </w:tcBorders>
            <w:shd w:val="clear" w:color="auto" w:fill="auto"/>
            <w:noWrap/>
            <w:vAlign w:val="bottom"/>
            <w:hideMark/>
          </w:tcPr>
          <w:p w14:paraId="62CA419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2.530**</w:t>
            </w:r>
          </w:p>
        </w:tc>
        <w:tc>
          <w:tcPr>
            <w:tcW w:w="1260" w:type="dxa"/>
            <w:tcBorders>
              <w:top w:val="nil"/>
              <w:left w:val="nil"/>
              <w:bottom w:val="nil"/>
              <w:right w:val="nil"/>
            </w:tcBorders>
            <w:shd w:val="clear" w:color="auto" w:fill="auto"/>
            <w:noWrap/>
            <w:vAlign w:val="bottom"/>
            <w:hideMark/>
          </w:tcPr>
          <w:p w14:paraId="04425A3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2.273*</w:t>
            </w:r>
          </w:p>
        </w:tc>
        <w:tc>
          <w:tcPr>
            <w:tcW w:w="1260" w:type="dxa"/>
            <w:tcBorders>
              <w:top w:val="nil"/>
              <w:left w:val="nil"/>
              <w:bottom w:val="nil"/>
              <w:right w:val="nil"/>
            </w:tcBorders>
            <w:shd w:val="clear" w:color="auto" w:fill="auto"/>
            <w:noWrap/>
            <w:vAlign w:val="bottom"/>
            <w:hideMark/>
          </w:tcPr>
          <w:p w14:paraId="008B406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4.247**</w:t>
            </w:r>
          </w:p>
        </w:tc>
        <w:tc>
          <w:tcPr>
            <w:tcW w:w="1350" w:type="dxa"/>
            <w:tcBorders>
              <w:top w:val="nil"/>
              <w:left w:val="nil"/>
              <w:bottom w:val="nil"/>
              <w:right w:val="nil"/>
            </w:tcBorders>
            <w:shd w:val="clear" w:color="auto" w:fill="auto"/>
            <w:noWrap/>
            <w:vAlign w:val="bottom"/>
            <w:hideMark/>
          </w:tcPr>
          <w:p w14:paraId="79327C2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3.164*</w:t>
            </w:r>
          </w:p>
        </w:tc>
        <w:tc>
          <w:tcPr>
            <w:tcW w:w="1170" w:type="dxa"/>
            <w:tcBorders>
              <w:top w:val="nil"/>
              <w:left w:val="nil"/>
              <w:bottom w:val="nil"/>
              <w:right w:val="nil"/>
            </w:tcBorders>
            <w:shd w:val="clear" w:color="auto" w:fill="auto"/>
            <w:noWrap/>
            <w:vAlign w:val="bottom"/>
            <w:hideMark/>
          </w:tcPr>
          <w:p w14:paraId="20D17149"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c>
          <w:tcPr>
            <w:tcW w:w="1350" w:type="dxa"/>
            <w:tcBorders>
              <w:top w:val="nil"/>
              <w:left w:val="nil"/>
              <w:bottom w:val="nil"/>
              <w:right w:val="nil"/>
            </w:tcBorders>
            <w:shd w:val="clear" w:color="auto" w:fill="auto"/>
            <w:noWrap/>
            <w:vAlign w:val="bottom"/>
            <w:hideMark/>
          </w:tcPr>
          <w:p w14:paraId="1DF3B47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r>
      <w:tr w:rsidR="002F5D47" w:rsidRPr="00EC1E04" w14:paraId="09E481CE" w14:textId="77777777" w:rsidTr="00C04359">
        <w:trPr>
          <w:trHeight w:val="280"/>
        </w:trPr>
        <w:tc>
          <w:tcPr>
            <w:tcW w:w="1530" w:type="dxa"/>
            <w:tcBorders>
              <w:top w:val="nil"/>
              <w:left w:val="nil"/>
              <w:bottom w:val="nil"/>
              <w:right w:val="nil"/>
            </w:tcBorders>
            <w:shd w:val="clear" w:color="auto" w:fill="auto"/>
            <w:noWrap/>
            <w:vAlign w:val="bottom"/>
            <w:hideMark/>
          </w:tcPr>
          <w:p w14:paraId="1DBECF10"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C1A51E9"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(0.011)</w:t>
            </w:r>
          </w:p>
        </w:tc>
        <w:tc>
          <w:tcPr>
            <w:tcW w:w="1170" w:type="dxa"/>
            <w:tcBorders>
              <w:top w:val="nil"/>
              <w:left w:val="nil"/>
              <w:bottom w:val="nil"/>
              <w:right w:val="nil"/>
            </w:tcBorders>
            <w:shd w:val="clear" w:color="auto" w:fill="auto"/>
            <w:noWrap/>
            <w:vAlign w:val="bottom"/>
            <w:hideMark/>
          </w:tcPr>
          <w:p w14:paraId="58C51AD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(0.009)</w:t>
            </w:r>
          </w:p>
        </w:tc>
        <w:tc>
          <w:tcPr>
            <w:tcW w:w="1260" w:type="dxa"/>
            <w:tcBorders>
              <w:top w:val="nil"/>
              <w:left w:val="nil"/>
              <w:bottom w:val="nil"/>
              <w:right w:val="nil"/>
            </w:tcBorders>
            <w:shd w:val="clear" w:color="auto" w:fill="auto"/>
            <w:noWrap/>
            <w:vAlign w:val="bottom"/>
            <w:hideMark/>
          </w:tcPr>
          <w:p w14:paraId="1CA41AC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(1.078)</w:t>
            </w:r>
          </w:p>
        </w:tc>
        <w:tc>
          <w:tcPr>
            <w:tcW w:w="1260" w:type="dxa"/>
            <w:tcBorders>
              <w:top w:val="nil"/>
              <w:left w:val="nil"/>
              <w:bottom w:val="nil"/>
              <w:right w:val="nil"/>
            </w:tcBorders>
            <w:shd w:val="clear" w:color="auto" w:fill="auto"/>
            <w:noWrap/>
            <w:vAlign w:val="bottom"/>
            <w:hideMark/>
          </w:tcPr>
          <w:p w14:paraId="5EA4084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(1.111)</w:t>
            </w:r>
          </w:p>
        </w:tc>
        <w:tc>
          <w:tcPr>
            <w:tcW w:w="1260" w:type="dxa"/>
            <w:tcBorders>
              <w:top w:val="nil"/>
              <w:left w:val="nil"/>
              <w:bottom w:val="nil"/>
              <w:right w:val="nil"/>
            </w:tcBorders>
            <w:shd w:val="clear" w:color="auto" w:fill="auto"/>
            <w:noWrap/>
            <w:vAlign w:val="bottom"/>
            <w:hideMark/>
          </w:tcPr>
          <w:p w14:paraId="55DD75C9"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(1.519)</w:t>
            </w:r>
          </w:p>
        </w:tc>
        <w:tc>
          <w:tcPr>
            <w:tcW w:w="1350" w:type="dxa"/>
            <w:tcBorders>
              <w:top w:val="nil"/>
              <w:left w:val="nil"/>
              <w:bottom w:val="nil"/>
              <w:right w:val="nil"/>
            </w:tcBorders>
            <w:shd w:val="clear" w:color="auto" w:fill="auto"/>
            <w:noWrap/>
            <w:vAlign w:val="bottom"/>
            <w:hideMark/>
          </w:tcPr>
          <w:p w14:paraId="2BFC877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(1.509)</w:t>
            </w:r>
          </w:p>
        </w:tc>
        <w:tc>
          <w:tcPr>
            <w:tcW w:w="1170" w:type="dxa"/>
            <w:tcBorders>
              <w:top w:val="nil"/>
              <w:left w:val="nil"/>
              <w:bottom w:val="nil"/>
              <w:right w:val="nil"/>
            </w:tcBorders>
            <w:shd w:val="clear" w:color="auto" w:fill="auto"/>
            <w:noWrap/>
            <w:vAlign w:val="bottom"/>
            <w:hideMark/>
          </w:tcPr>
          <w:p w14:paraId="11E6E70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(0.000)</w:t>
            </w:r>
          </w:p>
        </w:tc>
        <w:tc>
          <w:tcPr>
            <w:tcW w:w="1350" w:type="dxa"/>
            <w:tcBorders>
              <w:top w:val="nil"/>
              <w:left w:val="nil"/>
              <w:bottom w:val="nil"/>
              <w:right w:val="nil"/>
            </w:tcBorders>
            <w:shd w:val="clear" w:color="auto" w:fill="auto"/>
            <w:noWrap/>
            <w:vAlign w:val="bottom"/>
            <w:hideMark/>
          </w:tcPr>
          <w:p w14:paraId="623AEEB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(0.000)</w:t>
            </w:r>
          </w:p>
        </w:tc>
      </w:tr>
      <w:tr w:rsidR="002F5D47" w:rsidRPr="00EC1E04" w14:paraId="613FD4AC" w14:textId="77777777" w:rsidTr="00C04359">
        <w:trPr>
          <w:trHeight w:val="280"/>
        </w:trPr>
        <w:tc>
          <w:tcPr>
            <w:tcW w:w="1530" w:type="dxa"/>
            <w:tcBorders>
              <w:top w:val="nil"/>
              <w:left w:val="nil"/>
              <w:bottom w:val="nil"/>
              <w:right w:val="nil"/>
            </w:tcBorders>
            <w:shd w:val="clear" w:color="auto" w:fill="auto"/>
            <w:noWrap/>
            <w:vAlign w:val="bottom"/>
            <w:hideMark/>
          </w:tcPr>
          <w:p w14:paraId="1E546C77"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7D1E6A7"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A8A4AD7"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6660075"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722C66FC"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C77D3A0"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BFE6131"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38E353E4"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416296C" w14:textId="77777777" w:rsidR="002F5D47" w:rsidRPr="00EC1E04" w:rsidRDefault="002F5D47" w:rsidP="00C04359">
            <w:pPr>
              <w:jc w:val="center"/>
              <w:rPr>
                <w:rFonts w:ascii="Calibri" w:eastAsia="Times New Roman" w:hAnsi="Calibri" w:cs="Times New Roman"/>
                <w:color w:val="000000"/>
                <w:sz w:val="22"/>
                <w:szCs w:val="22"/>
              </w:rPr>
            </w:pPr>
          </w:p>
        </w:tc>
      </w:tr>
      <w:tr w:rsidR="002F5D47" w:rsidRPr="00EC1E04" w14:paraId="64678670" w14:textId="77777777" w:rsidTr="00C04359">
        <w:trPr>
          <w:trHeight w:val="280"/>
        </w:trPr>
        <w:tc>
          <w:tcPr>
            <w:tcW w:w="1530" w:type="dxa"/>
            <w:tcBorders>
              <w:top w:val="nil"/>
              <w:left w:val="nil"/>
              <w:bottom w:val="nil"/>
              <w:right w:val="nil"/>
            </w:tcBorders>
            <w:shd w:val="clear" w:color="auto" w:fill="auto"/>
            <w:noWrap/>
            <w:vAlign w:val="bottom"/>
            <w:hideMark/>
          </w:tcPr>
          <w:p w14:paraId="68CEAC6A"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Strike × Week</w:t>
            </w:r>
          </w:p>
        </w:tc>
        <w:tc>
          <w:tcPr>
            <w:tcW w:w="1170" w:type="dxa"/>
            <w:tcBorders>
              <w:top w:val="nil"/>
              <w:left w:val="nil"/>
              <w:bottom w:val="nil"/>
              <w:right w:val="nil"/>
            </w:tcBorders>
            <w:shd w:val="clear" w:color="auto" w:fill="auto"/>
            <w:noWrap/>
            <w:vAlign w:val="bottom"/>
            <w:hideMark/>
          </w:tcPr>
          <w:p w14:paraId="5BB947D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0.169***</w:t>
            </w:r>
          </w:p>
        </w:tc>
        <w:tc>
          <w:tcPr>
            <w:tcW w:w="1170" w:type="dxa"/>
            <w:tcBorders>
              <w:top w:val="nil"/>
              <w:left w:val="nil"/>
              <w:bottom w:val="nil"/>
              <w:right w:val="nil"/>
            </w:tcBorders>
            <w:shd w:val="clear" w:color="auto" w:fill="auto"/>
            <w:noWrap/>
            <w:vAlign w:val="bottom"/>
            <w:hideMark/>
          </w:tcPr>
          <w:p w14:paraId="6E06853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0.172***</w:t>
            </w:r>
          </w:p>
        </w:tc>
        <w:tc>
          <w:tcPr>
            <w:tcW w:w="1260" w:type="dxa"/>
            <w:tcBorders>
              <w:top w:val="nil"/>
              <w:left w:val="nil"/>
              <w:bottom w:val="nil"/>
              <w:right w:val="nil"/>
            </w:tcBorders>
            <w:shd w:val="clear" w:color="auto" w:fill="auto"/>
            <w:noWrap/>
            <w:vAlign w:val="bottom"/>
            <w:hideMark/>
          </w:tcPr>
          <w:p w14:paraId="0B321F2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0.905</w:t>
            </w:r>
          </w:p>
        </w:tc>
        <w:tc>
          <w:tcPr>
            <w:tcW w:w="1260" w:type="dxa"/>
            <w:tcBorders>
              <w:top w:val="nil"/>
              <w:left w:val="nil"/>
              <w:bottom w:val="nil"/>
              <w:right w:val="nil"/>
            </w:tcBorders>
            <w:shd w:val="clear" w:color="auto" w:fill="auto"/>
            <w:noWrap/>
            <w:vAlign w:val="bottom"/>
            <w:hideMark/>
          </w:tcPr>
          <w:p w14:paraId="1CE0B75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1.048</w:t>
            </w:r>
          </w:p>
        </w:tc>
        <w:tc>
          <w:tcPr>
            <w:tcW w:w="1260" w:type="dxa"/>
            <w:tcBorders>
              <w:top w:val="nil"/>
              <w:left w:val="nil"/>
              <w:bottom w:val="nil"/>
              <w:right w:val="nil"/>
            </w:tcBorders>
            <w:shd w:val="clear" w:color="auto" w:fill="auto"/>
            <w:noWrap/>
            <w:vAlign w:val="bottom"/>
            <w:hideMark/>
          </w:tcPr>
          <w:p w14:paraId="73E543B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14.398***</w:t>
            </w:r>
          </w:p>
        </w:tc>
        <w:tc>
          <w:tcPr>
            <w:tcW w:w="1350" w:type="dxa"/>
            <w:tcBorders>
              <w:top w:val="nil"/>
              <w:left w:val="nil"/>
              <w:bottom w:val="nil"/>
              <w:right w:val="nil"/>
            </w:tcBorders>
            <w:shd w:val="clear" w:color="auto" w:fill="auto"/>
            <w:noWrap/>
            <w:vAlign w:val="bottom"/>
            <w:hideMark/>
          </w:tcPr>
          <w:p w14:paraId="3D64950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15.000***</w:t>
            </w:r>
          </w:p>
        </w:tc>
        <w:tc>
          <w:tcPr>
            <w:tcW w:w="1170" w:type="dxa"/>
            <w:tcBorders>
              <w:top w:val="nil"/>
              <w:left w:val="nil"/>
              <w:bottom w:val="nil"/>
              <w:right w:val="nil"/>
            </w:tcBorders>
            <w:shd w:val="clear" w:color="auto" w:fill="auto"/>
            <w:noWrap/>
            <w:vAlign w:val="bottom"/>
            <w:hideMark/>
          </w:tcPr>
          <w:p w14:paraId="56B638FC"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-0.003***</w:t>
            </w:r>
          </w:p>
        </w:tc>
        <w:tc>
          <w:tcPr>
            <w:tcW w:w="1350" w:type="dxa"/>
            <w:tcBorders>
              <w:top w:val="nil"/>
              <w:left w:val="nil"/>
              <w:bottom w:val="nil"/>
              <w:right w:val="nil"/>
            </w:tcBorders>
            <w:shd w:val="clear" w:color="auto" w:fill="auto"/>
            <w:noWrap/>
            <w:vAlign w:val="bottom"/>
            <w:hideMark/>
          </w:tcPr>
          <w:p w14:paraId="27B4F6A9"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-0.003***</w:t>
            </w:r>
          </w:p>
        </w:tc>
      </w:tr>
      <w:tr w:rsidR="002F5D47" w:rsidRPr="00EC1E04" w14:paraId="506530DE" w14:textId="77777777" w:rsidTr="00C04359">
        <w:trPr>
          <w:trHeight w:val="280"/>
        </w:trPr>
        <w:tc>
          <w:tcPr>
            <w:tcW w:w="1530" w:type="dxa"/>
            <w:tcBorders>
              <w:top w:val="nil"/>
              <w:left w:val="nil"/>
              <w:bottom w:val="nil"/>
              <w:right w:val="nil"/>
            </w:tcBorders>
            <w:shd w:val="clear" w:color="auto" w:fill="auto"/>
            <w:noWrap/>
            <w:vAlign w:val="bottom"/>
            <w:hideMark/>
          </w:tcPr>
          <w:p w14:paraId="729D56BE"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1915B1FC"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(0.036)</w:t>
            </w:r>
          </w:p>
        </w:tc>
        <w:tc>
          <w:tcPr>
            <w:tcW w:w="1170" w:type="dxa"/>
            <w:tcBorders>
              <w:top w:val="nil"/>
              <w:left w:val="nil"/>
              <w:bottom w:val="nil"/>
              <w:right w:val="nil"/>
            </w:tcBorders>
            <w:shd w:val="clear" w:color="auto" w:fill="auto"/>
            <w:noWrap/>
            <w:vAlign w:val="bottom"/>
            <w:hideMark/>
          </w:tcPr>
          <w:p w14:paraId="7059C6D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(0.034)</w:t>
            </w:r>
          </w:p>
        </w:tc>
        <w:tc>
          <w:tcPr>
            <w:tcW w:w="1260" w:type="dxa"/>
            <w:tcBorders>
              <w:top w:val="nil"/>
              <w:left w:val="nil"/>
              <w:bottom w:val="nil"/>
              <w:right w:val="nil"/>
            </w:tcBorders>
            <w:shd w:val="clear" w:color="auto" w:fill="auto"/>
            <w:noWrap/>
            <w:vAlign w:val="bottom"/>
            <w:hideMark/>
          </w:tcPr>
          <w:p w14:paraId="3F2F26F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(1.611)</w:t>
            </w:r>
          </w:p>
        </w:tc>
        <w:tc>
          <w:tcPr>
            <w:tcW w:w="1260" w:type="dxa"/>
            <w:tcBorders>
              <w:top w:val="nil"/>
              <w:left w:val="nil"/>
              <w:bottom w:val="nil"/>
              <w:right w:val="nil"/>
            </w:tcBorders>
            <w:shd w:val="clear" w:color="auto" w:fill="auto"/>
            <w:noWrap/>
            <w:vAlign w:val="bottom"/>
            <w:hideMark/>
          </w:tcPr>
          <w:p w14:paraId="0EF59B6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(1.696)</w:t>
            </w:r>
          </w:p>
        </w:tc>
        <w:tc>
          <w:tcPr>
            <w:tcW w:w="1260" w:type="dxa"/>
            <w:tcBorders>
              <w:top w:val="nil"/>
              <w:left w:val="nil"/>
              <w:bottom w:val="nil"/>
              <w:right w:val="nil"/>
            </w:tcBorders>
            <w:shd w:val="clear" w:color="auto" w:fill="auto"/>
            <w:noWrap/>
            <w:vAlign w:val="bottom"/>
            <w:hideMark/>
          </w:tcPr>
          <w:p w14:paraId="7F58A76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(3.412)</w:t>
            </w:r>
          </w:p>
        </w:tc>
        <w:tc>
          <w:tcPr>
            <w:tcW w:w="1350" w:type="dxa"/>
            <w:tcBorders>
              <w:top w:val="nil"/>
              <w:left w:val="nil"/>
              <w:bottom w:val="nil"/>
              <w:right w:val="nil"/>
            </w:tcBorders>
            <w:shd w:val="clear" w:color="auto" w:fill="auto"/>
            <w:noWrap/>
            <w:vAlign w:val="bottom"/>
            <w:hideMark/>
          </w:tcPr>
          <w:p w14:paraId="071BB99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(3.705)</w:t>
            </w:r>
          </w:p>
        </w:tc>
        <w:tc>
          <w:tcPr>
            <w:tcW w:w="1170" w:type="dxa"/>
            <w:tcBorders>
              <w:top w:val="nil"/>
              <w:left w:val="nil"/>
              <w:bottom w:val="nil"/>
              <w:right w:val="nil"/>
            </w:tcBorders>
            <w:shd w:val="clear" w:color="auto" w:fill="auto"/>
            <w:noWrap/>
            <w:vAlign w:val="bottom"/>
            <w:hideMark/>
          </w:tcPr>
          <w:p w14:paraId="4DACC51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c>
          <w:tcPr>
            <w:tcW w:w="1350" w:type="dxa"/>
            <w:tcBorders>
              <w:top w:val="nil"/>
              <w:left w:val="nil"/>
              <w:bottom w:val="nil"/>
              <w:right w:val="nil"/>
            </w:tcBorders>
            <w:shd w:val="clear" w:color="auto" w:fill="auto"/>
            <w:noWrap/>
            <w:vAlign w:val="bottom"/>
            <w:hideMark/>
          </w:tcPr>
          <w:p w14:paraId="78117292"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r>
      <w:tr w:rsidR="002F5D47" w:rsidRPr="00EC1E04" w14:paraId="33C12BBC" w14:textId="77777777" w:rsidTr="00C04359">
        <w:trPr>
          <w:trHeight w:val="280"/>
        </w:trPr>
        <w:tc>
          <w:tcPr>
            <w:tcW w:w="1530" w:type="dxa"/>
            <w:tcBorders>
              <w:top w:val="nil"/>
              <w:left w:val="nil"/>
              <w:bottom w:val="nil"/>
              <w:right w:val="nil"/>
            </w:tcBorders>
            <w:shd w:val="clear" w:color="auto" w:fill="auto"/>
            <w:noWrap/>
            <w:vAlign w:val="bottom"/>
            <w:hideMark/>
          </w:tcPr>
          <w:p w14:paraId="551088CB"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65CACE8"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5C624654"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130DCB5"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A8FDD94"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C3437BA"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A4AC6EC"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1BDF1DF"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1EF4E350" w14:textId="77777777" w:rsidR="002F5D47" w:rsidRPr="00EC1E04" w:rsidRDefault="002F5D47" w:rsidP="00C04359">
            <w:pPr>
              <w:jc w:val="center"/>
              <w:rPr>
                <w:rFonts w:ascii="Calibri" w:eastAsia="Times New Roman" w:hAnsi="Calibri" w:cs="Times New Roman"/>
                <w:color w:val="000000"/>
                <w:sz w:val="22"/>
                <w:szCs w:val="22"/>
              </w:rPr>
            </w:pPr>
          </w:p>
        </w:tc>
      </w:tr>
      <w:tr w:rsidR="002F5D47" w:rsidRPr="00EC1E04" w14:paraId="2292D8A8" w14:textId="77777777" w:rsidTr="00C04359">
        <w:trPr>
          <w:trHeight w:val="280"/>
        </w:trPr>
        <w:tc>
          <w:tcPr>
            <w:tcW w:w="1530" w:type="dxa"/>
            <w:tcBorders>
              <w:top w:val="nil"/>
              <w:left w:val="nil"/>
              <w:bottom w:val="nil"/>
              <w:right w:val="nil"/>
            </w:tcBorders>
            <w:shd w:val="clear" w:color="auto" w:fill="auto"/>
            <w:noWrap/>
            <w:vAlign w:val="bottom"/>
            <w:hideMark/>
          </w:tcPr>
          <w:p w14:paraId="14B7A391"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Wind Speed</w:t>
            </w:r>
          </w:p>
        </w:tc>
        <w:tc>
          <w:tcPr>
            <w:tcW w:w="1170" w:type="dxa"/>
            <w:tcBorders>
              <w:top w:val="nil"/>
              <w:left w:val="nil"/>
              <w:bottom w:val="nil"/>
              <w:right w:val="nil"/>
            </w:tcBorders>
            <w:shd w:val="clear" w:color="auto" w:fill="auto"/>
            <w:noWrap/>
            <w:vAlign w:val="bottom"/>
            <w:hideMark/>
          </w:tcPr>
          <w:p w14:paraId="640AA41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-0.085</w:t>
            </w:r>
          </w:p>
        </w:tc>
        <w:tc>
          <w:tcPr>
            <w:tcW w:w="1170" w:type="dxa"/>
            <w:tcBorders>
              <w:top w:val="nil"/>
              <w:left w:val="nil"/>
              <w:bottom w:val="nil"/>
              <w:right w:val="nil"/>
            </w:tcBorders>
            <w:shd w:val="clear" w:color="auto" w:fill="auto"/>
            <w:noWrap/>
            <w:vAlign w:val="bottom"/>
            <w:hideMark/>
          </w:tcPr>
          <w:p w14:paraId="07465CA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-0.112</w:t>
            </w:r>
          </w:p>
        </w:tc>
        <w:tc>
          <w:tcPr>
            <w:tcW w:w="1260" w:type="dxa"/>
            <w:tcBorders>
              <w:top w:val="nil"/>
              <w:left w:val="nil"/>
              <w:bottom w:val="nil"/>
              <w:right w:val="nil"/>
            </w:tcBorders>
            <w:shd w:val="clear" w:color="auto" w:fill="auto"/>
            <w:noWrap/>
            <w:vAlign w:val="bottom"/>
            <w:hideMark/>
          </w:tcPr>
          <w:p w14:paraId="315D390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0.356</w:t>
            </w:r>
          </w:p>
        </w:tc>
        <w:tc>
          <w:tcPr>
            <w:tcW w:w="1260" w:type="dxa"/>
            <w:tcBorders>
              <w:top w:val="nil"/>
              <w:left w:val="nil"/>
              <w:bottom w:val="nil"/>
              <w:right w:val="nil"/>
            </w:tcBorders>
            <w:shd w:val="clear" w:color="auto" w:fill="auto"/>
            <w:noWrap/>
            <w:vAlign w:val="bottom"/>
            <w:hideMark/>
          </w:tcPr>
          <w:p w14:paraId="60618A8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-3.107</w:t>
            </w:r>
          </w:p>
        </w:tc>
        <w:tc>
          <w:tcPr>
            <w:tcW w:w="1260" w:type="dxa"/>
            <w:tcBorders>
              <w:top w:val="nil"/>
              <w:left w:val="nil"/>
              <w:bottom w:val="nil"/>
              <w:right w:val="nil"/>
            </w:tcBorders>
            <w:shd w:val="clear" w:color="auto" w:fill="auto"/>
            <w:noWrap/>
            <w:vAlign w:val="bottom"/>
            <w:hideMark/>
          </w:tcPr>
          <w:p w14:paraId="190C0D6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1.733</w:t>
            </w:r>
          </w:p>
        </w:tc>
        <w:tc>
          <w:tcPr>
            <w:tcW w:w="1350" w:type="dxa"/>
            <w:tcBorders>
              <w:top w:val="nil"/>
              <w:left w:val="nil"/>
              <w:bottom w:val="nil"/>
              <w:right w:val="nil"/>
            </w:tcBorders>
            <w:shd w:val="clear" w:color="auto" w:fill="auto"/>
            <w:noWrap/>
            <w:vAlign w:val="bottom"/>
            <w:hideMark/>
          </w:tcPr>
          <w:p w14:paraId="7E69D56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-12.827*</w:t>
            </w:r>
          </w:p>
        </w:tc>
        <w:tc>
          <w:tcPr>
            <w:tcW w:w="1170" w:type="dxa"/>
            <w:tcBorders>
              <w:top w:val="nil"/>
              <w:left w:val="nil"/>
              <w:bottom w:val="nil"/>
              <w:right w:val="nil"/>
            </w:tcBorders>
            <w:shd w:val="clear" w:color="auto" w:fill="auto"/>
            <w:noWrap/>
            <w:vAlign w:val="bottom"/>
            <w:hideMark/>
          </w:tcPr>
          <w:p w14:paraId="3D2D56E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c>
          <w:tcPr>
            <w:tcW w:w="1350" w:type="dxa"/>
            <w:tcBorders>
              <w:top w:val="nil"/>
              <w:left w:val="nil"/>
              <w:bottom w:val="nil"/>
              <w:right w:val="nil"/>
            </w:tcBorders>
            <w:shd w:val="clear" w:color="auto" w:fill="auto"/>
            <w:noWrap/>
            <w:vAlign w:val="bottom"/>
            <w:hideMark/>
          </w:tcPr>
          <w:p w14:paraId="0F6B4DC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-0.000</w:t>
            </w:r>
          </w:p>
        </w:tc>
      </w:tr>
      <w:tr w:rsidR="002F5D47" w:rsidRPr="00EC1E04" w14:paraId="2F62518B" w14:textId="77777777" w:rsidTr="00C04359">
        <w:trPr>
          <w:trHeight w:val="280"/>
        </w:trPr>
        <w:tc>
          <w:tcPr>
            <w:tcW w:w="1530" w:type="dxa"/>
            <w:tcBorders>
              <w:top w:val="nil"/>
              <w:left w:val="nil"/>
              <w:bottom w:val="nil"/>
              <w:right w:val="nil"/>
            </w:tcBorders>
            <w:shd w:val="clear" w:color="auto" w:fill="auto"/>
            <w:noWrap/>
            <w:vAlign w:val="bottom"/>
            <w:hideMark/>
          </w:tcPr>
          <w:p w14:paraId="768E5BF3"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E6A7EF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(0.058)</w:t>
            </w:r>
          </w:p>
        </w:tc>
        <w:tc>
          <w:tcPr>
            <w:tcW w:w="1170" w:type="dxa"/>
            <w:tcBorders>
              <w:top w:val="nil"/>
              <w:left w:val="nil"/>
              <w:bottom w:val="nil"/>
              <w:right w:val="nil"/>
            </w:tcBorders>
            <w:shd w:val="clear" w:color="auto" w:fill="auto"/>
            <w:noWrap/>
            <w:vAlign w:val="bottom"/>
            <w:hideMark/>
          </w:tcPr>
          <w:p w14:paraId="66950BE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(0.095)</w:t>
            </w:r>
          </w:p>
        </w:tc>
        <w:tc>
          <w:tcPr>
            <w:tcW w:w="1260" w:type="dxa"/>
            <w:tcBorders>
              <w:top w:val="nil"/>
              <w:left w:val="nil"/>
              <w:bottom w:val="nil"/>
              <w:right w:val="nil"/>
            </w:tcBorders>
            <w:shd w:val="clear" w:color="auto" w:fill="auto"/>
            <w:noWrap/>
            <w:vAlign w:val="bottom"/>
            <w:hideMark/>
          </w:tcPr>
          <w:p w14:paraId="7EF6EF7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(1.678)</w:t>
            </w:r>
          </w:p>
        </w:tc>
        <w:tc>
          <w:tcPr>
            <w:tcW w:w="1260" w:type="dxa"/>
            <w:tcBorders>
              <w:top w:val="nil"/>
              <w:left w:val="nil"/>
              <w:bottom w:val="nil"/>
              <w:right w:val="nil"/>
            </w:tcBorders>
            <w:shd w:val="clear" w:color="auto" w:fill="auto"/>
            <w:noWrap/>
            <w:vAlign w:val="bottom"/>
            <w:hideMark/>
          </w:tcPr>
          <w:p w14:paraId="624D91C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(3.895)</w:t>
            </w:r>
          </w:p>
        </w:tc>
        <w:tc>
          <w:tcPr>
            <w:tcW w:w="1260" w:type="dxa"/>
            <w:tcBorders>
              <w:top w:val="nil"/>
              <w:left w:val="nil"/>
              <w:bottom w:val="nil"/>
              <w:right w:val="nil"/>
            </w:tcBorders>
            <w:shd w:val="clear" w:color="auto" w:fill="auto"/>
            <w:noWrap/>
            <w:vAlign w:val="bottom"/>
            <w:hideMark/>
          </w:tcPr>
          <w:p w14:paraId="54DF632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(3.617)</w:t>
            </w:r>
          </w:p>
        </w:tc>
        <w:tc>
          <w:tcPr>
            <w:tcW w:w="1350" w:type="dxa"/>
            <w:tcBorders>
              <w:top w:val="nil"/>
              <w:left w:val="nil"/>
              <w:bottom w:val="nil"/>
              <w:right w:val="nil"/>
            </w:tcBorders>
            <w:shd w:val="clear" w:color="auto" w:fill="auto"/>
            <w:noWrap/>
            <w:vAlign w:val="bottom"/>
            <w:hideMark/>
          </w:tcPr>
          <w:p w14:paraId="18EAB3E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(6.229)</w:t>
            </w:r>
          </w:p>
        </w:tc>
        <w:tc>
          <w:tcPr>
            <w:tcW w:w="1170" w:type="dxa"/>
            <w:tcBorders>
              <w:top w:val="nil"/>
              <w:left w:val="nil"/>
              <w:bottom w:val="nil"/>
              <w:right w:val="nil"/>
            </w:tcBorders>
            <w:shd w:val="clear" w:color="auto" w:fill="auto"/>
            <w:noWrap/>
            <w:vAlign w:val="bottom"/>
            <w:hideMark/>
          </w:tcPr>
          <w:p w14:paraId="7F050A6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c>
          <w:tcPr>
            <w:tcW w:w="1350" w:type="dxa"/>
            <w:tcBorders>
              <w:top w:val="nil"/>
              <w:left w:val="nil"/>
              <w:bottom w:val="nil"/>
              <w:right w:val="nil"/>
            </w:tcBorders>
            <w:shd w:val="clear" w:color="auto" w:fill="auto"/>
            <w:noWrap/>
            <w:vAlign w:val="bottom"/>
            <w:hideMark/>
          </w:tcPr>
          <w:p w14:paraId="7F6DB91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(0.001)</w:t>
            </w:r>
          </w:p>
        </w:tc>
      </w:tr>
      <w:tr w:rsidR="002F5D47" w:rsidRPr="00EC1E04" w14:paraId="0748424A" w14:textId="77777777" w:rsidTr="00C04359">
        <w:trPr>
          <w:trHeight w:val="280"/>
        </w:trPr>
        <w:tc>
          <w:tcPr>
            <w:tcW w:w="1530" w:type="dxa"/>
            <w:tcBorders>
              <w:top w:val="nil"/>
              <w:left w:val="nil"/>
              <w:bottom w:val="nil"/>
              <w:right w:val="nil"/>
            </w:tcBorders>
            <w:shd w:val="clear" w:color="auto" w:fill="auto"/>
            <w:noWrap/>
            <w:vAlign w:val="bottom"/>
            <w:hideMark/>
          </w:tcPr>
          <w:p w14:paraId="69DEFF29"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2AEFB48B"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8EDFA82"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CB0280A"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CFCE72B"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4D3D26E0"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3E093970"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2ED6445"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682C51BA" w14:textId="77777777" w:rsidR="002F5D47" w:rsidRPr="00EC1E04" w:rsidRDefault="002F5D47" w:rsidP="00C04359">
            <w:pPr>
              <w:jc w:val="center"/>
              <w:rPr>
                <w:rFonts w:ascii="Calibri" w:eastAsia="Times New Roman" w:hAnsi="Calibri" w:cs="Times New Roman"/>
                <w:color w:val="000000"/>
                <w:sz w:val="22"/>
                <w:szCs w:val="22"/>
              </w:rPr>
            </w:pPr>
          </w:p>
        </w:tc>
      </w:tr>
      <w:tr w:rsidR="002F5D47" w:rsidRPr="00EC1E04" w14:paraId="7979C562" w14:textId="77777777" w:rsidTr="00C04359">
        <w:trPr>
          <w:trHeight w:val="280"/>
        </w:trPr>
        <w:tc>
          <w:tcPr>
            <w:tcW w:w="1530" w:type="dxa"/>
            <w:tcBorders>
              <w:top w:val="nil"/>
              <w:left w:val="nil"/>
              <w:bottom w:val="nil"/>
              <w:right w:val="nil"/>
            </w:tcBorders>
            <w:shd w:val="clear" w:color="auto" w:fill="auto"/>
            <w:noWrap/>
            <w:vAlign w:val="bottom"/>
            <w:hideMark/>
          </w:tcPr>
          <w:p w14:paraId="7A23C2B5"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Constant</w:t>
            </w:r>
          </w:p>
        </w:tc>
        <w:tc>
          <w:tcPr>
            <w:tcW w:w="1170" w:type="dxa"/>
            <w:tcBorders>
              <w:top w:val="nil"/>
              <w:left w:val="nil"/>
              <w:bottom w:val="nil"/>
              <w:right w:val="nil"/>
            </w:tcBorders>
            <w:shd w:val="clear" w:color="auto" w:fill="auto"/>
            <w:noWrap/>
            <w:vAlign w:val="bottom"/>
            <w:hideMark/>
          </w:tcPr>
          <w:p w14:paraId="48F191F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1.310***</w:t>
            </w:r>
          </w:p>
        </w:tc>
        <w:tc>
          <w:tcPr>
            <w:tcW w:w="1170" w:type="dxa"/>
            <w:tcBorders>
              <w:top w:val="nil"/>
              <w:left w:val="nil"/>
              <w:bottom w:val="nil"/>
              <w:right w:val="nil"/>
            </w:tcBorders>
            <w:shd w:val="clear" w:color="auto" w:fill="auto"/>
            <w:noWrap/>
            <w:vAlign w:val="bottom"/>
            <w:hideMark/>
          </w:tcPr>
          <w:p w14:paraId="76788B8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1.389***</w:t>
            </w:r>
          </w:p>
        </w:tc>
        <w:tc>
          <w:tcPr>
            <w:tcW w:w="1260" w:type="dxa"/>
            <w:tcBorders>
              <w:top w:val="nil"/>
              <w:left w:val="nil"/>
              <w:bottom w:val="nil"/>
              <w:right w:val="nil"/>
            </w:tcBorders>
            <w:shd w:val="clear" w:color="auto" w:fill="auto"/>
            <w:noWrap/>
            <w:vAlign w:val="bottom"/>
            <w:hideMark/>
          </w:tcPr>
          <w:p w14:paraId="098D0CF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44.113***</w:t>
            </w:r>
          </w:p>
        </w:tc>
        <w:tc>
          <w:tcPr>
            <w:tcW w:w="1260" w:type="dxa"/>
            <w:tcBorders>
              <w:top w:val="nil"/>
              <w:left w:val="nil"/>
              <w:bottom w:val="nil"/>
              <w:right w:val="nil"/>
            </w:tcBorders>
            <w:shd w:val="clear" w:color="auto" w:fill="auto"/>
            <w:noWrap/>
            <w:vAlign w:val="bottom"/>
            <w:hideMark/>
          </w:tcPr>
          <w:p w14:paraId="03361FD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62.912***</w:t>
            </w:r>
          </w:p>
        </w:tc>
        <w:tc>
          <w:tcPr>
            <w:tcW w:w="1260" w:type="dxa"/>
            <w:tcBorders>
              <w:top w:val="nil"/>
              <w:left w:val="nil"/>
              <w:bottom w:val="nil"/>
              <w:right w:val="nil"/>
            </w:tcBorders>
            <w:shd w:val="clear" w:color="auto" w:fill="auto"/>
            <w:noWrap/>
            <w:vAlign w:val="bottom"/>
            <w:hideMark/>
          </w:tcPr>
          <w:p w14:paraId="4E704DF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66.942***</w:t>
            </w:r>
          </w:p>
        </w:tc>
        <w:tc>
          <w:tcPr>
            <w:tcW w:w="1350" w:type="dxa"/>
            <w:tcBorders>
              <w:top w:val="nil"/>
              <w:left w:val="nil"/>
              <w:bottom w:val="nil"/>
              <w:right w:val="nil"/>
            </w:tcBorders>
            <w:shd w:val="clear" w:color="auto" w:fill="auto"/>
            <w:noWrap/>
            <w:vAlign w:val="bottom"/>
            <w:hideMark/>
          </w:tcPr>
          <w:p w14:paraId="456C459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121.719***</w:t>
            </w:r>
          </w:p>
        </w:tc>
        <w:tc>
          <w:tcPr>
            <w:tcW w:w="1170" w:type="dxa"/>
            <w:tcBorders>
              <w:top w:val="nil"/>
              <w:left w:val="nil"/>
              <w:bottom w:val="nil"/>
              <w:right w:val="nil"/>
            </w:tcBorders>
            <w:shd w:val="clear" w:color="auto" w:fill="auto"/>
            <w:noWrap/>
            <w:vAlign w:val="bottom"/>
            <w:hideMark/>
          </w:tcPr>
          <w:p w14:paraId="65B7880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0.028***</w:t>
            </w:r>
          </w:p>
        </w:tc>
        <w:tc>
          <w:tcPr>
            <w:tcW w:w="1350" w:type="dxa"/>
            <w:tcBorders>
              <w:top w:val="nil"/>
              <w:left w:val="nil"/>
              <w:bottom w:val="nil"/>
              <w:right w:val="nil"/>
            </w:tcBorders>
            <w:shd w:val="clear" w:color="auto" w:fill="auto"/>
            <w:noWrap/>
            <w:vAlign w:val="bottom"/>
            <w:hideMark/>
          </w:tcPr>
          <w:p w14:paraId="4CEB49C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0.025***</w:t>
            </w:r>
          </w:p>
        </w:tc>
      </w:tr>
      <w:tr w:rsidR="002F5D47" w:rsidRPr="00EC1E04" w14:paraId="7426C0F3" w14:textId="77777777" w:rsidTr="00C04359">
        <w:trPr>
          <w:trHeight w:val="280"/>
        </w:trPr>
        <w:tc>
          <w:tcPr>
            <w:tcW w:w="1530" w:type="dxa"/>
            <w:tcBorders>
              <w:top w:val="nil"/>
              <w:left w:val="nil"/>
              <w:bottom w:val="nil"/>
              <w:right w:val="nil"/>
            </w:tcBorders>
            <w:shd w:val="clear" w:color="auto" w:fill="auto"/>
            <w:noWrap/>
            <w:vAlign w:val="bottom"/>
            <w:hideMark/>
          </w:tcPr>
          <w:p w14:paraId="4F9630FE"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FE26BC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(0.216)</w:t>
            </w:r>
          </w:p>
        </w:tc>
        <w:tc>
          <w:tcPr>
            <w:tcW w:w="1170" w:type="dxa"/>
            <w:tcBorders>
              <w:top w:val="nil"/>
              <w:left w:val="nil"/>
              <w:bottom w:val="nil"/>
              <w:right w:val="nil"/>
            </w:tcBorders>
            <w:shd w:val="clear" w:color="auto" w:fill="auto"/>
            <w:noWrap/>
            <w:vAlign w:val="bottom"/>
            <w:hideMark/>
          </w:tcPr>
          <w:p w14:paraId="3C4E3DB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(0.343)</w:t>
            </w:r>
          </w:p>
        </w:tc>
        <w:tc>
          <w:tcPr>
            <w:tcW w:w="1260" w:type="dxa"/>
            <w:tcBorders>
              <w:top w:val="nil"/>
              <w:left w:val="nil"/>
              <w:bottom w:val="nil"/>
              <w:right w:val="nil"/>
            </w:tcBorders>
            <w:shd w:val="clear" w:color="auto" w:fill="auto"/>
            <w:noWrap/>
            <w:vAlign w:val="bottom"/>
            <w:hideMark/>
          </w:tcPr>
          <w:p w14:paraId="20A154D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(6.322)</w:t>
            </w:r>
          </w:p>
        </w:tc>
        <w:tc>
          <w:tcPr>
            <w:tcW w:w="1260" w:type="dxa"/>
            <w:tcBorders>
              <w:top w:val="nil"/>
              <w:left w:val="nil"/>
              <w:bottom w:val="nil"/>
              <w:right w:val="nil"/>
            </w:tcBorders>
            <w:shd w:val="clear" w:color="auto" w:fill="auto"/>
            <w:noWrap/>
            <w:vAlign w:val="bottom"/>
            <w:hideMark/>
          </w:tcPr>
          <w:p w14:paraId="6840960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(14.584)</w:t>
            </w:r>
          </w:p>
        </w:tc>
        <w:tc>
          <w:tcPr>
            <w:tcW w:w="1260" w:type="dxa"/>
            <w:tcBorders>
              <w:top w:val="nil"/>
              <w:left w:val="nil"/>
              <w:bottom w:val="nil"/>
              <w:right w:val="nil"/>
            </w:tcBorders>
            <w:shd w:val="clear" w:color="auto" w:fill="auto"/>
            <w:noWrap/>
            <w:vAlign w:val="bottom"/>
            <w:hideMark/>
          </w:tcPr>
          <w:p w14:paraId="10C81676"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(13.582)</w:t>
            </w:r>
          </w:p>
        </w:tc>
        <w:tc>
          <w:tcPr>
            <w:tcW w:w="1350" w:type="dxa"/>
            <w:tcBorders>
              <w:top w:val="nil"/>
              <w:left w:val="nil"/>
              <w:bottom w:val="nil"/>
              <w:right w:val="nil"/>
            </w:tcBorders>
            <w:shd w:val="clear" w:color="auto" w:fill="auto"/>
            <w:noWrap/>
            <w:vAlign w:val="bottom"/>
            <w:hideMark/>
          </w:tcPr>
          <w:p w14:paraId="67125BC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(22.840)</w:t>
            </w:r>
          </w:p>
        </w:tc>
        <w:tc>
          <w:tcPr>
            <w:tcW w:w="1170" w:type="dxa"/>
            <w:tcBorders>
              <w:top w:val="nil"/>
              <w:left w:val="nil"/>
              <w:bottom w:val="nil"/>
              <w:right w:val="nil"/>
            </w:tcBorders>
            <w:shd w:val="clear" w:color="auto" w:fill="auto"/>
            <w:noWrap/>
            <w:vAlign w:val="bottom"/>
            <w:hideMark/>
          </w:tcPr>
          <w:p w14:paraId="46578988"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(0.005)</w:t>
            </w:r>
          </w:p>
        </w:tc>
        <w:tc>
          <w:tcPr>
            <w:tcW w:w="1350" w:type="dxa"/>
            <w:tcBorders>
              <w:top w:val="nil"/>
              <w:left w:val="nil"/>
              <w:bottom w:val="nil"/>
              <w:right w:val="nil"/>
            </w:tcBorders>
            <w:shd w:val="clear" w:color="auto" w:fill="auto"/>
            <w:noWrap/>
            <w:vAlign w:val="bottom"/>
            <w:hideMark/>
          </w:tcPr>
          <w:p w14:paraId="2743EEA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(0.004)</w:t>
            </w:r>
          </w:p>
        </w:tc>
      </w:tr>
      <w:tr w:rsidR="002F5D47" w:rsidRPr="00EC1E04" w14:paraId="0BFFD36E" w14:textId="77777777" w:rsidTr="00C04359">
        <w:trPr>
          <w:trHeight w:val="280"/>
        </w:trPr>
        <w:tc>
          <w:tcPr>
            <w:tcW w:w="1530" w:type="dxa"/>
            <w:tcBorders>
              <w:top w:val="nil"/>
              <w:left w:val="nil"/>
              <w:bottom w:val="nil"/>
              <w:right w:val="nil"/>
            </w:tcBorders>
            <w:shd w:val="clear" w:color="auto" w:fill="auto"/>
            <w:noWrap/>
            <w:vAlign w:val="bottom"/>
            <w:hideMark/>
          </w:tcPr>
          <w:p w14:paraId="0DC50D09"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5B91D554"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04B1E72A"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37FDDC19"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20F17A82"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6AF59561"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6A70A75E"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ED1A82C"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C2D96D2" w14:textId="77777777" w:rsidR="002F5D47" w:rsidRPr="00EC1E04" w:rsidRDefault="002F5D47" w:rsidP="00C04359">
            <w:pPr>
              <w:jc w:val="center"/>
              <w:rPr>
                <w:rFonts w:ascii="Calibri" w:eastAsia="Times New Roman" w:hAnsi="Calibri" w:cs="Times New Roman"/>
                <w:color w:val="000000"/>
                <w:sz w:val="22"/>
                <w:szCs w:val="22"/>
              </w:rPr>
            </w:pPr>
          </w:p>
        </w:tc>
      </w:tr>
      <w:tr w:rsidR="002F5D47" w:rsidRPr="00EC1E04" w14:paraId="56BEE06C" w14:textId="77777777" w:rsidTr="00C04359">
        <w:trPr>
          <w:trHeight w:val="280"/>
        </w:trPr>
        <w:tc>
          <w:tcPr>
            <w:tcW w:w="1530" w:type="dxa"/>
            <w:tcBorders>
              <w:top w:val="nil"/>
              <w:left w:val="nil"/>
              <w:bottom w:val="nil"/>
              <w:right w:val="nil"/>
            </w:tcBorders>
            <w:shd w:val="clear" w:color="auto" w:fill="auto"/>
            <w:noWrap/>
            <w:vAlign w:val="center"/>
            <w:hideMark/>
          </w:tcPr>
          <w:p w14:paraId="705ECDF8"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Monitor FE</w:t>
            </w:r>
          </w:p>
        </w:tc>
        <w:tc>
          <w:tcPr>
            <w:tcW w:w="1170" w:type="dxa"/>
            <w:tcBorders>
              <w:top w:val="nil"/>
              <w:left w:val="nil"/>
              <w:bottom w:val="nil"/>
              <w:right w:val="nil"/>
            </w:tcBorders>
            <w:shd w:val="clear" w:color="auto" w:fill="auto"/>
            <w:noWrap/>
            <w:vAlign w:val="center"/>
            <w:hideMark/>
          </w:tcPr>
          <w:p w14:paraId="001086F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p>
        </w:tc>
        <w:tc>
          <w:tcPr>
            <w:tcW w:w="1170" w:type="dxa"/>
            <w:tcBorders>
              <w:top w:val="nil"/>
              <w:left w:val="nil"/>
              <w:bottom w:val="nil"/>
              <w:right w:val="nil"/>
            </w:tcBorders>
            <w:shd w:val="clear" w:color="auto" w:fill="auto"/>
            <w:noWrap/>
            <w:vAlign w:val="center"/>
            <w:hideMark/>
          </w:tcPr>
          <w:p w14:paraId="1516DD3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Yes</w:t>
            </w:r>
          </w:p>
        </w:tc>
        <w:tc>
          <w:tcPr>
            <w:tcW w:w="1260" w:type="dxa"/>
            <w:tcBorders>
              <w:top w:val="nil"/>
              <w:left w:val="nil"/>
              <w:bottom w:val="nil"/>
              <w:right w:val="nil"/>
            </w:tcBorders>
            <w:shd w:val="clear" w:color="auto" w:fill="auto"/>
            <w:noWrap/>
            <w:vAlign w:val="center"/>
            <w:hideMark/>
          </w:tcPr>
          <w:p w14:paraId="293264C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p>
        </w:tc>
        <w:tc>
          <w:tcPr>
            <w:tcW w:w="1260" w:type="dxa"/>
            <w:tcBorders>
              <w:top w:val="nil"/>
              <w:left w:val="nil"/>
              <w:bottom w:val="nil"/>
              <w:right w:val="nil"/>
            </w:tcBorders>
            <w:shd w:val="clear" w:color="auto" w:fill="auto"/>
            <w:noWrap/>
            <w:vAlign w:val="center"/>
            <w:hideMark/>
          </w:tcPr>
          <w:p w14:paraId="0D4FD6F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Yes</w:t>
            </w:r>
          </w:p>
        </w:tc>
        <w:tc>
          <w:tcPr>
            <w:tcW w:w="1260" w:type="dxa"/>
            <w:tcBorders>
              <w:top w:val="nil"/>
              <w:left w:val="nil"/>
              <w:bottom w:val="nil"/>
              <w:right w:val="nil"/>
            </w:tcBorders>
            <w:shd w:val="clear" w:color="auto" w:fill="auto"/>
            <w:noWrap/>
            <w:vAlign w:val="center"/>
            <w:hideMark/>
          </w:tcPr>
          <w:p w14:paraId="4AF762E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p>
        </w:tc>
        <w:tc>
          <w:tcPr>
            <w:tcW w:w="1350" w:type="dxa"/>
            <w:tcBorders>
              <w:top w:val="nil"/>
              <w:left w:val="nil"/>
              <w:bottom w:val="nil"/>
              <w:right w:val="nil"/>
            </w:tcBorders>
            <w:shd w:val="clear" w:color="auto" w:fill="auto"/>
            <w:noWrap/>
            <w:vAlign w:val="center"/>
            <w:hideMark/>
          </w:tcPr>
          <w:p w14:paraId="0F9929B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Yes</w:t>
            </w:r>
          </w:p>
        </w:tc>
        <w:tc>
          <w:tcPr>
            <w:tcW w:w="1170" w:type="dxa"/>
            <w:tcBorders>
              <w:top w:val="nil"/>
              <w:left w:val="nil"/>
              <w:bottom w:val="nil"/>
              <w:right w:val="nil"/>
            </w:tcBorders>
            <w:shd w:val="clear" w:color="auto" w:fill="auto"/>
            <w:noWrap/>
            <w:vAlign w:val="center"/>
            <w:hideMark/>
          </w:tcPr>
          <w:p w14:paraId="01E1C1A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No</w:t>
            </w:r>
          </w:p>
        </w:tc>
        <w:tc>
          <w:tcPr>
            <w:tcW w:w="1350" w:type="dxa"/>
            <w:tcBorders>
              <w:top w:val="nil"/>
              <w:left w:val="nil"/>
              <w:bottom w:val="nil"/>
              <w:right w:val="nil"/>
            </w:tcBorders>
            <w:shd w:val="clear" w:color="auto" w:fill="auto"/>
            <w:noWrap/>
            <w:vAlign w:val="center"/>
            <w:hideMark/>
          </w:tcPr>
          <w:p w14:paraId="4CCFB0CF"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Yes</w:t>
            </w:r>
          </w:p>
        </w:tc>
      </w:tr>
      <w:tr w:rsidR="002F5D47" w:rsidRPr="00EC1E04" w14:paraId="6FAFD28F" w14:textId="77777777" w:rsidTr="00C04359">
        <w:trPr>
          <w:trHeight w:val="280"/>
        </w:trPr>
        <w:tc>
          <w:tcPr>
            <w:tcW w:w="1530" w:type="dxa"/>
            <w:tcBorders>
              <w:top w:val="nil"/>
              <w:left w:val="nil"/>
              <w:bottom w:val="nil"/>
              <w:right w:val="nil"/>
            </w:tcBorders>
            <w:shd w:val="clear" w:color="auto" w:fill="auto"/>
            <w:noWrap/>
            <w:vAlign w:val="bottom"/>
            <w:hideMark/>
          </w:tcPr>
          <w:p w14:paraId="73B47D4D" w14:textId="77777777" w:rsidR="002F5D47" w:rsidRPr="00EC1E04" w:rsidRDefault="002F5D47" w:rsidP="00C04359">
            <w:pP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6E37ECA7"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727EC245"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3EFB7CC"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1E6AC1C9" w14:textId="77777777" w:rsidR="002F5D47" w:rsidRPr="00EC1E04" w:rsidRDefault="002F5D47" w:rsidP="00C04359">
            <w:pPr>
              <w:jc w:val="center"/>
              <w:rPr>
                <w:rFonts w:ascii="Calibri" w:eastAsia="Times New Roman" w:hAnsi="Calibri" w:cs="Times New Roman"/>
                <w:color w:val="000000"/>
                <w:sz w:val="22"/>
                <w:szCs w:val="22"/>
              </w:rPr>
            </w:pPr>
          </w:p>
        </w:tc>
        <w:tc>
          <w:tcPr>
            <w:tcW w:w="1260" w:type="dxa"/>
            <w:tcBorders>
              <w:top w:val="nil"/>
              <w:left w:val="nil"/>
              <w:bottom w:val="nil"/>
              <w:right w:val="nil"/>
            </w:tcBorders>
            <w:shd w:val="clear" w:color="auto" w:fill="auto"/>
            <w:noWrap/>
            <w:vAlign w:val="bottom"/>
            <w:hideMark/>
          </w:tcPr>
          <w:p w14:paraId="00990A19"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0A251EE7" w14:textId="77777777" w:rsidR="002F5D47" w:rsidRPr="00EC1E04" w:rsidRDefault="002F5D47" w:rsidP="00C04359">
            <w:pPr>
              <w:jc w:val="center"/>
              <w:rPr>
                <w:rFonts w:ascii="Calibri" w:eastAsia="Times New Roman"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14:paraId="4D1F31C6" w14:textId="77777777" w:rsidR="002F5D47" w:rsidRPr="00EC1E04" w:rsidRDefault="002F5D47" w:rsidP="00C04359">
            <w:pPr>
              <w:jc w:val="center"/>
              <w:rPr>
                <w:rFonts w:ascii="Calibri" w:eastAsia="Times New Roman" w:hAnsi="Calibri" w:cs="Times New Roman"/>
                <w:color w:val="000000"/>
                <w:sz w:val="22"/>
                <w:szCs w:val="22"/>
              </w:rPr>
            </w:pPr>
          </w:p>
        </w:tc>
        <w:tc>
          <w:tcPr>
            <w:tcW w:w="1350" w:type="dxa"/>
            <w:tcBorders>
              <w:top w:val="nil"/>
              <w:left w:val="nil"/>
              <w:bottom w:val="nil"/>
              <w:right w:val="nil"/>
            </w:tcBorders>
            <w:shd w:val="clear" w:color="auto" w:fill="auto"/>
            <w:noWrap/>
            <w:vAlign w:val="bottom"/>
            <w:hideMark/>
          </w:tcPr>
          <w:p w14:paraId="40C56491" w14:textId="77777777" w:rsidR="002F5D47" w:rsidRPr="00EC1E04" w:rsidRDefault="002F5D47" w:rsidP="00C04359">
            <w:pPr>
              <w:jc w:val="center"/>
              <w:rPr>
                <w:rFonts w:ascii="Calibri" w:eastAsia="Times New Roman" w:hAnsi="Calibri" w:cs="Times New Roman"/>
                <w:color w:val="000000"/>
                <w:sz w:val="22"/>
                <w:szCs w:val="22"/>
              </w:rPr>
            </w:pPr>
          </w:p>
        </w:tc>
      </w:tr>
      <w:tr w:rsidR="002F5D47" w:rsidRPr="00EC1E04" w14:paraId="43E81F1E" w14:textId="77777777" w:rsidTr="00C04359">
        <w:trPr>
          <w:trHeight w:val="280"/>
        </w:trPr>
        <w:tc>
          <w:tcPr>
            <w:tcW w:w="1530" w:type="dxa"/>
            <w:tcBorders>
              <w:top w:val="nil"/>
              <w:left w:val="nil"/>
              <w:bottom w:val="nil"/>
              <w:right w:val="nil"/>
            </w:tcBorders>
            <w:shd w:val="clear" w:color="auto" w:fill="auto"/>
            <w:noWrap/>
            <w:vAlign w:val="bottom"/>
            <w:hideMark/>
          </w:tcPr>
          <w:p w14:paraId="472DA784"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Observations</w:t>
            </w:r>
          </w:p>
        </w:tc>
        <w:tc>
          <w:tcPr>
            <w:tcW w:w="1170" w:type="dxa"/>
            <w:tcBorders>
              <w:top w:val="nil"/>
              <w:left w:val="nil"/>
              <w:bottom w:val="nil"/>
              <w:right w:val="nil"/>
            </w:tcBorders>
            <w:shd w:val="clear" w:color="auto" w:fill="auto"/>
            <w:noWrap/>
            <w:vAlign w:val="bottom"/>
            <w:hideMark/>
          </w:tcPr>
          <w:p w14:paraId="3D805EA0"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104</w:t>
            </w:r>
          </w:p>
        </w:tc>
        <w:tc>
          <w:tcPr>
            <w:tcW w:w="1170" w:type="dxa"/>
            <w:tcBorders>
              <w:top w:val="nil"/>
              <w:left w:val="nil"/>
              <w:bottom w:val="nil"/>
              <w:right w:val="nil"/>
            </w:tcBorders>
            <w:shd w:val="clear" w:color="auto" w:fill="auto"/>
            <w:noWrap/>
            <w:vAlign w:val="bottom"/>
            <w:hideMark/>
          </w:tcPr>
          <w:p w14:paraId="00BAFAA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104</w:t>
            </w:r>
          </w:p>
        </w:tc>
        <w:tc>
          <w:tcPr>
            <w:tcW w:w="1260" w:type="dxa"/>
            <w:tcBorders>
              <w:top w:val="nil"/>
              <w:left w:val="nil"/>
              <w:bottom w:val="nil"/>
              <w:right w:val="nil"/>
            </w:tcBorders>
            <w:shd w:val="clear" w:color="auto" w:fill="auto"/>
            <w:noWrap/>
            <w:vAlign w:val="bottom"/>
            <w:hideMark/>
          </w:tcPr>
          <w:p w14:paraId="202E293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112</w:t>
            </w:r>
          </w:p>
        </w:tc>
        <w:tc>
          <w:tcPr>
            <w:tcW w:w="1260" w:type="dxa"/>
            <w:tcBorders>
              <w:top w:val="nil"/>
              <w:left w:val="nil"/>
              <w:bottom w:val="nil"/>
              <w:right w:val="nil"/>
            </w:tcBorders>
            <w:shd w:val="clear" w:color="auto" w:fill="auto"/>
            <w:noWrap/>
            <w:vAlign w:val="bottom"/>
            <w:hideMark/>
          </w:tcPr>
          <w:p w14:paraId="25F0E3D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112</w:t>
            </w:r>
          </w:p>
        </w:tc>
        <w:tc>
          <w:tcPr>
            <w:tcW w:w="1260" w:type="dxa"/>
            <w:tcBorders>
              <w:top w:val="nil"/>
              <w:left w:val="nil"/>
              <w:bottom w:val="nil"/>
              <w:right w:val="nil"/>
            </w:tcBorders>
            <w:shd w:val="clear" w:color="auto" w:fill="auto"/>
            <w:noWrap/>
            <w:vAlign w:val="bottom"/>
            <w:hideMark/>
          </w:tcPr>
          <w:p w14:paraId="2560F2C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112</w:t>
            </w:r>
          </w:p>
        </w:tc>
        <w:tc>
          <w:tcPr>
            <w:tcW w:w="1350" w:type="dxa"/>
            <w:tcBorders>
              <w:top w:val="nil"/>
              <w:left w:val="nil"/>
              <w:bottom w:val="nil"/>
              <w:right w:val="nil"/>
            </w:tcBorders>
            <w:shd w:val="clear" w:color="auto" w:fill="auto"/>
            <w:noWrap/>
            <w:vAlign w:val="bottom"/>
            <w:hideMark/>
          </w:tcPr>
          <w:p w14:paraId="134D90D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112</w:t>
            </w:r>
          </w:p>
        </w:tc>
        <w:tc>
          <w:tcPr>
            <w:tcW w:w="1170" w:type="dxa"/>
            <w:tcBorders>
              <w:top w:val="nil"/>
              <w:left w:val="nil"/>
              <w:bottom w:val="nil"/>
              <w:right w:val="nil"/>
            </w:tcBorders>
            <w:shd w:val="clear" w:color="auto" w:fill="auto"/>
            <w:noWrap/>
            <w:vAlign w:val="bottom"/>
            <w:hideMark/>
          </w:tcPr>
          <w:p w14:paraId="21B99B0D"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113</w:t>
            </w:r>
          </w:p>
        </w:tc>
        <w:tc>
          <w:tcPr>
            <w:tcW w:w="1350" w:type="dxa"/>
            <w:tcBorders>
              <w:top w:val="nil"/>
              <w:left w:val="nil"/>
              <w:bottom w:val="nil"/>
              <w:right w:val="nil"/>
            </w:tcBorders>
            <w:shd w:val="clear" w:color="auto" w:fill="auto"/>
            <w:noWrap/>
            <w:vAlign w:val="bottom"/>
            <w:hideMark/>
          </w:tcPr>
          <w:p w14:paraId="687DF9E1"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113</w:t>
            </w:r>
          </w:p>
        </w:tc>
      </w:tr>
      <w:tr w:rsidR="002F5D47" w:rsidRPr="00EC1E04" w14:paraId="6976BFEF" w14:textId="77777777" w:rsidTr="00C04359">
        <w:trPr>
          <w:trHeight w:val="280"/>
        </w:trPr>
        <w:tc>
          <w:tcPr>
            <w:tcW w:w="1530" w:type="dxa"/>
            <w:tcBorders>
              <w:top w:val="nil"/>
              <w:left w:val="nil"/>
              <w:bottom w:val="single" w:sz="4" w:space="0" w:color="auto"/>
              <w:right w:val="nil"/>
            </w:tcBorders>
            <w:shd w:val="clear" w:color="auto" w:fill="auto"/>
            <w:noWrap/>
            <w:vAlign w:val="bottom"/>
            <w:hideMark/>
          </w:tcPr>
          <w:p w14:paraId="3AFE931F"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R-squared</w:t>
            </w:r>
          </w:p>
        </w:tc>
        <w:tc>
          <w:tcPr>
            <w:tcW w:w="1170" w:type="dxa"/>
            <w:tcBorders>
              <w:top w:val="nil"/>
              <w:left w:val="nil"/>
              <w:bottom w:val="single" w:sz="4" w:space="0" w:color="auto"/>
              <w:right w:val="nil"/>
            </w:tcBorders>
            <w:shd w:val="clear" w:color="auto" w:fill="auto"/>
            <w:noWrap/>
            <w:vAlign w:val="bottom"/>
            <w:hideMark/>
          </w:tcPr>
          <w:p w14:paraId="535EE23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0.342</w:t>
            </w:r>
          </w:p>
        </w:tc>
        <w:tc>
          <w:tcPr>
            <w:tcW w:w="1170" w:type="dxa"/>
            <w:tcBorders>
              <w:top w:val="nil"/>
              <w:left w:val="nil"/>
              <w:bottom w:val="single" w:sz="4" w:space="0" w:color="auto"/>
              <w:right w:val="nil"/>
            </w:tcBorders>
            <w:shd w:val="clear" w:color="auto" w:fill="auto"/>
            <w:noWrap/>
            <w:vAlign w:val="bottom"/>
            <w:hideMark/>
          </w:tcPr>
          <w:p w14:paraId="7A18CBD7"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0.741</w:t>
            </w:r>
          </w:p>
        </w:tc>
        <w:tc>
          <w:tcPr>
            <w:tcW w:w="1260" w:type="dxa"/>
            <w:tcBorders>
              <w:top w:val="nil"/>
              <w:left w:val="nil"/>
              <w:bottom w:val="single" w:sz="4" w:space="0" w:color="auto"/>
              <w:right w:val="nil"/>
            </w:tcBorders>
            <w:shd w:val="clear" w:color="auto" w:fill="auto"/>
            <w:noWrap/>
            <w:vAlign w:val="bottom"/>
            <w:hideMark/>
          </w:tcPr>
          <w:p w14:paraId="2450E6FA"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0.132</w:t>
            </w:r>
          </w:p>
        </w:tc>
        <w:tc>
          <w:tcPr>
            <w:tcW w:w="1260" w:type="dxa"/>
            <w:tcBorders>
              <w:top w:val="nil"/>
              <w:left w:val="nil"/>
              <w:bottom w:val="single" w:sz="4" w:space="0" w:color="auto"/>
              <w:right w:val="nil"/>
            </w:tcBorders>
            <w:shd w:val="clear" w:color="auto" w:fill="auto"/>
            <w:noWrap/>
            <w:vAlign w:val="bottom"/>
            <w:hideMark/>
          </w:tcPr>
          <w:p w14:paraId="4EB9BFA3"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0.622</w:t>
            </w:r>
          </w:p>
        </w:tc>
        <w:tc>
          <w:tcPr>
            <w:tcW w:w="1260" w:type="dxa"/>
            <w:tcBorders>
              <w:top w:val="nil"/>
              <w:left w:val="nil"/>
              <w:bottom w:val="single" w:sz="4" w:space="0" w:color="auto"/>
              <w:right w:val="nil"/>
            </w:tcBorders>
            <w:shd w:val="clear" w:color="auto" w:fill="auto"/>
            <w:noWrap/>
            <w:vAlign w:val="bottom"/>
            <w:hideMark/>
          </w:tcPr>
          <w:p w14:paraId="46F9C09B"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0.366</w:t>
            </w:r>
          </w:p>
        </w:tc>
        <w:tc>
          <w:tcPr>
            <w:tcW w:w="1350" w:type="dxa"/>
            <w:tcBorders>
              <w:top w:val="nil"/>
              <w:left w:val="nil"/>
              <w:bottom w:val="single" w:sz="4" w:space="0" w:color="auto"/>
              <w:right w:val="nil"/>
            </w:tcBorders>
            <w:shd w:val="clear" w:color="auto" w:fill="auto"/>
            <w:noWrap/>
            <w:vAlign w:val="bottom"/>
            <w:hideMark/>
          </w:tcPr>
          <w:p w14:paraId="765EE5D4"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0.710</w:t>
            </w:r>
          </w:p>
        </w:tc>
        <w:tc>
          <w:tcPr>
            <w:tcW w:w="1170" w:type="dxa"/>
            <w:tcBorders>
              <w:top w:val="nil"/>
              <w:left w:val="nil"/>
              <w:bottom w:val="single" w:sz="4" w:space="0" w:color="auto"/>
              <w:right w:val="nil"/>
            </w:tcBorders>
            <w:shd w:val="clear" w:color="auto" w:fill="auto"/>
            <w:noWrap/>
            <w:vAlign w:val="bottom"/>
            <w:hideMark/>
          </w:tcPr>
          <w:p w14:paraId="31A3E8F5"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0.298</w:t>
            </w:r>
          </w:p>
        </w:tc>
        <w:tc>
          <w:tcPr>
            <w:tcW w:w="1350" w:type="dxa"/>
            <w:tcBorders>
              <w:top w:val="nil"/>
              <w:left w:val="nil"/>
              <w:bottom w:val="single" w:sz="4" w:space="0" w:color="auto"/>
              <w:right w:val="nil"/>
            </w:tcBorders>
            <w:shd w:val="clear" w:color="auto" w:fill="auto"/>
            <w:noWrap/>
            <w:vAlign w:val="bottom"/>
            <w:hideMark/>
          </w:tcPr>
          <w:p w14:paraId="782CCB0E" w14:textId="77777777" w:rsidR="002F5D47" w:rsidRPr="00EC1E04" w:rsidRDefault="002F5D47" w:rsidP="00C04359">
            <w:pPr>
              <w:jc w:val="cente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0.847</w:t>
            </w:r>
          </w:p>
        </w:tc>
      </w:tr>
      <w:tr w:rsidR="002F5D47" w:rsidRPr="00EC1E04" w14:paraId="33AA5241" w14:textId="77777777" w:rsidTr="00C04359">
        <w:trPr>
          <w:trHeight w:val="280"/>
        </w:trPr>
        <w:tc>
          <w:tcPr>
            <w:tcW w:w="11520" w:type="dxa"/>
            <w:gridSpan w:val="9"/>
            <w:vMerge w:val="restart"/>
            <w:tcBorders>
              <w:top w:val="single" w:sz="4" w:space="0" w:color="auto"/>
              <w:left w:val="nil"/>
              <w:bottom w:val="nil"/>
              <w:right w:val="nil"/>
            </w:tcBorders>
            <w:shd w:val="clear" w:color="auto" w:fill="auto"/>
            <w:vAlign w:val="bottom"/>
            <w:hideMark/>
          </w:tcPr>
          <w:p w14:paraId="0BAE2ABD" w14:textId="77777777" w:rsidR="002F5D47" w:rsidRPr="00EC1E04" w:rsidRDefault="002F5D47" w:rsidP="00C04359">
            <w:pPr>
              <w:rPr>
                <w:rFonts w:ascii="Calibri" w:eastAsia="Times New Roman" w:hAnsi="Calibri" w:cs="Times New Roman"/>
                <w:color w:val="000000"/>
                <w:sz w:val="22"/>
                <w:szCs w:val="22"/>
              </w:rPr>
            </w:pPr>
            <w:r w:rsidRPr="00EC1E04">
              <w:rPr>
                <w:rFonts w:ascii="Calibri" w:eastAsia="Times New Roman" w:hAnsi="Calibri" w:cs="Times New Roman"/>
                <w:color w:val="000000"/>
                <w:sz w:val="22"/>
                <w:szCs w:val="22"/>
              </w:rPr>
              <w:t xml:space="preserve">Observations are at the weekly-monitor level. Columns 2, 4, 6 and 8 include monitor fixed effects. The sample of monitors is 14, however, some monitors are dropped depending on availability of data for a specific dependent variable. Standard Errors are clustered at the monitor level and reported in parentheses. *** indicates significance at the 1 percent level, ** indicates significance at the 5 percent level, and * indicates significance at the 10 percent level. A triangular kernel bandwidth of five weeks is </w:t>
            </w:r>
            <w:r>
              <w:rPr>
                <w:rFonts w:ascii="Calibri" w:eastAsia="Times New Roman" w:hAnsi="Calibri" w:cs="Times New Roman"/>
                <w:color w:val="000000"/>
                <w:sz w:val="22"/>
                <w:szCs w:val="22"/>
              </w:rPr>
              <w:t>used</w:t>
            </w:r>
            <w:r w:rsidRPr="00EC1E04">
              <w:rPr>
                <w:rFonts w:ascii="Calibri" w:eastAsia="Times New Roman" w:hAnsi="Calibri" w:cs="Times New Roman"/>
                <w:color w:val="000000"/>
                <w:sz w:val="22"/>
                <w:szCs w:val="22"/>
              </w:rPr>
              <w:t>.</w:t>
            </w:r>
          </w:p>
        </w:tc>
      </w:tr>
      <w:tr w:rsidR="002F5D47" w:rsidRPr="00EC1E04" w14:paraId="4607DE98" w14:textId="77777777" w:rsidTr="00C04359">
        <w:trPr>
          <w:trHeight w:val="280"/>
        </w:trPr>
        <w:tc>
          <w:tcPr>
            <w:tcW w:w="11520" w:type="dxa"/>
            <w:gridSpan w:val="9"/>
            <w:vMerge/>
            <w:tcBorders>
              <w:top w:val="single" w:sz="4" w:space="0" w:color="auto"/>
              <w:left w:val="nil"/>
              <w:bottom w:val="nil"/>
              <w:right w:val="nil"/>
            </w:tcBorders>
            <w:vAlign w:val="center"/>
            <w:hideMark/>
          </w:tcPr>
          <w:p w14:paraId="282246EE" w14:textId="77777777" w:rsidR="002F5D47" w:rsidRPr="00EC1E04" w:rsidRDefault="002F5D47" w:rsidP="00C04359">
            <w:pPr>
              <w:rPr>
                <w:rFonts w:ascii="Calibri" w:eastAsia="Times New Roman" w:hAnsi="Calibri" w:cs="Times New Roman"/>
                <w:color w:val="000000"/>
                <w:sz w:val="22"/>
                <w:szCs w:val="22"/>
              </w:rPr>
            </w:pPr>
          </w:p>
        </w:tc>
      </w:tr>
      <w:tr w:rsidR="002F5D47" w:rsidRPr="00EC1E04" w14:paraId="2E10DB16" w14:textId="77777777" w:rsidTr="00C04359">
        <w:trPr>
          <w:trHeight w:val="280"/>
        </w:trPr>
        <w:tc>
          <w:tcPr>
            <w:tcW w:w="11520" w:type="dxa"/>
            <w:gridSpan w:val="9"/>
            <w:vMerge/>
            <w:tcBorders>
              <w:top w:val="single" w:sz="4" w:space="0" w:color="auto"/>
              <w:left w:val="nil"/>
              <w:bottom w:val="nil"/>
              <w:right w:val="nil"/>
            </w:tcBorders>
            <w:vAlign w:val="center"/>
            <w:hideMark/>
          </w:tcPr>
          <w:p w14:paraId="36F347A8" w14:textId="77777777" w:rsidR="002F5D47" w:rsidRPr="00EC1E04" w:rsidRDefault="002F5D47" w:rsidP="00C04359">
            <w:pPr>
              <w:rPr>
                <w:rFonts w:ascii="Calibri" w:eastAsia="Times New Roman" w:hAnsi="Calibri" w:cs="Times New Roman"/>
                <w:color w:val="000000"/>
                <w:sz w:val="22"/>
                <w:szCs w:val="22"/>
              </w:rPr>
            </w:pPr>
          </w:p>
        </w:tc>
      </w:tr>
      <w:tr w:rsidR="002F5D47" w:rsidRPr="00EC1E04" w14:paraId="5830D884" w14:textId="77777777" w:rsidTr="00C04359">
        <w:trPr>
          <w:trHeight w:val="280"/>
        </w:trPr>
        <w:tc>
          <w:tcPr>
            <w:tcW w:w="11520" w:type="dxa"/>
            <w:gridSpan w:val="9"/>
            <w:vMerge/>
            <w:tcBorders>
              <w:top w:val="single" w:sz="4" w:space="0" w:color="auto"/>
              <w:left w:val="nil"/>
              <w:bottom w:val="nil"/>
              <w:right w:val="nil"/>
            </w:tcBorders>
            <w:vAlign w:val="center"/>
            <w:hideMark/>
          </w:tcPr>
          <w:p w14:paraId="57B1B9C6" w14:textId="77777777" w:rsidR="002F5D47" w:rsidRPr="00EC1E04" w:rsidRDefault="002F5D47" w:rsidP="00C04359">
            <w:pPr>
              <w:rPr>
                <w:rFonts w:ascii="Calibri" w:eastAsia="Times New Roman" w:hAnsi="Calibri" w:cs="Times New Roman"/>
                <w:color w:val="000000"/>
                <w:sz w:val="22"/>
                <w:szCs w:val="22"/>
              </w:rPr>
            </w:pPr>
          </w:p>
        </w:tc>
      </w:tr>
    </w:tbl>
    <w:p w14:paraId="64EF15E5" w14:textId="77777777" w:rsidR="002F5D47" w:rsidRDefault="002F5D47" w:rsidP="002F5D47">
      <w:pPr>
        <w:spacing w:line="480" w:lineRule="auto"/>
      </w:pPr>
    </w:p>
    <w:p w14:paraId="70EAFC2D" w14:textId="77777777" w:rsidR="002F5D47" w:rsidRDefault="002F5D47" w:rsidP="00601CD7">
      <w:pPr>
        <w:spacing w:line="480" w:lineRule="auto"/>
        <w:jc w:val="both"/>
      </w:pPr>
    </w:p>
    <w:sectPr w:rsidR="002F5D47" w:rsidSect="00CF7DF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B204A" w14:textId="77777777" w:rsidR="00564575" w:rsidRDefault="00564575" w:rsidP="00825590">
      <w:r>
        <w:separator/>
      </w:r>
    </w:p>
  </w:endnote>
  <w:endnote w:type="continuationSeparator" w:id="0">
    <w:p w14:paraId="7971C624" w14:textId="77777777" w:rsidR="00564575" w:rsidRDefault="00564575" w:rsidP="0082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765260"/>
      <w:docPartObj>
        <w:docPartGallery w:val="Page Numbers (Bottom of Page)"/>
        <w:docPartUnique/>
      </w:docPartObj>
    </w:sdtPr>
    <w:sdtEndPr>
      <w:rPr>
        <w:noProof/>
      </w:rPr>
    </w:sdtEndPr>
    <w:sdtContent>
      <w:p w14:paraId="7F36E7C3" w14:textId="7FC6DFA8" w:rsidR="00564575" w:rsidRDefault="00564575">
        <w:pPr>
          <w:pStyle w:val="Footer"/>
          <w:jc w:val="right"/>
        </w:pPr>
        <w:r>
          <w:fldChar w:fldCharType="begin"/>
        </w:r>
        <w:r>
          <w:instrText xml:space="preserve"> PAGE   \* MERGEFORMAT </w:instrText>
        </w:r>
        <w:r>
          <w:fldChar w:fldCharType="separate"/>
        </w:r>
        <w:r w:rsidR="00F42CFD">
          <w:rPr>
            <w:noProof/>
          </w:rPr>
          <w:t>20</w:t>
        </w:r>
        <w:r>
          <w:rPr>
            <w:noProof/>
          </w:rPr>
          <w:fldChar w:fldCharType="end"/>
        </w:r>
      </w:p>
    </w:sdtContent>
  </w:sdt>
  <w:p w14:paraId="6841A082" w14:textId="77777777" w:rsidR="00564575" w:rsidRDefault="00564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215BD" w14:textId="77777777" w:rsidR="00564575" w:rsidRDefault="00564575" w:rsidP="00825590">
      <w:r>
        <w:separator/>
      </w:r>
    </w:p>
  </w:footnote>
  <w:footnote w:type="continuationSeparator" w:id="0">
    <w:p w14:paraId="35E7065D" w14:textId="77777777" w:rsidR="00564575" w:rsidRDefault="00564575" w:rsidP="00825590">
      <w:r>
        <w:continuationSeparator/>
      </w:r>
    </w:p>
  </w:footnote>
  <w:footnote w:id="1">
    <w:p w14:paraId="06386770" w14:textId="77777777" w:rsidR="00D12328" w:rsidRPr="00D12328" w:rsidRDefault="00D12328" w:rsidP="00D12328">
      <w:pPr>
        <w:ind w:right="720"/>
        <w:jc w:val="both"/>
        <w:rPr>
          <w:rFonts w:cs="Times New Roman"/>
          <w:i/>
          <w:sz w:val="20"/>
          <w:szCs w:val="20"/>
        </w:rPr>
      </w:pPr>
      <w:r w:rsidRPr="00D12328">
        <w:rPr>
          <w:rStyle w:val="FootnoteReference"/>
          <w:rFonts w:cs="Times New Roman"/>
          <w:sz w:val="20"/>
          <w:szCs w:val="20"/>
        </w:rPr>
        <w:footnoteRef/>
      </w:r>
      <w:r w:rsidRPr="00D12328">
        <w:rPr>
          <w:rFonts w:cs="Times New Roman"/>
          <w:sz w:val="20"/>
          <w:szCs w:val="20"/>
        </w:rPr>
        <w:t xml:space="preserve"> Marginal drivers are defined as those who switch between using public transit or their car on the margin. Their decision is typically driven by factors such as availability, cost and time. This is in contrast to people who never use public transit and solely drive their car for all within city travel purposes.</w:t>
      </w:r>
    </w:p>
    <w:p w14:paraId="5BFF0C94" w14:textId="28625C2F" w:rsidR="00D12328" w:rsidRPr="00D12328" w:rsidRDefault="00D12328" w:rsidP="00D12328">
      <w:pPr>
        <w:pStyle w:val="FootnoteText"/>
        <w:rPr>
          <w:rFonts w:cs="Times New Roman"/>
        </w:rPr>
      </w:pPr>
    </w:p>
  </w:footnote>
  <w:footnote w:id="2">
    <w:p w14:paraId="0D27B3AF" w14:textId="7D4995A2"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Chen and Whalley gather Taiwanese EPA hourly monitor data for the cities of Taipei, Kaohsiung and the East Coast during 1995 and 1996. Their monitor sample includes 10 monitors for the Taipei-Metro area, 5 monitors for Kaohsiung and one monitor for the East Coast.</w:t>
      </w:r>
    </w:p>
  </w:footnote>
  <w:footnote w:id="3">
    <w:p w14:paraId="56442C7B" w14:textId="7E11A44B"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There are a total of 39 monitors available for these counties during 2002-2004 but nine of them either had too much missing data during the year of interest (2003) or did not collect data on a sufficient amount of parameters. I ultimately narrowed my sample to 30 monitors that had less than five percent missing data per monitor.</w:t>
      </w:r>
    </w:p>
  </w:footnote>
  <w:footnote w:id="4">
    <w:p w14:paraId="0ABA97C7" w14:textId="1C520642"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Serial correlation of the error terms is common in hourly air pollution data since air pollution levels in one hour will likely dictate the levels of the next hour. Aggregating to the week level attenuates this phenomenon and properly reflects the level of variation of the strike which is exactly 5 weeks long.</w:t>
      </w:r>
    </w:p>
  </w:footnote>
  <w:footnote w:id="5">
    <w:p w14:paraId="7F3BB4CD" w14:textId="3986A4BF"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The number of observations for given period should be 1560 (52 weeks × 30 monitors). However, there are 12 missing weekly observations during the 2003-2002 period, 10 of which are attributed to a single monitor in Kern County. Only one weekly observation is missing during the 2002-2004 period for a monitor in Ventura County.</w:t>
      </w:r>
    </w:p>
  </w:footnote>
  <w:footnote w:id="6">
    <w:p w14:paraId="0574B5F7" w14:textId="4C8756AC"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This will be problematic for my CO difference-in-differences regression since there are too few control monitors in the sample.</w:t>
      </w:r>
    </w:p>
  </w:footnote>
  <w:footnote w:id="7">
    <w:p w14:paraId="4B1F1563" w14:textId="034C8B21"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The summary statistics for variables including Week for the 2002-2003 period provide nearly identical numbers.</w:t>
      </w:r>
    </w:p>
  </w:footnote>
  <w:footnote w:id="8">
    <w:p w14:paraId="4C53C5B3" w14:textId="5B52D6F2"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This effect is observed in raw data trends for all years of 2002-2004 for all counties used in my analysis. Air pollution data in other metropolitan areas in the US show very similar, increasing trends in pollution around the holidays.</w:t>
      </w:r>
    </w:p>
  </w:footnote>
  <w:footnote w:id="9">
    <w:p w14:paraId="6C3F0FE4" w14:textId="0FE5D2AC"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The decreasing levels of sunlight during this time of year could potentially be driving this consistent downward trend in O</w:t>
      </w:r>
      <w:r w:rsidRPr="00D12328">
        <w:rPr>
          <w:rFonts w:cs="Times New Roman"/>
          <w:vertAlign w:val="subscript"/>
        </w:rPr>
        <w:t>3</w:t>
      </w:r>
      <w:r w:rsidRPr="00D12328">
        <w:rPr>
          <w:rFonts w:cs="Times New Roman"/>
        </w:rPr>
        <w:t xml:space="preserve"> since sunlight catalyzes its chemical formation.</w:t>
      </w:r>
    </w:p>
  </w:footnote>
  <w:footnote w:id="10">
    <w:p w14:paraId="620FDBC0" w14:textId="77777777"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I use NO</w:t>
      </w:r>
      <w:r w:rsidRPr="00D12328">
        <w:rPr>
          <w:rFonts w:cs="Times New Roman"/>
          <w:vertAlign w:val="subscript"/>
        </w:rPr>
        <w:t>2</w:t>
      </w:r>
      <w:r w:rsidRPr="00D12328">
        <w:rPr>
          <w:rFonts w:cs="Times New Roman"/>
        </w:rPr>
        <w:t xml:space="preserve"> since it is the most available pollutant in my data set for all monitors in my sample.</w:t>
      </w:r>
    </w:p>
  </w:footnote>
  <w:footnote w:id="11">
    <w:p w14:paraId="6A502894" w14:textId="1BB8259F"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This downward trend conflicts with anecdotal and empirical evidence that congestion increased during the strike. Other factors such as decreased industrial production or shops closing may account for this.</w:t>
      </w:r>
    </w:p>
  </w:footnote>
  <w:footnote w:id="12">
    <w:p w14:paraId="6CF8864F" w14:textId="324089FE"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The linear fit suggests that SO</w:t>
      </w:r>
      <w:r w:rsidRPr="00D12328">
        <w:rPr>
          <w:rFonts w:cs="Times New Roman"/>
          <w:vertAlign w:val="subscript"/>
        </w:rPr>
        <w:t>2</w:t>
      </w:r>
      <w:r w:rsidRPr="00D12328">
        <w:rPr>
          <w:rFonts w:cs="Times New Roman"/>
        </w:rPr>
        <w:t xml:space="preserve"> dips drastically after the strike starts but the quadratic fit reveals that this is simply due to unobservable events affecting SO</w:t>
      </w:r>
      <w:r w:rsidRPr="00D12328">
        <w:rPr>
          <w:rFonts w:cs="Times New Roman"/>
          <w:vertAlign w:val="subscript"/>
        </w:rPr>
        <w:t>2</w:t>
      </w:r>
      <w:r w:rsidRPr="00D12328">
        <w:rPr>
          <w:rFonts w:cs="Times New Roman"/>
        </w:rPr>
        <w:t xml:space="preserve"> levels before the strike.</w:t>
      </w:r>
    </w:p>
  </w:footnote>
  <w:footnote w:id="13">
    <w:p w14:paraId="1919E85B" w14:textId="0391CC00"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I have included RD results for the treatment group, the control group, and a placebo RD in Tables 1, 2 and 3 of the Appendix. I use a triangular kernel of 5 weeks, however these results are robust to a uniform kernel. These tables provide a quantitative representation of the figures explored in the previous section which motivated the use of control counties as a means to overcome persisting evidence of unobserved discontinuous seasonal variation in air pollution.</w:t>
      </w:r>
    </w:p>
  </w:footnote>
  <w:footnote w:id="14">
    <w:p w14:paraId="0B6A7146" w14:textId="3C073C86"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Month fixed effects are not specific to an actual calendar month since the time variable, Week, is not a factor of a calendar month (there are approximately 4.5 weeks in a month). Therefore, month indicators are created as consecutive four week periods starting at April 15, 2003.</w:t>
      </w:r>
    </w:p>
  </w:footnote>
  <w:footnote w:id="15">
    <w:p w14:paraId="1A36E09E" w14:textId="153BF323"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Another problems with this regression is that with 8 control and 14 treated monitors, clustering at the monitor level only leaves 22 clusters.</w:t>
      </w:r>
    </w:p>
  </w:footnote>
  <w:footnote w:id="16">
    <w:p w14:paraId="1BF3E9D8" w14:textId="48064CE4"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The denominator is the average ppb of NO</w:t>
      </w:r>
      <w:r w:rsidRPr="00D12328">
        <w:rPr>
          <w:rFonts w:cs="Times New Roman"/>
          <w:vertAlign w:val="subscript"/>
        </w:rPr>
        <w:t>2</w:t>
      </w:r>
      <w:r w:rsidRPr="00D12328">
        <w:rPr>
          <w:rFonts w:cs="Times New Roman"/>
        </w:rPr>
        <w:t xml:space="preserve"> for all monitors in Los Angeles County the week before the strike occurs.</w:t>
      </w:r>
    </w:p>
  </w:footnote>
  <w:footnote w:id="17">
    <w:p w14:paraId="63EB3BC8" w14:textId="5FCED00A"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The denominator is the average ppb of NO</w:t>
      </w:r>
      <w:r w:rsidRPr="00D12328">
        <w:rPr>
          <w:rFonts w:cs="Times New Roman"/>
          <w:vertAlign w:val="subscript"/>
        </w:rPr>
        <w:t>x</w:t>
      </w:r>
      <w:r w:rsidRPr="00D12328">
        <w:rPr>
          <w:rFonts w:cs="Times New Roman"/>
        </w:rPr>
        <w:t xml:space="preserve"> for all monitors in Los Angeles County the week before the strike occurs.</w:t>
      </w:r>
    </w:p>
  </w:footnote>
  <w:footnote w:id="18">
    <w:p w14:paraId="5522AE30" w14:textId="1FED22D7"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It is worth noting that the variable on wind speed is negatively signed in all specifications for CO, NO</w:t>
      </w:r>
      <w:r w:rsidRPr="00D12328">
        <w:rPr>
          <w:rFonts w:cs="Times New Roman"/>
          <w:vertAlign w:val="subscript"/>
        </w:rPr>
        <w:t>2</w:t>
      </w:r>
      <w:r w:rsidRPr="00D12328">
        <w:rPr>
          <w:rFonts w:cs="Times New Roman"/>
        </w:rPr>
        <w:t xml:space="preserve"> and NO</w:t>
      </w:r>
      <w:r w:rsidRPr="00D12328">
        <w:rPr>
          <w:rFonts w:cs="Times New Roman"/>
          <w:vertAlign w:val="subscript"/>
        </w:rPr>
        <w:t>x</w:t>
      </w:r>
      <w:r w:rsidRPr="00D12328">
        <w:rPr>
          <w:rFonts w:cs="Times New Roman"/>
        </w:rPr>
        <w:t xml:space="preserve"> which makes sense under the assumption that wind dissipates the concentration of air pollutants.</w:t>
      </w:r>
    </w:p>
  </w:footnote>
  <w:footnote w:id="19">
    <w:p w14:paraId="547DF844" w14:textId="50B180E2"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Typically </w:t>
      </w:r>
      <w:r w:rsidR="00626D04" w:rsidRPr="00D12328">
        <w:rPr>
          <w:rFonts w:cs="Times New Roman"/>
        </w:rPr>
        <w:t>a researcher</w:t>
      </w:r>
      <w:r w:rsidRPr="00D12328">
        <w:rPr>
          <w:rFonts w:cs="Times New Roman"/>
        </w:rPr>
        <w:t xml:space="preserve"> would expect observations further away from the threshold of interest </w:t>
      </w:r>
      <w:r w:rsidR="00626D04" w:rsidRPr="00D12328">
        <w:rPr>
          <w:rFonts w:cs="Times New Roman"/>
        </w:rPr>
        <w:t>to</w:t>
      </w:r>
      <w:r w:rsidRPr="00D12328">
        <w:rPr>
          <w:rFonts w:cs="Times New Roman"/>
        </w:rPr>
        <w:t xml:space="preserve"> be noisy and drive estimates of the discontinuity </w:t>
      </w:r>
      <w:r w:rsidR="00626D04" w:rsidRPr="00D12328">
        <w:rPr>
          <w:rFonts w:cs="Times New Roman"/>
        </w:rPr>
        <w:t xml:space="preserve">of interest </w:t>
      </w:r>
      <w:r w:rsidRPr="00D12328">
        <w:rPr>
          <w:rFonts w:cs="Times New Roman"/>
        </w:rPr>
        <w:t>toward zero</w:t>
      </w:r>
      <w:r w:rsidR="00CE3E6E" w:rsidRPr="00D12328">
        <w:rPr>
          <w:rFonts w:cs="Times New Roman"/>
        </w:rPr>
        <w:t xml:space="preserve">. However, trends in air pollution levels during the summer are consistently flat and low. Once fall begins, these levels increase quickly, meaning that fitting a linear trend over </w:t>
      </w:r>
      <w:r w:rsidR="00626D04" w:rsidRPr="00D12328">
        <w:rPr>
          <w:rFonts w:cs="Times New Roman"/>
        </w:rPr>
        <w:t>summer and fall</w:t>
      </w:r>
      <w:r w:rsidR="00CE3E6E" w:rsidRPr="00D12328">
        <w:rPr>
          <w:rFonts w:cs="Times New Roman"/>
        </w:rPr>
        <w:t xml:space="preserve"> data</w:t>
      </w:r>
      <w:r w:rsidR="00626D04" w:rsidRPr="00D12328">
        <w:rPr>
          <w:rFonts w:cs="Times New Roman"/>
        </w:rPr>
        <w:t xml:space="preserve"> preceding the strike</w:t>
      </w:r>
      <w:r w:rsidR="00CE3E6E" w:rsidRPr="00D12328">
        <w:rPr>
          <w:rFonts w:cs="Times New Roman"/>
        </w:rPr>
        <w:t xml:space="preserve"> may </w:t>
      </w:r>
      <w:r w:rsidR="00626D04" w:rsidRPr="00D12328">
        <w:rPr>
          <w:rFonts w:cs="Times New Roman"/>
        </w:rPr>
        <w:t>consistently under</w:t>
      </w:r>
      <w:r w:rsidR="00CE3E6E" w:rsidRPr="00D12328">
        <w:rPr>
          <w:rFonts w:cs="Times New Roman"/>
        </w:rPr>
        <w:t xml:space="preserve">estimate values of air pollution right before the </w:t>
      </w:r>
      <w:r w:rsidR="00626D04" w:rsidRPr="00D12328">
        <w:rPr>
          <w:rFonts w:cs="Times New Roman"/>
        </w:rPr>
        <w:t>strike begins.</w:t>
      </w:r>
    </w:p>
  </w:footnote>
  <w:footnote w:id="20">
    <w:p w14:paraId="66E57DB8" w14:textId="03429C86" w:rsidR="00564575" w:rsidRPr="00D12328" w:rsidRDefault="00564575" w:rsidP="00D12328">
      <w:pPr>
        <w:pStyle w:val="FootnoteText"/>
        <w:rPr>
          <w:rFonts w:cs="Times New Roman"/>
        </w:rPr>
      </w:pPr>
      <w:r w:rsidRPr="00D12328">
        <w:rPr>
          <w:rStyle w:val="FootnoteReference"/>
          <w:rFonts w:cs="Times New Roman"/>
        </w:rPr>
        <w:footnoteRef/>
      </w:r>
      <w:r w:rsidRPr="00D12328">
        <w:rPr>
          <w:rFonts w:cs="Times New Roman"/>
        </w:rPr>
        <w:t xml:space="preserve"> This elasticity is calculated from the 10.8 percent reduction in NO</w:t>
      </w:r>
      <w:r w:rsidRPr="00D12328">
        <w:rPr>
          <w:rFonts w:cs="Times New Roman"/>
          <w:vertAlign w:val="subscript"/>
        </w:rPr>
        <w:t>2</w:t>
      </w:r>
      <w:r w:rsidRPr="00D12328">
        <w:rPr>
          <w:rFonts w:cs="Times New Roman"/>
        </w:rPr>
        <w:t xml:space="preserve"> levels and the 8.5 percent reduction in the incidence of low birth weight they o</w:t>
      </w:r>
      <w:r w:rsidR="0041614D" w:rsidRPr="00D12328">
        <w:rPr>
          <w:rFonts w:cs="Times New Roman"/>
        </w:rPr>
        <w:t>bserved</w:t>
      </w:r>
      <w:r w:rsidRPr="00D12328">
        <w:rPr>
          <w:rFonts w:cs="Times New Roman"/>
        </w:rPr>
        <w:t xml:space="preserve"> using a difference-in-differences strategy for mother</w:t>
      </w:r>
      <w:r w:rsidR="0041614D" w:rsidRPr="00D12328">
        <w:rPr>
          <w:rFonts w:cs="Times New Roman"/>
        </w:rPr>
        <w:t>s</w:t>
      </w:r>
      <w:r w:rsidRPr="00D12328">
        <w:rPr>
          <w:rFonts w:cs="Times New Roman"/>
        </w:rPr>
        <w:t xml:space="preserve"> who live 2 km. away from a tolling station. They control for mothers who live 2-8 km. away from a tolling station and use the variation in different tolling stations turning on at different times to estimate their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F6242"/>
    <w:multiLevelType w:val="hybridMultilevel"/>
    <w:tmpl w:val="3ECA2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34"/>
    <w:rsid w:val="00005437"/>
    <w:rsid w:val="00011F54"/>
    <w:rsid w:val="000139F0"/>
    <w:rsid w:val="000160E6"/>
    <w:rsid w:val="000216A4"/>
    <w:rsid w:val="00023855"/>
    <w:rsid w:val="00023F2C"/>
    <w:rsid w:val="000244F4"/>
    <w:rsid w:val="00024BB3"/>
    <w:rsid w:val="00026ECA"/>
    <w:rsid w:val="00043019"/>
    <w:rsid w:val="000446A3"/>
    <w:rsid w:val="00046651"/>
    <w:rsid w:val="00052538"/>
    <w:rsid w:val="0005495C"/>
    <w:rsid w:val="00055150"/>
    <w:rsid w:val="00056D3D"/>
    <w:rsid w:val="000570A5"/>
    <w:rsid w:val="00060C0B"/>
    <w:rsid w:val="00061F4C"/>
    <w:rsid w:val="00063B75"/>
    <w:rsid w:val="00065F7E"/>
    <w:rsid w:val="00070557"/>
    <w:rsid w:val="0007063A"/>
    <w:rsid w:val="00070F61"/>
    <w:rsid w:val="000711FB"/>
    <w:rsid w:val="00074381"/>
    <w:rsid w:val="00074B5A"/>
    <w:rsid w:val="00086833"/>
    <w:rsid w:val="00090E95"/>
    <w:rsid w:val="0009339A"/>
    <w:rsid w:val="00093B85"/>
    <w:rsid w:val="000943B3"/>
    <w:rsid w:val="00097CF0"/>
    <w:rsid w:val="000B06BF"/>
    <w:rsid w:val="000B457D"/>
    <w:rsid w:val="000B71BB"/>
    <w:rsid w:val="000C0B10"/>
    <w:rsid w:val="000C15EA"/>
    <w:rsid w:val="000C7062"/>
    <w:rsid w:val="000C7931"/>
    <w:rsid w:val="000D1A2C"/>
    <w:rsid w:val="000D34F6"/>
    <w:rsid w:val="000D5DE5"/>
    <w:rsid w:val="000F4197"/>
    <w:rsid w:val="000F6E36"/>
    <w:rsid w:val="00101D32"/>
    <w:rsid w:val="001052A8"/>
    <w:rsid w:val="001079D4"/>
    <w:rsid w:val="001159E5"/>
    <w:rsid w:val="00120768"/>
    <w:rsid w:val="0012394B"/>
    <w:rsid w:val="00130131"/>
    <w:rsid w:val="001302FD"/>
    <w:rsid w:val="00136D39"/>
    <w:rsid w:val="001424DF"/>
    <w:rsid w:val="00144FA2"/>
    <w:rsid w:val="0015238F"/>
    <w:rsid w:val="0015570C"/>
    <w:rsid w:val="00157EB1"/>
    <w:rsid w:val="001608C4"/>
    <w:rsid w:val="001636CA"/>
    <w:rsid w:val="00164252"/>
    <w:rsid w:val="0016683A"/>
    <w:rsid w:val="00167267"/>
    <w:rsid w:val="001716F9"/>
    <w:rsid w:val="0017181B"/>
    <w:rsid w:val="0017192A"/>
    <w:rsid w:val="001746A5"/>
    <w:rsid w:val="00174A3E"/>
    <w:rsid w:val="00180131"/>
    <w:rsid w:val="0018646B"/>
    <w:rsid w:val="0019351F"/>
    <w:rsid w:val="00193699"/>
    <w:rsid w:val="00195B1A"/>
    <w:rsid w:val="001A05AB"/>
    <w:rsid w:val="001A1A0F"/>
    <w:rsid w:val="001A1C79"/>
    <w:rsid w:val="001A2E93"/>
    <w:rsid w:val="001B10DD"/>
    <w:rsid w:val="001B2557"/>
    <w:rsid w:val="001B269A"/>
    <w:rsid w:val="001B48B4"/>
    <w:rsid w:val="001B6E85"/>
    <w:rsid w:val="001B7739"/>
    <w:rsid w:val="001C3548"/>
    <w:rsid w:val="001C5EFC"/>
    <w:rsid w:val="001D4A92"/>
    <w:rsid w:val="001D5EFD"/>
    <w:rsid w:val="001E3EC4"/>
    <w:rsid w:val="001E61C9"/>
    <w:rsid w:val="001E6E9C"/>
    <w:rsid w:val="001F2505"/>
    <w:rsid w:val="001F3F57"/>
    <w:rsid w:val="001F40B7"/>
    <w:rsid w:val="001F4344"/>
    <w:rsid w:val="001F6FC7"/>
    <w:rsid w:val="00200646"/>
    <w:rsid w:val="0020197A"/>
    <w:rsid w:val="002019A9"/>
    <w:rsid w:val="00203C16"/>
    <w:rsid w:val="00212FBC"/>
    <w:rsid w:val="00213258"/>
    <w:rsid w:val="00215610"/>
    <w:rsid w:val="00221C75"/>
    <w:rsid w:val="00223259"/>
    <w:rsid w:val="00232716"/>
    <w:rsid w:val="00232DEC"/>
    <w:rsid w:val="00232E62"/>
    <w:rsid w:val="00234849"/>
    <w:rsid w:val="00236000"/>
    <w:rsid w:val="00236556"/>
    <w:rsid w:val="00236BD3"/>
    <w:rsid w:val="00237225"/>
    <w:rsid w:val="0024066E"/>
    <w:rsid w:val="00241B85"/>
    <w:rsid w:val="002437D1"/>
    <w:rsid w:val="00255003"/>
    <w:rsid w:val="00257D35"/>
    <w:rsid w:val="00264227"/>
    <w:rsid w:val="00265265"/>
    <w:rsid w:val="00266138"/>
    <w:rsid w:val="002704CE"/>
    <w:rsid w:val="00270719"/>
    <w:rsid w:val="00270809"/>
    <w:rsid w:val="00273BEF"/>
    <w:rsid w:val="002749DD"/>
    <w:rsid w:val="00275E8E"/>
    <w:rsid w:val="00284FDB"/>
    <w:rsid w:val="00285D85"/>
    <w:rsid w:val="00296272"/>
    <w:rsid w:val="002974FA"/>
    <w:rsid w:val="002A04F6"/>
    <w:rsid w:val="002A0AC0"/>
    <w:rsid w:val="002A4181"/>
    <w:rsid w:val="002A4CE8"/>
    <w:rsid w:val="002A6A44"/>
    <w:rsid w:val="002A7A9C"/>
    <w:rsid w:val="002B4A1C"/>
    <w:rsid w:val="002B5988"/>
    <w:rsid w:val="002B5A02"/>
    <w:rsid w:val="002B6208"/>
    <w:rsid w:val="002C0BA0"/>
    <w:rsid w:val="002C0C7E"/>
    <w:rsid w:val="002C0D21"/>
    <w:rsid w:val="002C1F5A"/>
    <w:rsid w:val="002C48D7"/>
    <w:rsid w:val="002D4E1E"/>
    <w:rsid w:val="002D5D3D"/>
    <w:rsid w:val="002D657F"/>
    <w:rsid w:val="002D796F"/>
    <w:rsid w:val="002D7C7B"/>
    <w:rsid w:val="002E04B5"/>
    <w:rsid w:val="002E2595"/>
    <w:rsid w:val="002E3D86"/>
    <w:rsid w:val="002E424A"/>
    <w:rsid w:val="002E45AE"/>
    <w:rsid w:val="002E5080"/>
    <w:rsid w:val="002E5692"/>
    <w:rsid w:val="002E64AA"/>
    <w:rsid w:val="002F1C01"/>
    <w:rsid w:val="002F3531"/>
    <w:rsid w:val="002F5D47"/>
    <w:rsid w:val="002F716A"/>
    <w:rsid w:val="00300747"/>
    <w:rsid w:val="00300AE8"/>
    <w:rsid w:val="00311347"/>
    <w:rsid w:val="00312EB5"/>
    <w:rsid w:val="00314F7E"/>
    <w:rsid w:val="00315CF2"/>
    <w:rsid w:val="00317CEA"/>
    <w:rsid w:val="003216D2"/>
    <w:rsid w:val="00322A85"/>
    <w:rsid w:val="00324335"/>
    <w:rsid w:val="003301C9"/>
    <w:rsid w:val="00332C37"/>
    <w:rsid w:val="003350E9"/>
    <w:rsid w:val="003363C0"/>
    <w:rsid w:val="003401AE"/>
    <w:rsid w:val="003410E5"/>
    <w:rsid w:val="0034509B"/>
    <w:rsid w:val="00346D37"/>
    <w:rsid w:val="00346E41"/>
    <w:rsid w:val="00352AA2"/>
    <w:rsid w:val="00352B58"/>
    <w:rsid w:val="00353644"/>
    <w:rsid w:val="00353AAB"/>
    <w:rsid w:val="00354341"/>
    <w:rsid w:val="003621BA"/>
    <w:rsid w:val="00363B56"/>
    <w:rsid w:val="00373466"/>
    <w:rsid w:val="00376198"/>
    <w:rsid w:val="0038370B"/>
    <w:rsid w:val="00384FB1"/>
    <w:rsid w:val="003861D2"/>
    <w:rsid w:val="003863A4"/>
    <w:rsid w:val="00387240"/>
    <w:rsid w:val="00393573"/>
    <w:rsid w:val="003936DB"/>
    <w:rsid w:val="0039760C"/>
    <w:rsid w:val="003A4416"/>
    <w:rsid w:val="003B09CF"/>
    <w:rsid w:val="003B292A"/>
    <w:rsid w:val="003B4C61"/>
    <w:rsid w:val="003C000F"/>
    <w:rsid w:val="003C117C"/>
    <w:rsid w:val="003C12FC"/>
    <w:rsid w:val="003C72E8"/>
    <w:rsid w:val="003D64B2"/>
    <w:rsid w:val="003E3A0F"/>
    <w:rsid w:val="003E5A34"/>
    <w:rsid w:val="003E7DC2"/>
    <w:rsid w:val="003F1B32"/>
    <w:rsid w:val="003F3FFC"/>
    <w:rsid w:val="003F6831"/>
    <w:rsid w:val="00401385"/>
    <w:rsid w:val="0040538E"/>
    <w:rsid w:val="00411C1A"/>
    <w:rsid w:val="0041614D"/>
    <w:rsid w:val="00426B3E"/>
    <w:rsid w:val="00432C0A"/>
    <w:rsid w:val="00434A07"/>
    <w:rsid w:val="00436331"/>
    <w:rsid w:val="00436FD1"/>
    <w:rsid w:val="00437067"/>
    <w:rsid w:val="00441354"/>
    <w:rsid w:val="00441B1D"/>
    <w:rsid w:val="0044381E"/>
    <w:rsid w:val="00443B6A"/>
    <w:rsid w:val="004512CF"/>
    <w:rsid w:val="0045162A"/>
    <w:rsid w:val="004520FF"/>
    <w:rsid w:val="004540F6"/>
    <w:rsid w:val="004703E1"/>
    <w:rsid w:val="00473B23"/>
    <w:rsid w:val="0047565D"/>
    <w:rsid w:val="00477992"/>
    <w:rsid w:val="00480282"/>
    <w:rsid w:val="00481C1C"/>
    <w:rsid w:val="00482D94"/>
    <w:rsid w:val="00482DB9"/>
    <w:rsid w:val="004844C4"/>
    <w:rsid w:val="004952FB"/>
    <w:rsid w:val="00495C94"/>
    <w:rsid w:val="004B09E8"/>
    <w:rsid w:val="004B2833"/>
    <w:rsid w:val="004C118F"/>
    <w:rsid w:val="004C384C"/>
    <w:rsid w:val="004C40B9"/>
    <w:rsid w:val="004C46A0"/>
    <w:rsid w:val="004E26BF"/>
    <w:rsid w:val="004E44C7"/>
    <w:rsid w:val="004F032C"/>
    <w:rsid w:val="004F1EF8"/>
    <w:rsid w:val="004F4A06"/>
    <w:rsid w:val="00501F56"/>
    <w:rsid w:val="005222D7"/>
    <w:rsid w:val="00526A8C"/>
    <w:rsid w:val="00527694"/>
    <w:rsid w:val="00530D53"/>
    <w:rsid w:val="0053363B"/>
    <w:rsid w:val="005337D0"/>
    <w:rsid w:val="005400A9"/>
    <w:rsid w:val="00543368"/>
    <w:rsid w:val="0054503C"/>
    <w:rsid w:val="0054684E"/>
    <w:rsid w:val="0055077C"/>
    <w:rsid w:val="00551143"/>
    <w:rsid w:val="00551858"/>
    <w:rsid w:val="00561191"/>
    <w:rsid w:val="00564575"/>
    <w:rsid w:val="00564E99"/>
    <w:rsid w:val="00565EDA"/>
    <w:rsid w:val="005678A5"/>
    <w:rsid w:val="00570278"/>
    <w:rsid w:val="00570668"/>
    <w:rsid w:val="005719B7"/>
    <w:rsid w:val="005800AD"/>
    <w:rsid w:val="005823A5"/>
    <w:rsid w:val="00584345"/>
    <w:rsid w:val="00585402"/>
    <w:rsid w:val="00585DE2"/>
    <w:rsid w:val="00591635"/>
    <w:rsid w:val="005A26A0"/>
    <w:rsid w:val="005B0D2A"/>
    <w:rsid w:val="005B6F75"/>
    <w:rsid w:val="005C0F9B"/>
    <w:rsid w:val="005C107E"/>
    <w:rsid w:val="005C44F6"/>
    <w:rsid w:val="005D53A5"/>
    <w:rsid w:val="005E1ECD"/>
    <w:rsid w:val="005E3B64"/>
    <w:rsid w:val="005E4D4F"/>
    <w:rsid w:val="005E6E47"/>
    <w:rsid w:val="00600F4B"/>
    <w:rsid w:val="00601CD7"/>
    <w:rsid w:val="0061430C"/>
    <w:rsid w:val="0061572F"/>
    <w:rsid w:val="0062106B"/>
    <w:rsid w:val="00621C71"/>
    <w:rsid w:val="00622F71"/>
    <w:rsid w:val="0062446B"/>
    <w:rsid w:val="0062561B"/>
    <w:rsid w:val="00626D04"/>
    <w:rsid w:val="00631572"/>
    <w:rsid w:val="006339A3"/>
    <w:rsid w:val="00633E9A"/>
    <w:rsid w:val="006379BD"/>
    <w:rsid w:val="006427EC"/>
    <w:rsid w:val="0064452A"/>
    <w:rsid w:val="00660C70"/>
    <w:rsid w:val="00662433"/>
    <w:rsid w:val="00663008"/>
    <w:rsid w:val="00665CF3"/>
    <w:rsid w:val="00677859"/>
    <w:rsid w:val="00680C6A"/>
    <w:rsid w:val="00680CA3"/>
    <w:rsid w:val="00682094"/>
    <w:rsid w:val="00682F9E"/>
    <w:rsid w:val="00685287"/>
    <w:rsid w:val="006925D8"/>
    <w:rsid w:val="00693050"/>
    <w:rsid w:val="006937FA"/>
    <w:rsid w:val="00696282"/>
    <w:rsid w:val="006A4BD7"/>
    <w:rsid w:val="006A5292"/>
    <w:rsid w:val="006B00C7"/>
    <w:rsid w:val="006B04FB"/>
    <w:rsid w:val="006B1A1D"/>
    <w:rsid w:val="006B39AB"/>
    <w:rsid w:val="006C0629"/>
    <w:rsid w:val="006C0E6F"/>
    <w:rsid w:val="006C694B"/>
    <w:rsid w:val="006D166A"/>
    <w:rsid w:val="006D1C9D"/>
    <w:rsid w:val="006D352E"/>
    <w:rsid w:val="006D71C1"/>
    <w:rsid w:val="006E0760"/>
    <w:rsid w:val="006E3310"/>
    <w:rsid w:val="006E3A99"/>
    <w:rsid w:val="006E5E97"/>
    <w:rsid w:val="006E7629"/>
    <w:rsid w:val="006E7E07"/>
    <w:rsid w:val="006F11AA"/>
    <w:rsid w:val="006F322B"/>
    <w:rsid w:val="006F3CF0"/>
    <w:rsid w:val="006F44B9"/>
    <w:rsid w:val="007008C9"/>
    <w:rsid w:val="00707F5D"/>
    <w:rsid w:val="00712566"/>
    <w:rsid w:val="0072219F"/>
    <w:rsid w:val="00722802"/>
    <w:rsid w:val="00726723"/>
    <w:rsid w:val="0073117B"/>
    <w:rsid w:val="007318AE"/>
    <w:rsid w:val="0073227F"/>
    <w:rsid w:val="007338CC"/>
    <w:rsid w:val="0073493A"/>
    <w:rsid w:val="00736C34"/>
    <w:rsid w:val="00741B2D"/>
    <w:rsid w:val="00744703"/>
    <w:rsid w:val="00746DB2"/>
    <w:rsid w:val="0075278B"/>
    <w:rsid w:val="007530D8"/>
    <w:rsid w:val="0075327F"/>
    <w:rsid w:val="007572BC"/>
    <w:rsid w:val="007603A5"/>
    <w:rsid w:val="00761244"/>
    <w:rsid w:val="00765ED2"/>
    <w:rsid w:val="0076620F"/>
    <w:rsid w:val="00776249"/>
    <w:rsid w:val="00784209"/>
    <w:rsid w:val="00785176"/>
    <w:rsid w:val="0079190F"/>
    <w:rsid w:val="007927B6"/>
    <w:rsid w:val="00794872"/>
    <w:rsid w:val="00795AE5"/>
    <w:rsid w:val="007A2771"/>
    <w:rsid w:val="007A3CC2"/>
    <w:rsid w:val="007A4783"/>
    <w:rsid w:val="007A5191"/>
    <w:rsid w:val="007A53D5"/>
    <w:rsid w:val="007B13FA"/>
    <w:rsid w:val="007B3DF3"/>
    <w:rsid w:val="007B4285"/>
    <w:rsid w:val="007C0E86"/>
    <w:rsid w:val="007C36A3"/>
    <w:rsid w:val="007C557D"/>
    <w:rsid w:val="007C6FEF"/>
    <w:rsid w:val="007D0B4B"/>
    <w:rsid w:val="007D1283"/>
    <w:rsid w:val="007D27A8"/>
    <w:rsid w:val="007D57AA"/>
    <w:rsid w:val="007D6A1F"/>
    <w:rsid w:val="007E374B"/>
    <w:rsid w:val="007E540B"/>
    <w:rsid w:val="007E58FE"/>
    <w:rsid w:val="007F333D"/>
    <w:rsid w:val="007F5942"/>
    <w:rsid w:val="007F6B5C"/>
    <w:rsid w:val="007F70A5"/>
    <w:rsid w:val="008005E1"/>
    <w:rsid w:val="0080175B"/>
    <w:rsid w:val="00803B49"/>
    <w:rsid w:val="008057B9"/>
    <w:rsid w:val="00806107"/>
    <w:rsid w:val="008062CA"/>
    <w:rsid w:val="00806695"/>
    <w:rsid w:val="00811809"/>
    <w:rsid w:val="00815651"/>
    <w:rsid w:val="00815EC0"/>
    <w:rsid w:val="0082261D"/>
    <w:rsid w:val="00822DCE"/>
    <w:rsid w:val="00825590"/>
    <w:rsid w:val="00832847"/>
    <w:rsid w:val="00834F7E"/>
    <w:rsid w:val="00836438"/>
    <w:rsid w:val="00837A0A"/>
    <w:rsid w:val="008464BB"/>
    <w:rsid w:val="008478E8"/>
    <w:rsid w:val="0085115E"/>
    <w:rsid w:val="00853D44"/>
    <w:rsid w:val="00855013"/>
    <w:rsid w:val="00856481"/>
    <w:rsid w:val="008575B4"/>
    <w:rsid w:val="00860BBE"/>
    <w:rsid w:val="008635FF"/>
    <w:rsid w:val="00863CA5"/>
    <w:rsid w:val="00864DAD"/>
    <w:rsid w:val="0086703A"/>
    <w:rsid w:val="008748C1"/>
    <w:rsid w:val="0087508F"/>
    <w:rsid w:val="008769B0"/>
    <w:rsid w:val="008779DC"/>
    <w:rsid w:val="00877C6D"/>
    <w:rsid w:val="00877DBE"/>
    <w:rsid w:val="008845D9"/>
    <w:rsid w:val="00884963"/>
    <w:rsid w:val="00894230"/>
    <w:rsid w:val="00895830"/>
    <w:rsid w:val="008974C9"/>
    <w:rsid w:val="008A3983"/>
    <w:rsid w:val="008B3A5F"/>
    <w:rsid w:val="008B59CF"/>
    <w:rsid w:val="008B7578"/>
    <w:rsid w:val="008C0DD2"/>
    <w:rsid w:val="008C35B8"/>
    <w:rsid w:val="008C4135"/>
    <w:rsid w:val="008C4CE5"/>
    <w:rsid w:val="008C4D6B"/>
    <w:rsid w:val="008C79D7"/>
    <w:rsid w:val="008D38C4"/>
    <w:rsid w:val="008E32C0"/>
    <w:rsid w:val="008E381A"/>
    <w:rsid w:val="008E4C9F"/>
    <w:rsid w:val="008E65F3"/>
    <w:rsid w:val="008F03E8"/>
    <w:rsid w:val="008F3B87"/>
    <w:rsid w:val="009075CC"/>
    <w:rsid w:val="00912097"/>
    <w:rsid w:val="009122AD"/>
    <w:rsid w:val="00913D7D"/>
    <w:rsid w:val="00916D84"/>
    <w:rsid w:val="009173C6"/>
    <w:rsid w:val="00920DB2"/>
    <w:rsid w:val="00923729"/>
    <w:rsid w:val="0092567F"/>
    <w:rsid w:val="00925813"/>
    <w:rsid w:val="00931247"/>
    <w:rsid w:val="00932CDC"/>
    <w:rsid w:val="00933FBA"/>
    <w:rsid w:val="00935738"/>
    <w:rsid w:val="00941807"/>
    <w:rsid w:val="009439D5"/>
    <w:rsid w:val="0094673E"/>
    <w:rsid w:val="00960C93"/>
    <w:rsid w:val="00963761"/>
    <w:rsid w:val="00970C17"/>
    <w:rsid w:val="00973347"/>
    <w:rsid w:val="00973D1C"/>
    <w:rsid w:val="009743C0"/>
    <w:rsid w:val="00974C23"/>
    <w:rsid w:val="00981CAA"/>
    <w:rsid w:val="00983B04"/>
    <w:rsid w:val="009856A5"/>
    <w:rsid w:val="009866BE"/>
    <w:rsid w:val="00991768"/>
    <w:rsid w:val="009952C8"/>
    <w:rsid w:val="009A0438"/>
    <w:rsid w:val="009A1FFF"/>
    <w:rsid w:val="009A4136"/>
    <w:rsid w:val="009A4BEE"/>
    <w:rsid w:val="009A4F89"/>
    <w:rsid w:val="009A6382"/>
    <w:rsid w:val="009A6A45"/>
    <w:rsid w:val="009B2EBE"/>
    <w:rsid w:val="009B69E8"/>
    <w:rsid w:val="009C01FE"/>
    <w:rsid w:val="009C15C6"/>
    <w:rsid w:val="009C2BCD"/>
    <w:rsid w:val="009C4C2C"/>
    <w:rsid w:val="009D1D09"/>
    <w:rsid w:val="009D2E8E"/>
    <w:rsid w:val="009D3A6E"/>
    <w:rsid w:val="009E26C1"/>
    <w:rsid w:val="009E307B"/>
    <w:rsid w:val="009E7BD5"/>
    <w:rsid w:val="009F0031"/>
    <w:rsid w:val="00A10D3F"/>
    <w:rsid w:val="00A137D8"/>
    <w:rsid w:val="00A15BA9"/>
    <w:rsid w:val="00A21E78"/>
    <w:rsid w:val="00A23D85"/>
    <w:rsid w:val="00A25AB4"/>
    <w:rsid w:val="00A26049"/>
    <w:rsid w:val="00A26D0D"/>
    <w:rsid w:val="00A278AD"/>
    <w:rsid w:val="00A35F79"/>
    <w:rsid w:val="00A367C0"/>
    <w:rsid w:val="00A40FB5"/>
    <w:rsid w:val="00A41AC6"/>
    <w:rsid w:val="00A41B5C"/>
    <w:rsid w:val="00A471C3"/>
    <w:rsid w:val="00A52A5A"/>
    <w:rsid w:val="00A53FED"/>
    <w:rsid w:val="00A54A1A"/>
    <w:rsid w:val="00A567F9"/>
    <w:rsid w:val="00A56A6D"/>
    <w:rsid w:val="00A61244"/>
    <w:rsid w:val="00A61338"/>
    <w:rsid w:val="00A61E6C"/>
    <w:rsid w:val="00A647DC"/>
    <w:rsid w:val="00A65062"/>
    <w:rsid w:val="00A66086"/>
    <w:rsid w:val="00A7238A"/>
    <w:rsid w:val="00A733C9"/>
    <w:rsid w:val="00A737D5"/>
    <w:rsid w:val="00A7616B"/>
    <w:rsid w:val="00A85D55"/>
    <w:rsid w:val="00A8787C"/>
    <w:rsid w:val="00A92E9A"/>
    <w:rsid w:val="00A93A95"/>
    <w:rsid w:val="00A95378"/>
    <w:rsid w:val="00A96625"/>
    <w:rsid w:val="00AA4CF6"/>
    <w:rsid w:val="00AA604A"/>
    <w:rsid w:val="00AB3D65"/>
    <w:rsid w:val="00AB666B"/>
    <w:rsid w:val="00AC0956"/>
    <w:rsid w:val="00AC4232"/>
    <w:rsid w:val="00AD0747"/>
    <w:rsid w:val="00AD3E8F"/>
    <w:rsid w:val="00AD582B"/>
    <w:rsid w:val="00AD704A"/>
    <w:rsid w:val="00AD7CC5"/>
    <w:rsid w:val="00AE2F99"/>
    <w:rsid w:val="00AE685C"/>
    <w:rsid w:val="00AE6D17"/>
    <w:rsid w:val="00AF0CF8"/>
    <w:rsid w:val="00AF6641"/>
    <w:rsid w:val="00B00B3A"/>
    <w:rsid w:val="00B01413"/>
    <w:rsid w:val="00B07934"/>
    <w:rsid w:val="00B15F89"/>
    <w:rsid w:val="00B17A21"/>
    <w:rsid w:val="00B225B6"/>
    <w:rsid w:val="00B23E5A"/>
    <w:rsid w:val="00B24153"/>
    <w:rsid w:val="00B24325"/>
    <w:rsid w:val="00B25627"/>
    <w:rsid w:val="00B26BC0"/>
    <w:rsid w:val="00B26CB1"/>
    <w:rsid w:val="00B26DFD"/>
    <w:rsid w:val="00B27BBA"/>
    <w:rsid w:val="00B402FF"/>
    <w:rsid w:val="00B52B34"/>
    <w:rsid w:val="00B5302B"/>
    <w:rsid w:val="00B5386B"/>
    <w:rsid w:val="00B60F79"/>
    <w:rsid w:val="00B62435"/>
    <w:rsid w:val="00B632B8"/>
    <w:rsid w:val="00B665CD"/>
    <w:rsid w:val="00B677A4"/>
    <w:rsid w:val="00B710BD"/>
    <w:rsid w:val="00B71E5F"/>
    <w:rsid w:val="00B764EC"/>
    <w:rsid w:val="00B82216"/>
    <w:rsid w:val="00B82B84"/>
    <w:rsid w:val="00B8314D"/>
    <w:rsid w:val="00B935E5"/>
    <w:rsid w:val="00B94AE7"/>
    <w:rsid w:val="00BA0E7B"/>
    <w:rsid w:val="00BA26CF"/>
    <w:rsid w:val="00BA603F"/>
    <w:rsid w:val="00BB2EFE"/>
    <w:rsid w:val="00BB39A1"/>
    <w:rsid w:val="00BB403A"/>
    <w:rsid w:val="00BB60E0"/>
    <w:rsid w:val="00BC08DD"/>
    <w:rsid w:val="00BC33BD"/>
    <w:rsid w:val="00BD04DC"/>
    <w:rsid w:val="00BD1CB6"/>
    <w:rsid w:val="00BE29C8"/>
    <w:rsid w:val="00BE5C16"/>
    <w:rsid w:val="00BE610D"/>
    <w:rsid w:val="00BF17C8"/>
    <w:rsid w:val="00BF1AFD"/>
    <w:rsid w:val="00BF1F2A"/>
    <w:rsid w:val="00BF5C0E"/>
    <w:rsid w:val="00BF7AB7"/>
    <w:rsid w:val="00C04359"/>
    <w:rsid w:val="00C048AD"/>
    <w:rsid w:val="00C05470"/>
    <w:rsid w:val="00C054E0"/>
    <w:rsid w:val="00C0582A"/>
    <w:rsid w:val="00C05BA5"/>
    <w:rsid w:val="00C0740B"/>
    <w:rsid w:val="00C104CD"/>
    <w:rsid w:val="00C1230B"/>
    <w:rsid w:val="00C12DBF"/>
    <w:rsid w:val="00C15FFA"/>
    <w:rsid w:val="00C1636C"/>
    <w:rsid w:val="00C2092F"/>
    <w:rsid w:val="00C21FEF"/>
    <w:rsid w:val="00C2250B"/>
    <w:rsid w:val="00C2343C"/>
    <w:rsid w:val="00C23E9D"/>
    <w:rsid w:val="00C26362"/>
    <w:rsid w:val="00C32758"/>
    <w:rsid w:val="00C344B5"/>
    <w:rsid w:val="00C35FDA"/>
    <w:rsid w:val="00C3767C"/>
    <w:rsid w:val="00C40711"/>
    <w:rsid w:val="00C42308"/>
    <w:rsid w:val="00C42426"/>
    <w:rsid w:val="00C42B9B"/>
    <w:rsid w:val="00C446A3"/>
    <w:rsid w:val="00C5118C"/>
    <w:rsid w:val="00C51D52"/>
    <w:rsid w:val="00C53531"/>
    <w:rsid w:val="00C54AE7"/>
    <w:rsid w:val="00C6226A"/>
    <w:rsid w:val="00C63072"/>
    <w:rsid w:val="00C82CFA"/>
    <w:rsid w:val="00C8680C"/>
    <w:rsid w:val="00C91A20"/>
    <w:rsid w:val="00C92B38"/>
    <w:rsid w:val="00C940F7"/>
    <w:rsid w:val="00C959F7"/>
    <w:rsid w:val="00C97CFA"/>
    <w:rsid w:val="00CA0025"/>
    <w:rsid w:val="00CA1AE4"/>
    <w:rsid w:val="00CA7FB1"/>
    <w:rsid w:val="00CB0C4C"/>
    <w:rsid w:val="00CB0F15"/>
    <w:rsid w:val="00CB458B"/>
    <w:rsid w:val="00CB6CF0"/>
    <w:rsid w:val="00CB70C8"/>
    <w:rsid w:val="00CC255A"/>
    <w:rsid w:val="00CC256A"/>
    <w:rsid w:val="00CC308B"/>
    <w:rsid w:val="00CC50C6"/>
    <w:rsid w:val="00CD1950"/>
    <w:rsid w:val="00CD392D"/>
    <w:rsid w:val="00CD3ABC"/>
    <w:rsid w:val="00CD699F"/>
    <w:rsid w:val="00CD7381"/>
    <w:rsid w:val="00CD78AE"/>
    <w:rsid w:val="00CE3E6E"/>
    <w:rsid w:val="00CE5CD4"/>
    <w:rsid w:val="00CE6C20"/>
    <w:rsid w:val="00CE7313"/>
    <w:rsid w:val="00CF604A"/>
    <w:rsid w:val="00CF6DB7"/>
    <w:rsid w:val="00CF7DFB"/>
    <w:rsid w:val="00D024B5"/>
    <w:rsid w:val="00D03B64"/>
    <w:rsid w:val="00D1144B"/>
    <w:rsid w:val="00D11FEA"/>
    <w:rsid w:val="00D12328"/>
    <w:rsid w:val="00D23292"/>
    <w:rsid w:val="00D306C7"/>
    <w:rsid w:val="00D313DE"/>
    <w:rsid w:val="00D332F9"/>
    <w:rsid w:val="00D34A5C"/>
    <w:rsid w:val="00D35240"/>
    <w:rsid w:val="00D35459"/>
    <w:rsid w:val="00D40ACE"/>
    <w:rsid w:val="00D432F9"/>
    <w:rsid w:val="00D4394C"/>
    <w:rsid w:val="00D46CFB"/>
    <w:rsid w:val="00D537CE"/>
    <w:rsid w:val="00D5775B"/>
    <w:rsid w:val="00D673D8"/>
    <w:rsid w:val="00D7137D"/>
    <w:rsid w:val="00D73DF3"/>
    <w:rsid w:val="00D76770"/>
    <w:rsid w:val="00D76F57"/>
    <w:rsid w:val="00D82664"/>
    <w:rsid w:val="00D87BAE"/>
    <w:rsid w:val="00D9111A"/>
    <w:rsid w:val="00DA0D47"/>
    <w:rsid w:val="00DA0FAB"/>
    <w:rsid w:val="00DB345D"/>
    <w:rsid w:val="00DB5A58"/>
    <w:rsid w:val="00DC19BF"/>
    <w:rsid w:val="00DC4879"/>
    <w:rsid w:val="00DC5A1A"/>
    <w:rsid w:val="00DC5BCA"/>
    <w:rsid w:val="00DC5E5E"/>
    <w:rsid w:val="00DC71CC"/>
    <w:rsid w:val="00DD0B05"/>
    <w:rsid w:val="00DD7793"/>
    <w:rsid w:val="00DE7FDE"/>
    <w:rsid w:val="00DF297B"/>
    <w:rsid w:val="00E01BCD"/>
    <w:rsid w:val="00E01D18"/>
    <w:rsid w:val="00E04F59"/>
    <w:rsid w:val="00E063A2"/>
    <w:rsid w:val="00E077E1"/>
    <w:rsid w:val="00E13726"/>
    <w:rsid w:val="00E14411"/>
    <w:rsid w:val="00E14B84"/>
    <w:rsid w:val="00E172D7"/>
    <w:rsid w:val="00E213BD"/>
    <w:rsid w:val="00E30957"/>
    <w:rsid w:val="00E32695"/>
    <w:rsid w:val="00E40DCE"/>
    <w:rsid w:val="00E41739"/>
    <w:rsid w:val="00E472EB"/>
    <w:rsid w:val="00E51599"/>
    <w:rsid w:val="00E52C24"/>
    <w:rsid w:val="00E538E9"/>
    <w:rsid w:val="00E57A0B"/>
    <w:rsid w:val="00E61C93"/>
    <w:rsid w:val="00E62A73"/>
    <w:rsid w:val="00E65EFC"/>
    <w:rsid w:val="00E66519"/>
    <w:rsid w:val="00E70A41"/>
    <w:rsid w:val="00E72314"/>
    <w:rsid w:val="00E758E4"/>
    <w:rsid w:val="00E80FF9"/>
    <w:rsid w:val="00E81D04"/>
    <w:rsid w:val="00E82DA4"/>
    <w:rsid w:val="00E97203"/>
    <w:rsid w:val="00EA19E5"/>
    <w:rsid w:val="00EA23BF"/>
    <w:rsid w:val="00EA5AB6"/>
    <w:rsid w:val="00EB0A0F"/>
    <w:rsid w:val="00EB0EEE"/>
    <w:rsid w:val="00EB2D3D"/>
    <w:rsid w:val="00EB38E0"/>
    <w:rsid w:val="00EB3E42"/>
    <w:rsid w:val="00EB4B39"/>
    <w:rsid w:val="00EB7981"/>
    <w:rsid w:val="00EC4EB7"/>
    <w:rsid w:val="00EC59F4"/>
    <w:rsid w:val="00EC634F"/>
    <w:rsid w:val="00ED0226"/>
    <w:rsid w:val="00ED2569"/>
    <w:rsid w:val="00ED2AFF"/>
    <w:rsid w:val="00EE2C5A"/>
    <w:rsid w:val="00EE4F87"/>
    <w:rsid w:val="00EE548D"/>
    <w:rsid w:val="00EE66B0"/>
    <w:rsid w:val="00EF170B"/>
    <w:rsid w:val="00EF1927"/>
    <w:rsid w:val="00EF541E"/>
    <w:rsid w:val="00EF5781"/>
    <w:rsid w:val="00EF67F9"/>
    <w:rsid w:val="00EF7AB3"/>
    <w:rsid w:val="00F006DF"/>
    <w:rsid w:val="00F05292"/>
    <w:rsid w:val="00F11A1F"/>
    <w:rsid w:val="00F1269C"/>
    <w:rsid w:val="00F132C8"/>
    <w:rsid w:val="00F13C3C"/>
    <w:rsid w:val="00F14643"/>
    <w:rsid w:val="00F1547B"/>
    <w:rsid w:val="00F170D8"/>
    <w:rsid w:val="00F20ADF"/>
    <w:rsid w:val="00F222D5"/>
    <w:rsid w:val="00F226E0"/>
    <w:rsid w:val="00F32C3B"/>
    <w:rsid w:val="00F34906"/>
    <w:rsid w:val="00F34E9A"/>
    <w:rsid w:val="00F42CFD"/>
    <w:rsid w:val="00F472D6"/>
    <w:rsid w:val="00F47E29"/>
    <w:rsid w:val="00F55232"/>
    <w:rsid w:val="00F55FDE"/>
    <w:rsid w:val="00F56800"/>
    <w:rsid w:val="00F572AD"/>
    <w:rsid w:val="00F8091C"/>
    <w:rsid w:val="00F81F14"/>
    <w:rsid w:val="00F83D97"/>
    <w:rsid w:val="00F84E52"/>
    <w:rsid w:val="00F8500C"/>
    <w:rsid w:val="00F87821"/>
    <w:rsid w:val="00F9066C"/>
    <w:rsid w:val="00F9165A"/>
    <w:rsid w:val="00F9344F"/>
    <w:rsid w:val="00F943B2"/>
    <w:rsid w:val="00FA685C"/>
    <w:rsid w:val="00FA7E27"/>
    <w:rsid w:val="00FB0AAA"/>
    <w:rsid w:val="00FB6798"/>
    <w:rsid w:val="00FC3161"/>
    <w:rsid w:val="00FC58D4"/>
    <w:rsid w:val="00FD4A66"/>
    <w:rsid w:val="00FD6A2D"/>
    <w:rsid w:val="00FD71D5"/>
    <w:rsid w:val="00FE10C8"/>
    <w:rsid w:val="00FE3C38"/>
    <w:rsid w:val="00FE6375"/>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A96D5"/>
  <w14:defaultImageDpi w14:val="300"/>
  <w15:docId w15:val="{4ED6F6F8-57E7-482A-B262-AF596791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65A"/>
    <w:pPr>
      <w:ind w:left="720"/>
      <w:contextualSpacing/>
    </w:pPr>
  </w:style>
  <w:style w:type="paragraph" w:styleId="BalloonText">
    <w:name w:val="Balloon Text"/>
    <w:basedOn w:val="Normal"/>
    <w:link w:val="BalloonTextChar"/>
    <w:uiPriority w:val="99"/>
    <w:semiHidden/>
    <w:unhideWhenUsed/>
    <w:rsid w:val="00601C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CD7"/>
    <w:rPr>
      <w:rFonts w:ascii="Segoe UI" w:hAnsi="Segoe UI" w:cs="Segoe UI"/>
      <w:sz w:val="18"/>
      <w:szCs w:val="18"/>
    </w:rPr>
  </w:style>
  <w:style w:type="character" w:styleId="Hyperlink">
    <w:name w:val="Hyperlink"/>
    <w:basedOn w:val="DefaultParagraphFont"/>
    <w:uiPriority w:val="99"/>
    <w:unhideWhenUsed/>
    <w:rsid w:val="0076620F"/>
    <w:rPr>
      <w:color w:val="0000FF" w:themeColor="hyperlink"/>
      <w:u w:val="single"/>
    </w:rPr>
  </w:style>
  <w:style w:type="paragraph" w:styleId="FootnoteText">
    <w:name w:val="footnote text"/>
    <w:basedOn w:val="Normal"/>
    <w:link w:val="FootnoteTextChar"/>
    <w:uiPriority w:val="99"/>
    <w:unhideWhenUsed/>
    <w:rsid w:val="00825590"/>
    <w:rPr>
      <w:sz w:val="20"/>
      <w:szCs w:val="20"/>
    </w:rPr>
  </w:style>
  <w:style w:type="character" w:customStyle="1" w:styleId="FootnoteTextChar">
    <w:name w:val="Footnote Text Char"/>
    <w:basedOn w:val="DefaultParagraphFont"/>
    <w:link w:val="FootnoteText"/>
    <w:uiPriority w:val="99"/>
    <w:rsid w:val="00825590"/>
    <w:rPr>
      <w:sz w:val="20"/>
      <w:szCs w:val="20"/>
    </w:rPr>
  </w:style>
  <w:style w:type="character" w:styleId="FootnoteReference">
    <w:name w:val="footnote reference"/>
    <w:basedOn w:val="DefaultParagraphFont"/>
    <w:uiPriority w:val="99"/>
    <w:unhideWhenUsed/>
    <w:rsid w:val="00825590"/>
    <w:rPr>
      <w:vertAlign w:val="superscript"/>
    </w:rPr>
  </w:style>
  <w:style w:type="paragraph" w:styleId="EndnoteText">
    <w:name w:val="endnote text"/>
    <w:basedOn w:val="Normal"/>
    <w:link w:val="EndnoteTextChar"/>
    <w:uiPriority w:val="99"/>
    <w:semiHidden/>
    <w:unhideWhenUsed/>
    <w:rsid w:val="002E424A"/>
    <w:rPr>
      <w:sz w:val="20"/>
      <w:szCs w:val="20"/>
    </w:rPr>
  </w:style>
  <w:style w:type="character" w:customStyle="1" w:styleId="EndnoteTextChar">
    <w:name w:val="Endnote Text Char"/>
    <w:basedOn w:val="DefaultParagraphFont"/>
    <w:link w:val="EndnoteText"/>
    <w:uiPriority w:val="99"/>
    <w:semiHidden/>
    <w:rsid w:val="002E424A"/>
    <w:rPr>
      <w:sz w:val="20"/>
      <w:szCs w:val="20"/>
    </w:rPr>
  </w:style>
  <w:style w:type="character" w:styleId="EndnoteReference">
    <w:name w:val="endnote reference"/>
    <w:basedOn w:val="DefaultParagraphFont"/>
    <w:uiPriority w:val="99"/>
    <w:semiHidden/>
    <w:unhideWhenUsed/>
    <w:rsid w:val="002E424A"/>
    <w:rPr>
      <w:vertAlign w:val="superscript"/>
    </w:rPr>
  </w:style>
  <w:style w:type="paragraph" w:styleId="Header">
    <w:name w:val="header"/>
    <w:basedOn w:val="Normal"/>
    <w:link w:val="HeaderChar"/>
    <w:uiPriority w:val="99"/>
    <w:unhideWhenUsed/>
    <w:rsid w:val="00284FDB"/>
    <w:pPr>
      <w:tabs>
        <w:tab w:val="center" w:pos="4680"/>
        <w:tab w:val="right" w:pos="9360"/>
      </w:tabs>
    </w:pPr>
  </w:style>
  <w:style w:type="character" w:customStyle="1" w:styleId="HeaderChar">
    <w:name w:val="Header Char"/>
    <w:basedOn w:val="DefaultParagraphFont"/>
    <w:link w:val="Header"/>
    <w:uiPriority w:val="99"/>
    <w:rsid w:val="00284FDB"/>
  </w:style>
  <w:style w:type="paragraph" w:styleId="Footer">
    <w:name w:val="footer"/>
    <w:basedOn w:val="Normal"/>
    <w:link w:val="FooterChar"/>
    <w:uiPriority w:val="99"/>
    <w:unhideWhenUsed/>
    <w:rsid w:val="00284FDB"/>
    <w:pPr>
      <w:tabs>
        <w:tab w:val="center" w:pos="4680"/>
        <w:tab w:val="right" w:pos="9360"/>
      </w:tabs>
    </w:pPr>
  </w:style>
  <w:style w:type="character" w:customStyle="1" w:styleId="FooterChar">
    <w:name w:val="Footer Char"/>
    <w:basedOn w:val="DefaultParagraphFont"/>
    <w:link w:val="Footer"/>
    <w:uiPriority w:val="99"/>
    <w:rsid w:val="00284FDB"/>
  </w:style>
  <w:style w:type="character" w:styleId="PlaceholderText">
    <w:name w:val="Placeholder Text"/>
    <w:basedOn w:val="DefaultParagraphFont"/>
    <w:uiPriority w:val="99"/>
    <w:semiHidden/>
    <w:rsid w:val="009C2BCD"/>
    <w:rPr>
      <w:color w:val="808080"/>
    </w:rPr>
  </w:style>
  <w:style w:type="character" w:customStyle="1" w:styleId="apple-converted-space">
    <w:name w:val="apple-converted-space"/>
    <w:basedOn w:val="DefaultParagraphFont"/>
    <w:rsid w:val="00855013"/>
  </w:style>
  <w:style w:type="character" w:styleId="Emphasis">
    <w:name w:val="Emphasis"/>
    <w:basedOn w:val="DefaultParagraphFont"/>
    <w:uiPriority w:val="20"/>
    <w:qFormat/>
    <w:rsid w:val="00855013"/>
    <w:rPr>
      <w:i/>
      <w:iCs/>
    </w:rPr>
  </w:style>
  <w:style w:type="character" w:customStyle="1" w:styleId="style1">
    <w:name w:val="style_1"/>
    <w:basedOn w:val="DefaultParagraphFont"/>
    <w:rsid w:val="007530D8"/>
  </w:style>
  <w:style w:type="character" w:styleId="FollowedHyperlink">
    <w:name w:val="FollowedHyperlink"/>
    <w:basedOn w:val="DefaultParagraphFont"/>
    <w:uiPriority w:val="99"/>
    <w:semiHidden/>
    <w:unhideWhenUsed/>
    <w:rsid w:val="000139F0"/>
    <w:rPr>
      <w:color w:val="800080" w:themeColor="followedHyperlink"/>
      <w:u w:val="single"/>
    </w:rPr>
  </w:style>
  <w:style w:type="character" w:styleId="CommentReference">
    <w:name w:val="annotation reference"/>
    <w:basedOn w:val="DefaultParagraphFont"/>
    <w:uiPriority w:val="99"/>
    <w:semiHidden/>
    <w:unhideWhenUsed/>
    <w:rsid w:val="00C04359"/>
    <w:rPr>
      <w:sz w:val="18"/>
      <w:szCs w:val="18"/>
    </w:rPr>
  </w:style>
  <w:style w:type="paragraph" w:styleId="CommentText">
    <w:name w:val="annotation text"/>
    <w:basedOn w:val="Normal"/>
    <w:link w:val="CommentTextChar"/>
    <w:uiPriority w:val="99"/>
    <w:semiHidden/>
    <w:unhideWhenUsed/>
    <w:rsid w:val="00C04359"/>
  </w:style>
  <w:style w:type="character" w:customStyle="1" w:styleId="CommentTextChar">
    <w:name w:val="Comment Text Char"/>
    <w:basedOn w:val="DefaultParagraphFont"/>
    <w:link w:val="CommentText"/>
    <w:uiPriority w:val="99"/>
    <w:semiHidden/>
    <w:rsid w:val="00C04359"/>
  </w:style>
  <w:style w:type="paragraph" w:styleId="CommentSubject">
    <w:name w:val="annotation subject"/>
    <w:basedOn w:val="CommentText"/>
    <w:next w:val="CommentText"/>
    <w:link w:val="CommentSubjectChar"/>
    <w:uiPriority w:val="99"/>
    <w:semiHidden/>
    <w:unhideWhenUsed/>
    <w:rsid w:val="00C04359"/>
    <w:rPr>
      <w:b/>
      <w:bCs/>
      <w:sz w:val="20"/>
      <w:szCs w:val="20"/>
    </w:rPr>
  </w:style>
  <w:style w:type="character" w:customStyle="1" w:styleId="CommentSubjectChar">
    <w:name w:val="Comment Subject Char"/>
    <w:basedOn w:val="CommentTextChar"/>
    <w:link w:val="CommentSubject"/>
    <w:uiPriority w:val="99"/>
    <w:semiHidden/>
    <w:rsid w:val="00C04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2046">
      <w:bodyDiv w:val="1"/>
      <w:marLeft w:val="0"/>
      <w:marRight w:val="0"/>
      <w:marTop w:val="0"/>
      <w:marBottom w:val="0"/>
      <w:divBdr>
        <w:top w:val="none" w:sz="0" w:space="0" w:color="auto"/>
        <w:left w:val="none" w:sz="0" w:space="0" w:color="auto"/>
        <w:bottom w:val="none" w:sz="0" w:space="0" w:color="auto"/>
        <w:right w:val="none" w:sz="0" w:space="0" w:color="auto"/>
      </w:divBdr>
    </w:div>
    <w:div w:id="66002360">
      <w:bodyDiv w:val="1"/>
      <w:marLeft w:val="0"/>
      <w:marRight w:val="0"/>
      <w:marTop w:val="0"/>
      <w:marBottom w:val="0"/>
      <w:divBdr>
        <w:top w:val="none" w:sz="0" w:space="0" w:color="auto"/>
        <w:left w:val="none" w:sz="0" w:space="0" w:color="auto"/>
        <w:bottom w:val="none" w:sz="0" w:space="0" w:color="auto"/>
        <w:right w:val="none" w:sz="0" w:space="0" w:color="auto"/>
      </w:divBdr>
    </w:div>
    <w:div w:id="113208935">
      <w:bodyDiv w:val="1"/>
      <w:marLeft w:val="0"/>
      <w:marRight w:val="0"/>
      <w:marTop w:val="0"/>
      <w:marBottom w:val="0"/>
      <w:divBdr>
        <w:top w:val="none" w:sz="0" w:space="0" w:color="auto"/>
        <w:left w:val="none" w:sz="0" w:space="0" w:color="auto"/>
        <w:bottom w:val="none" w:sz="0" w:space="0" w:color="auto"/>
        <w:right w:val="none" w:sz="0" w:space="0" w:color="auto"/>
      </w:divBdr>
    </w:div>
    <w:div w:id="152186170">
      <w:bodyDiv w:val="1"/>
      <w:marLeft w:val="0"/>
      <w:marRight w:val="0"/>
      <w:marTop w:val="0"/>
      <w:marBottom w:val="0"/>
      <w:divBdr>
        <w:top w:val="none" w:sz="0" w:space="0" w:color="auto"/>
        <w:left w:val="none" w:sz="0" w:space="0" w:color="auto"/>
        <w:bottom w:val="none" w:sz="0" w:space="0" w:color="auto"/>
        <w:right w:val="none" w:sz="0" w:space="0" w:color="auto"/>
      </w:divBdr>
    </w:div>
    <w:div w:id="212349193">
      <w:bodyDiv w:val="1"/>
      <w:marLeft w:val="0"/>
      <w:marRight w:val="0"/>
      <w:marTop w:val="0"/>
      <w:marBottom w:val="0"/>
      <w:divBdr>
        <w:top w:val="none" w:sz="0" w:space="0" w:color="auto"/>
        <w:left w:val="none" w:sz="0" w:space="0" w:color="auto"/>
        <w:bottom w:val="none" w:sz="0" w:space="0" w:color="auto"/>
        <w:right w:val="none" w:sz="0" w:space="0" w:color="auto"/>
      </w:divBdr>
    </w:div>
    <w:div w:id="232475314">
      <w:bodyDiv w:val="1"/>
      <w:marLeft w:val="0"/>
      <w:marRight w:val="0"/>
      <w:marTop w:val="0"/>
      <w:marBottom w:val="0"/>
      <w:divBdr>
        <w:top w:val="none" w:sz="0" w:space="0" w:color="auto"/>
        <w:left w:val="none" w:sz="0" w:space="0" w:color="auto"/>
        <w:bottom w:val="none" w:sz="0" w:space="0" w:color="auto"/>
        <w:right w:val="none" w:sz="0" w:space="0" w:color="auto"/>
      </w:divBdr>
    </w:div>
    <w:div w:id="239872182">
      <w:bodyDiv w:val="1"/>
      <w:marLeft w:val="0"/>
      <w:marRight w:val="0"/>
      <w:marTop w:val="0"/>
      <w:marBottom w:val="0"/>
      <w:divBdr>
        <w:top w:val="none" w:sz="0" w:space="0" w:color="auto"/>
        <w:left w:val="none" w:sz="0" w:space="0" w:color="auto"/>
        <w:bottom w:val="none" w:sz="0" w:space="0" w:color="auto"/>
        <w:right w:val="none" w:sz="0" w:space="0" w:color="auto"/>
      </w:divBdr>
    </w:div>
    <w:div w:id="328559592">
      <w:bodyDiv w:val="1"/>
      <w:marLeft w:val="0"/>
      <w:marRight w:val="0"/>
      <w:marTop w:val="0"/>
      <w:marBottom w:val="0"/>
      <w:divBdr>
        <w:top w:val="none" w:sz="0" w:space="0" w:color="auto"/>
        <w:left w:val="none" w:sz="0" w:space="0" w:color="auto"/>
        <w:bottom w:val="none" w:sz="0" w:space="0" w:color="auto"/>
        <w:right w:val="none" w:sz="0" w:space="0" w:color="auto"/>
      </w:divBdr>
    </w:div>
    <w:div w:id="443967823">
      <w:bodyDiv w:val="1"/>
      <w:marLeft w:val="0"/>
      <w:marRight w:val="0"/>
      <w:marTop w:val="0"/>
      <w:marBottom w:val="0"/>
      <w:divBdr>
        <w:top w:val="none" w:sz="0" w:space="0" w:color="auto"/>
        <w:left w:val="none" w:sz="0" w:space="0" w:color="auto"/>
        <w:bottom w:val="none" w:sz="0" w:space="0" w:color="auto"/>
        <w:right w:val="none" w:sz="0" w:space="0" w:color="auto"/>
      </w:divBdr>
    </w:div>
    <w:div w:id="476722419">
      <w:bodyDiv w:val="1"/>
      <w:marLeft w:val="0"/>
      <w:marRight w:val="0"/>
      <w:marTop w:val="0"/>
      <w:marBottom w:val="0"/>
      <w:divBdr>
        <w:top w:val="none" w:sz="0" w:space="0" w:color="auto"/>
        <w:left w:val="none" w:sz="0" w:space="0" w:color="auto"/>
        <w:bottom w:val="none" w:sz="0" w:space="0" w:color="auto"/>
        <w:right w:val="none" w:sz="0" w:space="0" w:color="auto"/>
      </w:divBdr>
    </w:div>
    <w:div w:id="513497910">
      <w:bodyDiv w:val="1"/>
      <w:marLeft w:val="0"/>
      <w:marRight w:val="0"/>
      <w:marTop w:val="0"/>
      <w:marBottom w:val="0"/>
      <w:divBdr>
        <w:top w:val="none" w:sz="0" w:space="0" w:color="auto"/>
        <w:left w:val="none" w:sz="0" w:space="0" w:color="auto"/>
        <w:bottom w:val="none" w:sz="0" w:space="0" w:color="auto"/>
        <w:right w:val="none" w:sz="0" w:space="0" w:color="auto"/>
      </w:divBdr>
    </w:div>
    <w:div w:id="656344840">
      <w:bodyDiv w:val="1"/>
      <w:marLeft w:val="0"/>
      <w:marRight w:val="0"/>
      <w:marTop w:val="0"/>
      <w:marBottom w:val="0"/>
      <w:divBdr>
        <w:top w:val="none" w:sz="0" w:space="0" w:color="auto"/>
        <w:left w:val="none" w:sz="0" w:space="0" w:color="auto"/>
        <w:bottom w:val="none" w:sz="0" w:space="0" w:color="auto"/>
        <w:right w:val="none" w:sz="0" w:space="0" w:color="auto"/>
      </w:divBdr>
    </w:div>
    <w:div w:id="682173282">
      <w:bodyDiv w:val="1"/>
      <w:marLeft w:val="0"/>
      <w:marRight w:val="0"/>
      <w:marTop w:val="0"/>
      <w:marBottom w:val="0"/>
      <w:divBdr>
        <w:top w:val="none" w:sz="0" w:space="0" w:color="auto"/>
        <w:left w:val="none" w:sz="0" w:space="0" w:color="auto"/>
        <w:bottom w:val="none" w:sz="0" w:space="0" w:color="auto"/>
        <w:right w:val="none" w:sz="0" w:space="0" w:color="auto"/>
      </w:divBdr>
    </w:div>
    <w:div w:id="728919058">
      <w:bodyDiv w:val="1"/>
      <w:marLeft w:val="0"/>
      <w:marRight w:val="0"/>
      <w:marTop w:val="0"/>
      <w:marBottom w:val="0"/>
      <w:divBdr>
        <w:top w:val="none" w:sz="0" w:space="0" w:color="auto"/>
        <w:left w:val="none" w:sz="0" w:space="0" w:color="auto"/>
        <w:bottom w:val="none" w:sz="0" w:space="0" w:color="auto"/>
        <w:right w:val="none" w:sz="0" w:space="0" w:color="auto"/>
      </w:divBdr>
    </w:div>
    <w:div w:id="756251909">
      <w:bodyDiv w:val="1"/>
      <w:marLeft w:val="0"/>
      <w:marRight w:val="0"/>
      <w:marTop w:val="0"/>
      <w:marBottom w:val="0"/>
      <w:divBdr>
        <w:top w:val="none" w:sz="0" w:space="0" w:color="auto"/>
        <w:left w:val="none" w:sz="0" w:space="0" w:color="auto"/>
        <w:bottom w:val="none" w:sz="0" w:space="0" w:color="auto"/>
        <w:right w:val="none" w:sz="0" w:space="0" w:color="auto"/>
      </w:divBdr>
    </w:div>
    <w:div w:id="800657848">
      <w:bodyDiv w:val="1"/>
      <w:marLeft w:val="0"/>
      <w:marRight w:val="0"/>
      <w:marTop w:val="0"/>
      <w:marBottom w:val="0"/>
      <w:divBdr>
        <w:top w:val="none" w:sz="0" w:space="0" w:color="auto"/>
        <w:left w:val="none" w:sz="0" w:space="0" w:color="auto"/>
        <w:bottom w:val="none" w:sz="0" w:space="0" w:color="auto"/>
        <w:right w:val="none" w:sz="0" w:space="0" w:color="auto"/>
      </w:divBdr>
    </w:div>
    <w:div w:id="823084838">
      <w:bodyDiv w:val="1"/>
      <w:marLeft w:val="0"/>
      <w:marRight w:val="0"/>
      <w:marTop w:val="0"/>
      <w:marBottom w:val="0"/>
      <w:divBdr>
        <w:top w:val="none" w:sz="0" w:space="0" w:color="auto"/>
        <w:left w:val="none" w:sz="0" w:space="0" w:color="auto"/>
        <w:bottom w:val="none" w:sz="0" w:space="0" w:color="auto"/>
        <w:right w:val="none" w:sz="0" w:space="0" w:color="auto"/>
      </w:divBdr>
    </w:div>
    <w:div w:id="824397922">
      <w:bodyDiv w:val="1"/>
      <w:marLeft w:val="0"/>
      <w:marRight w:val="0"/>
      <w:marTop w:val="0"/>
      <w:marBottom w:val="0"/>
      <w:divBdr>
        <w:top w:val="none" w:sz="0" w:space="0" w:color="auto"/>
        <w:left w:val="none" w:sz="0" w:space="0" w:color="auto"/>
        <w:bottom w:val="none" w:sz="0" w:space="0" w:color="auto"/>
        <w:right w:val="none" w:sz="0" w:space="0" w:color="auto"/>
      </w:divBdr>
    </w:div>
    <w:div w:id="831797626">
      <w:bodyDiv w:val="1"/>
      <w:marLeft w:val="0"/>
      <w:marRight w:val="0"/>
      <w:marTop w:val="0"/>
      <w:marBottom w:val="0"/>
      <w:divBdr>
        <w:top w:val="none" w:sz="0" w:space="0" w:color="auto"/>
        <w:left w:val="none" w:sz="0" w:space="0" w:color="auto"/>
        <w:bottom w:val="none" w:sz="0" w:space="0" w:color="auto"/>
        <w:right w:val="none" w:sz="0" w:space="0" w:color="auto"/>
      </w:divBdr>
    </w:div>
    <w:div w:id="931665034">
      <w:bodyDiv w:val="1"/>
      <w:marLeft w:val="0"/>
      <w:marRight w:val="0"/>
      <w:marTop w:val="0"/>
      <w:marBottom w:val="0"/>
      <w:divBdr>
        <w:top w:val="none" w:sz="0" w:space="0" w:color="auto"/>
        <w:left w:val="none" w:sz="0" w:space="0" w:color="auto"/>
        <w:bottom w:val="none" w:sz="0" w:space="0" w:color="auto"/>
        <w:right w:val="none" w:sz="0" w:space="0" w:color="auto"/>
      </w:divBdr>
    </w:div>
    <w:div w:id="1036656818">
      <w:bodyDiv w:val="1"/>
      <w:marLeft w:val="0"/>
      <w:marRight w:val="0"/>
      <w:marTop w:val="0"/>
      <w:marBottom w:val="0"/>
      <w:divBdr>
        <w:top w:val="none" w:sz="0" w:space="0" w:color="auto"/>
        <w:left w:val="none" w:sz="0" w:space="0" w:color="auto"/>
        <w:bottom w:val="none" w:sz="0" w:space="0" w:color="auto"/>
        <w:right w:val="none" w:sz="0" w:space="0" w:color="auto"/>
      </w:divBdr>
    </w:div>
    <w:div w:id="1099182393">
      <w:bodyDiv w:val="1"/>
      <w:marLeft w:val="0"/>
      <w:marRight w:val="0"/>
      <w:marTop w:val="0"/>
      <w:marBottom w:val="0"/>
      <w:divBdr>
        <w:top w:val="none" w:sz="0" w:space="0" w:color="auto"/>
        <w:left w:val="none" w:sz="0" w:space="0" w:color="auto"/>
        <w:bottom w:val="none" w:sz="0" w:space="0" w:color="auto"/>
        <w:right w:val="none" w:sz="0" w:space="0" w:color="auto"/>
      </w:divBdr>
    </w:div>
    <w:div w:id="1118765632">
      <w:bodyDiv w:val="1"/>
      <w:marLeft w:val="0"/>
      <w:marRight w:val="0"/>
      <w:marTop w:val="0"/>
      <w:marBottom w:val="0"/>
      <w:divBdr>
        <w:top w:val="none" w:sz="0" w:space="0" w:color="auto"/>
        <w:left w:val="none" w:sz="0" w:space="0" w:color="auto"/>
        <w:bottom w:val="none" w:sz="0" w:space="0" w:color="auto"/>
        <w:right w:val="none" w:sz="0" w:space="0" w:color="auto"/>
      </w:divBdr>
    </w:div>
    <w:div w:id="1170872235">
      <w:bodyDiv w:val="1"/>
      <w:marLeft w:val="0"/>
      <w:marRight w:val="0"/>
      <w:marTop w:val="0"/>
      <w:marBottom w:val="0"/>
      <w:divBdr>
        <w:top w:val="none" w:sz="0" w:space="0" w:color="auto"/>
        <w:left w:val="none" w:sz="0" w:space="0" w:color="auto"/>
        <w:bottom w:val="none" w:sz="0" w:space="0" w:color="auto"/>
        <w:right w:val="none" w:sz="0" w:space="0" w:color="auto"/>
      </w:divBdr>
    </w:div>
    <w:div w:id="1180776171">
      <w:bodyDiv w:val="1"/>
      <w:marLeft w:val="0"/>
      <w:marRight w:val="0"/>
      <w:marTop w:val="0"/>
      <w:marBottom w:val="0"/>
      <w:divBdr>
        <w:top w:val="none" w:sz="0" w:space="0" w:color="auto"/>
        <w:left w:val="none" w:sz="0" w:space="0" w:color="auto"/>
        <w:bottom w:val="none" w:sz="0" w:space="0" w:color="auto"/>
        <w:right w:val="none" w:sz="0" w:space="0" w:color="auto"/>
      </w:divBdr>
    </w:div>
    <w:div w:id="1207065397">
      <w:bodyDiv w:val="1"/>
      <w:marLeft w:val="0"/>
      <w:marRight w:val="0"/>
      <w:marTop w:val="0"/>
      <w:marBottom w:val="0"/>
      <w:divBdr>
        <w:top w:val="none" w:sz="0" w:space="0" w:color="auto"/>
        <w:left w:val="none" w:sz="0" w:space="0" w:color="auto"/>
        <w:bottom w:val="none" w:sz="0" w:space="0" w:color="auto"/>
        <w:right w:val="none" w:sz="0" w:space="0" w:color="auto"/>
      </w:divBdr>
    </w:div>
    <w:div w:id="1294865095">
      <w:bodyDiv w:val="1"/>
      <w:marLeft w:val="0"/>
      <w:marRight w:val="0"/>
      <w:marTop w:val="0"/>
      <w:marBottom w:val="0"/>
      <w:divBdr>
        <w:top w:val="none" w:sz="0" w:space="0" w:color="auto"/>
        <w:left w:val="none" w:sz="0" w:space="0" w:color="auto"/>
        <w:bottom w:val="none" w:sz="0" w:space="0" w:color="auto"/>
        <w:right w:val="none" w:sz="0" w:space="0" w:color="auto"/>
      </w:divBdr>
    </w:div>
    <w:div w:id="1409884950">
      <w:bodyDiv w:val="1"/>
      <w:marLeft w:val="0"/>
      <w:marRight w:val="0"/>
      <w:marTop w:val="0"/>
      <w:marBottom w:val="0"/>
      <w:divBdr>
        <w:top w:val="none" w:sz="0" w:space="0" w:color="auto"/>
        <w:left w:val="none" w:sz="0" w:space="0" w:color="auto"/>
        <w:bottom w:val="none" w:sz="0" w:space="0" w:color="auto"/>
        <w:right w:val="none" w:sz="0" w:space="0" w:color="auto"/>
      </w:divBdr>
    </w:div>
    <w:div w:id="1510146189">
      <w:bodyDiv w:val="1"/>
      <w:marLeft w:val="0"/>
      <w:marRight w:val="0"/>
      <w:marTop w:val="0"/>
      <w:marBottom w:val="0"/>
      <w:divBdr>
        <w:top w:val="none" w:sz="0" w:space="0" w:color="auto"/>
        <w:left w:val="none" w:sz="0" w:space="0" w:color="auto"/>
        <w:bottom w:val="none" w:sz="0" w:space="0" w:color="auto"/>
        <w:right w:val="none" w:sz="0" w:space="0" w:color="auto"/>
      </w:divBdr>
    </w:div>
    <w:div w:id="1539202114">
      <w:bodyDiv w:val="1"/>
      <w:marLeft w:val="0"/>
      <w:marRight w:val="0"/>
      <w:marTop w:val="0"/>
      <w:marBottom w:val="0"/>
      <w:divBdr>
        <w:top w:val="none" w:sz="0" w:space="0" w:color="auto"/>
        <w:left w:val="none" w:sz="0" w:space="0" w:color="auto"/>
        <w:bottom w:val="none" w:sz="0" w:space="0" w:color="auto"/>
        <w:right w:val="none" w:sz="0" w:space="0" w:color="auto"/>
      </w:divBdr>
    </w:div>
    <w:div w:id="1547449982">
      <w:bodyDiv w:val="1"/>
      <w:marLeft w:val="0"/>
      <w:marRight w:val="0"/>
      <w:marTop w:val="0"/>
      <w:marBottom w:val="0"/>
      <w:divBdr>
        <w:top w:val="none" w:sz="0" w:space="0" w:color="auto"/>
        <w:left w:val="none" w:sz="0" w:space="0" w:color="auto"/>
        <w:bottom w:val="none" w:sz="0" w:space="0" w:color="auto"/>
        <w:right w:val="none" w:sz="0" w:space="0" w:color="auto"/>
      </w:divBdr>
    </w:div>
    <w:div w:id="1622685603">
      <w:bodyDiv w:val="1"/>
      <w:marLeft w:val="0"/>
      <w:marRight w:val="0"/>
      <w:marTop w:val="0"/>
      <w:marBottom w:val="0"/>
      <w:divBdr>
        <w:top w:val="none" w:sz="0" w:space="0" w:color="auto"/>
        <w:left w:val="none" w:sz="0" w:space="0" w:color="auto"/>
        <w:bottom w:val="none" w:sz="0" w:space="0" w:color="auto"/>
        <w:right w:val="none" w:sz="0" w:space="0" w:color="auto"/>
      </w:divBdr>
    </w:div>
    <w:div w:id="1687707300">
      <w:bodyDiv w:val="1"/>
      <w:marLeft w:val="0"/>
      <w:marRight w:val="0"/>
      <w:marTop w:val="0"/>
      <w:marBottom w:val="0"/>
      <w:divBdr>
        <w:top w:val="none" w:sz="0" w:space="0" w:color="auto"/>
        <w:left w:val="none" w:sz="0" w:space="0" w:color="auto"/>
        <w:bottom w:val="none" w:sz="0" w:space="0" w:color="auto"/>
        <w:right w:val="none" w:sz="0" w:space="0" w:color="auto"/>
      </w:divBdr>
    </w:div>
    <w:div w:id="1840998179">
      <w:bodyDiv w:val="1"/>
      <w:marLeft w:val="0"/>
      <w:marRight w:val="0"/>
      <w:marTop w:val="0"/>
      <w:marBottom w:val="0"/>
      <w:divBdr>
        <w:top w:val="none" w:sz="0" w:space="0" w:color="auto"/>
        <w:left w:val="none" w:sz="0" w:space="0" w:color="auto"/>
        <w:bottom w:val="none" w:sz="0" w:space="0" w:color="auto"/>
        <w:right w:val="none" w:sz="0" w:space="0" w:color="auto"/>
      </w:divBdr>
    </w:div>
    <w:div w:id="1852333488">
      <w:bodyDiv w:val="1"/>
      <w:marLeft w:val="0"/>
      <w:marRight w:val="0"/>
      <w:marTop w:val="0"/>
      <w:marBottom w:val="0"/>
      <w:divBdr>
        <w:top w:val="none" w:sz="0" w:space="0" w:color="auto"/>
        <w:left w:val="none" w:sz="0" w:space="0" w:color="auto"/>
        <w:bottom w:val="none" w:sz="0" w:space="0" w:color="auto"/>
        <w:right w:val="none" w:sz="0" w:space="0" w:color="auto"/>
      </w:divBdr>
    </w:div>
    <w:div w:id="1853030960">
      <w:bodyDiv w:val="1"/>
      <w:marLeft w:val="0"/>
      <w:marRight w:val="0"/>
      <w:marTop w:val="0"/>
      <w:marBottom w:val="0"/>
      <w:divBdr>
        <w:top w:val="none" w:sz="0" w:space="0" w:color="auto"/>
        <w:left w:val="none" w:sz="0" w:space="0" w:color="auto"/>
        <w:bottom w:val="none" w:sz="0" w:space="0" w:color="auto"/>
        <w:right w:val="none" w:sz="0" w:space="0" w:color="auto"/>
      </w:divBdr>
    </w:div>
    <w:div w:id="1861702927">
      <w:bodyDiv w:val="1"/>
      <w:marLeft w:val="0"/>
      <w:marRight w:val="0"/>
      <w:marTop w:val="0"/>
      <w:marBottom w:val="0"/>
      <w:divBdr>
        <w:top w:val="none" w:sz="0" w:space="0" w:color="auto"/>
        <w:left w:val="none" w:sz="0" w:space="0" w:color="auto"/>
        <w:bottom w:val="none" w:sz="0" w:space="0" w:color="auto"/>
        <w:right w:val="none" w:sz="0" w:space="0" w:color="auto"/>
      </w:divBdr>
    </w:div>
    <w:div w:id="1895310517">
      <w:bodyDiv w:val="1"/>
      <w:marLeft w:val="0"/>
      <w:marRight w:val="0"/>
      <w:marTop w:val="0"/>
      <w:marBottom w:val="0"/>
      <w:divBdr>
        <w:top w:val="none" w:sz="0" w:space="0" w:color="auto"/>
        <w:left w:val="none" w:sz="0" w:space="0" w:color="auto"/>
        <w:bottom w:val="none" w:sz="0" w:space="0" w:color="auto"/>
        <w:right w:val="none" w:sz="0" w:space="0" w:color="auto"/>
      </w:divBdr>
    </w:div>
    <w:div w:id="1899246312">
      <w:bodyDiv w:val="1"/>
      <w:marLeft w:val="0"/>
      <w:marRight w:val="0"/>
      <w:marTop w:val="0"/>
      <w:marBottom w:val="0"/>
      <w:divBdr>
        <w:top w:val="none" w:sz="0" w:space="0" w:color="auto"/>
        <w:left w:val="none" w:sz="0" w:space="0" w:color="auto"/>
        <w:bottom w:val="none" w:sz="0" w:space="0" w:color="auto"/>
        <w:right w:val="none" w:sz="0" w:space="0" w:color="auto"/>
      </w:divBdr>
    </w:div>
    <w:div w:id="1927105117">
      <w:bodyDiv w:val="1"/>
      <w:marLeft w:val="0"/>
      <w:marRight w:val="0"/>
      <w:marTop w:val="0"/>
      <w:marBottom w:val="0"/>
      <w:divBdr>
        <w:top w:val="none" w:sz="0" w:space="0" w:color="auto"/>
        <w:left w:val="none" w:sz="0" w:space="0" w:color="auto"/>
        <w:bottom w:val="none" w:sz="0" w:space="0" w:color="auto"/>
        <w:right w:val="none" w:sz="0" w:space="0" w:color="auto"/>
      </w:divBdr>
    </w:div>
    <w:div w:id="1983728489">
      <w:bodyDiv w:val="1"/>
      <w:marLeft w:val="0"/>
      <w:marRight w:val="0"/>
      <w:marTop w:val="0"/>
      <w:marBottom w:val="0"/>
      <w:divBdr>
        <w:top w:val="none" w:sz="0" w:space="0" w:color="auto"/>
        <w:left w:val="none" w:sz="0" w:space="0" w:color="auto"/>
        <w:bottom w:val="none" w:sz="0" w:space="0" w:color="auto"/>
        <w:right w:val="none" w:sz="0" w:space="0" w:color="auto"/>
      </w:divBdr>
    </w:div>
    <w:div w:id="2052345400">
      <w:bodyDiv w:val="1"/>
      <w:marLeft w:val="0"/>
      <w:marRight w:val="0"/>
      <w:marTop w:val="0"/>
      <w:marBottom w:val="0"/>
      <w:divBdr>
        <w:top w:val="none" w:sz="0" w:space="0" w:color="auto"/>
        <w:left w:val="none" w:sz="0" w:space="0" w:color="auto"/>
        <w:bottom w:val="none" w:sz="0" w:space="0" w:color="auto"/>
        <w:right w:val="none" w:sz="0" w:space="0" w:color="auto"/>
      </w:divBdr>
    </w:div>
    <w:div w:id="2072149829">
      <w:bodyDiv w:val="1"/>
      <w:marLeft w:val="0"/>
      <w:marRight w:val="0"/>
      <w:marTop w:val="0"/>
      <w:marBottom w:val="0"/>
      <w:divBdr>
        <w:top w:val="none" w:sz="0" w:space="0" w:color="auto"/>
        <w:left w:val="none" w:sz="0" w:space="0" w:color="auto"/>
        <w:bottom w:val="none" w:sz="0" w:space="0" w:color="auto"/>
        <w:right w:val="none" w:sz="0" w:space="0" w:color="auto"/>
      </w:divBdr>
    </w:div>
    <w:div w:id="2088111729">
      <w:bodyDiv w:val="1"/>
      <w:marLeft w:val="0"/>
      <w:marRight w:val="0"/>
      <w:marTop w:val="0"/>
      <w:marBottom w:val="0"/>
      <w:divBdr>
        <w:top w:val="none" w:sz="0" w:space="0" w:color="auto"/>
        <w:left w:val="none" w:sz="0" w:space="0" w:color="auto"/>
        <w:bottom w:val="none" w:sz="0" w:space="0" w:color="auto"/>
        <w:right w:val="none" w:sz="0" w:space="0" w:color="auto"/>
      </w:divBdr>
    </w:div>
    <w:div w:id="2139033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groundlevelozone/"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pa.gov/oaqps001/nitrogenoxides/health.html"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889F-C3D0-42A7-83B5-3353A725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39</Pages>
  <Words>9394</Words>
  <Characters>53546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Western Washington University</Company>
  <LinksUpToDate>false</LinksUpToDate>
  <CharactersWithSpaces>62815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VEDDER</dc:creator>
  <cp:keywords/>
  <dc:description/>
  <cp:lastModifiedBy>Student</cp:lastModifiedBy>
  <cp:revision>641</cp:revision>
  <cp:lastPrinted>2014-12-11T18:10:00Z</cp:lastPrinted>
  <dcterms:created xsi:type="dcterms:W3CDTF">2014-10-17T01:58:00Z</dcterms:created>
  <dcterms:modified xsi:type="dcterms:W3CDTF">2014-12-11T18:49:00Z</dcterms:modified>
</cp:coreProperties>
</file>