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b/>
          <w:bCs/>
          <w:caps/>
          <w:color w:val="888888"/>
          <w:sz w:val="20"/>
          <w:szCs w:val="20"/>
        </w:rPr>
        <w:t xml:space="preserve">CONTENT BRIEF  ·  Grant &amp; Regulatory Compliance  ·  Quick-take Blog</w:t>
      </w:r>
    </w:p>
    <w:p>
      <w:pPr>
        <w:spacing w:after="40" w:before="60"/>
      </w:pPr>
      <w:r>
        <w:rPr>
          <w:b/>
          <w:bCs/>
          <w:color w:val="1A2E4A"/>
          <w:sz w:val="40"/>
          <w:szCs w:val="40"/>
        </w:rPr>
        <w:t xml:space="preserve">OMB Uniform Guidance 2026: What University Procurement Teams Are Still Getting Wrong</w:t>
      </w:r>
    </w:p>
    <w:p>
      <w:pPr>
        <w:spacing w:after="200" w:before="0"/>
      </w:pPr>
      <w:r>
        <w:rPr>
          <w:i/>
          <w:iCs/>
          <w:color w:val="555555"/>
          <w:sz w:val="20"/>
          <w:szCs w:val="20"/>
        </w:rPr>
        <w:t xml:space="preserve">Higher Education  ·  Grant &amp; Regulatory Compliance  ·  Week 3  ·  TOFU  ·  US</w:t>
      </w:r>
    </w:p>
    <w:p>
      <w:pPr>
        <w:pStyle w:val="Heading2"/>
        <w:pBdr>
          <w:bottom w:val="single" w:color="1A2E4A" w:sz="6"/>
        </w:pBdr>
        <w:spacing w:after="100" w:before="280"/>
      </w:pPr>
      <w:r>
        <w:rPr>
          <w:b/>
          <w:bCs/>
          <w:color w:val="1A2E4A"/>
          <w:sz w:val="28"/>
          <w:szCs w:val="28"/>
        </w:rPr>
        <w:t xml:space="preserve">Brief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20"/>
        <w:gridCol w:w="6840"/>
      </w:tblGrid>
      <w:tr>
        <w:tc>
          <w:tcPr>
            <w:tcW w:type="dxa" w:w="2520"/>
            <w:tcBorders>
              <w:top w:val="single" w:color="CCCCCC" w:sz="4"/>
              <w:left w:val="single" w:color="CCCCCC" w:sz="4"/>
              <w:bottom w:val="single" w:color="CCCCCC" w:sz="4"/>
              <w:right w:val="single" w:color="CCCCCC" w:sz="4"/>
            </w:tcBorders>
            <w:shd w:fill="F0F2F5" w:color="auto" w:val="clear"/>
          </w:tcPr>
          <w:p>
            <w:pPr>
              <w:spacing w:after="60" w:before="60"/>
            </w:pPr>
            <w:r>
              <w:rPr>
                <w:b/>
                <w:bCs/>
                <w:color w:val="2B6CB0"/>
                <w:sz w:val="18"/>
                <w:szCs w:val="18"/>
              </w:rPr>
              <w:t xml:space="preserve">URL slug</w:t>
            </w:r>
          </w:p>
        </w:tc>
        <w:tc>
          <w:tcPr>
            <w:tcW w:type="dxa" w:w="6840"/>
            <w:tcBorders>
              <w:top w:val="single" w:color="CCCCCC" w:sz="4"/>
              <w:left w:val="single" w:color="CCCCCC" w:sz="4"/>
              <w:bottom w:val="single" w:color="CCCCCC" w:sz="4"/>
              <w:right w:val="single" w:color="CCCCCC" w:sz="4"/>
            </w:tcBorders>
            <w:shd w:fill="FFFFFF" w:color="auto" w:val="clear"/>
          </w:tcPr>
          <w:p>
            <w:pPr>
              <w:spacing w:after="60" w:before="60"/>
            </w:pPr>
            <w:r>
              <w:rPr>
                <w:color w:val="222222"/>
                <w:sz w:val="18"/>
                <w:szCs w:val="18"/>
              </w:rPr>
              <w:t xml:space="preserve">/omb-uniform-guidance-university-procurement-2026</w:t>
            </w:r>
          </w:p>
        </w:tc>
      </w:tr>
      <w:tr>
        <w:tc>
          <w:tcPr>
            <w:tcW w:type="dxa" w:w="2520"/>
            <w:tcBorders>
              <w:top w:val="single" w:color="CCCCCC" w:sz="4"/>
              <w:left w:val="single" w:color="CCCCCC" w:sz="4"/>
              <w:bottom w:val="single" w:color="CCCCCC" w:sz="4"/>
              <w:right w:val="single" w:color="CCCCCC" w:sz="4"/>
            </w:tcBorders>
            <w:shd w:fill="F0F2F5" w:color="auto" w:val="clear"/>
          </w:tcPr>
          <w:p>
            <w:pPr>
              <w:spacing w:after="60" w:before="60"/>
            </w:pPr>
            <w:r>
              <w:rPr>
                <w:b/>
                <w:bCs/>
                <w:color w:val="2B6CB0"/>
                <w:sz w:val="18"/>
                <w:szCs w:val="18"/>
              </w:rPr>
              <w:t xml:space="preserve">Content type</w:t>
            </w:r>
          </w:p>
        </w:tc>
        <w:tc>
          <w:tcPr>
            <w:tcW w:type="dxa" w:w="6840"/>
            <w:tcBorders>
              <w:top w:val="single" w:color="CCCCCC" w:sz="4"/>
              <w:left w:val="single" w:color="CCCCCC" w:sz="4"/>
              <w:bottom w:val="single" w:color="CCCCCC" w:sz="4"/>
              <w:right w:val="single" w:color="CCCCCC" w:sz="4"/>
            </w:tcBorders>
            <w:shd w:fill="FFFFFF" w:color="auto" w:val="clear"/>
          </w:tcPr>
          <w:p>
            <w:pPr>
              <w:spacing w:after="60" w:before="60"/>
            </w:pPr>
            <w:r>
              <w:rPr>
                <w:color w:val="222222"/>
                <w:sz w:val="18"/>
                <w:szCs w:val="18"/>
              </w:rPr>
              <w:t xml:space="preserve">Quick-take Blog — Grant &amp; Regulatory Compliance cluster spoke</w:t>
            </w:r>
          </w:p>
        </w:tc>
      </w:tr>
      <w:tr>
        <w:tc>
          <w:tcPr>
            <w:tcW w:type="dxa" w:w="2520"/>
            <w:tcBorders>
              <w:top w:val="single" w:color="CCCCCC" w:sz="4"/>
              <w:left w:val="single" w:color="CCCCCC" w:sz="4"/>
              <w:bottom w:val="single" w:color="CCCCCC" w:sz="4"/>
              <w:right w:val="single" w:color="CCCCCC" w:sz="4"/>
            </w:tcBorders>
            <w:shd w:fill="F0F2F5" w:color="auto" w:val="clear"/>
          </w:tcPr>
          <w:p>
            <w:pPr>
              <w:spacing w:after="60" w:before="60"/>
            </w:pPr>
            <w:r>
              <w:rPr>
                <w:b/>
                <w:bCs/>
                <w:color w:val="2B6CB0"/>
                <w:sz w:val="18"/>
                <w:szCs w:val="18"/>
              </w:rPr>
              <w:t xml:space="preserve">Target audience</w:t>
            </w:r>
          </w:p>
        </w:tc>
        <w:tc>
          <w:tcPr>
            <w:tcW w:type="dxa" w:w="6840"/>
            <w:tcBorders>
              <w:top w:val="single" w:color="CCCCCC" w:sz="4"/>
              <w:left w:val="single" w:color="CCCCCC" w:sz="4"/>
              <w:bottom w:val="single" w:color="CCCCCC" w:sz="4"/>
              <w:right w:val="single" w:color="CCCCCC" w:sz="4"/>
            </w:tcBorders>
            <w:shd w:fill="FFFFFF" w:color="auto" w:val="clear"/>
          </w:tcPr>
          <w:p>
            <w:pPr>
              <w:spacing w:after="60" w:before="60"/>
            </w:pPr>
            <w:r>
              <w:rPr>
                <w:color w:val="222222"/>
                <w:sz w:val="18"/>
                <w:szCs w:val="18"/>
              </w:rPr>
              <w:t xml:space="preserve">University CPOs/VPs of Procurement (process risk angle) and grants &amp; compliance officers (audit exposure angle) — both must be addressed without conflating their distinct pain points</w:t>
            </w:r>
          </w:p>
        </w:tc>
      </w:tr>
      <w:tr>
        <w:tc>
          <w:tcPr>
            <w:tcW w:type="dxa" w:w="2520"/>
            <w:tcBorders>
              <w:top w:val="single" w:color="CCCCCC" w:sz="4"/>
              <w:left w:val="single" w:color="CCCCCC" w:sz="4"/>
              <w:bottom w:val="single" w:color="CCCCCC" w:sz="4"/>
              <w:right w:val="single" w:color="CCCCCC" w:sz="4"/>
            </w:tcBorders>
            <w:shd w:fill="F0F2F5" w:color="auto" w:val="clear"/>
          </w:tcPr>
          <w:p>
            <w:pPr>
              <w:spacing w:after="60" w:before="60"/>
            </w:pPr>
            <w:r>
              <w:rPr>
                <w:b/>
                <w:bCs/>
                <w:color w:val="2B6CB0"/>
                <w:sz w:val="18"/>
                <w:szCs w:val="18"/>
              </w:rPr>
              <w:t xml:space="preserve">Primary keyword</w:t>
            </w:r>
          </w:p>
        </w:tc>
        <w:tc>
          <w:tcPr>
            <w:tcW w:type="dxa" w:w="6840"/>
            <w:tcBorders>
              <w:top w:val="single" w:color="CCCCCC" w:sz="4"/>
              <w:left w:val="single" w:color="CCCCCC" w:sz="4"/>
              <w:bottom w:val="single" w:color="CCCCCC" w:sz="4"/>
              <w:right w:val="single" w:color="CCCCCC" w:sz="4"/>
            </w:tcBorders>
            <w:shd w:fill="FFFFFF" w:color="auto" w:val="clear"/>
          </w:tcPr>
          <w:p>
            <w:pPr>
              <w:spacing w:after="60" w:before="60"/>
            </w:pPr>
            <w:r>
              <w:rPr>
                <w:color w:val="222222"/>
                <w:sz w:val="18"/>
                <w:szCs w:val="18"/>
              </w:rPr>
              <w:t xml:space="preserve">OMB Uniform Guidance university procurement 2026</w:t>
            </w:r>
          </w:p>
        </w:tc>
      </w:tr>
      <w:tr>
        <w:tc>
          <w:tcPr>
            <w:tcW w:type="dxa" w:w="2520"/>
            <w:tcBorders>
              <w:top w:val="single" w:color="CCCCCC" w:sz="4"/>
              <w:left w:val="single" w:color="CCCCCC" w:sz="4"/>
              <w:bottom w:val="single" w:color="CCCCCC" w:sz="4"/>
              <w:right w:val="single" w:color="CCCCCC" w:sz="4"/>
            </w:tcBorders>
            <w:shd w:fill="F0F2F5" w:color="auto" w:val="clear"/>
          </w:tcPr>
          <w:p>
            <w:pPr>
              <w:spacing w:after="60" w:before="60"/>
            </w:pPr>
            <w:r>
              <w:rPr>
                <w:b/>
                <w:bCs/>
                <w:color w:val="2B6CB0"/>
                <w:sz w:val="18"/>
                <w:szCs w:val="18"/>
              </w:rPr>
              <w:t xml:space="preserve">Secondary keywords</w:t>
            </w:r>
          </w:p>
        </w:tc>
        <w:tc>
          <w:tcPr>
            <w:tcW w:type="dxa" w:w="6840"/>
            <w:tcBorders>
              <w:top w:val="single" w:color="CCCCCC" w:sz="4"/>
              <w:left w:val="single" w:color="CCCCCC" w:sz="4"/>
              <w:bottom w:val="single" w:color="CCCCCC" w:sz="4"/>
              <w:right w:val="single" w:color="CCCCCC" w:sz="4"/>
            </w:tcBorders>
            <w:shd w:fill="FFFFFF" w:color="auto" w:val="clear"/>
          </w:tcPr>
          <w:p>
            <w:pPr>
              <w:spacing w:after="60" w:before="60"/>
            </w:pPr>
            <w:r>
              <w:rPr>
                <w:color w:val="222222"/>
                <w:sz w:val="18"/>
                <w:szCs w:val="18"/>
              </w:rPr>
              <w:t xml:space="preserve">2 CFR 200 federal grant compliance · NSF procurement compliance university · NIH grant procurement requirements</w:t>
            </w:r>
          </w:p>
        </w:tc>
      </w:tr>
      <w:tr>
        <w:tc>
          <w:tcPr>
            <w:tcW w:type="dxa" w:w="2520"/>
            <w:tcBorders>
              <w:top w:val="single" w:color="CCCCCC" w:sz="4"/>
              <w:left w:val="single" w:color="CCCCCC" w:sz="4"/>
              <w:bottom w:val="single" w:color="CCCCCC" w:sz="4"/>
              <w:right w:val="single" w:color="CCCCCC" w:sz="4"/>
            </w:tcBorders>
            <w:shd w:fill="F0F2F5" w:color="auto" w:val="clear"/>
          </w:tcPr>
          <w:p>
            <w:pPr>
              <w:spacing w:after="60" w:before="60"/>
            </w:pPr>
            <w:r>
              <w:rPr>
                <w:b/>
                <w:bCs/>
                <w:color w:val="2B6CB0"/>
                <w:sz w:val="18"/>
                <w:szCs w:val="18"/>
              </w:rPr>
              <w:t xml:space="preserve">Pillar page link</w:t>
            </w:r>
          </w:p>
        </w:tc>
        <w:tc>
          <w:tcPr>
            <w:tcW w:type="dxa" w:w="6840"/>
            <w:tcBorders>
              <w:top w:val="single" w:color="CCCCCC" w:sz="4"/>
              <w:left w:val="single" w:color="CCCCCC" w:sz="4"/>
              <w:bottom w:val="single" w:color="CCCCCC" w:sz="4"/>
              <w:right w:val="single" w:color="CCCCCC" w:sz="4"/>
            </w:tcBorders>
            <w:shd w:fill="FFFFFF" w:color="auto" w:val="clear"/>
          </w:tcPr>
          <w:p>
            <w:pPr>
              <w:spacing w:after="60" w:before="60"/>
            </w:pPr>
            <w:r>
              <w:rPr>
                <w:color w:val="222222"/>
                <w:sz w:val="18"/>
                <w:szCs w:val="18"/>
              </w:rPr>
              <w:t xml:space="preserve">Links to and receives a link from the Higher Education pillar page</w:t>
            </w:r>
          </w:p>
        </w:tc>
      </w:tr>
      <w:tr>
        <w:tc>
          <w:tcPr>
            <w:tcW w:type="dxa" w:w="2520"/>
            <w:tcBorders>
              <w:top w:val="single" w:color="CCCCCC" w:sz="4"/>
              <w:left w:val="single" w:color="CCCCCC" w:sz="4"/>
              <w:bottom w:val="single" w:color="CCCCCC" w:sz="4"/>
              <w:right w:val="single" w:color="CCCCCC" w:sz="4"/>
            </w:tcBorders>
            <w:shd w:fill="F0F2F5" w:color="auto" w:val="clear"/>
          </w:tcPr>
          <w:p>
            <w:pPr>
              <w:spacing w:after="60" w:before="60"/>
            </w:pPr>
            <w:r>
              <w:rPr>
                <w:b/>
                <w:bCs/>
                <w:color w:val="2B6CB0"/>
                <w:sz w:val="18"/>
                <w:szCs w:val="18"/>
              </w:rPr>
              <w:t xml:space="preserve">Publish priority</w:t>
            </w:r>
          </w:p>
        </w:tc>
        <w:tc>
          <w:tcPr>
            <w:tcW w:type="dxa" w:w="6840"/>
            <w:tcBorders>
              <w:top w:val="single" w:color="CCCCCC" w:sz="4"/>
              <w:left w:val="single" w:color="CCCCCC" w:sz="4"/>
              <w:bottom w:val="single" w:color="CCCCCC" w:sz="4"/>
              <w:right w:val="single" w:color="CCCCCC" w:sz="4"/>
            </w:tcBorders>
            <w:shd w:fill="FFFFFF" w:color="auto" w:val="clear"/>
          </w:tcPr>
          <w:p>
            <w:pPr>
              <w:spacing w:after="60" w:before="60"/>
            </w:pPr>
            <w:r>
              <w:rPr>
                <w:color w:val="222222"/>
                <w:sz w:val="18"/>
                <w:szCs w:val="18"/>
              </w:rPr>
              <w:t xml:space="preserve">Week 3 — pairs with Grant Procurement Compliance Checklist in same cluster; .edu and OIG competition means E-E-A-T signals (specific 2 CFR 200 citations) are essential</w:t>
            </w:r>
          </w:p>
        </w:tc>
      </w:tr>
    </w:tbl>
    <w:p>
      <w:pPr>
        <w:spacing w:after="40" w:before="40"/>
      </w:pPr>
      <w:r>
        <w:t xml:space="preserve"/>
      </w:r>
    </w:p>
    <w:p>
      <w:pPr>
        <w:pStyle w:val="Heading2"/>
        <w:pBdr>
          <w:bottom w:val="single" w:color="1A2E4A" w:sz="6"/>
        </w:pBdr>
        <w:spacing w:after="100" w:before="280"/>
      </w:pPr>
      <w:r>
        <w:rPr>
          <w:b/>
          <w:bCs/>
          <w:color w:val="1A2E4A"/>
          <w:sz w:val="28"/>
          <w:szCs w:val="28"/>
        </w:rPr>
        <w:t xml:space="preserve">1. Search intent analysis</w:t>
      </w:r>
    </w:p>
    <w:p>
      <w:pPr>
        <w:spacing w:after="80" w:before="60"/>
      </w:pPr>
      <w:r>
        <w:rPr>
          <w:color w:val="333333"/>
          <w:sz w:val="20"/>
          <w:szCs w:val="20"/>
        </w:rPr>
        <w:t xml:space="preserve">Two distinct but related readers land on this post. The first is the university CPO or VP of Procurement — they care about process risk: are our procurement workflows aligned with 2 CFR 200, and are we exposed to audit findings that undermine the institution? The second is the grants and compliance officer — they care about audit exposure: are we documenting competitive procurement correctly, and are our PI teams buying compliantly? The title ("what teams are still getting wrong") signals a diagnostic angle — not a 101 explainer. Readers expect to recognise their own mistakes in the content. The post must be specific about actual compliance gaps, not a generic summary of what 2 CFR 200 says.</w:t>
      </w:r>
    </w:p>
    <w:p>
      <w:pPr>
        <w:spacing w:after="40" w:before="40"/>
      </w:pPr>
      <w:r>
        <w:t xml:space="preserve"/>
      </w:r>
    </w:p>
    <w:p>
      <w:pPr>
        <w:pStyle w:val="Heading3"/>
        <w:spacing w:after="60" w:before="180"/>
      </w:pPr>
      <w:r>
        <w:rPr>
          <w:b/>
          <w:bCs/>
          <w:color w:val="2B6CB0"/>
          <w:sz w:val="22"/>
          <w:szCs w:val="22"/>
        </w:rPr>
        <w:t xml:space="preserve">What the reader needs to leave with</w:t>
      </w:r>
    </w:p>
    <w:p>
      <w:pPr>
        <w:spacing w:after="40" w:before="40"/>
        <w:ind w:left="360"/>
      </w:pPr>
      <w:r>
        <w:rPr>
          <w:color w:val="333333"/>
          <w:sz w:val="20"/>
          <w:szCs w:val="20"/>
        </w:rPr>
        <w:t xml:space="preserve">• A clear understanding of what 2 CFR 200 requires of university procurement — the parts teams most frequently get wrong, not a full summary</w:t>
      </w:r>
    </w:p>
    <w:p>
      <w:pPr>
        <w:spacing w:after="40" w:before="40"/>
        <w:ind w:left="360"/>
      </w:pPr>
      <w:r>
        <w:rPr>
          <w:color w:val="333333"/>
          <w:sz w:val="20"/>
          <w:szCs w:val="20"/>
        </w:rPr>
        <w:t xml:space="preserve">• Specific agency-level rules (NSF, NIH) that layer on top of Uniform Guidance and create additional compliance risk</w:t>
      </w:r>
    </w:p>
    <w:p>
      <w:pPr>
        <w:spacing w:after="40" w:before="40"/>
        <w:ind w:left="360"/>
      </w:pPr>
      <w:r>
        <w:rPr>
          <w:color w:val="333333"/>
          <w:sz w:val="20"/>
          <w:szCs w:val="20"/>
        </w:rPr>
        <w:t xml:space="preserve">• 3–5 concrete mistakes that show up in federal audits — written so readers recognise whether their institution is making them</w:t>
      </w:r>
    </w:p>
    <w:p>
      <w:pPr>
        <w:spacing w:after="40" w:before="40"/>
        <w:ind w:left="360"/>
      </w:pPr>
      <w:r>
        <w:rPr>
          <w:color w:val="333333"/>
          <w:sz w:val="20"/>
          <w:szCs w:val="20"/>
        </w:rPr>
        <w:t xml:space="preserve">• CPO path: link to Higher Education procurement page. Compliance officer path: link to Grant Procurement Compliance Checklist cluster post</w:t>
      </w:r>
    </w:p>
    <w:p>
      <w:pPr>
        <w:spacing w:after="40" w:before="40"/>
      </w:pPr>
      <w:r>
        <w:t xml:space="preserve"/>
      </w:r>
    </w:p>
    <w:p>
      <w:pPr>
        <w:pStyle w:val="Heading3"/>
        <w:spacing w:after="60" w:before="180"/>
      </w:pPr>
      <w:r>
        <w:rPr>
          <w:b/>
          <w:bCs/>
          <w:color w:val="2B6CB0"/>
          <w:sz w:val="22"/>
          <w:szCs w:val="22"/>
        </w:rPr>
        <w:t xml:space="preserve">SERP features to target</w:t>
      </w:r>
    </w:p>
    <w:p>
      <w:pPr>
        <w:spacing w:after="40" w:before="40"/>
        <w:ind w:left="360"/>
      </w:pPr>
      <w:r>
        <w:rPr>
          <w:color w:val="333333"/>
          <w:sz w:val="20"/>
          <w:szCs w:val="20"/>
        </w:rPr>
        <w:t xml:space="preserve">• Featured snippet — open with a 2–3 sentence direct answer to "what does OMB Uniform Guidance require of university procurement" under the H1</w:t>
      </w:r>
    </w:p>
    <w:p>
      <w:pPr>
        <w:spacing w:after="40" w:before="40"/>
        <w:ind w:left="360"/>
      </w:pPr>
      <w:r>
        <w:rPr>
          <w:color w:val="333333"/>
          <w:sz w:val="20"/>
          <w:szCs w:val="20"/>
        </w:rPr>
        <w:t xml:space="preserve">• People Also Ask — FAQ should cover 2 CFR 200 requirements, NSF/NIH-specific rules, common audit findings, and what procurement systems should do</w:t>
      </w:r>
    </w:p>
    <w:p>
      <w:pPr>
        <w:spacing w:after="40" w:before="40"/>
      </w:pPr>
      <w:r>
        <w:t xml:space="preserve"/>
      </w:r>
    </w:p>
    <w:p>
      <w:pPr>
        <w:spacing w:after="80" w:before="40"/>
      </w:pPr>
      <w:r>
        <w:rPr>
          <w:i/>
          <w:iCs/>
          <w:color w:val="888888"/>
          <w:sz w:val="18"/>
          <w:szCs w:val="18"/>
        </w:rPr>
        <w:t xml:space="preserve">SERP note: this query is dominated by .edu and government sites. A Jaggaer post needs a highly specific, authoritative angle — the "what teams get wrong" framing differentiates from generic explainers. The post must cite specific 2 CFR 200 sections and real OIG audit themes to earn trust in this SERP.</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Borders>
              <w:top w:val="single" w:color="E6A817" w:sz="8"/>
              <w:left w:val="thick" w:color="E6A817" w:sz="16"/>
              <w:bottom w:val="single" w:color="E6A817" w:sz="8"/>
              <w:right w:val="single" w:color="E6A817" w:sz="8"/>
            </w:tcBorders>
            <w:shd w:fill="FFF8E7" w:color="auto" w:val="clear"/>
          </w:tcPr>
          <w:p>
            <w:pPr>
              <w:spacing w:after="60" w:before="60"/>
            </w:pPr>
            <w:r>
              <w:rPr>
                <w:b/>
                <w:bCs/>
                <w:color w:val="8B5E00"/>
                <w:sz w:val="17"/>
                <w:szCs w:val="17"/>
              </w:rPr>
              <w:t xml:space="preserve">💡 SEO NOTE  </w:t>
            </w:r>
            <w:r>
              <w:rPr>
                <w:i/>
                <w:iCs/>
                <w:color w:val="5C3D00"/>
                <w:sz w:val="17"/>
                <w:szCs w:val="17"/>
              </w:rPr>
              <w:t xml:space="preserve">Competing against .edu domains requires strong E-E-A-T signals. The most effective signals for a .com domain in this SERP are: (1) specific regulatory section citations (§200.317–200.327), (2) named OIG audit report themes with report numbers where possible, and (3) dual-audience structure (CPO + compliance officer) that signals domain expertise. Avoid generic "compliance is important" framing — Google's quality raters specifically penalise it for regulatory topics.</w:t>
            </w:r>
          </w:p>
        </w:tc>
      </w:tr>
    </w:tbl>
    <w:p>
      <w:pPr>
        <w:spacing w:after="40" w:before="40"/>
      </w:pPr>
      <w:r>
        <w:t xml:space="preserve"/>
      </w:r>
    </w:p>
    <w:p>
      <w:pPr>
        <w:pStyle w:val="Heading2"/>
        <w:pBdr>
          <w:bottom w:val="single" w:color="1A2E4A" w:sz="6"/>
        </w:pBdr>
        <w:spacing w:after="100" w:before="280"/>
      </w:pPr>
      <w:r>
        <w:rPr>
          <w:b/>
          <w:bCs/>
          <w:color w:val="1A2E4A"/>
          <w:sz w:val="28"/>
          <w:szCs w:val="28"/>
        </w:rPr>
        <w:t xml:space="preserve">2. Target keywords</w:t>
      </w:r>
    </w:p>
    <w:p>
      <w:pPr>
        <w:pStyle w:val="Heading3"/>
        <w:spacing w:after="60" w:before="180"/>
      </w:pPr>
      <w:r>
        <w:rPr>
          <w:b/>
          <w:bCs/>
          <w:color w:val="2B6CB0"/>
          <w:sz w:val="22"/>
          <w:szCs w:val="22"/>
        </w:rPr>
        <w:t xml:space="preserve">Primary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200"/>
        <w:gridCol w:w="1560"/>
        <w:gridCol w:w="1560"/>
        <w:gridCol w:w="2040"/>
      </w:tblGrid>
      <w:tr>
        <w:tc>
          <w:tcPr>
            <w:tcW w:type="dxa" w:w="4200"/>
            <w:tcBorders>
              <w:top w:val="single" w:color="CCCCCC" w:sz="4"/>
              <w:left w:val="single" w:color="CCCCCC" w:sz="4"/>
              <w:bottom w:val="single" w:color="CCCCCC" w:sz="4"/>
              <w:right w:val="single" w:color="CCCCCC" w:sz="4"/>
            </w:tcBorders>
            <w:shd w:fill="1A2E4A" w:color="auto" w:val="clear"/>
          </w:tcPr>
          <w:p>
            <w:pPr>
              <w:spacing w:after="50" w:before="50"/>
            </w:pPr>
            <w:r>
              <w:rPr>
                <w:b/>
                <w:bCs/>
                <w:color w:val="FFFFFF"/>
                <w:sz w:val="17"/>
                <w:szCs w:val="17"/>
              </w:rPr>
              <w:t xml:space="preserve">Keyword</w:t>
            </w:r>
          </w:p>
        </w:tc>
        <w:tc>
          <w:tcPr>
            <w:tcW w:type="dxa" w:w="1560"/>
            <w:tcBorders>
              <w:top w:val="single" w:color="CCCCCC" w:sz="4"/>
              <w:left w:val="single" w:color="CCCCCC" w:sz="4"/>
              <w:bottom w:val="single" w:color="CCCCCC" w:sz="4"/>
              <w:right w:val="single" w:color="CCCCCC" w:sz="4"/>
            </w:tcBorders>
            <w:shd w:fill="1A2E4A" w:color="auto" w:val="clear"/>
          </w:tcPr>
          <w:p>
            <w:pPr>
              <w:spacing w:after="50" w:before="50"/>
            </w:pPr>
            <w:r>
              <w:rPr>
                <w:b/>
                <w:bCs/>
                <w:color w:val="FFFFFF"/>
                <w:sz w:val="17"/>
                <w:szCs w:val="17"/>
              </w:rPr>
              <w:t xml:space="preserve">MSV</w:t>
            </w:r>
          </w:p>
        </w:tc>
        <w:tc>
          <w:tcPr>
            <w:tcW w:type="dxa" w:w="1560"/>
            <w:tcBorders>
              <w:top w:val="single" w:color="CCCCCC" w:sz="4"/>
              <w:left w:val="single" w:color="CCCCCC" w:sz="4"/>
              <w:bottom w:val="single" w:color="CCCCCC" w:sz="4"/>
              <w:right w:val="single" w:color="CCCCCC" w:sz="4"/>
            </w:tcBorders>
            <w:shd w:fill="1A2E4A" w:color="auto" w:val="clear"/>
          </w:tcPr>
          <w:p>
            <w:pPr>
              <w:spacing w:after="50" w:before="50"/>
            </w:pPr>
            <w:r>
              <w:rPr>
                <w:b/>
                <w:bCs/>
                <w:color w:val="FFFFFF"/>
                <w:sz w:val="17"/>
                <w:szCs w:val="17"/>
              </w:rPr>
              <w:t xml:space="preserve">KD</w:t>
            </w:r>
          </w:p>
        </w:tc>
        <w:tc>
          <w:tcPr>
            <w:tcW w:type="dxa" w:w="2040"/>
            <w:tcBorders>
              <w:top w:val="single" w:color="CCCCCC" w:sz="4"/>
              <w:left w:val="single" w:color="CCCCCC" w:sz="4"/>
              <w:bottom w:val="single" w:color="CCCCCC" w:sz="4"/>
              <w:right w:val="single" w:color="CCCCCC" w:sz="4"/>
            </w:tcBorders>
            <w:shd w:fill="1A2E4A" w:color="auto" w:val="clear"/>
          </w:tcPr>
          <w:p>
            <w:pPr>
              <w:spacing w:after="50" w:before="50"/>
            </w:pPr>
            <w:r>
              <w:rPr>
                <w:b/>
                <w:bCs/>
                <w:color w:val="FFFFFF"/>
                <w:sz w:val="17"/>
                <w:szCs w:val="17"/>
              </w:rPr>
              <w:t xml:space="preserve">Intent</w:t>
            </w:r>
          </w:p>
        </w:tc>
      </w:tr>
      <w:tr>
        <w:tc>
          <w:tcPr>
            <w:tcW w:type="dxa" w:w="4200"/>
            <w:tcBorders>
              <w:top w:val="single" w:color="CCCCCC" w:sz="4"/>
              <w:left w:val="single" w:color="CCCCCC" w:sz="4"/>
              <w:bottom w:val="single" w:color="CCCCCC" w:sz="4"/>
              <w:right w:val="single" w:color="CCCCCC" w:sz="4"/>
            </w:tcBorders>
            <w:shd w:fill="F0F2F5" w:color="auto" w:val="clear"/>
          </w:tcPr>
          <w:p>
            <w:pPr>
              <w:spacing w:after="50" w:before="50"/>
            </w:pPr>
            <w:r>
              <w:rPr>
                <w:color w:val="333333"/>
                <w:sz w:val="17"/>
                <w:szCs w:val="17"/>
              </w:rPr>
              <w:t xml:space="preserve">OMB Uniform Guidance university procurement 2026</w:t>
            </w:r>
          </w:p>
        </w:tc>
        <w:tc>
          <w:tcPr>
            <w:tcW w:type="dxa" w:w="1560"/>
            <w:tcBorders>
              <w:top w:val="single" w:color="CCCCCC" w:sz="4"/>
              <w:left w:val="single" w:color="CCCCCC" w:sz="4"/>
              <w:bottom w:val="single" w:color="CCCCCC" w:sz="4"/>
              <w:right w:val="single" w:color="CCCCCC" w:sz="4"/>
            </w:tcBorders>
            <w:shd w:fill="F0F2F5" w:color="auto" w:val="clear"/>
          </w:tcPr>
          <w:p>
            <w:pPr>
              <w:spacing w:after="50" w:before="50"/>
            </w:pPr>
            <w:r>
              <w:rPr>
                <w:color w:val="333333"/>
                <w:sz w:val="17"/>
                <w:szCs w:val="17"/>
              </w:rPr>
              <w:t xml:space="preserve">—</w:t>
            </w:r>
          </w:p>
        </w:tc>
        <w:tc>
          <w:tcPr>
            <w:tcW w:type="dxa" w:w="1560"/>
            <w:tcBorders>
              <w:top w:val="single" w:color="CCCCCC" w:sz="4"/>
              <w:left w:val="single" w:color="CCCCCC" w:sz="4"/>
              <w:bottom w:val="single" w:color="CCCCCC" w:sz="4"/>
              <w:right w:val="single" w:color="CCCCCC" w:sz="4"/>
            </w:tcBorders>
            <w:shd w:fill="F0F2F5" w:color="auto" w:val="clear"/>
          </w:tcPr>
          <w:p>
            <w:pPr>
              <w:spacing w:after="50" w:before="50"/>
            </w:pPr>
            <w:r>
              <w:rPr>
                <w:color w:val="333333"/>
                <w:sz w:val="17"/>
                <w:szCs w:val="17"/>
              </w:rPr>
              <w:t xml:space="preserve">—</w:t>
            </w:r>
          </w:p>
        </w:tc>
        <w:tc>
          <w:tcPr>
            <w:tcW w:type="dxa" w:w="2040"/>
            <w:tcBorders>
              <w:top w:val="single" w:color="CCCCCC" w:sz="4"/>
              <w:left w:val="single" w:color="CCCCCC" w:sz="4"/>
              <w:bottom w:val="single" w:color="CCCCCC" w:sz="4"/>
              <w:right w:val="single" w:color="CCCCCC" w:sz="4"/>
            </w:tcBorders>
            <w:shd w:fill="F0F2F5" w:color="auto" w:val="clear"/>
          </w:tcPr>
          <w:p>
            <w:pPr>
              <w:spacing w:after="50" w:before="50"/>
            </w:pPr>
            <w:r>
              <w:rPr>
                <w:color w:val="333333"/>
                <w:sz w:val="17"/>
                <w:szCs w:val="17"/>
              </w:rPr>
              <w:t xml:space="preserve">Informational</w:t>
            </w:r>
          </w:p>
        </w:tc>
      </w:tr>
      <w:tr>
        <w:tc>
          <w:tcPr>
            <w:tcW w:type="dxa" w:w="4200"/>
            <w:tcBorders>
              <w:top w:val="single" w:color="CCCCCC" w:sz="4"/>
              <w:left w:val="single" w:color="CCCCCC" w:sz="4"/>
              <w:bottom w:val="single" w:color="CCCCCC" w:sz="4"/>
              <w:right w:val="single" w:color="CCCCCC" w:sz="4"/>
            </w:tcBorders>
            <w:shd w:fill="FFFFFF" w:color="auto" w:val="clear"/>
          </w:tcPr>
          <w:p>
            <w:pPr>
              <w:spacing w:after="50" w:before="50"/>
            </w:pPr>
            <w:r>
              <w:rPr>
                <w:color w:val="333333"/>
                <w:sz w:val="17"/>
                <w:szCs w:val="17"/>
              </w:rPr>
              <w:t xml:space="preserve">2 CFR 200 federal grant compliance</w:t>
            </w:r>
          </w:p>
        </w:tc>
        <w:tc>
          <w:tcPr>
            <w:tcW w:type="dxa" w:w="1560"/>
            <w:tcBorders>
              <w:top w:val="single" w:color="CCCCCC" w:sz="4"/>
              <w:left w:val="single" w:color="CCCCCC" w:sz="4"/>
              <w:bottom w:val="single" w:color="CCCCCC" w:sz="4"/>
              <w:right w:val="single" w:color="CCCCCC" w:sz="4"/>
            </w:tcBorders>
            <w:shd w:fill="FFFFFF" w:color="auto" w:val="clear"/>
          </w:tcPr>
          <w:p>
            <w:pPr>
              <w:spacing w:after="50" w:before="50"/>
            </w:pPr>
            <w:r>
              <w:rPr>
                <w:color w:val="333333"/>
                <w:sz w:val="17"/>
                <w:szCs w:val="17"/>
              </w:rPr>
              <w:t xml:space="preserve">—</w:t>
            </w:r>
          </w:p>
        </w:tc>
        <w:tc>
          <w:tcPr>
            <w:tcW w:type="dxa" w:w="1560"/>
            <w:tcBorders>
              <w:top w:val="single" w:color="CCCCCC" w:sz="4"/>
              <w:left w:val="single" w:color="CCCCCC" w:sz="4"/>
              <w:bottom w:val="single" w:color="CCCCCC" w:sz="4"/>
              <w:right w:val="single" w:color="CCCCCC" w:sz="4"/>
            </w:tcBorders>
            <w:shd w:fill="FFFFFF" w:color="auto" w:val="clear"/>
          </w:tcPr>
          <w:p>
            <w:pPr>
              <w:spacing w:after="50" w:before="50"/>
            </w:pPr>
            <w:r>
              <w:rPr>
                <w:color w:val="333333"/>
                <w:sz w:val="17"/>
                <w:szCs w:val="17"/>
              </w:rPr>
              <w:t xml:space="preserve">—</w:t>
            </w:r>
          </w:p>
        </w:tc>
        <w:tc>
          <w:tcPr>
            <w:tcW w:type="dxa" w:w="2040"/>
            <w:tcBorders>
              <w:top w:val="single" w:color="CCCCCC" w:sz="4"/>
              <w:left w:val="single" w:color="CCCCCC" w:sz="4"/>
              <w:bottom w:val="single" w:color="CCCCCC" w:sz="4"/>
              <w:right w:val="single" w:color="CCCCCC" w:sz="4"/>
            </w:tcBorders>
            <w:shd w:fill="FFFFFF" w:color="auto" w:val="clear"/>
          </w:tcPr>
          <w:p>
            <w:pPr>
              <w:spacing w:after="50" w:before="50"/>
            </w:pPr>
            <w:r>
              <w:rPr>
                <w:color w:val="333333"/>
                <w:sz w:val="17"/>
                <w:szCs w:val="17"/>
              </w:rPr>
              <w:t xml:space="preserve">Informational</w:t>
            </w:r>
          </w:p>
        </w:tc>
      </w:tr>
      <w:tr>
        <w:tc>
          <w:tcPr>
            <w:tcW w:type="dxa" w:w="4200"/>
            <w:tcBorders>
              <w:top w:val="single" w:color="CCCCCC" w:sz="4"/>
              <w:left w:val="single" w:color="CCCCCC" w:sz="4"/>
              <w:bottom w:val="single" w:color="CCCCCC" w:sz="4"/>
              <w:right w:val="single" w:color="CCCCCC" w:sz="4"/>
            </w:tcBorders>
            <w:shd w:fill="F0F2F5" w:color="auto" w:val="clear"/>
          </w:tcPr>
          <w:p>
            <w:pPr>
              <w:spacing w:after="50" w:before="50"/>
            </w:pPr>
            <w:r>
              <w:rPr>
                <w:color w:val="333333"/>
                <w:sz w:val="17"/>
                <w:szCs w:val="17"/>
              </w:rPr>
              <w:t xml:space="preserve">Uniform Guidance procurement requirements</w:t>
            </w:r>
          </w:p>
        </w:tc>
        <w:tc>
          <w:tcPr>
            <w:tcW w:type="dxa" w:w="1560"/>
            <w:tcBorders>
              <w:top w:val="single" w:color="CCCCCC" w:sz="4"/>
              <w:left w:val="single" w:color="CCCCCC" w:sz="4"/>
              <w:bottom w:val="single" w:color="CCCCCC" w:sz="4"/>
              <w:right w:val="single" w:color="CCCCCC" w:sz="4"/>
            </w:tcBorders>
            <w:shd w:fill="F0F2F5" w:color="auto" w:val="clear"/>
          </w:tcPr>
          <w:p>
            <w:pPr>
              <w:spacing w:after="50" w:before="50"/>
            </w:pPr>
            <w:r>
              <w:rPr>
                <w:color w:val="333333"/>
                <w:sz w:val="17"/>
                <w:szCs w:val="17"/>
              </w:rPr>
              <w:t xml:space="preserve">—</w:t>
            </w:r>
          </w:p>
        </w:tc>
        <w:tc>
          <w:tcPr>
            <w:tcW w:type="dxa" w:w="1560"/>
            <w:tcBorders>
              <w:top w:val="single" w:color="CCCCCC" w:sz="4"/>
              <w:left w:val="single" w:color="CCCCCC" w:sz="4"/>
              <w:bottom w:val="single" w:color="CCCCCC" w:sz="4"/>
              <w:right w:val="single" w:color="CCCCCC" w:sz="4"/>
            </w:tcBorders>
            <w:shd w:fill="F0F2F5" w:color="auto" w:val="clear"/>
          </w:tcPr>
          <w:p>
            <w:pPr>
              <w:spacing w:after="50" w:before="50"/>
            </w:pPr>
            <w:r>
              <w:rPr>
                <w:color w:val="333333"/>
                <w:sz w:val="17"/>
                <w:szCs w:val="17"/>
              </w:rPr>
              <w:t xml:space="preserve">—</w:t>
            </w:r>
          </w:p>
        </w:tc>
        <w:tc>
          <w:tcPr>
            <w:tcW w:type="dxa" w:w="2040"/>
            <w:tcBorders>
              <w:top w:val="single" w:color="CCCCCC" w:sz="4"/>
              <w:left w:val="single" w:color="CCCCCC" w:sz="4"/>
              <w:bottom w:val="single" w:color="CCCCCC" w:sz="4"/>
              <w:right w:val="single" w:color="CCCCCC" w:sz="4"/>
            </w:tcBorders>
            <w:shd w:fill="F0F2F5" w:color="auto" w:val="clear"/>
          </w:tcPr>
          <w:p>
            <w:pPr>
              <w:spacing w:after="50" w:before="50"/>
            </w:pPr>
            <w:r>
              <w:rPr>
                <w:color w:val="333333"/>
                <w:sz w:val="17"/>
                <w:szCs w:val="17"/>
              </w:rPr>
              <w:t xml:space="preserve">Informational</w:t>
            </w:r>
          </w:p>
        </w:tc>
      </w:tr>
      <w:tr>
        <w:tc>
          <w:tcPr>
            <w:tcW w:type="dxa" w:w="4200"/>
            <w:tcBorders>
              <w:top w:val="single" w:color="CCCCCC" w:sz="4"/>
              <w:left w:val="single" w:color="CCCCCC" w:sz="4"/>
              <w:bottom w:val="single" w:color="CCCCCC" w:sz="4"/>
              <w:right w:val="single" w:color="CCCCCC" w:sz="4"/>
            </w:tcBorders>
            <w:shd w:fill="FFFFFF" w:color="auto" w:val="clear"/>
          </w:tcPr>
          <w:p>
            <w:pPr>
              <w:spacing w:after="50" w:before="50"/>
            </w:pPr>
            <w:r>
              <w:rPr>
                <w:color w:val="333333"/>
                <w:sz w:val="17"/>
                <w:szCs w:val="17"/>
              </w:rPr>
              <w:t xml:space="preserve">university procurement compliance 2026</w:t>
            </w:r>
          </w:p>
        </w:tc>
        <w:tc>
          <w:tcPr>
            <w:tcW w:type="dxa" w:w="1560"/>
            <w:tcBorders>
              <w:top w:val="single" w:color="CCCCCC" w:sz="4"/>
              <w:left w:val="single" w:color="CCCCCC" w:sz="4"/>
              <w:bottom w:val="single" w:color="CCCCCC" w:sz="4"/>
              <w:right w:val="single" w:color="CCCCCC" w:sz="4"/>
            </w:tcBorders>
            <w:shd w:fill="FFFFFF" w:color="auto" w:val="clear"/>
          </w:tcPr>
          <w:p>
            <w:pPr>
              <w:spacing w:after="50" w:before="50"/>
            </w:pPr>
            <w:r>
              <w:rPr>
                <w:color w:val="333333"/>
                <w:sz w:val="17"/>
                <w:szCs w:val="17"/>
              </w:rPr>
              <w:t xml:space="preserve">—</w:t>
            </w:r>
          </w:p>
        </w:tc>
        <w:tc>
          <w:tcPr>
            <w:tcW w:type="dxa" w:w="1560"/>
            <w:tcBorders>
              <w:top w:val="single" w:color="CCCCCC" w:sz="4"/>
              <w:left w:val="single" w:color="CCCCCC" w:sz="4"/>
              <w:bottom w:val="single" w:color="CCCCCC" w:sz="4"/>
              <w:right w:val="single" w:color="CCCCCC" w:sz="4"/>
            </w:tcBorders>
            <w:shd w:fill="FFFFFF" w:color="auto" w:val="clear"/>
          </w:tcPr>
          <w:p>
            <w:pPr>
              <w:spacing w:after="50" w:before="50"/>
            </w:pPr>
            <w:r>
              <w:rPr>
                <w:color w:val="333333"/>
                <w:sz w:val="17"/>
                <w:szCs w:val="17"/>
              </w:rPr>
              <w:t xml:space="preserve">—</w:t>
            </w:r>
          </w:p>
        </w:tc>
        <w:tc>
          <w:tcPr>
            <w:tcW w:type="dxa" w:w="2040"/>
            <w:tcBorders>
              <w:top w:val="single" w:color="CCCCCC" w:sz="4"/>
              <w:left w:val="single" w:color="CCCCCC" w:sz="4"/>
              <w:bottom w:val="single" w:color="CCCCCC" w:sz="4"/>
              <w:right w:val="single" w:color="CCCCCC" w:sz="4"/>
            </w:tcBorders>
            <w:shd w:fill="FFFFFF" w:color="auto" w:val="clear"/>
          </w:tcPr>
          <w:p>
            <w:pPr>
              <w:spacing w:after="50" w:before="50"/>
            </w:pPr>
            <w:r>
              <w:rPr>
                <w:color w:val="333333"/>
                <w:sz w:val="17"/>
                <w:szCs w:val="17"/>
              </w:rPr>
              <w:t xml:space="preserve">Informational</w:t>
            </w:r>
          </w:p>
        </w:tc>
      </w:tr>
    </w:tbl>
    <w:p>
      <w:pPr>
        <w:spacing w:after="40" w:before="40"/>
      </w:pPr>
      <w:r>
        <w:t xml:space="preserve"/>
      </w:r>
    </w:p>
    <w:p>
      <w:pPr>
        <w:pStyle w:val="Heading3"/>
        <w:spacing w:after="60" w:before="180"/>
      </w:pPr>
      <w:r>
        <w:rPr>
          <w:b/>
          <w:bCs/>
          <w:color w:val="2B6CB0"/>
          <w:sz w:val="22"/>
          <w:szCs w:val="22"/>
        </w:rPr>
        <w:t xml:space="preserve">Secondary (capture via subheadings and FAQ)</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200"/>
        <w:gridCol w:w="1560"/>
        <w:gridCol w:w="1560"/>
        <w:gridCol w:w="2040"/>
      </w:tblGrid>
      <w:tr>
        <w:tc>
          <w:tcPr>
            <w:tcW w:type="dxa" w:w="4200"/>
            <w:tcBorders>
              <w:top w:val="single" w:color="CCCCCC" w:sz="4"/>
              <w:left w:val="single" w:color="CCCCCC" w:sz="4"/>
              <w:bottom w:val="single" w:color="CCCCCC" w:sz="4"/>
              <w:right w:val="single" w:color="CCCCCC" w:sz="4"/>
            </w:tcBorders>
            <w:shd w:fill="1A2E4A" w:color="auto" w:val="clear"/>
          </w:tcPr>
          <w:p>
            <w:pPr>
              <w:spacing w:after="50" w:before="50"/>
            </w:pPr>
            <w:r>
              <w:rPr>
                <w:b/>
                <w:bCs/>
                <w:color w:val="FFFFFF"/>
                <w:sz w:val="17"/>
                <w:szCs w:val="17"/>
              </w:rPr>
              <w:t xml:space="preserve">Keyword</w:t>
            </w:r>
          </w:p>
        </w:tc>
        <w:tc>
          <w:tcPr>
            <w:tcW w:type="dxa" w:w="1560"/>
            <w:tcBorders>
              <w:top w:val="single" w:color="CCCCCC" w:sz="4"/>
              <w:left w:val="single" w:color="CCCCCC" w:sz="4"/>
              <w:bottom w:val="single" w:color="CCCCCC" w:sz="4"/>
              <w:right w:val="single" w:color="CCCCCC" w:sz="4"/>
            </w:tcBorders>
            <w:shd w:fill="1A2E4A" w:color="auto" w:val="clear"/>
          </w:tcPr>
          <w:p>
            <w:pPr>
              <w:spacing w:after="50" w:before="50"/>
            </w:pPr>
            <w:r>
              <w:rPr>
                <w:b/>
                <w:bCs/>
                <w:color w:val="FFFFFF"/>
                <w:sz w:val="17"/>
                <w:szCs w:val="17"/>
              </w:rPr>
              <w:t xml:space="preserve">MSV</w:t>
            </w:r>
          </w:p>
        </w:tc>
        <w:tc>
          <w:tcPr>
            <w:tcW w:type="dxa" w:w="1560"/>
            <w:tcBorders>
              <w:top w:val="single" w:color="CCCCCC" w:sz="4"/>
              <w:left w:val="single" w:color="CCCCCC" w:sz="4"/>
              <w:bottom w:val="single" w:color="CCCCCC" w:sz="4"/>
              <w:right w:val="single" w:color="CCCCCC" w:sz="4"/>
            </w:tcBorders>
            <w:shd w:fill="1A2E4A" w:color="auto" w:val="clear"/>
          </w:tcPr>
          <w:p>
            <w:pPr>
              <w:spacing w:after="50" w:before="50"/>
            </w:pPr>
            <w:r>
              <w:rPr>
                <w:b/>
                <w:bCs/>
                <w:color w:val="FFFFFF"/>
                <w:sz w:val="17"/>
                <w:szCs w:val="17"/>
              </w:rPr>
              <w:t xml:space="preserve">KD</w:t>
            </w:r>
          </w:p>
        </w:tc>
        <w:tc>
          <w:tcPr>
            <w:tcW w:type="dxa" w:w="2040"/>
            <w:tcBorders>
              <w:top w:val="single" w:color="CCCCCC" w:sz="4"/>
              <w:left w:val="single" w:color="CCCCCC" w:sz="4"/>
              <w:bottom w:val="single" w:color="CCCCCC" w:sz="4"/>
              <w:right w:val="single" w:color="CCCCCC" w:sz="4"/>
            </w:tcBorders>
            <w:shd w:fill="1A2E4A" w:color="auto" w:val="clear"/>
          </w:tcPr>
          <w:p>
            <w:pPr>
              <w:spacing w:after="50" w:before="50"/>
            </w:pPr>
            <w:r>
              <w:rPr>
                <w:b/>
                <w:bCs/>
                <w:color w:val="FFFFFF"/>
                <w:sz w:val="17"/>
                <w:szCs w:val="17"/>
              </w:rPr>
              <w:t xml:space="preserve">Intent</w:t>
            </w:r>
          </w:p>
        </w:tc>
      </w:tr>
      <w:tr>
        <w:tc>
          <w:tcPr>
            <w:tcW w:type="dxa" w:w="4200"/>
            <w:tcBorders>
              <w:top w:val="single" w:color="CCCCCC" w:sz="4"/>
              <w:left w:val="single" w:color="CCCCCC" w:sz="4"/>
              <w:bottom w:val="single" w:color="CCCCCC" w:sz="4"/>
              <w:right w:val="single" w:color="CCCCCC" w:sz="4"/>
            </w:tcBorders>
            <w:shd w:fill="F0F2F5" w:color="auto" w:val="clear"/>
          </w:tcPr>
          <w:p>
            <w:pPr>
              <w:spacing w:after="50" w:before="50"/>
            </w:pPr>
            <w:r>
              <w:rPr>
                <w:color w:val="333333"/>
                <w:sz w:val="17"/>
                <w:szCs w:val="17"/>
              </w:rPr>
              <w:t xml:space="preserve">NSF procurement compliance university</w:t>
            </w:r>
          </w:p>
        </w:tc>
        <w:tc>
          <w:tcPr>
            <w:tcW w:type="dxa" w:w="1560"/>
            <w:tcBorders>
              <w:top w:val="single" w:color="CCCCCC" w:sz="4"/>
              <w:left w:val="single" w:color="CCCCCC" w:sz="4"/>
              <w:bottom w:val="single" w:color="CCCCCC" w:sz="4"/>
              <w:right w:val="single" w:color="CCCCCC" w:sz="4"/>
            </w:tcBorders>
            <w:shd w:fill="F0F2F5" w:color="auto" w:val="clear"/>
          </w:tcPr>
          <w:p>
            <w:pPr>
              <w:spacing w:after="50" w:before="50"/>
            </w:pPr>
            <w:r>
              <w:rPr>
                <w:color w:val="333333"/>
                <w:sz w:val="17"/>
                <w:szCs w:val="17"/>
              </w:rPr>
              <w:t xml:space="preserve">—</w:t>
            </w:r>
          </w:p>
        </w:tc>
        <w:tc>
          <w:tcPr>
            <w:tcW w:type="dxa" w:w="1560"/>
            <w:tcBorders>
              <w:top w:val="single" w:color="CCCCCC" w:sz="4"/>
              <w:left w:val="single" w:color="CCCCCC" w:sz="4"/>
              <w:bottom w:val="single" w:color="CCCCCC" w:sz="4"/>
              <w:right w:val="single" w:color="CCCCCC" w:sz="4"/>
            </w:tcBorders>
            <w:shd w:fill="F0F2F5" w:color="auto" w:val="clear"/>
          </w:tcPr>
          <w:p>
            <w:pPr>
              <w:spacing w:after="50" w:before="50"/>
            </w:pPr>
            <w:r>
              <w:rPr>
                <w:color w:val="333333"/>
                <w:sz w:val="17"/>
                <w:szCs w:val="17"/>
              </w:rPr>
              <w:t xml:space="preserve">—</w:t>
            </w:r>
          </w:p>
        </w:tc>
        <w:tc>
          <w:tcPr>
            <w:tcW w:type="dxa" w:w="2040"/>
            <w:tcBorders>
              <w:top w:val="single" w:color="CCCCCC" w:sz="4"/>
              <w:left w:val="single" w:color="CCCCCC" w:sz="4"/>
              <w:bottom w:val="single" w:color="CCCCCC" w:sz="4"/>
              <w:right w:val="single" w:color="CCCCCC" w:sz="4"/>
            </w:tcBorders>
            <w:shd w:fill="F0F2F5" w:color="auto" w:val="clear"/>
          </w:tcPr>
          <w:p>
            <w:pPr>
              <w:spacing w:after="50" w:before="50"/>
            </w:pPr>
            <w:r>
              <w:rPr>
                <w:color w:val="333333"/>
                <w:sz w:val="17"/>
                <w:szCs w:val="17"/>
              </w:rPr>
              <w:t xml:space="preserve">Informational</w:t>
            </w:r>
          </w:p>
        </w:tc>
      </w:tr>
      <w:tr>
        <w:tc>
          <w:tcPr>
            <w:tcW w:type="dxa" w:w="4200"/>
            <w:tcBorders>
              <w:top w:val="single" w:color="CCCCCC" w:sz="4"/>
              <w:left w:val="single" w:color="CCCCCC" w:sz="4"/>
              <w:bottom w:val="single" w:color="CCCCCC" w:sz="4"/>
              <w:right w:val="single" w:color="CCCCCC" w:sz="4"/>
            </w:tcBorders>
            <w:shd w:fill="FFFFFF" w:color="auto" w:val="clear"/>
          </w:tcPr>
          <w:p>
            <w:pPr>
              <w:spacing w:after="50" w:before="50"/>
            </w:pPr>
            <w:r>
              <w:rPr>
                <w:color w:val="333333"/>
                <w:sz w:val="17"/>
                <w:szCs w:val="17"/>
              </w:rPr>
              <w:t xml:space="preserve">NIH grant procurement requirements</w:t>
            </w:r>
          </w:p>
        </w:tc>
        <w:tc>
          <w:tcPr>
            <w:tcW w:type="dxa" w:w="1560"/>
            <w:tcBorders>
              <w:top w:val="single" w:color="CCCCCC" w:sz="4"/>
              <w:left w:val="single" w:color="CCCCCC" w:sz="4"/>
              <w:bottom w:val="single" w:color="CCCCCC" w:sz="4"/>
              <w:right w:val="single" w:color="CCCCCC" w:sz="4"/>
            </w:tcBorders>
            <w:shd w:fill="FFFFFF" w:color="auto" w:val="clear"/>
          </w:tcPr>
          <w:p>
            <w:pPr>
              <w:spacing w:after="50" w:before="50"/>
            </w:pPr>
            <w:r>
              <w:rPr>
                <w:color w:val="333333"/>
                <w:sz w:val="17"/>
                <w:szCs w:val="17"/>
              </w:rPr>
              <w:t xml:space="preserve">—</w:t>
            </w:r>
          </w:p>
        </w:tc>
        <w:tc>
          <w:tcPr>
            <w:tcW w:type="dxa" w:w="1560"/>
            <w:tcBorders>
              <w:top w:val="single" w:color="CCCCCC" w:sz="4"/>
              <w:left w:val="single" w:color="CCCCCC" w:sz="4"/>
              <w:bottom w:val="single" w:color="CCCCCC" w:sz="4"/>
              <w:right w:val="single" w:color="CCCCCC" w:sz="4"/>
            </w:tcBorders>
            <w:shd w:fill="FFFFFF" w:color="auto" w:val="clear"/>
          </w:tcPr>
          <w:p>
            <w:pPr>
              <w:spacing w:after="50" w:before="50"/>
            </w:pPr>
            <w:r>
              <w:rPr>
                <w:color w:val="333333"/>
                <w:sz w:val="17"/>
                <w:szCs w:val="17"/>
              </w:rPr>
              <w:t xml:space="preserve">—</w:t>
            </w:r>
          </w:p>
        </w:tc>
        <w:tc>
          <w:tcPr>
            <w:tcW w:type="dxa" w:w="2040"/>
            <w:tcBorders>
              <w:top w:val="single" w:color="CCCCCC" w:sz="4"/>
              <w:left w:val="single" w:color="CCCCCC" w:sz="4"/>
              <w:bottom w:val="single" w:color="CCCCCC" w:sz="4"/>
              <w:right w:val="single" w:color="CCCCCC" w:sz="4"/>
            </w:tcBorders>
            <w:shd w:fill="FFFFFF" w:color="auto" w:val="clear"/>
          </w:tcPr>
          <w:p>
            <w:pPr>
              <w:spacing w:after="50" w:before="50"/>
            </w:pPr>
            <w:r>
              <w:rPr>
                <w:color w:val="333333"/>
                <w:sz w:val="17"/>
                <w:szCs w:val="17"/>
              </w:rPr>
              <w:t xml:space="preserve">Informational</w:t>
            </w:r>
          </w:p>
        </w:tc>
      </w:tr>
      <w:tr>
        <w:tc>
          <w:tcPr>
            <w:tcW w:type="dxa" w:w="4200"/>
            <w:tcBorders>
              <w:top w:val="single" w:color="CCCCCC" w:sz="4"/>
              <w:left w:val="single" w:color="CCCCCC" w:sz="4"/>
              <w:bottom w:val="single" w:color="CCCCCC" w:sz="4"/>
              <w:right w:val="single" w:color="CCCCCC" w:sz="4"/>
            </w:tcBorders>
            <w:shd w:fill="F0F2F5" w:color="auto" w:val="clear"/>
          </w:tcPr>
          <w:p>
            <w:pPr>
              <w:spacing w:after="50" w:before="50"/>
            </w:pPr>
            <w:r>
              <w:rPr>
                <w:color w:val="333333"/>
                <w:sz w:val="17"/>
                <w:szCs w:val="17"/>
              </w:rPr>
              <w:t xml:space="preserve">2 CFR 200 competitive procurement threshold</w:t>
            </w:r>
          </w:p>
        </w:tc>
        <w:tc>
          <w:tcPr>
            <w:tcW w:type="dxa" w:w="1560"/>
            <w:tcBorders>
              <w:top w:val="single" w:color="CCCCCC" w:sz="4"/>
              <w:left w:val="single" w:color="CCCCCC" w:sz="4"/>
              <w:bottom w:val="single" w:color="CCCCCC" w:sz="4"/>
              <w:right w:val="single" w:color="CCCCCC" w:sz="4"/>
            </w:tcBorders>
            <w:shd w:fill="F0F2F5" w:color="auto" w:val="clear"/>
          </w:tcPr>
          <w:p>
            <w:pPr>
              <w:spacing w:after="50" w:before="50"/>
            </w:pPr>
            <w:r>
              <w:rPr>
                <w:color w:val="333333"/>
                <w:sz w:val="17"/>
                <w:szCs w:val="17"/>
              </w:rPr>
              <w:t xml:space="preserve">—</w:t>
            </w:r>
          </w:p>
        </w:tc>
        <w:tc>
          <w:tcPr>
            <w:tcW w:type="dxa" w:w="1560"/>
            <w:tcBorders>
              <w:top w:val="single" w:color="CCCCCC" w:sz="4"/>
              <w:left w:val="single" w:color="CCCCCC" w:sz="4"/>
              <w:bottom w:val="single" w:color="CCCCCC" w:sz="4"/>
              <w:right w:val="single" w:color="CCCCCC" w:sz="4"/>
            </w:tcBorders>
            <w:shd w:fill="F0F2F5" w:color="auto" w:val="clear"/>
          </w:tcPr>
          <w:p>
            <w:pPr>
              <w:spacing w:after="50" w:before="50"/>
            </w:pPr>
            <w:r>
              <w:rPr>
                <w:color w:val="333333"/>
                <w:sz w:val="17"/>
                <w:szCs w:val="17"/>
              </w:rPr>
              <w:t xml:space="preserve">—</w:t>
            </w:r>
          </w:p>
        </w:tc>
        <w:tc>
          <w:tcPr>
            <w:tcW w:type="dxa" w:w="2040"/>
            <w:tcBorders>
              <w:top w:val="single" w:color="CCCCCC" w:sz="4"/>
              <w:left w:val="single" w:color="CCCCCC" w:sz="4"/>
              <w:bottom w:val="single" w:color="CCCCCC" w:sz="4"/>
              <w:right w:val="single" w:color="CCCCCC" w:sz="4"/>
            </w:tcBorders>
            <w:shd w:fill="F0F2F5" w:color="auto" w:val="clear"/>
          </w:tcPr>
          <w:p>
            <w:pPr>
              <w:spacing w:after="50" w:before="50"/>
            </w:pPr>
            <w:r>
              <w:rPr>
                <w:color w:val="333333"/>
                <w:sz w:val="17"/>
                <w:szCs w:val="17"/>
              </w:rPr>
              <w:t xml:space="preserve">Informational</w:t>
            </w:r>
          </w:p>
        </w:tc>
      </w:tr>
      <w:tr>
        <w:tc>
          <w:tcPr>
            <w:tcW w:type="dxa" w:w="4200"/>
            <w:tcBorders>
              <w:top w:val="single" w:color="CCCCCC" w:sz="4"/>
              <w:left w:val="single" w:color="CCCCCC" w:sz="4"/>
              <w:bottom w:val="single" w:color="CCCCCC" w:sz="4"/>
              <w:right w:val="single" w:color="CCCCCC" w:sz="4"/>
            </w:tcBorders>
            <w:shd w:fill="FFFFFF" w:color="auto" w:val="clear"/>
          </w:tcPr>
          <w:p>
            <w:pPr>
              <w:spacing w:after="50" w:before="50"/>
            </w:pPr>
            <w:r>
              <w:rPr>
                <w:color w:val="333333"/>
                <w:sz w:val="17"/>
                <w:szCs w:val="17"/>
              </w:rPr>
              <w:t xml:space="preserve">university procurement audit findings 2026</w:t>
            </w:r>
          </w:p>
        </w:tc>
        <w:tc>
          <w:tcPr>
            <w:tcW w:type="dxa" w:w="1560"/>
            <w:tcBorders>
              <w:top w:val="single" w:color="CCCCCC" w:sz="4"/>
              <w:left w:val="single" w:color="CCCCCC" w:sz="4"/>
              <w:bottom w:val="single" w:color="CCCCCC" w:sz="4"/>
              <w:right w:val="single" w:color="CCCCCC" w:sz="4"/>
            </w:tcBorders>
            <w:shd w:fill="FFFFFF" w:color="auto" w:val="clear"/>
          </w:tcPr>
          <w:p>
            <w:pPr>
              <w:spacing w:after="50" w:before="50"/>
            </w:pPr>
            <w:r>
              <w:rPr>
                <w:color w:val="333333"/>
                <w:sz w:val="17"/>
                <w:szCs w:val="17"/>
              </w:rPr>
              <w:t xml:space="preserve">—</w:t>
            </w:r>
          </w:p>
        </w:tc>
        <w:tc>
          <w:tcPr>
            <w:tcW w:type="dxa" w:w="1560"/>
            <w:tcBorders>
              <w:top w:val="single" w:color="CCCCCC" w:sz="4"/>
              <w:left w:val="single" w:color="CCCCCC" w:sz="4"/>
              <w:bottom w:val="single" w:color="CCCCCC" w:sz="4"/>
              <w:right w:val="single" w:color="CCCCCC" w:sz="4"/>
            </w:tcBorders>
            <w:shd w:fill="FFFFFF" w:color="auto" w:val="clear"/>
          </w:tcPr>
          <w:p>
            <w:pPr>
              <w:spacing w:after="50" w:before="50"/>
            </w:pPr>
            <w:r>
              <w:rPr>
                <w:color w:val="333333"/>
                <w:sz w:val="17"/>
                <w:szCs w:val="17"/>
              </w:rPr>
              <w:t xml:space="preserve">—</w:t>
            </w:r>
          </w:p>
        </w:tc>
        <w:tc>
          <w:tcPr>
            <w:tcW w:type="dxa" w:w="2040"/>
            <w:tcBorders>
              <w:top w:val="single" w:color="CCCCCC" w:sz="4"/>
              <w:left w:val="single" w:color="CCCCCC" w:sz="4"/>
              <w:bottom w:val="single" w:color="CCCCCC" w:sz="4"/>
              <w:right w:val="single" w:color="CCCCCC" w:sz="4"/>
            </w:tcBorders>
            <w:shd w:fill="FFFFFF" w:color="auto" w:val="clear"/>
          </w:tcPr>
          <w:p>
            <w:pPr>
              <w:spacing w:after="50" w:before="50"/>
            </w:pPr>
            <w:r>
              <w:rPr>
                <w:color w:val="333333"/>
                <w:sz w:val="17"/>
                <w:szCs w:val="17"/>
              </w:rPr>
              <w:t xml:space="preserve">Informational</w:t>
            </w:r>
          </w:p>
        </w:tc>
      </w:tr>
      <w:tr>
        <w:tc>
          <w:tcPr>
            <w:tcW w:type="dxa" w:w="4200"/>
            <w:tcBorders>
              <w:top w:val="single" w:color="CCCCCC" w:sz="4"/>
              <w:left w:val="single" w:color="CCCCCC" w:sz="4"/>
              <w:bottom w:val="single" w:color="CCCCCC" w:sz="4"/>
              <w:right w:val="single" w:color="CCCCCC" w:sz="4"/>
            </w:tcBorders>
            <w:shd w:fill="F0F2F5" w:color="auto" w:val="clear"/>
          </w:tcPr>
          <w:p>
            <w:pPr>
              <w:spacing w:after="50" w:before="50"/>
            </w:pPr>
            <w:r>
              <w:rPr>
                <w:color w:val="333333"/>
                <w:sz w:val="17"/>
                <w:szCs w:val="17"/>
              </w:rPr>
              <w:t xml:space="preserve">federal grant procurement documentation</w:t>
            </w:r>
          </w:p>
        </w:tc>
        <w:tc>
          <w:tcPr>
            <w:tcW w:type="dxa" w:w="1560"/>
            <w:tcBorders>
              <w:top w:val="single" w:color="CCCCCC" w:sz="4"/>
              <w:left w:val="single" w:color="CCCCCC" w:sz="4"/>
              <w:bottom w:val="single" w:color="CCCCCC" w:sz="4"/>
              <w:right w:val="single" w:color="CCCCCC" w:sz="4"/>
            </w:tcBorders>
            <w:shd w:fill="F0F2F5" w:color="auto" w:val="clear"/>
          </w:tcPr>
          <w:p>
            <w:pPr>
              <w:spacing w:after="50" w:before="50"/>
            </w:pPr>
            <w:r>
              <w:rPr>
                <w:color w:val="333333"/>
                <w:sz w:val="17"/>
                <w:szCs w:val="17"/>
              </w:rPr>
              <w:t xml:space="preserve">—</w:t>
            </w:r>
          </w:p>
        </w:tc>
        <w:tc>
          <w:tcPr>
            <w:tcW w:type="dxa" w:w="1560"/>
            <w:tcBorders>
              <w:top w:val="single" w:color="CCCCCC" w:sz="4"/>
              <w:left w:val="single" w:color="CCCCCC" w:sz="4"/>
              <w:bottom w:val="single" w:color="CCCCCC" w:sz="4"/>
              <w:right w:val="single" w:color="CCCCCC" w:sz="4"/>
            </w:tcBorders>
            <w:shd w:fill="F0F2F5" w:color="auto" w:val="clear"/>
          </w:tcPr>
          <w:p>
            <w:pPr>
              <w:spacing w:after="50" w:before="50"/>
            </w:pPr>
            <w:r>
              <w:rPr>
                <w:color w:val="333333"/>
                <w:sz w:val="17"/>
                <w:szCs w:val="17"/>
              </w:rPr>
              <w:t xml:space="preserve">—</w:t>
            </w:r>
          </w:p>
        </w:tc>
        <w:tc>
          <w:tcPr>
            <w:tcW w:type="dxa" w:w="2040"/>
            <w:tcBorders>
              <w:top w:val="single" w:color="CCCCCC" w:sz="4"/>
              <w:left w:val="single" w:color="CCCCCC" w:sz="4"/>
              <w:bottom w:val="single" w:color="CCCCCC" w:sz="4"/>
              <w:right w:val="single" w:color="CCCCCC" w:sz="4"/>
            </w:tcBorders>
            <w:shd w:fill="F0F2F5" w:color="auto" w:val="clear"/>
          </w:tcPr>
          <w:p>
            <w:pPr>
              <w:spacing w:after="50" w:before="50"/>
            </w:pPr>
            <w:r>
              <w:rPr>
                <w:color w:val="333333"/>
                <w:sz w:val="17"/>
                <w:szCs w:val="17"/>
              </w:rPr>
              <w:t xml:space="preserve">Informational</w:t>
            </w:r>
          </w:p>
        </w:tc>
      </w:tr>
      <w:tr>
        <w:tc>
          <w:tcPr>
            <w:tcW w:type="dxa" w:w="4200"/>
            <w:tcBorders>
              <w:top w:val="single" w:color="CCCCCC" w:sz="4"/>
              <w:left w:val="single" w:color="CCCCCC" w:sz="4"/>
              <w:bottom w:val="single" w:color="CCCCCC" w:sz="4"/>
              <w:right w:val="single" w:color="CCCCCC" w:sz="4"/>
            </w:tcBorders>
            <w:shd w:fill="FFFFFF" w:color="auto" w:val="clear"/>
          </w:tcPr>
          <w:p>
            <w:pPr>
              <w:spacing w:after="50" w:before="50"/>
            </w:pPr>
            <w:r>
              <w:rPr>
                <w:color w:val="333333"/>
                <w:sz w:val="17"/>
                <w:szCs w:val="17"/>
              </w:rPr>
              <w:t xml:space="preserve">OMB 2 CFR 200 sole source procurement</w:t>
            </w:r>
          </w:p>
        </w:tc>
        <w:tc>
          <w:tcPr>
            <w:tcW w:type="dxa" w:w="1560"/>
            <w:tcBorders>
              <w:top w:val="single" w:color="CCCCCC" w:sz="4"/>
              <w:left w:val="single" w:color="CCCCCC" w:sz="4"/>
              <w:bottom w:val="single" w:color="CCCCCC" w:sz="4"/>
              <w:right w:val="single" w:color="CCCCCC" w:sz="4"/>
            </w:tcBorders>
            <w:shd w:fill="FFFFFF" w:color="auto" w:val="clear"/>
          </w:tcPr>
          <w:p>
            <w:pPr>
              <w:spacing w:after="50" w:before="50"/>
            </w:pPr>
            <w:r>
              <w:rPr>
                <w:color w:val="333333"/>
                <w:sz w:val="17"/>
                <w:szCs w:val="17"/>
              </w:rPr>
              <w:t xml:space="preserve">—</w:t>
            </w:r>
          </w:p>
        </w:tc>
        <w:tc>
          <w:tcPr>
            <w:tcW w:type="dxa" w:w="1560"/>
            <w:tcBorders>
              <w:top w:val="single" w:color="CCCCCC" w:sz="4"/>
              <w:left w:val="single" w:color="CCCCCC" w:sz="4"/>
              <w:bottom w:val="single" w:color="CCCCCC" w:sz="4"/>
              <w:right w:val="single" w:color="CCCCCC" w:sz="4"/>
            </w:tcBorders>
            <w:shd w:fill="FFFFFF" w:color="auto" w:val="clear"/>
          </w:tcPr>
          <w:p>
            <w:pPr>
              <w:spacing w:after="50" w:before="50"/>
            </w:pPr>
            <w:r>
              <w:rPr>
                <w:color w:val="333333"/>
                <w:sz w:val="17"/>
                <w:szCs w:val="17"/>
              </w:rPr>
              <w:t xml:space="preserve">—</w:t>
            </w:r>
          </w:p>
        </w:tc>
        <w:tc>
          <w:tcPr>
            <w:tcW w:type="dxa" w:w="2040"/>
            <w:tcBorders>
              <w:top w:val="single" w:color="CCCCCC" w:sz="4"/>
              <w:left w:val="single" w:color="CCCCCC" w:sz="4"/>
              <w:bottom w:val="single" w:color="CCCCCC" w:sz="4"/>
              <w:right w:val="single" w:color="CCCCCC" w:sz="4"/>
            </w:tcBorders>
            <w:shd w:fill="FFFFFF" w:color="auto" w:val="clear"/>
          </w:tcPr>
          <w:p>
            <w:pPr>
              <w:spacing w:after="50" w:before="50"/>
            </w:pPr>
            <w:r>
              <w:rPr>
                <w:color w:val="333333"/>
                <w:sz w:val="17"/>
                <w:szCs w:val="17"/>
              </w:rPr>
              <w:t xml:space="preserve">Informational</w:t>
            </w:r>
          </w:p>
        </w:tc>
      </w:tr>
      <w:tr>
        <w:tc>
          <w:tcPr>
            <w:tcW w:type="dxa" w:w="4200"/>
            <w:tcBorders>
              <w:top w:val="single" w:color="CCCCCC" w:sz="4"/>
              <w:left w:val="single" w:color="CCCCCC" w:sz="4"/>
              <w:bottom w:val="single" w:color="CCCCCC" w:sz="4"/>
              <w:right w:val="single" w:color="CCCCCC" w:sz="4"/>
            </w:tcBorders>
            <w:shd w:fill="F0F2F5" w:color="auto" w:val="clear"/>
          </w:tcPr>
          <w:p>
            <w:pPr>
              <w:spacing w:after="50" w:before="50"/>
            </w:pPr>
            <w:r>
              <w:rPr>
                <w:color w:val="333333"/>
                <w:sz w:val="17"/>
                <w:szCs w:val="17"/>
              </w:rPr>
              <w:t xml:space="preserve">2 CFR 200 micro-purchase threshold 2026</w:t>
            </w:r>
          </w:p>
        </w:tc>
        <w:tc>
          <w:tcPr>
            <w:tcW w:type="dxa" w:w="1560"/>
            <w:tcBorders>
              <w:top w:val="single" w:color="CCCCCC" w:sz="4"/>
              <w:left w:val="single" w:color="CCCCCC" w:sz="4"/>
              <w:bottom w:val="single" w:color="CCCCCC" w:sz="4"/>
              <w:right w:val="single" w:color="CCCCCC" w:sz="4"/>
            </w:tcBorders>
            <w:shd w:fill="F0F2F5" w:color="auto" w:val="clear"/>
          </w:tcPr>
          <w:p>
            <w:pPr>
              <w:spacing w:after="50" w:before="50"/>
            </w:pPr>
            <w:r>
              <w:rPr>
                <w:color w:val="333333"/>
                <w:sz w:val="17"/>
                <w:szCs w:val="17"/>
              </w:rPr>
              <w:t xml:space="preserve">—</w:t>
            </w:r>
          </w:p>
        </w:tc>
        <w:tc>
          <w:tcPr>
            <w:tcW w:type="dxa" w:w="1560"/>
            <w:tcBorders>
              <w:top w:val="single" w:color="CCCCCC" w:sz="4"/>
              <w:left w:val="single" w:color="CCCCCC" w:sz="4"/>
              <w:bottom w:val="single" w:color="CCCCCC" w:sz="4"/>
              <w:right w:val="single" w:color="CCCCCC" w:sz="4"/>
            </w:tcBorders>
            <w:shd w:fill="F0F2F5" w:color="auto" w:val="clear"/>
          </w:tcPr>
          <w:p>
            <w:pPr>
              <w:spacing w:after="50" w:before="50"/>
            </w:pPr>
            <w:r>
              <w:rPr>
                <w:color w:val="333333"/>
                <w:sz w:val="17"/>
                <w:szCs w:val="17"/>
              </w:rPr>
              <w:t xml:space="preserve">—</w:t>
            </w:r>
          </w:p>
        </w:tc>
        <w:tc>
          <w:tcPr>
            <w:tcW w:type="dxa" w:w="2040"/>
            <w:tcBorders>
              <w:top w:val="single" w:color="CCCCCC" w:sz="4"/>
              <w:left w:val="single" w:color="CCCCCC" w:sz="4"/>
              <w:bottom w:val="single" w:color="CCCCCC" w:sz="4"/>
              <w:right w:val="single" w:color="CCCCCC" w:sz="4"/>
            </w:tcBorders>
            <w:shd w:fill="F0F2F5" w:color="auto" w:val="clear"/>
          </w:tcPr>
          <w:p>
            <w:pPr>
              <w:spacing w:after="50" w:before="50"/>
            </w:pPr>
            <w:r>
              <w:rPr>
                <w:color w:val="333333"/>
                <w:sz w:val="17"/>
                <w:szCs w:val="17"/>
              </w:rPr>
              <w:t xml:space="preserve">Informational</w:t>
            </w:r>
          </w:p>
        </w:tc>
      </w:tr>
    </w:tbl>
    <w:p>
      <w:pPr>
        <w:spacing w:after="40" w:before="40"/>
      </w:pPr>
      <w:r>
        <w:t xml:space="preserve"/>
      </w:r>
    </w:p>
    <w:p>
      <w:pPr>
        <w:spacing w:after="80" w:before="40"/>
      </w:pPr>
      <w:r>
        <w:rPr>
          <w:i/>
          <w:iCs/>
          <w:color w:val="888888"/>
          <w:sz w:val="18"/>
          <w:szCs w:val="18"/>
        </w:rPr>
        <w:t xml:space="preserve">Note: "2 CFR 200 micro-purchase threshold 2026" is a near-zero KD query that compliance officers look up frequently — the threshold changed in recent guidance cycles. Answering it precisely in the FAQ captures high-intent specialist traffic with no ranking competition.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Borders>
              <w:top w:val="single" w:color="E6A817" w:sz="8"/>
              <w:left w:val="thick" w:color="E6A817" w:sz="16"/>
              <w:bottom w:val="single" w:color="E6A817" w:sz="8"/>
              <w:right w:val="single" w:color="E6A817" w:sz="8"/>
            </w:tcBorders>
            <w:shd w:fill="FFF8E7" w:color="auto" w:val="clear"/>
          </w:tcPr>
          <w:p>
            <w:pPr>
              <w:spacing w:after="60" w:before="60"/>
            </w:pPr>
            <w:r>
              <w:rPr>
                <w:b/>
                <w:bCs/>
                <w:color w:val="8B5E00"/>
                <w:sz w:val="17"/>
                <w:szCs w:val="17"/>
              </w:rPr>
              <w:t xml:space="preserve">💡 SEO NOTE  </w:t>
            </w:r>
            <w:r>
              <w:rPr>
                <w:i/>
                <w:iCs/>
                <w:color w:val="5C3D00"/>
                <w:sz w:val="17"/>
                <w:szCs w:val="17"/>
              </w:rPr>
              <w:t xml:space="preserve">The secondary keywords "NSF procurement compliance university" and "NIH grant procurement requirements" are agency-specific queries with very low KD — .edu sites rank for general OMB Uniform Guidance content but rarely produce agency-specific compliance breakdowns. A tight 150-word H2 covering the NSF/NIH overlay is a genuine ranking opportunity that most competitors miss.</w:t>
            </w:r>
          </w:p>
        </w:tc>
      </w:tr>
    </w:tbl>
    <w:p>
      <w:pPr>
        <w:spacing w:after="40" w:before="40"/>
      </w:pPr>
      <w:r>
        <w:t xml:space="preserve"/>
      </w:r>
    </w:p>
    <w:p>
      <w:pPr>
        <w:pStyle w:val="Heading2"/>
        <w:pBdr>
          <w:bottom w:val="single" w:color="1A2E4A" w:sz="6"/>
        </w:pBdr>
        <w:spacing w:after="100" w:before="280"/>
      </w:pPr>
      <w:r>
        <w:rPr>
          <w:b/>
          <w:bCs/>
          <w:color w:val="1A2E4A"/>
          <w:sz w:val="28"/>
          <w:szCs w:val="28"/>
        </w:rPr>
        <w:t xml:space="preserve">3. Recommended page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6960"/>
      </w:tblGrid>
      <w:tr>
        <w:tc>
          <w:tcPr>
            <w:tcW w:type="dxa" w:w="2400"/>
            <w:tcBorders>
              <w:top w:val="single" w:color="CCCCCC" w:sz="4"/>
              <w:left w:val="single" w:color="CCCCCC" w:sz="4"/>
              <w:bottom w:val="single" w:color="CCCCCC" w:sz="4"/>
              <w:right w:val="single" w:color="CCCCCC" w:sz="4"/>
            </w:tcBorders>
            <w:shd w:fill="1A2E4A" w:color="auto" w:val="clear"/>
          </w:tcPr>
          <w:p>
            <w:pPr>
              <w:spacing w:after="60" w:before="60"/>
            </w:pPr>
            <w:r>
              <w:rPr>
                <w:b/>
                <w:bCs/>
                <w:color w:val="FFFFFF"/>
                <w:sz w:val="18"/>
                <w:szCs w:val="18"/>
              </w:rPr>
              <w:t xml:space="preserve">Element</w:t>
            </w:r>
          </w:p>
        </w:tc>
        <w:tc>
          <w:tcPr>
            <w:tcW w:type="dxa" w:w="6960"/>
            <w:tcBorders>
              <w:top w:val="single" w:color="CCCCCC" w:sz="4"/>
              <w:left w:val="single" w:color="CCCCCC" w:sz="4"/>
              <w:bottom w:val="single" w:color="CCCCCC" w:sz="4"/>
              <w:right w:val="single" w:color="CCCCCC" w:sz="4"/>
            </w:tcBorders>
            <w:shd w:fill="1A2E4A" w:color="auto" w:val="clear"/>
          </w:tcPr>
          <w:p>
            <w:pPr>
              <w:spacing w:after="60" w:before="60"/>
            </w:pPr>
            <w:r>
              <w:rPr>
                <w:b/>
                <w:bCs/>
                <w:color w:val="FFFFFF"/>
                <w:sz w:val="18"/>
                <w:szCs w:val="18"/>
              </w:rPr>
              <w:t xml:space="preserve">Content guidance</w:t>
            </w:r>
          </w:p>
        </w:tc>
      </w:tr>
      <w:tr>
        <w:tc>
          <w:tcPr>
            <w:tcW w:type="dxa" w:w="2400"/>
            <w:tcBorders>
              <w:top w:val="single" w:color="CCCCCC" w:sz="4"/>
              <w:left w:val="single" w:color="CCCCCC" w:sz="4"/>
              <w:bottom w:val="single" w:color="CCCCCC" w:sz="4"/>
              <w:right w:val="single" w:color="CCCCCC" w:sz="4"/>
            </w:tcBorders>
            <w:shd w:fill="F0F2F5" w:color="auto" w:val="clear"/>
          </w:tcPr>
          <w:p>
            <w:pPr>
              <w:spacing w:after="60" w:before="60"/>
            </w:pPr>
            <w:r>
              <w:rPr>
                <w:i/>
                <w:iCs/>
                <w:color w:val="444444"/>
                <w:sz w:val="17"/>
                <w:szCs w:val="17"/>
              </w:rPr>
              <w:t xml:space="preserve">H1 (Title)</w:t>
            </w:r>
          </w:p>
        </w:tc>
        <w:tc>
          <w:tcPr>
            <w:tcW w:type="dxa" w:w="6960"/>
            <w:tcBorders>
              <w:top w:val="single" w:color="CCCCCC" w:sz="4"/>
              <w:left w:val="single" w:color="CCCCCC" w:sz="4"/>
              <w:bottom w:val="single" w:color="CCCCCC" w:sz="4"/>
              <w:right w:val="single" w:color="CCCCCC" w:sz="4"/>
            </w:tcBorders>
            <w:shd w:fill="F0F2F5" w:color="auto" w:val="clear"/>
          </w:tcPr>
          <w:p>
            <w:pPr>
              <w:spacing w:after="60" w:before="60"/>
            </w:pPr>
            <w:r>
              <w:rPr>
                <w:color w:val="222222"/>
                <w:sz w:val="17"/>
                <w:szCs w:val="17"/>
              </w:rPr>
              <w:t xml:space="preserve">OMB Uniform Guidance 2026: What University Procurement Teams Are Still Getting Wrong — "still getting wrong" is the critical phrase; it signals diagnostic authority content and earns higher CTR than explanatory titles in the .edu compliance SERP</w:t>
            </w:r>
          </w:p>
        </w:tc>
      </w:tr>
      <w:tr>
        <w:tc>
          <w:tcPr>
            <w:tcW w:type="dxa" w:w="2400"/>
            <w:tcBorders>
              <w:top w:val="single" w:color="CCCCCC" w:sz="4"/>
              <w:left w:val="single" w:color="CCCCCC" w:sz="4"/>
              <w:bottom w:val="single" w:color="CCCCCC" w:sz="4"/>
              <w:right w:val="single" w:color="CCCCCC" w:sz="4"/>
            </w:tcBorders>
            <w:shd w:fill="FFFFFF" w:color="auto" w:val="clear"/>
          </w:tcPr>
          <w:p>
            <w:pPr>
              <w:spacing w:after="60" w:before="60"/>
            </w:pPr>
            <w:r>
              <w:rPr>
                <w:i/>
                <w:iCs/>
                <w:color w:val="444444"/>
                <w:sz w:val="17"/>
                <w:szCs w:val="17"/>
              </w:rPr>
              <w:t xml:space="preserve">Meta title</w:t>
            </w:r>
          </w:p>
        </w:tc>
        <w:tc>
          <w:tcPr>
            <w:tcW w:type="dxa" w:w="6960"/>
            <w:tcBorders>
              <w:top w:val="single" w:color="CCCCCC" w:sz="4"/>
              <w:left w:val="single" w:color="CCCCCC" w:sz="4"/>
              <w:bottom w:val="single" w:color="CCCCCC" w:sz="4"/>
              <w:right w:val="single" w:color="CCCCCC" w:sz="4"/>
            </w:tcBorders>
            <w:shd w:fill="FFFFFF" w:color="auto" w:val="clear"/>
          </w:tcPr>
          <w:p>
            <w:pPr>
              <w:spacing w:after="60" w:before="60"/>
            </w:pPr>
            <w:r>
              <w:rPr>
                <w:color w:val="222222"/>
                <w:sz w:val="17"/>
                <w:szCs w:val="17"/>
              </w:rPr>
              <w:t xml:space="preserve">OMB Uniform Guidance 2026: University Procurement Compliance Gaps — 67 chars</w:t>
            </w:r>
          </w:p>
        </w:tc>
      </w:tr>
      <w:tr>
        <w:tc>
          <w:tcPr>
            <w:tcW w:type="dxa" w:w="2400"/>
            <w:tcBorders>
              <w:top w:val="single" w:color="CCCCCC" w:sz="4"/>
              <w:left w:val="single" w:color="CCCCCC" w:sz="4"/>
              <w:bottom w:val="single" w:color="CCCCCC" w:sz="4"/>
              <w:right w:val="single" w:color="CCCCCC" w:sz="4"/>
            </w:tcBorders>
            <w:shd w:fill="F0F2F5" w:color="auto" w:val="clear"/>
          </w:tcPr>
          <w:p>
            <w:pPr>
              <w:spacing w:after="60" w:before="60"/>
            </w:pPr>
            <w:r>
              <w:rPr>
                <w:i/>
                <w:iCs/>
                <w:color w:val="444444"/>
                <w:sz w:val="17"/>
                <w:szCs w:val="17"/>
              </w:rPr>
              <w:t xml:space="preserve">Meta description</w:t>
            </w:r>
          </w:p>
        </w:tc>
        <w:tc>
          <w:tcPr>
            <w:tcW w:type="dxa" w:w="6960"/>
            <w:tcBorders>
              <w:top w:val="single" w:color="CCCCCC" w:sz="4"/>
              <w:left w:val="single" w:color="CCCCCC" w:sz="4"/>
              <w:bottom w:val="single" w:color="CCCCCC" w:sz="4"/>
              <w:right w:val="single" w:color="CCCCCC" w:sz="4"/>
            </w:tcBorders>
            <w:shd w:fill="F0F2F5" w:color="auto" w:val="clear"/>
          </w:tcPr>
          <w:p>
            <w:pPr>
              <w:spacing w:after="60" w:before="60"/>
            </w:pPr>
            <w:r>
              <w:rPr>
                <w:color w:val="222222"/>
                <w:sz w:val="17"/>
                <w:szCs w:val="17"/>
              </w:rPr>
              <w:t xml:space="preserve">Most university procurement teams know 2 CFR 200 exists. Fewer know the specific gaps that trigger federal audit findings. Here is what to check in 2026. — 152 chars</w:t>
            </w:r>
          </w:p>
        </w:tc>
      </w:tr>
      <w:tr>
        <w:tc>
          <w:tcPr>
            <w:tcW w:type="dxa" w:w="2400"/>
            <w:tcBorders>
              <w:top w:val="single" w:color="CCCCCC" w:sz="4"/>
              <w:left w:val="single" w:color="CCCCCC" w:sz="4"/>
              <w:bottom w:val="single" w:color="CCCCCC" w:sz="4"/>
              <w:right w:val="single" w:color="CCCCCC" w:sz="4"/>
            </w:tcBorders>
            <w:shd w:fill="FFFFFF" w:color="auto" w:val="clear"/>
          </w:tcPr>
          <w:p>
            <w:pPr>
              <w:spacing w:after="60" w:before="60"/>
            </w:pPr>
            <w:r>
              <w:rPr>
                <w:i/>
                <w:iCs/>
                <w:color w:val="444444"/>
                <w:sz w:val="17"/>
                <w:szCs w:val="17"/>
              </w:rPr>
              <w:t xml:space="preserve">Intro (100–150 words)</w:t>
            </w:r>
          </w:p>
        </w:tc>
        <w:tc>
          <w:tcPr>
            <w:tcW w:type="dxa" w:w="6960"/>
            <w:tcBorders>
              <w:top w:val="single" w:color="CCCCCC" w:sz="4"/>
              <w:left w:val="single" w:color="CCCCCC" w:sz="4"/>
              <w:bottom w:val="single" w:color="CCCCCC" w:sz="4"/>
              <w:right w:val="single" w:color="CCCCCC" w:sz="4"/>
            </w:tcBorders>
            <w:shd w:fill="FFFFFF" w:color="auto" w:val="clear"/>
          </w:tcPr>
          <w:p>
            <w:pPr>
              <w:spacing w:after="60" w:before="60"/>
            </w:pPr>
            <w:r>
              <w:rPr>
                <w:color w:val="222222"/>
                <w:sz w:val="17"/>
                <w:szCs w:val="17"/>
              </w:rPr>
              <w:t xml:space="preserve">Open with the diagnostic premise: OMB Uniform Guidance (2 CFR 200) has been in effect since 2014, but federal OIG audits continue to find the same procurement compliance gaps at research universities year after year. State the two audiences: CPOs and compliance officers. Signal the post covers the most common gaps, NSF/NIH-specific overlays, and what institutions can do. First 2 sentences optimised for featured snippet.</w:t>
            </w:r>
          </w:p>
        </w:tc>
      </w:tr>
      <w:tr>
        <w:tc>
          <w:tcPr>
            <w:tcW w:type="dxa" w:w="2400"/>
            <w:tcBorders>
              <w:top w:val="single" w:color="CCCCCC" w:sz="4"/>
              <w:left w:val="single" w:color="CCCCCC" w:sz="4"/>
              <w:bottom w:val="single" w:color="CCCCCC" w:sz="4"/>
              <w:right w:val="single" w:color="CCCCCC" w:sz="4"/>
            </w:tcBorders>
            <w:shd w:fill="F0F2F5" w:color="auto" w:val="clear"/>
          </w:tcPr>
          <w:p>
            <w:pPr>
              <w:spacing w:after="60" w:before="60"/>
            </w:pPr>
            <w:r>
              <w:rPr>
                <w:i/>
                <w:iCs/>
                <w:color w:val="444444"/>
                <w:sz w:val="17"/>
                <w:szCs w:val="17"/>
              </w:rPr>
              <w:t xml:space="preserve">H2: What 2 CFR 200 actually requires of university procurement</w:t>
            </w:r>
          </w:p>
        </w:tc>
        <w:tc>
          <w:tcPr>
            <w:tcW w:type="dxa" w:w="6960"/>
            <w:tcBorders>
              <w:top w:val="single" w:color="CCCCCC" w:sz="4"/>
              <w:left w:val="single" w:color="CCCCCC" w:sz="4"/>
              <w:bottom w:val="single" w:color="CCCCCC" w:sz="4"/>
              <w:right w:val="single" w:color="CCCCCC" w:sz="4"/>
            </w:tcBorders>
            <w:shd w:fill="F0F2F5" w:color="auto" w:val="clear"/>
          </w:tcPr>
          <w:p>
            <w:pPr>
              <w:spacing w:after="60" w:before="60"/>
            </w:pPr>
            <w:r>
              <w:rPr>
                <w:color w:val="222222"/>
                <w:sz w:val="17"/>
                <w:szCs w:val="17"/>
              </w:rPr>
              <w:t xml:space="preserve">Tight, specific summary — not a full regulatory recap. Focus on sections that generate most audit findings: §200.317 (procurement standards), §200.318 (general standards), §200.319 (competition), §200.320 (methods of procurement), §200.321 (contracting with small businesses). Cite dollar thresholds: micro-purchase, simplified acquisition, competitive. 200 words max.</w:t>
            </w:r>
          </w:p>
        </w:tc>
      </w:tr>
      <w:tr>
        <w:tc>
          <w:tcPr>
            <w:tcW w:type="dxa" w:w="2400"/>
            <w:tcBorders>
              <w:top w:val="single" w:color="CCCCCC" w:sz="4"/>
              <w:left w:val="single" w:color="CCCCCC" w:sz="4"/>
              <w:bottom w:val="single" w:color="CCCCCC" w:sz="4"/>
              <w:right w:val="single" w:color="CCCCCC" w:sz="4"/>
            </w:tcBorders>
            <w:shd w:fill="FFFFFF" w:color="auto" w:val="clear"/>
          </w:tcPr>
          <w:p>
            <w:pPr>
              <w:spacing w:after="60" w:before="60"/>
            </w:pPr>
            <w:r>
              <w:rPr>
                <w:i/>
                <w:iCs/>
                <w:color w:val="444444"/>
                <w:sz w:val="17"/>
                <w:szCs w:val="17"/>
              </w:rPr>
              <w:t xml:space="preserve">H2: Where NSF and NIH add their own requirements on top</w:t>
            </w:r>
          </w:p>
        </w:tc>
        <w:tc>
          <w:tcPr>
            <w:tcW w:type="dxa" w:w="6960"/>
            <w:tcBorders>
              <w:top w:val="single" w:color="CCCCCC" w:sz="4"/>
              <w:left w:val="single" w:color="CCCCCC" w:sz="4"/>
              <w:bottom w:val="single" w:color="CCCCCC" w:sz="4"/>
              <w:right w:val="single" w:color="CCCCCC" w:sz="4"/>
            </w:tcBorders>
            <w:shd w:fill="FFFFFF" w:color="auto" w:val="clear"/>
          </w:tcPr>
          <w:p>
            <w:pPr>
              <w:spacing w:after="60" w:before="60"/>
            </w:pPr>
            <w:r>
              <w:rPr>
                <w:color w:val="222222"/>
                <w:sz w:val="17"/>
                <w:szCs w:val="17"/>
              </w:rPr>
              <w:t xml:space="preserve">The agency-specific layer many procurement teams miss. Cover NSF Award &amp; Administration Guide provisions, NIH Grants Policy Statement procurement requirements, common agency-specific documentation demands that go beyond 2 CFR 200 baseline. Name the most common gap: complying with 2 CFR 200 but missing agency-specific prior approval requirements. 150–200 words. Writer to verify from primary sources.</w:t>
            </w:r>
          </w:p>
        </w:tc>
      </w:tr>
      <w:tr>
        <w:tc>
          <w:tcPr>
            <w:tcW w:type="dxa" w:w="2400"/>
            <w:tcBorders>
              <w:top w:val="single" w:color="CCCCCC" w:sz="4"/>
              <w:left w:val="single" w:color="CCCCCC" w:sz="4"/>
              <w:bottom w:val="single" w:color="CCCCCC" w:sz="4"/>
              <w:right w:val="single" w:color="CCCCCC" w:sz="4"/>
            </w:tcBorders>
            <w:shd w:fill="F0F2F5" w:color="auto" w:val="clear"/>
          </w:tcPr>
          <w:p>
            <w:pPr>
              <w:spacing w:after="60" w:before="60"/>
            </w:pPr>
            <w:r>
              <w:rPr>
                <w:i/>
                <w:iCs/>
                <w:color w:val="444444"/>
                <w:sz w:val="17"/>
                <w:szCs w:val="17"/>
              </w:rPr>
              <w:t xml:space="preserve">H2: The five procurement mistakes that keep showing up in federal audits</w:t>
            </w:r>
          </w:p>
        </w:tc>
        <w:tc>
          <w:tcPr>
            <w:tcW w:type="dxa" w:w="6960"/>
            <w:tcBorders>
              <w:top w:val="single" w:color="CCCCCC" w:sz="4"/>
              <w:left w:val="single" w:color="CCCCCC" w:sz="4"/>
              <w:bottom w:val="single" w:color="CCCCCC" w:sz="4"/>
              <w:right w:val="single" w:color="CCCCCC" w:sz="4"/>
            </w:tcBorders>
            <w:shd w:fill="F0F2F5" w:color="auto" w:val="clear"/>
          </w:tcPr>
          <w:p>
            <w:pPr>
              <w:spacing w:after="60" w:before="60"/>
            </w:pPr>
            <w:r>
              <w:rPr>
                <w:color w:val="222222"/>
                <w:sz w:val="17"/>
                <w:szCs w:val="17"/>
              </w:rPr>
              <w:t xml:space="preserve">Most valuable section for both reader types. Name 5 specific, recurring audit findings — inadequate competition documentation, sole-source justifications that do not meet the standard, cost/price analysis missing, conflict of interest policies not applied, records retention failures. Each 2–3 sentences. Source themes from HHS OIG, NSF OIG, and ED OIG audit reports — do not fabricate.</w:t>
            </w:r>
          </w:p>
        </w:tc>
      </w:tr>
      <w:tr>
        <w:tc>
          <w:tcPr>
            <w:tcW w:type="dxa" w:w="2400"/>
            <w:tcBorders>
              <w:top w:val="single" w:color="CCCCCC" w:sz="4"/>
              <w:left w:val="single" w:color="CCCCCC" w:sz="4"/>
              <w:bottom w:val="single" w:color="CCCCCC" w:sz="4"/>
              <w:right w:val="single" w:color="CCCCCC" w:sz="4"/>
            </w:tcBorders>
            <w:shd w:fill="FFFFFF" w:color="auto" w:val="clear"/>
          </w:tcPr>
          <w:p>
            <w:pPr>
              <w:spacing w:after="60" w:before="60"/>
            </w:pPr>
            <w:r>
              <w:rPr>
                <w:i/>
                <w:iCs/>
                <w:color w:val="444444"/>
                <w:sz w:val="17"/>
                <w:szCs w:val="17"/>
              </w:rPr>
              <w:t xml:space="preserve">H2: Why fragmented procurement systems make this worse</w:t>
            </w:r>
          </w:p>
        </w:tc>
        <w:tc>
          <w:tcPr>
            <w:tcW w:type="dxa" w:w="6960"/>
            <w:tcBorders>
              <w:top w:val="single" w:color="CCCCCC" w:sz="4"/>
              <w:left w:val="single" w:color="CCCCCC" w:sz="4"/>
              <w:bottom w:val="single" w:color="CCCCCC" w:sz="4"/>
              <w:right w:val="single" w:color="CCCCCC" w:sz="4"/>
            </w:tcBorders>
            <w:shd w:fill="FFFFFF" w:color="auto" w:val="clear"/>
          </w:tcPr>
          <w:p>
            <w:pPr>
              <w:spacing w:after="60" w:before="60"/>
            </w:pPr>
            <w:r>
              <w:rPr>
                <w:color w:val="222222"/>
                <w:sz w:val="17"/>
                <w:szCs w:val="17"/>
              </w:rPr>
              <w:t xml:space="preserve">Platform angle without being promotional. Most research universities run a mix of departmental purchasing, PI procurement cards, and central sourcing. This fragmentation makes it impossible to enforce consistent compliance controls or maintain the documentation trail required under 2 CFR 200. One mention of JAGGAER here by name. 100–150 words.</w:t>
            </w:r>
          </w:p>
        </w:tc>
      </w:tr>
      <w:tr>
        <w:tc>
          <w:tcPr>
            <w:tcW w:type="dxa" w:w="2400"/>
            <w:tcBorders>
              <w:top w:val="single" w:color="CCCCCC" w:sz="4"/>
              <w:left w:val="single" w:color="CCCCCC" w:sz="4"/>
              <w:bottom w:val="single" w:color="CCCCCC" w:sz="4"/>
              <w:right w:val="single" w:color="CCCCCC" w:sz="4"/>
            </w:tcBorders>
            <w:shd w:fill="F0F2F5" w:color="auto" w:val="clear"/>
          </w:tcPr>
          <w:p>
            <w:pPr>
              <w:spacing w:after="60" w:before="60"/>
            </w:pPr>
            <w:r>
              <w:rPr>
                <w:i/>
                <w:iCs/>
                <w:color w:val="444444"/>
                <w:sz w:val="17"/>
                <w:szCs w:val="17"/>
              </w:rPr>
              <w:t xml:space="preserve">H2: FAQ</w:t>
            </w:r>
          </w:p>
        </w:tc>
        <w:tc>
          <w:tcPr>
            <w:tcW w:type="dxa" w:w="6960"/>
            <w:tcBorders>
              <w:top w:val="single" w:color="CCCCCC" w:sz="4"/>
              <w:left w:val="single" w:color="CCCCCC" w:sz="4"/>
              <w:bottom w:val="single" w:color="CCCCCC" w:sz="4"/>
              <w:right w:val="single" w:color="CCCCCC" w:sz="4"/>
            </w:tcBorders>
            <w:shd w:fill="F0F2F5" w:color="auto" w:val="clear"/>
          </w:tcPr>
          <w:p>
            <w:pPr>
              <w:spacing w:after="60" w:before="60"/>
            </w:pPr>
            <w:r>
              <w:rPr>
                <w:color w:val="222222"/>
                <w:sz w:val="17"/>
                <w:szCs w:val="17"/>
              </w:rPr>
              <w:t xml:space="preserve">6–8 questions — see Section 6.</w:t>
            </w:r>
          </w:p>
        </w:tc>
      </w:tr>
      <w:tr>
        <w:tc>
          <w:tcPr>
            <w:tcW w:type="dxa" w:w="2400"/>
            <w:tcBorders>
              <w:top w:val="single" w:color="CCCCCC" w:sz="4"/>
              <w:left w:val="single" w:color="CCCCCC" w:sz="4"/>
              <w:bottom w:val="single" w:color="CCCCCC" w:sz="4"/>
              <w:right w:val="single" w:color="CCCCCC" w:sz="4"/>
            </w:tcBorders>
            <w:shd w:fill="FFFFFF" w:color="auto" w:val="clear"/>
          </w:tcPr>
          <w:p>
            <w:pPr>
              <w:spacing w:after="60" w:before="60"/>
            </w:pPr>
            <w:r>
              <w:rPr>
                <w:i/>
                <w:iCs/>
                <w:color w:val="444444"/>
                <w:sz w:val="17"/>
                <w:szCs w:val="17"/>
              </w:rPr>
              <w:t xml:space="preserve">H2: Next steps</w:t>
            </w:r>
          </w:p>
        </w:tc>
        <w:tc>
          <w:tcPr>
            <w:tcW w:type="dxa" w:w="6960"/>
            <w:tcBorders>
              <w:top w:val="single" w:color="CCCCCC" w:sz="4"/>
              <w:left w:val="single" w:color="CCCCCC" w:sz="4"/>
              <w:bottom w:val="single" w:color="CCCCCC" w:sz="4"/>
              <w:right w:val="single" w:color="CCCCCC" w:sz="4"/>
            </w:tcBorders>
            <w:shd w:fill="FFFFFF" w:color="auto" w:val="clear"/>
          </w:tcPr>
          <w:p>
            <w:pPr>
              <w:spacing w:after="60" w:before="60"/>
            </w:pPr>
            <w:r>
              <w:rPr>
                <w:color w:val="222222"/>
                <w:sz w:val="17"/>
                <w:szCs w:val="17"/>
              </w:rPr>
              <w:t xml:space="preserve">1 paragraph. CPO path: link to jaggaer.com/vertical/education-procurement ("JAGGAER higher education procurement"). Compliance officer path: link to Grant Procurement Compliance Checklist cluster post. Both: jaggaer.com/solutions/source-to-pay. Book a Demo button.</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Borders>
              <w:top w:val="single" w:color="E6A817" w:sz="8"/>
              <w:left w:val="thick" w:color="E6A817" w:sz="16"/>
              <w:bottom w:val="single" w:color="E6A817" w:sz="8"/>
              <w:right w:val="single" w:color="E6A817" w:sz="8"/>
            </w:tcBorders>
            <w:shd w:fill="FFF8E7" w:color="auto" w:val="clear"/>
          </w:tcPr>
          <w:p>
            <w:pPr>
              <w:spacing w:after="60" w:before="60"/>
            </w:pPr>
            <w:r>
              <w:rPr>
                <w:b/>
                <w:bCs/>
                <w:color w:val="8B5E00"/>
                <w:sz w:val="17"/>
                <w:szCs w:val="17"/>
              </w:rPr>
              <w:t xml:space="preserve">💡 SEO NOTE  </w:t>
            </w:r>
            <w:r>
              <w:rPr>
                <w:i/>
                <w:iCs/>
                <w:color w:val="5C3D00"/>
                <w:sz w:val="17"/>
                <w:szCs w:val="17"/>
              </w:rPr>
              <w:t xml:space="preserve">The dollar threshold table in the "What 2 CFR 200 actually requires" section (micro-purchase / simplified acquisition / competitive threshold values) is a near-certain featured snippet candidate — compliance officers Google these thresholds constantly and the current SERP answers come from .gov pages, not structured tables. A clean, current table on this topic from a high-authority .com domain will earn rich snippet placement and is likely to be bookmarked and shared by sponsored programs offices.</w:t>
            </w:r>
          </w:p>
        </w:tc>
      </w:tr>
    </w:tbl>
    <w:p>
      <w:pPr>
        <w:spacing w:after="40" w:before="40"/>
      </w:pPr>
      <w:r>
        <w:t xml:space="preserve"/>
      </w:r>
    </w:p>
    <w:p>
      <w:pPr>
        <w:pStyle w:val="Heading2"/>
        <w:pBdr>
          <w:bottom w:val="single" w:color="1A2E4A" w:sz="6"/>
        </w:pBdr>
        <w:spacing w:after="100" w:before="280"/>
      </w:pPr>
      <w:r>
        <w:rPr>
          <w:b/>
          <w:bCs/>
          <w:color w:val="1A2E4A"/>
          <w:sz w:val="28"/>
          <w:szCs w:val="28"/>
        </w:rPr>
        <w:t xml:space="preserve">4. Visual production notes</w:t>
      </w:r>
    </w:p>
    <w:p>
      <w:pPr>
        <w:spacing w:after="80" w:before="60"/>
      </w:pPr>
      <w:r>
        <w:rPr>
          <w:color w:val="333333"/>
          <w:sz w:val="20"/>
          <w:szCs w:val="20"/>
        </w:rPr>
        <w:t xml:space="preserve">Two visuals recommended. Both are designed to serve compliance officers who need shareable, printable reference material.</w:t>
      </w:r>
    </w:p>
    <w:p>
      <w:pPr>
        <w:pStyle w:val="Heading3"/>
        <w:spacing w:after="60" w:before="180"/>
      </w:pPr>
      <w:r>
        <w:rPr>
          <w:b/>
          <w:bCs/>
          <w:color w:val="2B6CB0"/>
          <w:sz w:val="22"/>
          <w:szCs w:val="22"/>
        </w:rPr>
        <w:t xml:space="preserve">Primary visual</w:t>
      </w:r>
    </w:p>
    <w:p>
      <w:pPr>
        <w:spacing w:after="80" w:before="60"/>
      </w:pPr>
      <w:r>
        <w:rPr>
          <w:color w:val="333333"/>
          <w:sz w:val="20"/>
          <w:szCs w:val="20"/>
        </w:rPr>
        <w:t xml:space="preserve">Two-column table: "2 CFR 200 requirement | Common compliance gap." Five rows matching the five audit finding themes in H2: "The five procurement mistakes." Place immediately under that H2. Compliance officers will forward this to their procurement teams — primary shareability driver.</w:t>
      </w:r>
    </w:p>
    <w:p>
      <w:pPr>
        <w:pStyle w:val="Heading3"/>
        <w:spacing w:after="60" w:before="180"/>
      </w:pPr>
      <w:r>
        <w:rPr>
          <w:b/>
          <w:bCs/>
          <w:color w:val="2B6CB0"/>
          <w:sz w:val="22"/>
          <w:szCs w:val="22"/>
        </w:rPr>
        <w:t xml:space="preserve">Secondary visual (if applicable)</w:t>
      </w:r>
    </w:p>
    <w:p>
      <w:pPr>
        <w:spacing w:after="80" w:before="60"/>
      </w:pPr>
      <w:r>
        <w:rPr>
          <w:color w:val="333333"/>
          <w:sz w:val="20"/>
          <w:szCs w:val="20"/>
        </w:rPr>
        <w:t xml:space="preserve">Dollar-threshold reference table: "Purchase type | Dollar threshold | Procurement method required under 2 CFR 200." Rows: Micro-purchase, Simplified acquisition, Competitive bidding required, Sealed bids/competitive proposals. Place under H2: "What 2 CFR 200 actually requires." The number compliance officers look up most — having it in a scannable table earns return visits and bookmarks.</w:t>
      </w:r>
    </w:p>
    <w:p>
      <w:pPr>
        <w:spacing w:after="40" w:before="40"/>
      </w:pPr>
      <w:r>
        <w:t xml:space="preserve"/>
      </w:r>
    </w:p>
    <w:p>
      <w:pPr>
        <w:spacing w:after="80" w:before="40"/>
      </w:pPr>
      <w:r>
        <w:rPr>
          <w:i/>
          <w:iCs/>
          <w:color w:val="888888"/>
          <w:sz w:val="18"/>
          <w:szCs w:val="18"/>
        </w:rPr>
        <w:t xml:space="preserve">Formatting notes: keep tables to 3–5 columns. Avoid footnotes in tables — link to the source instead. Ensure visuals are mobile-readable.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Borders>
              <w:top w:val="single" w:color="E6A817" w:sz="8"/>
              <w:left w:val="thick" w:color="E6A817" w:sz="16"/>
              <w:bottom w:val="single" w:color="E6A817" w:sz="8"/>
              <w:right w:val="single" w:color="E6A817" w:sz="8"/>
            </w:tcBorders>
            <w:shd w:fill="FFF8E7" w:color="auto" w:val="clear"/>
          </w:tcPr>
          <w:p>
            <w:pPr>
              <w:spacing w:after="60" w:before="60"/>
            </w:pPr>
            <w:r>
              <w:rPr>
                <w:b/>
                <w:bCs/>
                <w:color w:val="8B5E00"/>
                <w:sz w:val="17"/>
                <w:szCs w:val="17"/>
              </w:rPr>
              <w:t xml:space="preserve">💡 SEO NOTE  </w:t>
            </w:r>
            <w:r>
              <w:rPr>
                <w:i/>
                <w:iCs/>
                <w:color w:val="5C3D00"/>
                <w:sz w:val="17"/>
                <w:szCs w:val="17"/>
              </w:rPr>
              <w:t xml:space="preserve">The dollar-threshold table is the single most strategically valuable SEO asset in this brief. It answers a high-frequency, near-zero-KD query ("2 CFR 200 micro-purchase threshold") in a format Google will extract as a featured snippet. Update this table whenever OMB issues revised thresholds — it is a "freshness signal" page that benefits from the "Last reviewed" date pattern more than any other element in this post.</w:t>
            </w:r>
          </w:p>
        </w:tc>
      </w:tr>
    </w:tbl>
    <w:p>
      <w:pPr>
        <w:spacing w:after="40" w:before="40"/>
      </w:pPr>
      <w:r>
        <w:t xml:space="preserve"/>
      </w:r>
    </w:p>
    <w:p>
      <w:pPr>
        <w:pStyle w:val="Heading2"/>
        <w:pBdr>
          <w:bottom w:val="single" w:color="1A2E4A" w:sz="6"/>
        </w:pBdr>
        <w:spacing w:after="100" w:before="280"/>
      </w:pPr>
      <w:r>
        <w:rPr>
          <w:b/>
          <w:bCs/>
          <w:color w:val="1A2E4A"/>
          <w:sz w:val="28"/>
          <w:szCs w:val="28"/>
        </w:rPr>
        <w:t xml:space="preserve">5. Internal linking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20"/>
        <w:gridCol w:w="3840"/>
        <w:gridCol w:w="3000"/>
      </w:tblGrid>
      <w:tr>
        <w:tc>
          <w:tcPr>
            <w:tcW w:type="dxa" w:w="2520"/>
            <w:tcBorders>
              <w:top w:val="single" w:color="CCCCCC" w:sz="4"/>
              <w:left w:val="single" w:color="CCCCCC" w:sz="4"/>
              <w:bottom w:val="single" w:color="CCCCCC" w:sz="4"/>
              <w:right w:val="single" w:color="CCCCCC" w:sz="4"/>
            </w:tcBorders>
            <w:shd w:fill="1A2E4A" w:color="auto" w:val="clear"/>
          </w:tcPr>
          <w:p>
            <w:pPr>
              <w:spacing w:after="60" w:before="60"/>
            </w:pPr>
            <w:r>
              <w:rPr>
                <w:b/>
                <w:bCs/>
                <w:color w:val="FFFFFF"/>
                <w:sz w:val="18"/>
                <w:szCs w:val="18"/>
              </w:rPr>
              <w:t xml:space="preserve">Destination</w:t>
            </w:r>
          </w:p>
        </w:tc>
        <w:tc>
          <w:tcPr>
            <w:tcW w:type="dxa" w:w="3840"/>
            <w:tcBorders>
              <w:top w:val="single" w:color="CCCCCC" w:sz="4"/>
              <w:left w:val="single" w:color="CCCCCC" w:sz="4"/>
              <w:bottom w:val="single" w:color="CCCCCC" w:sz="4"/>
              <w:right w:val="single" w:color="CCCCCC" w:sz="4"/>
            </w:tcBorders>
            <w:shd w:fill="1A2E4A" w:color="auto" w:val="clear"/>
          </w:tcPr>
          <w:p>
            <w:pPr>
              <w:spacing w:after="60" w:before="60"/>
            </w:pPr>
            <w:r>
              <w:rPr>
                <w:b/>
                <w:bCs/>
                <w:color w:val="FFFFFF"/>
                <w:sz w:val="18"/>
                <w:szCs w:val="18"/>
              </w:rPr>
              <w:t xml:space="preserve">Anchor text</w:t>
            </w:r>
          </w:p>
        </w:tc>
        <w:tc>
          <w:tcPr>
            <w:tcW w:type="dxa" w:w="3000"/>
            <w:tcBorders>
              <w:top w:val="single" w:color="CCCCCC" w:sz="4"/>
              <w:left w:val="single" w:color="CCCCCC" w:sz="4"/>
              <w:bottom w:val="single" w:color="CCCCCC" w:sz="4"/>
              <w:right w:val="single" w:color="CCCCCC" w:sz="4"/>
            </w:tcBorders>
            <w:shd w:fill="1A2E4A" w:color="auto" w:val="clear"/>
          </w:tcPr>
          <w:p>
            <w:pPr>
              <w:spacing w:after="60" w:before="60"/>
            </w:pPr>
            <w:r>
              <w:rPr>
                <w:b/>
                <w:bCs/>
                <w:color w:val="FFFFFF"/>
                <w:sz w:val="18"/>
                <w:szCs w:val="18"/>
              </w:rPr>
              <w:t xml:space="preserve">Placement</w:t>
            </w:r>
          </w:p>
        </w:tc>
      </w:tr>
      <w:tr>
        <w:tc>
          <w:tcPr>
            <w:tcW w:type="dxa" w:w="2520"/>
            <w:tcBorders>
              <w:top w:val="single" w:color="CCCCCC" w:sz="4"/>
              <w:left w:val="single" w:color="CCCCCC" w:sz="4"/>
              <w:bottom w:val="single" w:color="CCCCCC" w:sz="4"/>
              <w:right w:val="single" w:color="CCCCCC" w:sz="4"/>
            </w:tcBorders>
            <w:shd w:fill="F0F2F5" w:color="auto" w:val="clear"/>
          </w:tcPr>
          <w:p>
            <w:pPr>
              <w:spacing w:after="60" w:before="60"/>
            </w:pPr>
            <w:r>
              <w:rPr>
                <w:i/>
                <w:iCs/>
                <w:color w:val="444444"/>
                <w:sz w:val="17"/>
                <w:szCs w:val="17"/>
              </w:rPr>
              <w:t xml:space="preserve">JAGGAER Higher Education page</w:t>
            </w:r>
          </w:p>
        </w:tc>
        <w:tc>
          <w:tcPr>
            <w:tcW w:type="dxa" w:w="3840"/>
            <w:tcBorders>
              <w:top w:val="single" w:color="CCCCCC" w:sz="4"/>
              <w:left w:val="single" w:color="CCCCCC" w:sz="4"/>
              <w:bottom w:val="single" w:color="CCCCCC" w:sz="4"/>
              <w:right w:val="single" w:color="CCCCCC" w:sz="4"/>
            </w:tcBorders>
            <w:shd w:fill="F0F2F5" w:color="auto" w:val="clear"/>
          </w:tcPr>
          <w:p>
            <w:pPr>
              <w:spacing w:after="60" w:before="60"/>
            </w:pPr>
            <w:r>
              <w:rPr>
                <w:color w:val="222222"/>
                <w:sz w:val="17"/>
                <w:szCs w:val="17"/>
              </w:rPr>
              <w:t xml:space="preserve">JAGGAER higher education procurement</w:t>
            </w:r>
          </w:p>
        </w:tc>
        <w:tc>
          <w:tcPr>
            <w:tcW w:type="dxa" w:w="3000"/>
            <w:tcBorders>
              <w:top w:val="single" w:color="CCCCCC" w:sz="4"/>
              <w:left w:val="single" w:color="CCCCCC" w:sz="4"/>
              <w:bottom w:val="single" w:color="CCCCCC" w:sz="4"/>
              <w:right w:val="single" w:color="CCCCCC" w:sz="4"/>
            </w:tcBorders>
            <w:shd w:fill="F0F2F5" w:color="auto" w:val="clear"/>
          </w:tcPr>
          <w:p>
            <w:pPr>
              <w:spacing w:after="60" w:before="60"/>
            </w:pPr>
            <w:r>
              <w:rPr>
                <w:color w:val="222222"/>
                <w:sz w:val="17"/>
                <w:szCs w:val="17"/>
              </w:rPr>
              <w:t xml:space="preserve">H2: Next steps (CPO path)</w:t>
            </w:r>
          </w:p>
        </w:tc>
      </w:tr>
      <w:tr>
        <w:tc>
          <w:tcPr>
            <w:tcW w:type="dxa" w:w="2520"/>
            <w:tcBorders>
              <w:top w:val="single" w:color="CCCCCC" w:sz="4"/>
              <w:left w:val="single" w:color="CCCCCC" w:sz="4"/>
              <w:bottom w:val="single" w:color="CCCCCC" w:sz="4"/>
              <w:right w:val="single" w:color="CCCCCC" w:sz="4"/>
            </w:tcBorders>
            <w:shd w:fill="FFFFFF" w:color="auto" w:val="clear"/>
          </w:tcPr>
          <w:p>
            <w:pPr>
              <w:spacing w:after="60" w:before="60"/>
            </w:pPr>
            <w:r>
              <w:rPr>
                <w:i/>
                <w:iCs/>
                <w:color w:val="444444"/>
                <w:sz w:val="17"/>
                <w:szCs w:val="17"/>
              </w:rPr>
              <w:t xml:space="preserve">JAGGAER S2P platform</w:t>
            </w:r>
          </w:p>
        </w:tc>
        <w:tc>
          <w:tcPr>
            <w:tcW w:type="dxa" w:w="3840"/>
            <w:tcBorders>
              <w:top w:val="single" w:color="CCCCCC" w:sz="4"/>
              <w:left w:val="single" w:color="CCCCCC" w:sz="4"/>
              <w:bottom w:val="single" w:color="CCCCCC" w:sz="4"/>
              <w:right w:val="single" w:color="CCCCCC" w:sz="4"/>
            </w:tcBorders>
            <w:shd w:fill="FFFFFF" w:color="auto" w:val="clear"/>
          </w:tcPr>
          <w:p>
            <w:pPr>
              <w:spacing w:after="60" w:before="60"/>
            </w:pPr>
            <w:r>
              <w:rPr>
                <w:color w:val="222222"/>
                <w:sz w:val="17"/>
                <w:szCs w:val="17"/>
              </w:rPr>
              <w:t xml:space="preserve">JAGGAER source-to-pay platform</w:t>
            </w:r>
          </w:p>
        </w:tc>
        <w:tc>
          <w:tcPr>
            <w:tcW w:type="dxa" w:w="3000"/>
            <w:tcBorders>
              <w:top w:val="single" w:color="CCCCCC" w:sz="4"/>
              <w:left w:val="single" w:color="CCCCCC" w:sz="4"/>
              <w:bottom w:val="single" w:color="CCCCCC" w:sz="4"/>
              <w:right w:val="single" w:color="CCCCCC" w:sz="4"/>
            </w:tcBorders>
            <w:shd w:fill="FFFFFF" w:color="auto" w:val="clear"/>
          </w:tcPr>
          <w:p>
            <w:pPr>
              <w:spacing w:after="60" w:before="60"/>
            </w:pPr>
            <w:r>
              <w:rPr>
                <w:color w:val="222222"/>
                <w:sz w:val="17"/>
                <w:szCs w:val="17"/>
              </w:rPr>
              <w:t xml:space="preserve">H2: Next steps</w:t>
            </w:r>
          </w:p>
        </w:tc>
      </w:tr>
      <w:tr>
        <w:tc>
          <w:tcPr>
            <w:tcW w:type="dxa" w:w="2520"/>
            <w:tcBorders>
              <w:top w:val="single" w:color="CCCCCC" w:sz="4"/>
              <w:left w:val="single" w:color="CCCCCC" w:sz="4"/>
              <w:bottom w:val="single" w:color="CCCCCC" w:sz="4"/>
              <w:right w:val="single" w:color="CCCCCC" w:sz="4"/>
            </w:tcBorders>
            <w:shd w:fill="F0F2F5" w:color="auto" w:val="clear"/>
          </w:tcPr>
          <w:p>
            <w:pPr>
              <w:spacing w:after="60" w:before="60"/>
            </w:pPr>
            <w:r>
              <w:rPr>
                <w:i/>
                <w:iCs/>
                <w:color w:val="444444"/>
                <w:sz w:val="17"/>
                <w:szCs w:val="17"/>
              </w:rPr>
              <w:t xml:space="preserve">Grant Procurement Compliance Checklist post</w:t>
            </w:r>
          </w:p>
        </w:tc>
        <w:tc>
          <w:tcPr>
            <w:tcW w:type="dxa" w:w="3840"/>
            <w:tcBorders>
              <w:top w:val="single" w:color="CCCCCC" w:sz="4"/>
              <w:left w:val="single" w:color="CCCCCC" w:sz="4"/>
              <w:bottom w:val="single" w:color="CCCCCC" w:sz="4"/>
              <w:right w:val="single" w:color="CCCCCC" w:sz="4"/>
            </w:tcBorders>
            <w:shd w:fill="F0F2F5" w:color="auto" w:val="clear"/>
          </w:tcPr>
          <w:p>
            <w:pPr>
              <w:spacing w:after="60" w:before="60"/>
            </w:pPr>
            <w:r>
              <w:rPr>
                <w:color w:val="222222"/>
                <w:sz w:val="17"/>
                <w:szCs w:val="17"/>
              </w:rPr>
              <w:t xml:space="preserve">federal grant procurement compliance checklist</w:t>
            </w:r>
          </w:p>
        </w:tc>
        <w:tc>
          <w:tcPr>
            <w:tcW w:type="dxa" w:w="3000"/>
            <w:tcBorders>
              <w:top w:val="single" w:color="CCCCCC" w:sz="4"/>
              <w:left w:val="single" w:color="CCCCCC" w:sz="4"/>
              <w:bottom w:val="single" w:color="CCCCCC" w:sz="4"/>
              <w:right w:val="single" w:color="CCCCCC" w:sz="4"/>
            </w:tcBorders>
            <w:shd w:fill="F0F2F5" w:color="auto" w:val="clear"/>
          </w:tcPr>
          <w:p>
            <w:pPr>
              <w:spacing w:after="60" w:before="60"/>
            </w:pPr>
            <w:r>
              <w:rPr>
                <w:color w:val="222222"/>
                <w:sz w:val="17"/>
                <w:szCs w:val="17"/>
              </w:rPr>
              <w:t xml:space="preserve">H2: Next steps (compliance officer path)</w:t>
            </w:r>
          </w:p>
        </w:tc>
      </w:tr>
      <w:tr>
        <w:tc>
          <w:tcPr>
            <w:tcW w:type="dxa" w:w="2520"/>
            <w:tcBorders>
              <w:top w:val="single" w:color="CCCCCC" w:sz="4"/>
              <w:left w:val="single" w:color="CCCCCC" w:sz="4"/>
              <w:bottom w:val="single" w:color="CCCCCC" w:sz="4"/>
              <w:right w:val="single" w:color="CCCCCC" w:sz="4"/>
            </w:tcBorders>
            <w:shd w:fill="FFFFFF" w:color="auto" w:val="clear"/>
          </w:tcPr>
          <w:p>
            <w:pPr>
              <w:spacing w:after="60" w:before="60"/>
            </w:pPr>
            <w:r>
              <w:rPr>
                <w:i/>
                <w:iCs/>
                <w:color w:val="444444"/>
                <w:sz w:val="17"/>
                <w:szCs w:val="17"/>
              </w:rPr>
              <w:t xml:space="preserve">Higher Education pillar page</w:t>
            </w:r>
          </w:p>
        </w:tc>
        <w:tc>
          <w:tcPr>
            <w:tcW w:type="dxa" w:w="3840"/>
            <w:tcBorders>
              <w:top w:val="single" w:color="CCCCCC" w:sz="4"/>
              <w:left w:val="single" w:color="CCCCCC" w:sz="4"/>
              <w:bottom w:val="single" w:color="CCCCCC" w:sz="4"/>
              <w:right w:val="single" w:color="CCCCCC" w:sz="4"/>
            </w:tcBorders>
            <w:shd w:fill="FFFFFF" w:color="auto" w:val="clear"/>
          </w:tcPr>
          <w:p>
            <w:pPr>
              <w:spacing w:after="60" w:before="60"/>
            </w:pPr>
            <w:r>
              <w:rPr>
                <w:color w:val="222222"/>
                <w:sz w:val="17"/>
                <w:szCs w:val="17"/>
              </w:rPr>
              <w:t xml:space="preserve">higher education procurement platform</w:t>
            </w:r>
          </w:p>
        </w:tc>
        <w:tc>
          <w:tcPr>
            <w:tcW w:type="dxa" w:w="3000"/>
            <w:tcBorders>
              <w:top w:val="single" w:color="CCCCCC" w:sz="4"/>
              <w:left w:val="single" w:color="CCCCCC" w:sz="4"/>
              <w:bottom w:val="single" w:color="CCCCCC" w:sz="4"/>
              <w:right w:val="single" w:color="CCCCCC" w:sz="4"/>
            </w:tcBorders>
            <w:shd w:fill="FFFFFF" w:color="auto" w:val="clear"/>
          </w:tcPr>
          <w:p>
            <w:pPr>
              <w:spacing w:after="60" w:before="60"/>
            </w:pPr>
            <w:r>
              <w:rPr>
                <w:color w:val="222222"/>
                <w:sz w:val="17"/>
                <w:szCs w:val="17"/>
              </w:rPr>
              <w:t xml:space="preserve">Intro paragraph</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Borders>
              <w:top w:val="single" w:color="E6A817" w:sz="8"/>
              <w:left w:val="thick" w:color="E6A817" w:sz="16"/>
              <w:bottom w:val="single" w:color="E6A817" w:sz="8"/>
              <w:right w:val="single" w:color="E6A817" w:sz="8"/>
            </w:tcBorders>
            <w:shd w:fill="FFF8E7" w:color="auto" w:val="clear"/>
          </w:tcPr>
          <w:p>
            <w:pPr>
              <w:spacing w:after="60" w:before="60"/>
            </w:pPr>
            <w:r>
              <w:rPr>
                <w:b/>
                <w:bCs/>
                <w:color w:val="8B5E00"/>
                <w:sz w:val="17"/>
                <w:szCs w:val="17"/>
              </w:rPr>
              <w:t xml:space="preserve">💡 SEO NOTE  </w:t>
            </w:r>
            <w:r>
              <w:rPr>
                <w:i/>
                <w:iCs/>
                <w:color w:val="5C3D00"/>
                <w:sz w:val="17"/>
                <w:szCs w:val="17"/>
              </w:rPr>
              <w:t xml:space="preserve">The dual-path next steps structure (CPO → education-procurement page; compliance officer → Checklist post) is an intentional UX and SEO choice. Different internal link paths for different reader types reduce bounce rate (a negative ranking signal) and increase pages-per-session (a positive engagement signal). Jaggaer's CMS should track which CTA gets more clicks — that data directly informs which reader segment is larger for this topic.</w:t>
            </w:r>
          </w:p>
        </w:tc>
      </w:tr>
    </w:tbl>
    <w:p>
      <w:pPr>
        <w:spacing w:after="40" w:before="40"/>
      </w:pPr>
      <w:r>
        <w:t xml:space="preserve"/>
      </w:r>
    </w:p>
    <w:p>
      <w:pPr>
        <w:pStyle w:val="Heading2"/>
        <w:pBdr>
          <w:bottom w:val="single" w:color="1A2E4A" w:sz="6"/>
        </w:pBdr>
        <w:spacing w:after="100" w:before="280"/>
      </w:pPr>
      <w:r>
        <w:rPr>
          <w:b/>
          <w:bCs/>
          <w:color w:val="1A2E4A"/>
          <w:sz w:val="28"/>
          <w:szCs w:val="28"/>
        </w:rPr>
        <w:t xml:space="preserve">6. FAQ targets</w:t>
      </w:r>
    </w:p>
    <w:p>
      <w:pPr>
        <w:spacing w:after="80" w:before="60"/>
      </w:pPr>
      <w:r>
        <w:rPr>
          <w:color w:val="333333"/>
          <w:sz w:val="20"/>
          <w:szCs w:val="20"/>
        </w:rPr>
        <w:t xml:space="preserve">Each answer should be 2–3 sentences, written to target the PAA box. Answers must be self-contained — assume the reader may read only the FAQ. Questions are drawn from keyword data and PAA triggers.</w:t>
      </w:r>
    </w:p>
    <w:p>
      <w:pPr>
        <w:spacing w:after="40" w:before="40"/>
      </w:pPr>
      <w:r>
        <w:t xml:space="preserve"/>
      </w:r>
    </w:p>
    <w:p>
      <w:pPr>
        <w:spacing w:after="40" w:before="40"/>
        <w:ind w:left="360"/>
      </w:pPr>
      <w:r>
        <w:rPr>
          <w:color w:val="333333"/>
          <w:sz w:val="20"/>
          <w:szCs w:val="20"/>
        </w:rPr>
        <w:t xml:space="preserve">• What does OMB Uniform Guidance (2 CFR 200) require of university procurement?</w:t>
      </w:r>
    </w:p>
    <w:p>
      <w:pPr>
        <w:spacing w:after="40" w:before="40"/>
        <w:ind w:left="360"/>
      </w:pPr>
      <w:r>
        <w:rPr>
          <w:color w:val="333333"/>
          <w:sz w:val="20"/>
          <w:szCs w:val="20"/>
        </w:rPr>
        <w:t xml:space="preserve">• What are the procurement dollar thresholds under 2 CFR 200?</w:t>
      </w:r>
    </w:p>
    <w:p>
      <w:pPr>
        <w:spacing w:after="40" w:before="40"/>
        <w:ind w:left="360"/>
      </w:pPr>
      <w:r>
        <w:rPr>
          <w:color w:val="333333"/>
          <w:sz w:val="20"/>
          <w:szCs w:val="20"/>
        </w:rPr>
        <w:t xml:space="preserve">• How do NSF grant requirements differ from 2 CFR 200 baseline?</w:t>
      </w:r>
    </w:p>
    <w:p>
      <w:pPr>
        <w:spacing w:after="40" w:before="40"/>
        <w:ind w:left="360"/>
      </w:pPr>
      <w:r>
        <w:rPr>
          <w:color w:val="333333"/>
          <w:sz w:val="20"/>
          <w:szCs w:val="20"/>
        </w:rPr>
        <w:t xml:space="preserve">• What procurement documentation does NIH require for grant-funded purchases?</w:t>
      </w:r>
    </w:p>
    <w:p>
      <w:pPr>
        <w:spacing w:after="40" w:before="40"/>
        <w:ind w:left="360"/>
      </w:pPr>
      <w:r>
        <w:rPr>
          <w:color w:val="333333"/>
          <w:sz w:val="20"/>
          <w:szCs w:val="20"/>
        </w:rPr>
        <w:t xml:space="preserve">• What are the most common university procurement audit findings under Uniform Guidance?</w:t>
      </w:r>
    </w:p>
    <w:p>
      <w:pPr>
        <w:spacing w:after="40" w:before="40"/>
        <w:ind w:left="360"/>
      </w:pPr>
      <w:r>
        <w:rPr>
          <w:color w:val="333333"/>
          <w:sz w:val="20"/>
          <w:szCs w:val="20"/>
        </w:rPr>
        <w:t xml:space="preserve">• When is a sole-source procurement justifiable under 2 CFR 200?</w:t>
      </w:r>
    </w:p>
    <w:p>
      <w:pPr>
        <w:spacing w:after="40" w:before="40"/>
        <w:ind w:left="360"/>
      </w:pPr>
      <w:r>
        <w:rPr>
          <w:color w:val="333333"/>
          <w:sz w:val="20"/>
          <w:szCs w:val="20"/>
        </w:rPr>
        <w:t xml:space="preserve">• How long must universities retain procurement records for federally funded purchases?</w:t>
      </w:r>
    </w:p>
    <w:p>
      <w:pPr>
        <w:spacing w:after="40" w:before="40"/>
        <w:ind w:left="360"/>
      </w:pPr>
      <w:r>
        <w:rPr>
          <w:color w:val="333333"/>
          <w:sz w:val="20"/>
          <w:szCs w:val="20"/>
        </w:rPr>
        <w:t xml:space="preserve">• What is the difference between micro-purchase and simplified acquisition under 2 CFR 200?</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Borders>
              <w:top w:val="single" w:color="E6A817" w:sz="8"/>
              <w:left w:val="thick" w:color="E6A817" w:sz="16"/>
              <w:bottom w:val="single" w:color="E6A817" w:sz="8"/>
              <w:right w:val="single" w:color="E6A817" w:sz="8"/>
            </w:tcBorders>
            <w:shd w:fill="FFF8E7" w:color="auto" w:val="clear"/>
          </w:tcPr>
          <w:p>
            <w:pPr>
              <w:spacing w:after="60" w:before="60"/>
            </w:pPr>
            <w:r>
              <w:rPr>
                <w:b/>
                <w:bCs/>
                <w:color w:val="8B5E00"/>
                <w:sz w:val="17"/>
                <w:szCs w:val="17"/>
              </w:rPr>
              <w:t xml:space="preserve">💡 SEO NOTE  </w:t>
            </w:r>
            <w:r>
              <w:rPr>
                <w:i/>
                <w:iCs/>
                <w:color w:val="5C3D00"/>
                <w:sz w:val="17"/>
                <w:szCs w:val="17"/>
              </w:rPr>
              <w:t xml:space="preserve">The FAQ question "What are the procurement dollar thresholds under 2 CFR 200?" is the highest-priority FAQ item from an SEO perspective — it is searched daily by sponsored programs officers and has near-zero KD. Answer it with the exact current dollar figures from ecfr.gov. If OMB updates the thresholds, this FAQ answer is the first thing to update — stale threshold figures are a credibility red flag for specialist readers.</w:t>
            </w:r>
          </w:p>
        </w:tc>
      </w:tr>
    </w:tbl>
    <w:p>
      <w:pPr>
        <w:spacing w:after="40" w:before="40"/>
      </w:pPr>
      <w:r>
        <w:t xml:space="preserve"/>
      </w:r>
    </w:p>
    <w:p>
      <w:pPr>
        <w:pStyle w:val="Heading2"/>
        <w:pBdr>
          <w:bottom w:val="single" w:color="1A2E4A" w:sz="6"/>
        </w:pBdr>
        <w:spacing w:after="100" w:before="280"/>
      </w:pPr>
      <w:r>
        <w:rPr>
          <w:b/>
          <w:bCs/>
          <w:color w:val="1A2E4A"/>
          <w:sz w:val="28"/>
          <w:szCs w:val="28"/>
        </w:rPr>
        <w:t xml:space="preserve">7. SEO and technical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6960"/>
      </w:tblGrid>
      <w:tr>
        <w:tc>
          <w:tcPr>
            <w:tcW w:type="dxa" w:w="2400"/>
            <w:tcBorders>
              <w:top w:val="single" w:color="CCCCCC" w:sz="4"/>
              <w:left w:val="single" w:color="CCCCCC" w:sz="4"/>
              <w:bottom w:val="single" w:color="CCCCCC" w:sz="4"/>
              <w:right w:val="single" w:color="CCCCCC" w:sz="4"/>
            </w:tcBorders>
            <w:shd w:fill="1A2E4A" w:color="auto" w:val="clear"/>
          </w:tcPr>
          <w:p>
            <w:pPr>
              <w:spacing w:after="60" w:before="60"/>
            </w:pPr>
            <w:r>
              <w:rPr>
                <w:b/>
                <w:bCs/>
                <w:color w:val="FFFFFF"/>
                <w:sz w:val="18"/>
                <w:szCs w:val="18"/>
              </w:rPr>
              <w:t xml:space="preserve">Field</w:t>
            </w:r>
          </w:p>
        </w:tc>
        <w:tc>
          <w:tcPr>
            <w:tcW w:type="dxa" w:w="6960"/>
            <w:tcBorders>
              <w:top w:val="single" w:color="CCCCCC" w:sz="4"/>
              <w:left w:val="single" w:color="CCCCCC" w:sz="4"/>
              <w:bottom w:val="single" w:color="CCCCCC" w:sz="4"/>
              <w:right w:val="single" w:color="CCCCCC" w:sz="4"/>
            </w:tcBorders>
            <w:shd w:fill="1A2E4A" w:color="auto" w:val="clear"/>
          </w:tcPr>
          <w:p>
            <w:pPr>
              <w:spacing w:after="60" w:before="60"/>
            </w:pPr>
            <w:r>
              <w:rPr>
                <w:b/>
                <w:bCs/>
                <w:color w:val="FFFFFF"/>
                <w:sz w:val="18"/>
                <w:szCs w:val="18"/>
              </w:rPr>
              <w:t xml:space="preserve">Value / guidance</w:t>
            </w:r>
          </w:p>
        </w:tc>
      </w:tr>
      <w:tr>
        <w:tc>
          <w:tcPr>
            <w:tcW w:type="dxa" w:w="2400"/>
            <w:tcBorders>
              <w:top w:val="single" w:color="CCCCCC" w:sz="4"/>
              <w:left w:val="single" w:color="CCCCCC" w:sz="4"/>
              <w:bottom w:val="single" w:color="CCCCCC" w:sz="4"/>
              <w:right w:val="single" w:color="CCCCCC" w:sz="4"/>
            </w:tcBorders>
            <w:shd w:fill="F0F2F5" w:color="auto" w:val="clear"/>
          </w:tcPr>
          <w:p>
            <w:pPr>
              <w:spacing w:after="60" w:before="60"/>
            </w:pPr>
            <w:r>
              <w:rPr>
                <w:i/>
                <w:iCs/>
                <w:color w:val="444444"/>
                <w:sz w:val="17"/>
                <w:szCs w:val="17"/>
              </w:rPr>
              <w:t xml:space="preserve">URL</w:t>
            </w:r>
          </w:p>
        </w:tc>
        <w:tc>
          <w:tcPr>
            <w:tcW w:type="dxa" w:w="6960"/>
            <w:tcBorders>
              <w:top w:val="single" w:color="CCCCCC" w:sz="4"/>
              <w:left w:val="single" w:color="CCCCCC" w:sz="4"/>
              <w:bottom w:val="single" w:color="CCCCCC" w:sz="4"/>
              <w:right w:val="single" w:color="CCCCCC" w:sz="4"/>
            </w:tcBorders>
            <w:shd w:fill="F0F2F5" w:color="auto" w:val="clear"/>
          </w:tcPr>
          <w:p>
            <w:pPr>
              <w:spacing w:after="60" w:before="60"/>
            </w:pPr>
            <w:r>
              <w:rPr>
                <w:color w:val="222222"/>
                <w:sz w:val="17"/>
                <w:szCs w:val="17"/>
              </w:rPr>
              <w:t xml:space="preserve">/omb-uniform-guidance-university-procurement-2026</w:t>
            </w:r>
          </w:p>
        </w:tc>
      </w:tr>
      <w:tr>
        <w:tc>
          <w:tcPr>
            <w:tcW w:type="dxa" w:w="2400"/>
            <w:tcBorders>
              <w:top w:val="single" w:color="CCCCCC" w:sz="4"/>
              <w:left w:val="single" w:color="CCCCCC" w:sz="4"/>
              <w:bottom w:val="single" w:color="CCCCCC" w:sz="4"/>
              <w:right w:val="single" w:color="CCCCCC" w:sz="4"/>
            </w:tcBorders>
            <w:shd w:fill="FFFFFF" w:color="auto" w:val="clear"/>
          </w:tcPr>
          <w:p>
            <w:pPr>
              <w:spacing w:after="60" w:before="60"/>
            </w:pPr>
            <w:r>
              <w:rPr>
                <w:i/>
                <w:iCs/>
                <w:color w:val="444444"/>
                <w:sz w:val="17"/>
                <w:szCs w:val="17"/>
              </w:rPr>
              <w:t xml:space="preserve">Title tag</w:t>
            </w:r>
          </w:p>
        </w:tc>
        <w:tc>
          <w:tcPr>
            <w:tcW w:type="dxa" w:w="6960"/>
            <w:tcBorders>
              <w:top w:val="single" w:color="CCCCCC" w:sz="4"/>
              <w:left w:val="single" w:color="CCCCCC" w:sz="4"/>
              <w:bottom w:val="single" w:color="CCCCCC" w:sz="4"/>
              <w:right w:val="single" w:color="CCCCCC" w:sz="4"/>
            </w:tcBorders>
            <w:shd w:fill="FFFFFF" w:color="auto" w:val="clear"/>
          </w:tcPr>
          <w:p>
            <w:pPr>
              <w:spacing w:after="60" w:before="60"/>
            </w:pPr>
            <w:r>
              <w:rPr>
                <w:color w:val="222222"/>
                <w:sz w:val="17"/>
                <w:szCs w:val="17"/>
              </w:rPr>
              <w:t xml:space="preserve">OMB Uniform Guidance 2026: University Procurement Compliance Gaps — 67 chars</w:t>
            </w:r>
          </w:p>
        </w:tc>
      </w:tr>
      <w:tr>
        <w:tc>
          <w:tcPr>
            <w:tcW w:type="dxa" w:w="2400"/>
            <w:tcBorders>
              <w:top w:val="single" w:color="CCCCCC" w:sz="4"/>
              <w:left w:val="single" w:color="CCCCCC" w:sz="4"/>
              <w:bottom w:val="single" w:color="CCCCCC" w:sz="4"/>
              <w:right w:val="single" w:color="CCCCCC" w:sz="4"/>
            </w:tcBorders>
            <w:shd w:fill="F0F2F5" w:color="auto" w:val="clear"/>
          </w:tcPr>
          <w:p>
            <w:pPr>
              <w:spacing w:after="60" w:before="60"/>
            </w:pPr>
            <w:r>
              <w:rPr>
                <w:i/>
                <w:iCs/>
                <w:color w:val="444444"/>
                <w:sz w:val="17"/>
                <w:szCs w:val="17"/>
              </w:rPr>
              <w:t xml:space="preserve">Meta description</w:t>
            </w:r>
          </w:p>
        </w:tc>
        <w:tc>
          <w:tcPr>
            <w:tcW w:type="dxa" w:w="6960"/>
            <w:tcBorders>
              <w:top w:val="single" w:color="CCCCCC" w:sz="4"/>
              <w:left w:val="single" w:color="CCCCCC" w:sz="4"/>
              <w:bottom w:val="single" w:color="CCCCCC" w:sz="4"/>
              <w:right w:val="single" w:color="CCCCCC" w:sz="4"/>
            </w:tcBorders>
            <w:shd w:fill="F0F2F5" w:color="auto" w:val="clear"/>
          </w:tcPr>
          <w:p>
            <w:pPr>
              <w:spacing w:after="60" w:before="60"/>
            </w:pPr>
            <w:r>
              <w:rPr>
                <w:color w:val="222222"/>
                <w:sz w:val="17"/>
                <w:szCs w:val="17"/>
              </w:rPr>
              <w:t xml:space="preserve">Most university procurement teams know 2 CFR 200 exists. Fewer know the specific gaps that trigger federal audit findings. Here is what to check in 2026.</w:t>
            </w:r>
          </w:p>
        </w:tc>
      </w:tr>
      <w:tr>
        <w:tc>
          <w:tcPr>
            <w:tcW w:type="dxa" w:w="2400"/>
            <w:tcBorders>
              <w:top w:val="single" w:color="CCCCCC" w:sz="4"/>
              <w:left w:val="single" w:color="CCCCCC" w:sz="4"/>
              <w:bottom w:val="single" w:color="CCCCCC" w:sz="4"/>
              <w:right w:val="single" w:color="CCCCCC" w:sz="4"/>
            </w:tcBorders>
            <w:shd w:fill="FFFFFF" w:color="auto" w:val="clear"/>
          </w:tcPr>
          <w:p>
            <w:pPr>
              <w:spacing w:after="60" w:before="60"/>
            </w:pPr>
            <w:r>
              <w:rPr>
                <w:i/>
                <w:iCs/>
                <w:color w:val="444444"/>
                <w:sz w:val="17"/>
                <w:szCs w:val="17"/>
              </w:rPr>
              <w:t xml:space="preserve">Schema markup</w:t>
            </w:r>
          </w:p>
        </w:tc>
        <w:tc>
          <w:tcPr>
            <w:tcW w:type="dxa" w:w="6960"/>
            <w:tcBorders>
              <w:top w:val="single" w:color="CCCCCC" w:sz="4"/>
              <w:left w:val="single" w:color="CCCCCC" w:sz="4"/>
              <w:bottom w:val="single" w:color="CCCCCC" w:sz="4"/>
              <w:right w:val="single" w:color="CCCCCC" w:sz="4"/>
            </w:tcBorders>
            <w:shd w:fill="FFFFFF" w:color="auto" w:val="clear"/>
          </w:tcPr>
          <w:p>
            <w:pPr>
              <w:spacing w:after="60" w:before="60"/>
            </w:pPr>
            <w:r>
              <w:rPr>
                <w:color w:val="222222"/>
                <w:sz w:val="17"/>
                <w:szCs w:val="17"/>
              </w:rPr>
              <w:t xml:space="preserve">Article + FAQPage schema on the FAQ section</w:t>
            </w:r>
          </w:p>
        </w:tc>
      </w:tr>
      <w:tr>
        <w:tc>
          <w:tcPr>
            <w:tcW w:type="dxa" w:w="2400"/>
            <w:tcBorders>
              <w:top w:val="single" w:color="CCCCCC" w:sz="4"/>
              <w:left w:val="single" w:color="CCCCCC" w:sz="4"/>
              <w:bottom w:val="single" w:color="CCCCCC" w:sz="4"/>
              <w:right w:val="single" w:color="CCCCCC" w:sz="4"/>
            </w:tcBorders>
            <w:shd w:fill="F0F2F5" w:color="auto" w:val="clear"/>
          </w:tcPr>
          <w:p>
            <w:pPr>
              <w:spacing w:after="60" w:before="60"/>
            </w:pPr>
            <w:r>
              <w:rPr>
                <w:i/>
                <w:iCs/>
                <w:color w:val="444444"/>
                <w:sz w:val="17"/>
                <w:szCs w:val="17"/>
              </w:rPr>
              <w:t xml:space="preserve">Update cadence</w:t>
            </w:r>
          </w:p>
        </w:tc>
        <w:tc>
          <w:tcPr>
            <w:tcW w:type="dxa" w:w="6960"/>
            <w:tcBorders>
              <w:top w:val="single" w:color="CCCCCC" w:sz="4"/>
              <w:left w:val="single" w:color="CCCCCC" w:sz="4"/>
              <w:bottom w:val="single" w:color="CCCCCC" w:sz="4"/>
              <w:right w:val="single" w:color="CCCCCC" w:sz="4"/>
            </w:tcBorders>
            <w:shd w:fill="F0F2F5" w:color="auto" w:val="clear"/>
          </w:tcPr>
          <w:p>
            <w:pPr>
              <w:spacing w:after="60" w:before="60"/>
            </w:pPr>
            <w:r>
              <w:rPr>
                <w:color w:val="222222"/>
                <w:sz w:val="17"/>
                <w:szCs w:val="17"/>
              </w:rPr>
              <w:t xml:space="preserve">Review when OMB issues revised 2 CFR 200 guidance, when NSF or NIH update award terms, or when a significant OIG audit report is published. Add "Last reviewed: [date]" below H1.</w:t>
            </w:r>
          </w:p>
        </w:tc>
      </w:tr>
      <w:tr>
        <w:tc>
          <w:tcPr>
            <w:tcW w:type="dxa" w:w="2400"/>
            <w:tcBorders>
              <w:top w:val="single" w:color="CCCCCC" w:sz="4"/>
              <w:left w:val="single" w:color="CCCCCC" w:sz="4"/>
              <w:bottom w:val="single" w:color="CCCCCC" w:sz="4"/>
              <w:right w:val="single" w:color="CCCCCC" w:sz="4"/>
            </w:tcBorders>
            <w:shd w:fill="FFFFFF" w:color="auto" w:val="clear"/>
          </w:tcPr>
          <w:p>
            <w:pPr>
              <w:spacing w:after="60" w:before="60"/>
            </w:pPr>
            <w:r>
              <w:rPr>
                <w:i/>
                <w:iCs/>
                <w:color w:val="444444"/>
                <w:sz w:val="17"/>
                <w:szCs w:val="17"/>
              </w:rPr>
              <w:t xml:space="preserve">Canonical</w:t>
            </w:r>
          </w:p>
        </w:tc>
        <w:tc>
          <w:tcPr>
            <w:tcW w:type="dxa" w:w="6960"/>
            <w:tcBorders>
              <w:top w:val="single" w:color="CCCCCC" w:sz="4"/>
              <w:left w:val="single" w:color="CCCCCC" w:sz="4"/>
              <w:bottom w:val="single" w:color="CCCCCC" w:sz="4"/>
              <w:right w:val="single" w:color="CCCCCC" w:sz="4"/>
            </w:tcBorders>
            <w:shd w:fill="FFFFFF" w:color="auto" w:val="clear"/>
          </w:tcPr>
          <w:p>
            <w:pPr>
              <w:spacing w:after="60" w:before="60"/>
            </w:pPr>
            <w:r>
              <w:rPr>
                <w:color w:val="222222"/>
                <w:sz w:val="17"/>
                <w:szCs w:val="17"/>
              </w:rPr>
              <w:t xml:space="preserve">Self-canonical. No date variants.</w:t>
            </w:r>
          </w:p>
        </w:tc>
      </w:tr>
      <w:tr>
        <w:tc>
          <w:tcPr>
            <w:tcW w:type="dxa" w:w="2400"/>
            <w:tcBorders>
              <w:top w:val="single" w:color="CCCCCC" w:sz="4"/>
              <w:left w:val="single" w:color="CCCCCC" w:sz="4"/>
              <w:bottom w:val="single" w:color="CCCCCC" w:sz="4"/>
              <w:right w:val="single" w:color="CCCCCC" w:sz="4"/>
            </w:tcBorders>
            <w:shd w:fill="F0F2F5" w:color="auto" w:val="clear"/>
          </w:tcPr>
          <w:p>
            <w:pPr>
              <w:spacing w:after="60" w:before="60"/>
            </w:pPr>
            <w:r>
              <w:rPr>
                <w:i/>
                <w:iCs/>
                <w:color w:val="444444"/>
                <w:sz w:val="17"/>
                <w:szCs w:val="17"/>
              </w:rPr>
              <w:t xml:space="preserve">Disclaimer</w:t>
            </w:r>
          </w:p>
        </w:tc>
        <w:tc>
          <w:tcPr>
            <w:tcW w:type="dxa" w:w="6960"/>
            <w:tcBorders>
              <w:top w:val="single" w:color="CCCCCC" w:sz="4"/>
              <w:left w:val="single" w:color="CCCCCC" w:sz="4"/>
              <w:bottom w:val="single" w:color="CCCCCC" w:sz="4"/>
              <w:right w:val="single" w:color="CCCCCC" w:sz="4"/>
            </w:tcBorders>
            <w:shd w:fill="F0F2F5" w:color="auto" w:val="clear"/>
          </w:tcPr>
          <w:p>
            <w:pPr>
              <w:spacing w:after="60" w:before="60"/>
            </w:pPr>
            <w:r>
              <w:rPr>
                <w:color w:val="222222"/>
                <w:sz w:val="17"/>
                <w:szCs w:val="17"/>
              </w:rPr>
              <w:t xml:space="preserve">This post is for informational purposes only and does not constitute legal or compliance advice. Universities should consult their sponsored programs office and legal counsel for institution-specific guidance.</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Borders>
              <w:top w:val="single" w:color="E6A817" w:sz="8"/>
              <w:left w:val="thick" w:color="E6A817" w:sz="16"/>
              <w:bottom w:val="single" w:color="E6A817" w:sz="8"/>
              <w:right w:val="single" w:color="E6A817" w:sz="8"/>
            </w:tcBorders>
            <w:shd w:fill="FFF8E7" w:color="auto" w:val="clear"/>
          </w:tcPr>
          <w:p>
            <w:pPr>
              <w:spacing w:after="60" w:before="60"/>
            </w:pPr>
            <w:r>
              <w:rPr>
                <w:b/>
                <w:bCs/>
                <w:color w:val="8B5E00"/>
                <w:sz w:val="17"/>
                <w:szCs w:val="17"/>
              </w:rPr>
              <w:t xml:space="preserve">💡 SEO NOTE  </w:t>
            </w:r>
            <w:r>
              <w:rPr>
                <w:i/>
                <w:iCs/>
                <w:color w:val="5C3D00"/>
                <w:sz w:val="17"/>
                <w:szCs w:val="17"/>
              </w:rPr>
              <w:t xml:space="preserve">This post competes directly with .edu and .gov domains that have strong inherent authority. The primary off-page SEO strategy should be outreach to sponsored programs office newsletters and university procurement association publications (NAEP, Big Ten Academic Alliance procurement groups) — these generate high-authority .edu backlinks that directly counterbalance the domain authority gap. A single link from a research university's sponsored programs page is worth more than 50 generic .com backlinks for this query.</w:t>
            </w:r>
          </w:p>
        </w:tc>
      </w:tr>
    </w:tbl>
    <w:p>
      <w:pPr>
        <w:spacing w:after="40" w:before="40"/>
      </w:pPr>
      <w:r>
        <w:t xml:space="preserve"/>
      </w:r>
    </w:p>
    <w:p>
      <w:pPr>
        <w:pStyle w:val="Heading2"/>
        <w:pBdr>
          <w:bottom w:val="single" w:color="1A2E4A" w:sz="6"/>
        </w:pBdr>
        <w:spacing w:after="100" w:before="280"/>
      </w:pPr>
      <w:r>
        <w:rPr>
          <w:b/>
          <w:bCs/>
          <w:color w:val="1A2E4A"/>
          <w:sz w:val="28"/>
          <w:szCs w:val="28"/>
        </w:rPr>
        <w:t xml:space="preserve">8. Recommended sources</w:t>
      </w:r>
    </w:p>
    <w:p>
      <w:pPr>
        <w:spacing w:after="80" w:before="60"/>
      </w:pPr>
      <w:r>
        <w:rPr>
          <w:color w:val="333333"/>
          <w:sz w:val="20"/>
          <w:szCs w:val="20"/>
        </w:rPr>
        <w:t xml:space="preserve">List only primary sources: official regulatory text, government publications, peer-reviewed research, or official organisation guidance. Do not list vendor blogs, advisory marketing content, or news articles as primary sources for factual claims.</w:t>
      </w:r>
    </w:p>
    <w:p>
      <w:pPr>
        <w:spacing w:after="40" w:before="40"/>
      </w:pPr>
      <w:r>
        <w:t xml:space="preserve"/>
      </w:r>
    </w:p>
    <w:p>
      <w:pPr>
        <w:spacing w:after="40" w:before="40"/>
        <w:ind w:left="360"/>
      </w:pPr>
      <w:r>
        <w:rPr>
          <w:color w:val="333333"/>
          <w:sz w:val="20"/>
          <w:szCs w:val="20"/>
        </w:rPr>
        <w:t xml:space="preserve">• OMB — 2 CFR Part 200 (Uniform Guidance) — ecfr.gov</w:t>
      </w:r>
    </w:p>
    <w:p>
      <w:pPr>
        <w:spacing w:after="40" w:before="40"/>
        <w:ind w:left="360"/>
      </w:pPr>
      <w:r>
        <w:rPr>
          <w:color w:val="333333"/>
          <w:sz w:val="20"/>
          <w:szCs w:val="20"/>
        </w:rPr>
        <w:t xml:space="preserve">• NSF — Award &amp; Administration Guide (AAG) — nsf.gov</w:t>
      </w:r>
    </w:p>
    <w:p>
      <w:pPr>
        <w:spacing w:after="40" w:before="40"/>
        <w:ind w:left="360"/>
      </w:pPr>
      <w:r>
        <w:rPr>
          <w:color w:val="333333"/>
          <w:sz w:val="20"/>
          <w:szCs w:val="20"/>
        </w:rPr>
        <w:t xml:space="preserve">• NIH — Grants Policy Statement — grants.nih.gov</w:t>
      </w:r>
    </w:p>
    <w:p>
      <w:pPr>
        <w:spacing w:after="40" w:before="40"/>
        <w:ind w:left="360"/>
      </w:pPr>
      <w:r>
        <w:rPr>
          <w:color w:val="333333"/>
          <w:sz w:val="20"/>
          <w:szCs w:val="20"/>
        </w:rPr>
        <w:t xml:space="preserve">• HHS OIG — University audit reports — oig.hhs.gov</w:t>
      </w:r>
    </w:p>
    <w:p>
      <w:pPr>
        <w:spacing w:after="40" w:before="40"/>
        <w:ind w:left="360"/>
      </w:pPr>
      <w:r>
        <w:rPr>
          <w:color w:val="333333"/>
          <w:sz w:val="20"/>
          <w:szCs w:val="20"/>
        </w:rPr>
        <w:t xml:space="preserve">• NSF OIG — Audit findings — oig.nsf.gov</w:t>
      </w:r>
    </w:p>
    <w:p>
      <w:pPr>
        <w:spacing w:after="40" w:before="40"/>
        <w:ind w:left="360"/>
      </w:pPr>
      <w:r>
        <w:rPr>
          <w:color w:val="333333"/>
          <w:sz w:val="20"/>
          <w:szCs w:val="20"/>
        </w:rPr>
        <w:t xml:space="preserve">• Department of Education OIG — Higher education procurement audits — ed.gov/oig</w:t>
      </w:r>
    </w:p>
    <w:p>
      <w:pPr>
        <w:spacing w:after="40" w:before="40"/>
      </w:pPr>
      <w:r>
        <w:t xml:space="preserve"/>
      </w:r>
    </w:p>
    <w:p>
      <w:pPr>
        <w:spacing w:after="80" w:before="40"/>
      </w:pPr>
      <w:r>
        <w:rPr>
          <w:i/>
          <w:iCs/>
          <w:color w:val="888888"/>
          <w:sz w:val="18"/>
          <w:szCs w:val="18"/>
        </w:rPr>
        <w:t xml:space="preserve">All regulatory citations (section numbers, dollar thresholds, documentation requirements) must be sourced directly from the current 2 CFR 200 text on ecfr.gov. All audit finding themes must be drawn from published OIG reports — do not characterise findings not in a published report. Errors here carry serious reputational risk on a .com domain covering federal compliance topics, and will be caught by specialist readers who work with these regulations daily.</w:t>
      </w:r>
    </w:p>
    <w:p>
      <w:pPr>
        <w:spacing w:after="40" w:before="40"/>
      </w:pPr>
      <w:r>
        <w:t xml:space="preserve"/>
      </w:r>
    </w:p>
    <w:p>
      <w:pPr>
        <w:spacing w:after="80" w:before="40"/>
      </w:pPr>
      <w:r>
        <w:rPr>
          <w:i/>
          <w:iCs/>
          <w:color w:val="888888"/>
          <w:sz w:val="18"/>
          <w:szCs w:val="18"/>
        </w:rPr>
        <w:t xml:space="preserve">This brief was generated from MSV keyword data dated July 2026. This document is not legal advice.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2026-07-24T11:48:33.308Z</dcterms:created>
  <dcterms:modified xsi:type="dcterms:W3CDTF">2026-07-24T11:48:33.308Z</dcterms:modified>
</cp:coreProperties>
</file>

<file path=docProps/custom.xml><?xml version="1.0" encoding="utf-8"?>
<Properties xmlns="http://schemas.openxmlformats.org/officeDocument/2006/custom-properties" xmlns:vt="http://schemas.openxmlformats.org/officeDocument/2006/docPropsVTypes"/>
</file>