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Arial" w:cs="Arial" w:eastAsia="Arial" w:hAnsi="Arial"/>
          <w:b/>
          <w:bCs/>
          <w:color w:val="1C2B3A"/>
          <w:sz w:val="44"/>
          <w:szCs w:val="44"/>
        </w:rPr>
        <w:t xml:space="preserve">Blog Content Style Guide &amp; Rubric</w:t>
      </w:r>
    </w:p>
    <w:p>
      <w:pPr>
        <w:spacing w:after="200"/>
      </w:pPr>
      <w:r>
        <w:rPr>
          <w:rFonts w:ascii="Arial" w:cs="Arial" w:eastAsia="Arial" w:hAnsi="Arial"/>
          <w:i/>
          <w:iCs/>
          <w:color w:val="595959"/>
          <w:sz w:val="22"/>
          <w:szCs w:val="22"/>
        </w:rPr>
        <w:t xml:space="preserve">Version 2.0  |  August 2026</w:t>
      </w:r>
    </w:p>
    <w:p>
      <w:pPr>
        <w:spacing w:after="300"/>
      </w:pPr>
      <w:r>
        <w:rPr>
          <w:rFonts w:ascii="Arial" w:cs="Arial" w:eastAsia="Arial" w:hAnsi="Arial"/>
          <w:i/>
          <w:iCs/>
          <w:sz w:val="22"/>
          <w:szCs w:val="22"/>
        </w:rPr>
        <w:t xml:space="preserve">This document consolidates all client feedback and agreed standards for every content piece produced for the Jaggaer engagement. All writers and reviewers must reference this guide before submitting any draft.</w:t>
      </w:r>
    </w:p>
    <w:tbl>
      <w:tblPr>
        <w:tblW w:type="pct" w:w="100%"/>
        <w:tblBorders>
          <w:top w:val="single" w:color="D0D0D0" w:sz="4"/>
          <w:left w:val="single" w:color="D0D0D0" w:sz="4"/>
          <w:bottom w:val="single" w:color="D0D0D0" w:sz="4"/>
          <w:right w:val="single" w:color="D0D0D0" w:sz="4"/>
          <w:insideH w:val="single" w:color="D0D0D0" w:sz="4"/>
          <w:insideV w:val="single" w:color="D0D0D0" w:sz="4"/>
        </w:tblBorders>
      </w:tblPr>
      <w:tblGrid>
        <w:gridCol w:w="100"/>
      </w:tblGrid>
      <w:tr>
        <w:tc>
          <w:tcPr>
            <w:shd w:fill="FEF9E7" w:val="clear"/>
            <w:tcMar>
              <w:top w:type="dxa" w:w="100"/>
              <w:left w:type="dxa" w:w="150"/>
              <w:bottom w:type="dxa" w:w="100"/>
              <w:right w:type="dxa" w:w="150"/>
            </w:tcMar>
          </w:tcPr>
          <w:p>
            <w:pPr>
              <w:spacing w:after="60"/>
            </w:pPr>
            <w:r>
              <w:rPr>
                <w:rFonts w:ascii="Arial" w:cs="Arial" w:eastAsia="Arial" w:hAnsi="Arial"/>
                <w:b/>
                <w:bCs/>
                <w:color w:val="1C2B3A"/>
                <w:sz w:val="22"/>
                <w:szCs w:val="22"/>
              </w:rPr>
              <w:t xml:space="preserve">What changed in v2.0</w:t>
            </w:r>
          </w:p>
          <w:p>
            <w:r>
              <w:rPr>
                <w:rFonts w:ascii="Arial" w:cs="Arial" w:eastAsia="Arial" w:hAnsi="Arial"/>
                <w:color w:val="000000"/>
                <w:sz w:val="22"/>
                <w:szCs w:val="22"/>
              </w:rPr>
              <w:t xml:space="preserve">Updated to incorporate Indy Chakrabarti's consolidated review comments (Aug 11, 2026). Key changes: earlier and progressively deeper CTA placement, named-source-first attribution in opening sentences, numerals over spelled-out statistics, removal of AI meta-commentary, explicit contrast framing for data points, a text-not-image requirement for AI and search crawlability, quarter-level currency signals, and a new customer reference compliance check. Full list of source comments is available in Indy_Comments_updated_11082026.xlsx.</w:t>
            </w:r>
          </w:p>
        </w:tc>
      </w:tr>
    </w:tbl>
    <w:p>
      <w:pPr>
        <w:spacing w:after="300"/>
      </w:pPr>
    </w:p>
    <w:p>
      <w:pPr>
        <w:pStyle w:val="Heading1"/>
        <w:spacing w:after="200" w:before="400"/>
      </w:pPr>
      <w:r>
        <w:rPr>
          <w:rFonts w:ascii="Arial" w:cs="Arial" w:eastAsia="Arial" w:hAnsi="Arial"/>
          <w:b/>
          <w:bCs/>
          <w:color w:val="1C2B3A"/>
          <w:sz w:val="32"/>
          <w:szCs w:val="32"/>
        </w:rPr>
        <w:t xml:space="preserve">1. Purpose &amp; How to Use This Guide</w:t>
      </w:r>
    </w:p>
    <w:p>
      <w:pPr>
        <w:spacing w:after="160" w:before="0"/>
        <w:jc w:val="left"/>
      </w:pPr>
      <w:r>
        <w:rPr>
          <w:rFonts w:ascii="Arial" w:cs="Arial" w:eastAsia="Arial" w:hAnsi="Arial"/>
          <w:b w:val="false"/>
          <w:bCs w:val="false"/>
          <w:i w:val="false"/>
          <w:iCs w:val="false"/>
          <w:color w:val="000000"/>
          <w:sz w:val="22"/>
          <w:szCs w:val="22"/>
        </w:rPr>
        <w:t xml:space="preserve">This style guide is the single source of truth for all blog and long-form content produced under the Jaggaer x Netscribes content intelligence engagement. Every article must be checked against this rubric before it is shared with the Jaggaer team.</w:t>
      </w:r>
    </w:p>
    <w:p>
      <w:pPr>
        <w:spacing w:after="160" w:before="0"/>
      </w:pPr>
      <w:r>
        <w:rPr>
          <w:rFonts w:ascii="Arial" w:cs="Arial" w:eastAsia="Arial" w:hAnsi="Arial"/>
          <w:b/>
          <w:bCs/>
          <w:i w:val="false"/>
          <w:iCs w:val="false"/>
          <w:color w:val="000000"/>
          <w:sz w:val="22"/>
          <w:szCs w:val="22"/>
        </w:rPr>
        <w:t xml:space="preserve">The guide covers three areas:</w:t>
      </w:r>
    </w:p>
    <w:p>
      <w:pPr>
        <w:pStyle w:val="ListParagraph"/>
        <w:numPr>
          <w:ilvl w:val="0"/>
          <w:numId w:val="2"/>
        </w:numPr>
        <w:spacing w:after="100"/>
      </w:pPr>
      <w:r>
        <w:rPr>
          <w:rFonts w:ascii="Arial" w:cs="Arial" w:eastAsia="Arial" w:hAnsi="Arial"/>
          <w:b w:val="false"/>
          <w:bCs w:val="false"/>
          <w:color w:val="000000"/>
          <w:sz w:val="22"/>
          <w:szCs w:val="22"/>
        </w:rPr>
        <w:t xml:space="preserve">Content objectives - what every article must achieve</w:t>
      </w:r>
    </w:p>
    <w:p>
      <w:pPr>
        <w:pStyle w:val="ListParagraph"/>
        <w:numPr>
          <w:ilvl w:val="0"/>
          <w:numId w:val="2"/>
        </w:numPr>
        <w:spacing w:after="100"/>
      </w:pPr>
      <w:r>
        <w:rPr>
          <w:rFonts w:ascii="Arial" w:cs="Arial" w:eastAsia="Arial" w:hAnsi="Arial"/>
          <w:b w:val="false"/>
          <w:bCs w:val="false"/>
          <w:color w:val="000000"/>
          <w:sz w:val="22"/>
          <w:szCs w:val="22"/>
        </w:rPr>
        <w:t xml:space="preserve">Writing standards - how the content must be written</w:t>
      </w:r>
    </w:p>
    <w:p>
      <w:pPr>
        <w:pStyle w:val="ListParagraph"/>
        <w:numPr>
          <w:ilvl w:val="0"/>
          <w:numId w:val="2"/>
        </w:numPr>
        <w:spacing w:after="100"/>
      </w:pPr>
      <w:r>
        <w:rPr>
          <w:rFonts w:ascii="Arial" w:cs="Arial" w:eastAsia="Arial" w:hAnsi="Arial"/>
          <w:b w:val="false"/>
          <w:bCs w:val="false"/>
          <w:color w:val="000000"/>
          <w:sz w:val="22"/>
          <w:szCs w:val="22"/>
        </w:rPr>
        <w:t xml:space="preserve">Design and formatting rules - how the content must look</w:t>
      </w:r>
    </w:p>
    <w:p>
      <w:pPr>
        <w:spacing w:after="200"/>
      </w:pPr>
    </w:p>
    <w:p>
      <w:pPr>
        <w:pStyle w:val="Heading1"/>
        <w:spacing w:after="200" w:before="400"/>
      </w:pPr>
      <w:r>
        <w:rPr>
          <w:rFonts w:ascii="Arial" w:cs="Arial" w:eastAsia="Arial" w:hAnsi="Arial"/>
          <w:b/>
          <w:bCs/>
          <w:color w:val="1C2B3A"/>
          <w:sz w:val="32"/>
          <w:szCs w:val="32"/>
        </w:rPr>
        <w:t xml:space="preserve">2. Content Objectives - Priority Order</w:t>
      </w:r>
    </w:p>
    <w:p>
      <w:pPr>
        <w:spacing w:after="160" w:before="0"/>
        <w:jc w:val="left"/>
      </w:pPr>
      <w:r>
        <w:rPr>
          <w:rFonts w:ascii="Arial" w:cs="Arial" w:eastAsia="Arial" w:hAnsi="Arial"/>
          <w:b w:val="false"/>
          <w:bCs w:val="false"/>
          <w:i w:val="false"/>
          <w:iCs w:val="false"/>
          <w:color w:val="000000"/>
          <w:sz w:val="22"/>
          <w:szCs w:val="22"/>
        </w:rPr>
        <w:t xml:space="preserve">Every article must serve the following objectives, in this priority order: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10%"/>
            <w:shd w:fill="1C2B3A" w:val="clear"/>
            <w:tcMar>
              <w:top w:type="dxa" w:w="100"/>
              <w:left w:type="dxa" w:w="150"/>
              <w:bottom w:type="dxa" w:w="100"/>
              <w:right w:type="dxa" w:w="150"/>
            </w:tcMar>
          </w:tcPr>
          <w:p>
            <w:r>
              <w:rPr>
                <w:rFonts w:ascii="Arial" w:cs="Arial" w:eastAsia="Arial" w:hAnsi="Arial"/>
                <w:b/>
                <w:bCs/>
                <w:color w:val="FFFFFF"/>
                <w:sz w:val="20"/>
                <w:szCs w:val="20"/>
              </w:rPr>
              <w:t xml:space="preserve">Priority</w:t>
            </w:r>
          </w:p>
        </w:tc>
        <w:tc>
          <w:tcPr>
            <w:tcW w:type="pct" w:w="25%"/>
            <w:shd w:fill="1C2B3A" w:val="clear"/>
            <w:tcMar>
              <w:top w:type="dxa" w:w="100"/>
              <w:left w:type="dxa" w:w="150"/>
              <w:bottom w:type="dxa" w:w="100"/>
              <w:right w:type="dxa" w:w="150"/>
            </w:tcMar>
          </w:tcPr>
          <w:p>
            <w:r>
              <w:rPr>
                <w:rFonts w:ascii="Arial" w:cs="Arial" w:eastAsia="Arial" w:hAnsi="Arial"/>
                <w:b/>
                <w:bCs/>
                <w:color w:val="FFFFFF"/>
                <w:sz w:val="20"/>
                <w:szCs w:val="20"/>
              </w:rPr>
              <w:t xml:space="preserve">Objective</w:t>
            </w:r>
          </w:p>
        </w:tc>
        <w:tc>
          <w:tcPr>
            <w:tcW w:type="pct" w:w="65%"/>
            <w:shd w:fill="1C2B3A" w:val="clear"/>
            <w:tcMar>
              <w:top w:type="dxa" w:w="100"/>
              <w:left w:type="dxa" w:w="150"/>
              <w:bottom w:type="dxa" w:w="100"/>
              <w:right w:type="dxa" w:w="150"/>
            </w:tcMar>
          </w:tcPr>
          <w:p>
            <w:r>
              <w:rPr>
                <w:rFonts w:ascii="Arial" w:cs="Arial" w:eastAsia="Arial" w:hAnsi="Arial"/>
                <w:b/>
                <w:bCs/>
                <w:color w:val="FFFFFF"/>
                <w:sz w:val="20"/>
                <w:szCs w:val="20"/>
              </w:rPr>
              <w:t xml:space="preserve">What It Means</w:t>
            </w:r>
          </w:p>
        </w:tc>
      </w:tr>
      <w:tr>
        <w:tc>
          <w:tcPr>
            <w:tcW w:type="pct" w:w="1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01</w:t>
            </w:r>
          </w:p>
        </w:tc>
        <w:tc>
          <w:tcPr>
            <w:tcW w:type="pct" w:w="2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MSV Ranking</w:t>
            </w:r>
          </w:p>
        </w:tc>
        <w:tc>
          <w:tcPr>
            <w:tcW w:type="pct" w:w="6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article must target a high-search-volume keyword and be structured to rank on Google page 1. Every other objective is secondary to this.</w:t>
            </w:r>
          </w:p>
        </w:tc>
      </w:tr>
      <w:tr>
        <w:tc>
          <w:tcPr>
            <w:tcW w:type="pct" w:w="1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02</w:t>
            </w:r>
          </w:p>
        </w:tc>
        <w:tc>
          <w:tcPr>
            <w:tcW w:type="pct" w:w="2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Form Fill / Lead Gen</w:t>
            </w:r>
          </w:p>
        </w:tc>
        <w:tc>
          <w:tcPr>
            <w:tcW w:type="pct" w:w="6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article must drive at least one form fill or demo request via Jaggaer CTAs. First CTA must appear early in the article (see Section 6.1, updated Aug 2026).</w:t>
            </w:r>
          </w:p>
        </w:tc>
      </w:tr>
      <w:tr>
        <w:tc>
          <w:tcPr>
            <w:tcW w:type="pct" w:w="1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03</w:t>
            </w:r>
          </w:p>
        </w:tc>
        <w:tc>
          <w:tcPr>
            <w:tcW w:type="pct" w:w="2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Currency Signal</w:t>
            </w:r>
          </w:p>
        </w:tc>
        <w:tc>
          <w:tcPr>
            <w:tcW w:type="pct" w:w="6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article must signal to both readers and Google that it contains current, up-to-date intelligence via year (or quarter) in the headline, a recency section, and dated citations.</w:t>
            </w:r>
          </w:p>
        </w:tc>
      </w:tr>
      <w:tr>
        <w:tc>
          <w:tcPr>
            <w:tcW w:type="pct" w:w="1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04</w:t>
            </w:r>
          </w:p>
        </w:tc>
        <w:tc>
          <w:tcPr>
            <w:tcW w:type="pct" w:w="2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Expertise Signal</w:t>
            </w:r>
          </w:p>
        </w:tc>
        <w:tc>
          <w:tcPr>
            <w:tcW w:type="pct" w:w="6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article must demonstrate credibility through named third-party citations grouped in a dedicated Experts section so Google can register it as authoritative.</w:t>
            </w:r>
          </w:p>
        </w:tc>
      </w:tr>
      <w:tr>
        <w:tc>
          <w:tcPr>
            <w:tcW w:type="pct" w:w="1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06</w:t>
            </w:r>
          </w:p>
        </w:tc>
        <w:tc>
          <w:tcPr>
            <w:tcW w:type="pct" w:w="2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JAI Promotion</w:t>
            </w:r>
          </w:p>
        </w:tc>
        <w:tc>
          <w:tcPr>
            <w:tcW w:type="pct" w:w="6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Jaggaer's platform must be subtly positioned through contextual CTAs, not hard sells. The reader should feel informed, not marketed to.</w:t>
            </w:r>
          </w:p>
        </w:tc>
      </w:tr>
    </w:tbl>
    <w:p>
      <w:pPr>
        <w:spacing w:after="200"/>
      </w:pPr>
    </w:p>
    <w:p>
      <w:pPr>
        <w:pStyle w:val="Heading1"/>
        <w:spacing w:after="200" w:before="400"/>
      </w:pPr>
      <w:r>
        <w:rPr>
          <w:rFonts w:ascii="Arial" w:cs="Arial" w:eastAsia="Arial" w:hAnsi="Arial"/>
          <w:b/>
          <w:bCs/>
          <w:color w:val="1C2B3A"/>
          <w:sz w:val="32"/>
          <w:szCs w:val="32"/>
        </w:rPr>
        <w:t xml:space="preserve">3. Content Type Split</w:t>
      </w:r>
    </w:p>
    <w:p>
      <w:pPr>
        <w:spacing w:after="160" w:before="0"/>
        <w:jc w:val="left"/>
      </w:pPr>
      <w:r>
        <w:rPr>
          <w:rFonts w:ascii="Arial" w:cs="Arial" w:eastAsia="Arial" w:hAnsi="Arial"/>
          <w:b w:val="false"/>
          <w:bCs w:val="false"/>
          <w:i w:val="false"/>
          <w:iCs w:val="false"/>
          <w:color w:val="000000"/>
          <w:sz w:val="22"/>
          <w:szCs w:val="22"/>
        </w:rPr>
        <w:t xml:space="preserve">Every article must be tagged as one of three content types before writing begins. The split for Month 1 is: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30%"/>
            <w:shd w:fill="1C2B3A" w:val="clear"/>
            <w:tcMar>
              <w:top w:type="dxa" w:w="100"/>
              <w:left w:type="dxa" w:w="150"/>
              <w:bottom w:type="dxa" w:w="100"/>
              <w:right w:type="dxa" w:w="150"/>
            </w:tcMar>
          </w:tcPr>
          <w:p>
            <w:r>
              <w:rPr>
                <w:rFonts w:ascii="Arial" w:cs="Arial" w:eastAsia="Arial" w:hAnsi="Arial"/>
                <w:b/>
                <w:bCs/>
                <w:color w:val="FFFFFF"/>
                <w:sz w:val="20"/>
                <w:szCs w:val="20"/>
              </w:rPr>
              <w:t xml:space="preserve">Content Type</w:t>
            </w:r>
          </w:p>
        </w:tc>
        <w:tc>
          <w:tcPr>
            <w:tcW w:type="pct" w:w="15%"/>
            <w:shd w:fill="1C2B3A" w:val="clear"/>
            <w:tcMar>
              <w:top w:type="dxa" w:w="100"/>
              <w:left w:type="dxa" w:w="150"/>
              <w:bottom w:type="dxa" w:w="100"/>
              <w:right w:type="dxa" w:w="150"/>
            </w:tcMar>
          </w:tcPr>
          <w:p>
            <w:r>
              <w:rPr>
                <w:rFonts w:ascii="Arial" w:cs="Arial" w:eastAsia="Arial" w:hAnsi="Arial"/>
                <w:b/>
                <w:bCs/>
                <w:color w:val="FFFFFF"/>
                <w:sz w:val="20"/>
                <w:szCs w:val="20"/>
              </w:rPr>
              <w:t xml:space="preserve">% of Output</w:t>
            </w:r>
          </w:p>
        </w:tc>
        <w:tc>
          <w:tcPr>
            <w:tcW w:type="pct" w:w="55%"/>
            <w:shd w:fill="1C2B3A" w:val="clear"/>
            <w:tcMar>
              <w:top w:type="dxa" w:w="100"/>
              <w:left w:type="dxa" w:w="150"/>
              <w:bottom w:type="dxa" w:w="100"/>
              <w:right w:type="dxa" w:w="150"/>
            </w:tcMar>
          </w:tcPr>
          <w:p>
            <w:r>
              <w:rPr>
                <w:rFonts w:ascii="Arial" w:cs="Arial" w:eastAsia="Arial" w:hAnsi="Arial"/>
                <w:b/>
                <w:bCs/>
                <w:color w:val="FFFFFF"/>
                <w:sz w:val="20"/>
                <w:szCs w:val="20"/>
              </w:rPr>
              <w:t xml:space="preserve">Definition</w:t>
            </w:r>
          </w:p>
        </w:tc>
      </w:tr>
      <w:tr>
        <w:tc>
          <w:tcPr>
            <w:tcW w:type="pct" w:w="3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MSV-Driven (Broad, Horizontal)</w:t>
            </w:r>
          </w:p>
        </w:tc>
        <w:tc>
          <w:tcPr>
            <w:tcW w:type="pct" w:w="1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50%</w:t>
            </w:r>
          </w:p>
        </w:tc>
        <w:tc>
          <w:tcPr>
            <w:tcW w:type="pct" w:w="5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Broad article targeting high-volume generic procurement terms. No industry in the title or URL. Industry-specific For Example callout added within the body.</w:t>
            </w:r>
          </w:p>
        </w:tc>
      </w:tr>
      <w:tr>
        <w:tc>
          <w:tcPr>
            <w:tcW w:type="pct" w:w="3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AI in S2P (Claude)</w:t>
            </w:r>
          </w:p>
        </w:tc>
        <w:tc>
          <w:tcPr>
            <w:tcW w:type="pct" w:w="1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25%</w:t>
            </w:r>
          </w:p>
        </w:tc>
        <w:tc>
          <w:tcPr>
            <w:tcW w:type="pct" w:w="5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Claude-focused content for the Build With Claude section. Targets Claude + S2P searches. User journey tagged per piece (Path 1/2/3).</w:t>
            </w:r>
          </w:p>
        </w:tc>
      </w:tr>
      <w:tr>
        <w:tc>
          <w:tcPr>
            <w:tcW w:type="pct" w:w="3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Industry-Specific (rotating)</w:t>
            </w:r>
          </w:p>
        </w:tc>
        <w:tc>
          <w:tcPr>
            <w:tcW w:type="pct" w:w="1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25%</w:t>
            </w:r>
          </w:p>
        </w:tc>
        <w:tc>
          <w:tcPr>
            <w:tcW w:type="pct" w:w="5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Vertical content for one named sector. Lower search volume but high SDR enablement value. eBooks and whitepapers are always industry-specific.</w:t>
            </w:r>
          </w:p>
        </w:tc>
      </w:tr>
    </w:tbl>
    <w:p>
      <w:pPr>
        <w:spacing w:after="200"/>
      </w:pPr>
    </w:p>
    <w:p>
      <w:pPr>
        <w:pStyle w:val="Heading1"/>
        <w:spacing w:after="200" w:before="400"/>
      </w:pPr>
      <w:r>
        <w:rPr>
          <w:rFonts w:ascii="Arial" w:cs="Arial" w:eastAsia="Arial" w:hAnsi="Arial"/>
          <w:b/>
          <w:bCs/>
          <w:color w:val="1C2B3A"/>
          <w:sz w:val="32"/>
          <w:szCs w:val="32"/>
        </w:rPr>
        <w:t xml:space="preserve">4. Writing Standards</w:t>
      </w:r>
    </w:p>
    <w:p>
      <w:pPr>
        <w:pStyle w:val="Heading2"/>
        <w:spacing w:after="140" w:before="300"/>
      </w:pPr>
      <w:r>
        <w:rPr>
          <w:rFonts w:ascii="Arial" w:cs="Arial" w:eastAsia="Arial" w:hAnsi="Arial"/>
          <w:b/>
          <w:bCs/>
          <w:color w:val="1C2B3A"/>
          <w:sz w:val="26"/>
          <w:szCs w:val="26"/>
        </w:rPr>
        <w:t xml:space="preserve">4.1 Sentence Length</w:t>
      </w:r>
    </w:p>
    <w:p>
      <w:pPr>
        <w:spacing w:after="160" w:before="0"/>
        <w:jc w:val="left"/>
      </w:pPr>
      <w:r>
        <w:rPr>
          <w:rFonts w:ascii="Arial" w:cs="Arial" w:eastAsia="Arial" w:hAnsi="Arial"/>
          <w:b w:val="false"/>
          <w:bCs w:val="false"/>
          <w:i w:val="false"/>
          <w:iCs w:val="false"/>
          <w:color w:val="000000"/>
          <w:sz w:val="22"/>
          <w:szCs w:val="22"/>
        </w:rPr>
        <w:t xml:space="preserve">This is the single most important stylistic rule on this engagement.</w:t>
      </w:r>
    </w:p>
    <w:tbl>
      <w:tblPr>
        <w:tblW w:type="pct" w:w="100%"/>
        <w:tblBorders>
          <w:top w:val="single" w:color="D0D0D0" w:sz="4"/>
          <w:left w:val="single" w:color="D0D0D0" w:sz="4"/>
          <w:bottom w:val="single" w:color="D0D0D0" w:sz="4"/>
          <w:right w:val="single" w:color="D0D0D0" w:sz="4"/>
          <w:insideH w:val="single" w:color="D0D0D0" w:sz="4"/>
          <w:insideV w:val="single" w:color="D0D0D0" w:sz="4"/>
        </w:tblBorders>
      </w:tblPr>
      <w:tblGrid>
        <w:gridCol w:w="100"/>
      </w:tblGrid>
      <w:tr>
        <w:tc>
          <w:tcPr>
            <w:shd w:fill="FDEDEC" w:val="clear"/>
            <w:tcMar>
              <w:top w:type="dxa" w:w="100"/>
              <w:left w:type="dxa" w:w="150"/>
              <w:bottom w:type="dxa" w:w="100"/>
              <w:right w:type="dxa" w:w="150"/>
            </w:tcMar>
          </w:tcPr>
          <w:p>
            <w:pPr>
              <w:spacing w:after="60"/>
            </w:pPr>
            <w:r>
              <w:rPr>
                <w:rFonts w:ascii="Arial" w:cs="Arial" w:eastAsia="Arial" w:hAnsi="Arial"/>
                <w:b/>
                <w:bCs/>
                <w:color w:val="C0392B"/>
                <w:sz w:val="22"/>
                <w:szCs w:val="22"/>
              </w:rPr>
              <w:t xml:space="preserve">THE RULE</w:t>
            </w:r>
          </w:p>
          <w:p>
            <w:r>
              <w:rPr>
                <w:rFonts w:ascii="Arial" w:cs="Arial" w:eastAsia="Arial" w:hAnsi="Arial"/>
                <w:color w:val="000000"/>
                <w:sz w:val="22"/>
                <w:szCs w:val="22"/>
              </w:rPr>
              <w:t xml:space="preserve">If you cannot say it in one breath, rewrite it. How to test: read every sentence aloud. If you run out of breath, the sentence is too long. Break it into two.</w:t>
            </w:r>
          </w:p>
        </w:tc>
      </w:tr>
    </w:tbl>
    <w:p>
      <w:pPr>
        <w:spacing w:after="120"/>
      </w:pPr>
    </w:p>
    <w:p>
      <w:pPr>
        <w:spacing w:after="160" w:before="0"/>
        <w:jc w:val="left"/>
      </w:pPr>
      <w:r>
        <w:rPr>
          <w:rFonts w:ascii="Arial" w:cs="Arial" w:eastAsia="Arial" w:hAnsi="Arial"/>
          <w:b w:val="false"/>
          <w:bCs w:val="false"/>
          <w:i w:val="false"/>
          <w:iCs w:val="false"/>
          <w:color w:val="000000"/>
          <w:sz w:val="22"/>
          <w:szCs w:val="22"/>
        </w:rPr>
        <w:t xml:space="preserve">Target: under 25 words per sentence. Maximum: 30 words. Any sentence over 30 words must be rewritten without exception.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BEFORE</w:t>
            </w:r>
          </w:p>
        </w:tc>
        <w:tc>
          <w:tcPr>
            <w:tcW w:type="pct" w:w="8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Supplier financial risk signals carry measurable procurement consequences and with 30% of supply chain disruptions in 2025 exceeding $5 million in direct costs, delayed responses can quickly escalate to a major operational and financial exposure.</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AFTER</w:t>
            </w:r>
          </w:p>
        </w:tc>
        <w:tc>
          <w:tcPr>
            <w:tcW w:type="pct" w:w="82%"/>
            <w:shd w:fill="EAFAF1" w:val="clear"/>
            <w:tcMar>
              <w:top w:type="dxa" w:w="100"/>
              <w:left w:type="dxa" w:w="150"/>
              <w:bottom w:type="dxa" w:w="100"/>
              <w:right w:type="dxa" w:w="150"/>
            </w:tcMar>
          </w:tcPr>
          <w:p>
            <w:r>
              <w:rPr>
                <w:rFonts w:ascii="Arial" w:cs="Arial" w:eastAsia="Arial" w:hAnsi="Arial"/>
                <w:b/>
                <w:bCs/>
                <w:sz w:val="20"/>
                <w:szCs w:val="20"/>
              </w:rPr>
              <w:t xml:space="preserve">Supplier financial risk signals have measurable consequences. In 2025, 30% of supply chain disruptions exceeded $5 million in direct costs. Delayed responses compound that exposure fast.</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NOTE</w:t>
            </w:r>
          </w:p>
        </w:tc>
        <w:tc>
          <w:tcPr>
            <w:tcW w:type="pct" w:w="82%"/>
            <w:shd w:fill="EA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One long sentence becomes three short ones. The information is identical - the readability is transformed.</w:t>
            </w:r>
          </w:p>
        </w:tc>
      </w:tr>
    </w:tbl>
    <w:p>
      <w:pPr>
        <w:spacing w:after="200"/>
      </w:pPr>
    </w:p>
    <w:p>
      <w:pPr>
        <w:pStyle w:val="Heading2"/>
        <w:spacing w:after="140" w:before="300"/>
      </w:pPr>
      <w:r>
        <w:rPr>
          <w:rFonts w:ascii="Arial" w:cs="Arial" w:eastAsia="Arial" w:hAnsi="Arial"/>
          <w:b/>
          <w:bCs/>
          <w:color w:val="1C2B3A"/>
          <w:sz w:val="26"/>
          <w:szCs w:val="26"/>
        </w:rPr>
        <w:t xml:space="preserve">4.2 Answer-First Format</w:t>
      </w:r>
    </w:p>
    <w:p>
      <w:pPr>
        <w:spacing w:after="160" w:before="0"/>
        <w:jc w:val="left"/>
      </w:pPr>
      <w:r>
        <w:rPr>
          <w:rFonts w:ascii="Arial" w:cs="Arial" w:eastAsia="Arial" w:hAnsi="Arial"/>
          <w:b w:val="false"/>
          <w:bCs w:val="false"/>
          <w:i w:val="false"/>
          <w:iCs w:val="false"/>
          <w:color w:val="000000"/>
          <w:sz w:val="22"/>
          <w:szCs w:val="22"/>
        </w:rPr>
        <w:t xml:space="preserve">The most important point of the article goes in sentence one. Do not build up to the conclusion or set the scene before delivering the point.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BEFORE</w:t>
            </w:r>
          </w:p>
        </w:tc>
        <w:tc>
          <w:tcPr>
            <w:tcW w:type="pct" w:w="8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Supply chain risk management has evolved significantly over the past decade. As globalisation expanded supplier networks and disruption events became more frequent, procurement teams have had to grapple with increasing complexity at every tier of the supply chain.</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AFTER</w:t>
            </w:r>
          </w:p>
        </w:tc>
        <w:tc>
          <w:tcPr>
            <w:tcW w:type="pct" w:w="82%"/>
            <w:shd w:fill="EAFAF1" w:val="clear"/>
            <w:tcMar>
              <w:top w:type="dxa" w:w="100"/>
              <w:left w:type="dxa" w:w="150"/>
              <w:bottom w:type="dxa" w:w="100"/>
              <w:right w:type="dxa" w:w="150"/>
            </w:tcMar>
          </w:tcPr>
          <w:p>
            <w:r>
              <w:rPr>
                <w:rFonts w:ascii="Arial" w:cs="Arial" w:eastAsia="Arial" w:hAnsi="Arial"/>
                <w:b/>
                <w:bCs/>
                <w:sz w:val="20"/>
                <w:szCs w:val="20"/>
              </w:rPr>
              <w:t xml:space="preserve">Most procurement teams can see their Tier 1 suppliers clearly. The problem is that 85% of supply chain risk incidents originate at Tier 2, 3, and 4, where visibility typically drops to zero.</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NOTE</w:t>
            </w:r>
          </w:p>
        </w:tc>
        <w:tc>
          <w:tcPr>
            <w:tcW w:type="pct" w:w="82%"/>
            <w:shd w:fill="EA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AFTER version leads with the most dramatic, important point in the article. The reader immediately understands what they are getting.</w:t>
            </w:r>
          </w:p>
        </w:tc>
      </w:tr>
    </w:tbl>
    <w:p>
      <w:pPr>
        <w:spacing w:after="120"/>
      </w:pPr>
    </w:p>
    <w:tbl>
      <w:tblPr>
        <w:tblW w:type="pct" w:w="100%"/>
        <w:tblBorders>
          <w:top w:val="single" w:color="D0D0D0" w:sz="4"/>
          <w:left w:val="single" w:color="D0D0D0" w:sz="4"/>
          <w:bottom w:val="single" w:color="D0D0D0" w:sz="4"/>
          <w:right w:val="single" w:color="D0D0D0" w:sz="4"/>
          <w:insideH w:val="single" w:color="D0D0D0" w:sz="4"/>
          <w:insideV w:val="single" w:color="D0D0D0" w:sz="4"/>
        </w:tblBorders>
      </w:tblPr>
      <w:tblGrid>
        <w:gridCol w:w="100"/>
      </w:tblGrid>
      <w:tr>
        <w:tc>
          <w:tcPr>
            <w:shd w:fill="EAF2F8" w:val="clear"/>
            <w:tcMar>
              <w:top w:type="dxa" w:w="100"/>
              <w:left w:type="dxa" w:w="150"/>
              <w:bottom w:type="dxa" w:w="100"/>
              <w:right w:type="dxa" w:w="150"/>
            </w:tcMar>
          </w:tcPr>
          <w:p>
            <w:pPr>
              <w:spacing w:after="60"/>
            </w:pPr>
            <w:r>
              <w:rPr>
                <w:rFonts w:ascii="Arial" w:cs="Arial" w:eastAsia="Arial" w:hAnsi="Arial"/>
                <w:b/>
                <w:bCs/>
                <w:color w:val="1C2B3A"/>
                <w:sz w:val="22"/>
                <w:szCs w:val="22"/>
              </w:rPr>
              <w:t xml:space="preserve">Client update, Aug 2026</w:t>
            </w:r>
          </w:p>
          <w:p>
            <w:r>
              <w:rPr>
                <w:rFonts w:ascii="Arial" w:cs="Arial" w:eastAsia="Arial" w:hAnsi="Arial"/>
                <w:color w:val="000000"/>
                <w:sz w:val="22"/>
                <w:szCs w:val="22"/>
              </w:rPr>
              <w:t xml:space="preserve">Where the article opens on a statistic, name the source in sentence one itself - for example, "According to Gartner, procurement AI adoption increased 387%," not a generic build-up followed by attribution later. This satisfies Answer-First and Expertise Signal (Section 5.2) at the same time. Where a dedicated resource hub exists for the topic (for example, the Learn Claude area), the opening section should point to it directly rather than waiting for a CTA further down the page.</w:t>
            </w:r>
          </w:p>
        </w:tc>
      </w:tr>
    </w:tbl>
    <w:p>
      <w:pPr>
        <w:spacing w:after="200"/>
      </w:pPr>
    </w:p>
    <w:p>
      <w:pPr>
        <w:pStyle w:val="Heading2"/>
        <w:spacing w:after="140" w:before="300"/>
      </w:pPr>
      <w:r>
        <w:rPr>
          <w:rFonts w:ascii="Arial" w:cs="Arial" w:eastAsia="Arial" w:hAnsi="Arial"/>
          <w:b/>
          <w:bCs/>
          <w:color w:val="1C2B3A"/>
          <w:sz w:val="26"/>
          <w:szCs w:val="26"/>
        </w:rPr>
        <w:t xml:space="preserve">4.3 Keyword Density</w:t>
      </w:r>
    </w:p>
    <w:p>
      <w:pPr>
        <w:spacing w:after="160" w:before="0"/>
        <w:jc w:val="left"/>
      </w:pPr>
      <w:r>
        <w:rPr>
          <w:rFonts w:ascii="Arial" w:cs="Arial" w:eastAsia="Arial" w:hAnsi="Arial"/>
          <w:b w:val="false"/>
          <w:bCs w:val="false"/>
          <w:i w:val="false"/>
          <w:iCs w:val="false"/>
          <w:color w:val="000000"/>
          <w:sz w:val="22"/>
          <w:szCs w:val="22"/>
        </w:rPr>
        <w:t xml:space="preserve">Primary keyword density must sit between 1% and 2% of total word count. It must be distributed naturally across the full article, not front-loaded into the opening section.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tcW w:type="pct" w:w="22%"/>
            <w:shd w:fill="1C2B3A" w:val="clear"/>
            <w:tcMar>
              <w:top w:type="dxa" w:w="100"/>
              <w:left w:type="dxa" w:w="150"/>
              <w:bottom w:type="dxa" w:w="100"/>
              <w:right w:type="dxa" w:w="150"/>
            </w:tcMar>
          </w:tcPr>
          <w:p>
            <w:r>
              <w:rPr>
                <w:rFonts w:ascii="Arial" w:cs="Arial" w:eastAsia="Arial" w:hAnsi="Arial"/>
                <w:b/>
                <w:bCs/>
                <w:color w:val="FFFFFF"/>
                <w:sz w:val="20"/>
                <w:szCs w:val="20"/>
              </w:rPr>
              <w:t xml:space="preserve">Article Length</w:t>
            </w:r>
          </w:p>
        </w:tc>
        <w:tc>
          <w:tcPr>
            <w:tcW w:type="pct" w:w="26%"/>
            <w:shd w:fill="1C2B3A" w:val="clear"/>
            <w:tcMar>
              <w:top w:type="dxa" w:w="100"/>
              <w:left w:type="dxa" w:w="150"/>
              <w:bottom w:type="dxa" w:w="100"/>
              <w:right w:type="dxa" w:w="150"/>
            </w:tcMar>
          </w:tcPr>
          <w:p>
            <w:r>
              <w:rPr>
                <w:rFonts w:ascii="Arial" w:cs="Arial" w:eastAsia="Arial" w:hAnsi="Arial"/>
                <w:b/>
                <w:bCs/>
                <w:color w:val="FFFFFF"/>
                <w:sz w:val="20"/>
                <w:szCs w:val="20"/>
              </w:rPr>
              <w:t xml:space="preserve">Min Occurrences (1%)</w:t>
            </w:r>
          </w:p>
        </w:tc>
        <w:tc>
          <w:tcPr>
            <w:tcW w:type="pct" w:w="30%"/>
            <w:shd w:fill="1C2B3A" w:val="clear"/>
            <w:tcMar>
              <w:top w:type="dxa" w:w="100"/>
              <w:left w:type="dxa" w:w="150"/>
              <w:bottom w:type="dxa" w:w="100"/>
              <w:right w:type="dxa" w:w="150"/>
            </w:tcMar>
          </w:tcPr>
          <w:p>
            <w:r>
              <w:rPr>
                <w:rFonts w:ascii="Arial" w:cs="Arial" w:eastAsia="Arial" w:hAnsi="Arial"/>
                <w:b/>
                <w:bCs/>
                <w:color w:val="FFFFFF"/>
                <w:sz w:val="20"/>
                <w:szCs w:val="20"/>
              </w:rPr>
              <w:t xml:space="preserve">Max Occurrences (2%)</w:t>
            </w:r>
          </w:p>
        </w:tc>
        <w:tc>
          <w:tcPr>
            <w:tcW w:type="pct" w:w="22%"/>
            <w:shd w:fill="1C2B3A" w:val="clear"/>
            <w:tcMar>
              <w:top w:type="dxa" w:w="100"/>
              <w:left w:type="dxa" w:w="150"/>
              <w:bottom w:type="dxa" w:w="100"/>
              <w:right w:type="dxa" w:w="150"/>
            </w:tcMar>
          </w:tcPr>
          <w:p>
            <w:r>
              <w:rPr>
                <w:rFonts w:ascii="Arial" w:cs="Arial" w:eastAsia="Arial" w:hAnsi="Arial"/>
                <w:b/>
                <w:bCs/>
                <w:color w:val="FFFFFF"/>
                <w:sz w:val="20"/>
                <w:szCs w:val="20"/>
              </w:rPr>
              <w:t xml:space="preserve">Front-Loading Limit</w:t>
            </w:r>
          </w:p>
        </w:tc>
      </w:tr>
      <w:tr>
        <w:tc>
          <w:tcPr>
            <w:tcW w:type="pct" w:w="2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1,000 words</w:t>
            </w:r>
          </w:p>
        </w:tc>
        <w:tc>
          <w:tcPr>
            <w:tcW w:type="pct" w:w="26%"/>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10</w:t>
            </w:r>
          </w:p>
        </w:tc>
        <w:tc>
          <w:tcPr>
            <w:tcW w:type="pct" w:w="3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20</w:t>
            </w:r>
          </w:p>
        </w:tc>
        <w:tc>
          <w:tcPr>
            <w:tcW w:type="pct" w:w="2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Max 3 in first 200 words</w:t>
            </w:r>
          </w:p>
        </w:tc>
      </w:tr>
      <w:tr>
        <w:tc>
          <w:tcPr>
            <w:tcW w:type="pct" w:w="2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1,500 words</w:t>
            </w:r>
          </w:p>
        </w:tc>
        <w:tc>
          <w:tcPr>
            <w:tcW w:type="pct" w:w="26%"/>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15</w:t>
            </w:r>
          </w:p>
        </w:tc>
        <w:tc>
          <w:tcPr>
            <w:tcW w:type="pct" w:w="3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30</w:t>
            </w:r>
          </w:p>
        </w:tc>
        <w:tc>
          <w:tcPr>
            <w:tcW w:type="pct" w:w="2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Max 3 in first 200 words</w:t>
            </w:r>
          </w:p>
        </w:tc>
      </w:tr>
      <w:tr>
        <w:tc>
          <w:tcPr>
            <w:tcW w:type="pct" w:w="2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2,000 words</w:t>
            </w:r>
          </w:p>
        </w:tc>
        <w:tc>
          <w:tcPr>
            <w:tcW w:type="pct" w:w="26%"/>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20</w:t>
            </w:r>
          </w:p>
        </w:tc>
        <w:tc>
          <w:tcPr>
            <w:tcW w:type="pct" w:w="3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40</w:t>
            </w:r>
          </w:p>
        </w:tc>
        <w:tc>
          <w:tcPr>
            <w:tcW w:type="pct" w:w="2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Max 3 in first 200 words</w:t>
            </w:r>
          </w:p>
        </w:tc>
      </w:tr>
      <w:tr>
        <w:tc>
          <w:tcPr>
            <w:tcW w:type="pct" w:w="2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2,500 words</w:t>
            </w:r>
          </w:p>
        </w:tc>
        <w:tc>
          <w:tcPr>
            <w:tcW w:type="pct" w:w="26%"/>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25</w:t>
            </w:r>
          </w:p>
        </w:tc>
        <w:tc>
          <w:tcPr>
            <w:tcW w:type="pct" w:w="3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50</w:t>
            </w:r>
          </w:p>
        </w:tc>
        <w:tc>
          <w:tcPr>
            <w:tcW w:type="pct" w:w="2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Max 3 in first 200 words</w:t>
            </w:r>
          </w:p>
        </w:tc>
      </w:tr>
      <w:tr>
        <w:tc>
          <w:tcPr>
            <w:tcW w:type="pct" w:w="2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Warning</w:t>
            </w:r>
          </w:p>
        </w:tc>
        <w:tc>
          <w:tcPr>
            <w:tcW w:type="pct" w:w="26%"/>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Below 1% = under-optimised</w:t>
            </w:r>
          </w:p>
        </w:tc>
        <w:tc>
          <w:tcPr>
            <w:tcW w:type="pct" w:w="3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Above 2% = keyword stuffing (Google penalty)</w:t>
            </w:r>
          </w:p>
        </w:tc>
        <w:tc>
          <w:tcPr>
            <w:tcW w:type="pct" w:w="2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Both are failures</w:t>
            </w:r>
          </w:p>
        </w:tc>
      </w:tr>
    </w:tbl>
    <w:p>
      <w:pPr>
        <w:spacing w:after="160" w:before="0"/>
      </w:pPr>
      <w:r>
        <w:rPr>
          <w:rFonts w:ascii="Arial" w:cs="Arial" w:eastAsia="Arial" w:hAnsi="Arial"/>
          <w:b/>
          <w:bCs/>
          <w:i/>
          <w:iCs/>
          <w:color w:val="000000"/>
          <w:sz w:val="22"/>
          <w:szCs w:val="22"/>
        </w:rPr>
        <w:t xml:space="preserve">Important: </w:t>
      </w:r>
      <w:r>
        <w:rPr>
          <w:rFonts w:ascii="Arial" w:cs="Arial" w:eastAsia="Arial" w:hAnsi="Arial"/>
          <w:b w:val="false"/>
          <w:bCs w:val="false"/>
          <w:i/>
          <w:iCs/>
          <w:color w:val="000000"/>
          <w:sz w:val="22"/>
          <w:szCs w:val="22"/>
        </w:rPr>
        <w:t xml:space="preserve">Google penalises keyword stuffing above 2%. Do not exceed this threshold under any circumstances.</w:t>
      </w:r>
    </w:p>
    <w:p>
      <w:pPr>
        <w:spacing w:after="200"/>
      </w:pPr>
    </w:p>
    <w:p>
      <w:pPr>
        <w:pStyle w:val="Heading2"/>
        <w:spacing w:after="140" w:before="300"/>
      </w:pPr>
      <w:r>
        <w:rPr>
          <w:rFonts w:ascii="Arial" w:cs="Arial" w:eastAsia="Arial" w:hAnsi="Arial"/>
          <w:b/>
          <w:bCs/>
          <w:color w:val="1C2B3A"/>
          <w:sz w:val="26"/>
          <w:szCs w:val="26"/>
        </w:rPr>
        <w:t xml:space="preserve">4.4 CTA Copy - No Business Benefit Language</w:t>
      </w:r>
    </w:p>
    <w:p>
      <w:pPr>
        <w:spacing w:after="160" w:before="0"/>
        <w:jc w:val="left"/>
      </w:pPr>
      <w:r>
        <w:rPr>
          <w:rFonts w:ascii="Arial" w:cs="Arial" w:eastAsia="Arial" w:hAnsi="Arial"/>
          <w:b w:val="false"/>
          <w:bCs w:val="false"/>
          <w:i w:val="false"/>
          <w:iCs w:val="false"/>
          <w:color w:val="000000"/>
          <w:sz w:val="22"/>
          <w:szCs w:val="22"/>
        </w:rPr>
        <w:t xml:space="preserve">CTA copy must state what the product does. It must not tell the reader how to feel, why something is valuable, or what benefit they will experience. Let the reader draw their own conclusion.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BEFORE</w:t>
            </w:r>
          </w:p>
        </w:tc>
        <w:tc>
          <w:tcPr>
            <w:tcW w:type="pct" w:w="8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See how Jaggaer helps you make more informed, proactive procurement decisions and reduce supply chain risk across your entire supplier network.</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AFTER</w:t>
            </w:r>
          </w:p>
        </w:tc>
        <w:tc>
          <w:tcPr>
            <w:tcW w:type="pct" w:w="82%"/>
            <w:shd w:fill="EAFAF1" w:val="clear"/>
            <w:tcMar>
              <w:top w:type="dxa" w:w="100"/>
              <w:left w:type="dxa" w:w="150"/>
              <w:bottom w:type="dxa" w:w="100"/>
              <w:right w:type="dxa" w:w="150"/>
            </w:tcMar>
          </w:tcPr>
          <w:p>
            <w:r>
              <w:rPr>
                <w:rFonts w:ascii="Arial" w:cs="Arial" w:eastAsia="Arial" w:hAnsi="Arial"/>
                <w:b/>
                <w:bCs/>
                <w:sz w:val="20"/>
                <w:szCs w:val="20"/>
              </w:rPr>
              <w:t xml:space="preserve">See how Jaggaer maps sub-tier supplier networks across Tier 2, 3, and 4.</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NOTE</w:t>
            </w:r>
          </w:p>
        </w:tc>
        <w:tc>
          <w:tcPr>
            <w:tcW w:type="pct" w:w="82%"/>
            <w:shd w:fill="EA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AFTER version says what it does. The BEFORE version tells the reader how to feel about it. Remove all such language from CTA copy.</w:t>
            </w:r>
          </w:p>
        </w:tc>
      </w:tr>
    </w:tbl>
    <w:p>
      <w:pPr>
        <w:spacing w:after="120"/>
      </w:pPr>
    </w:p>
    <w:p>
      <w:pPr>
        <w:spacing w:after="160" w:before="0"/>
        <w:jc w:val="left"/>
      </w:pPr>
      <w:r>
        <w:rPr>
          <w:rFonts w:ascii="Arial" w:cs="Arial" w:eastAsia="Arial" w:hAnsi="Arial"/>
          <w:b w:val="false"/>
          <w:bCs w:val="false"/>
          <w:i w:val="false"/>
          <w:iCs w:val="false"/>
          <w:color w:val="000000"/>
          <w:sz w:val="22"/>
          <w:szCs w:val="22"/>
        </w:rPr>
        <w:t xml:space="preserve">Words and phrases to remove from all CTA copy:</w:t>
      </w:r>
    </w:p>
    <w:p>
      <w:pPr>
        <w:pStyle w:val="ListParagraph"/>
        <w:numPr>
          <w:ilvl w:val="0"/>
          <w:numId w:val="2"/>
        </w:numPr>
        <w:spacing w:after="100"/>
      </w:pPr>
      <w:r>
        <w:rPr>
          <w:rFonts w:ascii="Arial" w:cs="Arial" w:eastAsia="Arial" w:hAnsi="Arial"/>
          <w:b w:val="false"/>
          <w:bCs w:val="false"/>
          <w:color w:val="000000"/>
          <w:sz w:val="22"/>
          <w:szCs w:val="22"/>
        </w:rPr>
        <w:t xml:space="preserve">helping you make informed decisions</w:t>
      </w:r>
    </w:p>
    <w:p>
      <w:pPr>
        <w:pStyle w:val="ListParagraph"/>
        <w:numPr>
          <w:ilvl w:val="0"/>
          <w:numId w:val="2"/>
        </w:numPr>
        <w:spacing w:after="100"/>
      </w:pPr>
      <w:r>
        <w:rPr>
          <w:rFonts w:ascii="Arial" w:cs="Arial" w:eastAsia="Arial" w:hAnsi="Arial"/>
          <w:b w:val="false"/>
          <w:bCs w:val="false"/>
          <w:color w:val="000000"/>
          <w:sz w:val="22"/>
          <w:szCs w:val="22"/>
        </w:rPr>
        <w:t xml:space="preserve">enabling proactive procurement</w:t>
      </w:r>
    </w:p>
    <w:p>
      <w:pPr>
        <w:pStyle w:val="ListParagraph"/>
        <w:numPr>
          <w:ilvl w:val="0"/>
          <w:numId w:val="2"/>
        </w:numPr>
        <w:spacing w:after="100"/>
      </w:pPr>
      <w:r>
        <w:rPr>
          <w:rFonts w:ascii="Arial" w:cs="Arial" w:eastAsia="Arial" w:hAnsi="Arial"/>
          <w:b w:val="false"/>
          <w:bCs w:val="false"/>
          <w:color w:val="000000"/>
          <w:sz w:val="22"/>
          <w:szCs w:val="22"/>
        </w:rPr>
        <w:t xml:space="preserve">driving better outcomes</w:t>
      </w:r>
    </w:p>
    <w:p>
      <w:pPr>
        <w:pStyle w:val="ListParagraph"/>
        <w:numPr>
          <w:ilvl w:val="0"/>
          <w:numId w:val="2"/>
        </w:numPr>
        <w:spacing w:after="100"/>
      </w:pPr>
      <w:r>
        <w:rPr>
          <w:rFonts w:ascii="Arial" w:cs="Arial" w:eastAsia="Arial" w:hAnsi="Arial"/>
          <w:b w:val="false"/>
          <w:bCs w:val="false"/>
          <w:color w:val="000000"/>
          <w:sz w:val="22"/>
          <w:szCs w:val="22"/>
        </w:rPr>
        <w:t xml:space="preserve">transforming your supply chain</w:t>
      </w:r>
    </w:p>
    <w:p>
      <w:pPr>
        <w:pStyle w:val="ListParagraph"/>
        <w:numPr>
          <w:ilvl w:val="0"/>
          <w:numId w:val="2"/>
        </w:numPr>
        <w:spacing w:after="100"/>
      </w:pPr>
      <w:r>
        <w:rPr>
          <w:rFonts w:ascii="Arial" w:cs="Arial" w:eastAsia="Arial" w:hAnsi="Arial"/>
          <w:b w:val="false"/>
          <w:bCs w:val="false"/>
          <w:color w:val="000000"/>
          <w:sz w:val="22"/>
          <w:szCs w:val="22"/>
        </w:rPr>
        <w:t xml:space="preserve">empowering procurement teams</w:t>
      </w:r>
    </w:p>
    <w:p>
      <w:pPr>
        <w:pStyle w:val="ListParagraph"/>
        <w:numPr>
          <w:ilvl w:val="0"/>
          <w:numId w:val="2"/>
        </w:numPr>
        <w:spacing w:after="100"/>
      </w:pPr>
      <w:r>
        <w:rPr>
          <w:rFonts w:ascii="Arial" w:cs="Arial" w:eastAsia="Arial" w:hAnsi="Arial"/>
          <w:b w:val="false"/>
          <w:bCs w:val="false"/>
          <w:color w:val="000000"/>
          <w:sz w:val="22"/>
          <w:szCs w:val="22"/>
        </w:rPr>
        <w:t xml:space="preserve">unlocking value</w:t>
      </w:r>
    </w:p>
    <w:p>
      <w:pPr>
        <w:spacing w:after="160" w:before="0"/>
      </w:pPr>
      <w:r>
        <w:rPr>
          <w:rFonts w:ascii="Arial" w:cs="Arial" w:eastAsia="Arial" w:hAnsi="Arial"/>
          <w:b/>
          <w:bCs/>
          <w:i w:val="false"/>
          <w:iCs w:val="false"/>
          <w:color w:val="000000"/>
          <w:sz w:val="22"/>
          <w:szCs w:val="22"/>
        </w:rPr>
        <w:t xml:space="preserve">If a phrase tells the reader how to feel rather than what the product does, remove it.</w:t>
      </w:r>
    </w:p>
    <w:p>
      <w:pPr>
        <w:spacing w:after="200"/>
      </w:pPr>
    </w:p>
    <w:p>
      <w:pPr>
        <w:pStyle w:val="Heading2"/>
        <w:spacing w:after="140" w:before="300"/>
      </w:pPr>
      <w:r>
        <w:rPr>
          <w:rFonts w:ascii="Arial" w:cs="Arial" w:eastAsia="Arial" w:hAnsi="Arial"/>
          <w:b/>
          <w:bCs/>
          <w:color w:val="1C2B3A"/>
          <w:sz w:val="26"/>
          <w:szCs w:val="26"/>
        </w:rPr>
        <w:t xml:space="preserve">4.5 Numerals in Copy (New, Aug 2026)</w:t>
      </w:r>
    </w:p>
    <w:p>
      <w:pPr>
        <w:spacing w:after="160" w:before="0"/>
        <w:jc w:val="left"/>
      </w:pPr>
      <w:r>
        <w:rPr>
          <w:rFonts w:ascii="Arial" w:cs="Arial" w:eastAsia="Arial" w:hAnsi="Arial"/>
          <w:b w:val="false"/>
          <w:bCs w:val="false"/>
          <w:i w:val="false"/>
          <w:iCs w:val="false"/>
          <w:color w:val="000000"/>
          <w:sz w:val="22"/>
          <w:szCs w:val="22"/>
        </w:rPr>
        <w:t xml:space="preserve">Always render statistics as numerals, even where formal grammar convention would spell out numbers under ten or discourage starting a sentence with a numeral. Clarity and scannability take priority over grammar style on this engagement.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BEFORE</w:t>
            </w:r>
          </w:p>
        </w:tc>
        <w:tc>
          <w:tcPr>
            <w:tcW w:type="pct" w:w="8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Fifty-eight per cent of procurement teams are using or piloting AI, per Ardent Partners' 2026 survey.</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AFTER</w:t>
            </w:r>
          </w:p>
        </w:tc>
        <w:tc>
          <w:tcPr>
            <w:tcW w:type="pct" w:w="82%"/>
            <w:shd w:fill="EAFAF1" w:val="clear"/>
            <w:tcMar>
              <w:top w:type="dxa" w:w="100"/>
              <w:left w:type="dxa" w:w="150"/>
              <w:bottom w:type="dxa" w:w="100"/>
              <w:right w:type="dxa" w:w="150"/>
            </w:tcMar>
          </w:tcPr>
          <w:p>
            <w:r>
              <w:rPr>
                <w:rFonts w:ascii="Arial" w:cs="Arial" w:eastAsia="Arial" w:hAnsi="Arial"/>
                <w:b/>
                <w:bCs/>
                <w:sz w:val="20"/>
                <w:szCs w:val="20"/>
              </w:rPr>
              <w:t xml:space="preserve">58% of procurement teams are using or piloting AI, per Ardent Partners' 2026 survey.</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NOTE</w:t>
            </w:r>
          </w:p>
        </w:tc>
        <w:tc>
          <w:tcPr>
            <w:tcW w:type="pct" w:w="82%"/>
            <w:shd w:fill="EA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Client feedback, Aug 2026: use the numeral form even where it reads less formally. Readers scan for numbers; spelled-out figures slow that down.</w:t>
            </w:r>
          </w:p>
        </w:tc>
      </w:tr>
    </w:tbl>
    <w:p>
      <w:pPr>
        <w:spacing w:after="200"/>
      </w:pPr>
    </w:p>
    <w:p>
      <w:pPr>
        <w:pStyle w:val="Heading2"/>
        <w:spacing w:after="140" w:before="300"/>
      </w:pPr>
      <w:r>
        <w:rPr>
          <w:rFonts w:ascii="Arial" w:cs="Arial" w:eastAsia="Arial" w:hAnsi="Arial"/>
          <w:b/>
          <w:bCs/>
          <w:color w:val="1C2B3A"/>
          <w:sz w:val="26"/>
          <w:szCs w:val="26"/>
        </w:rPr>
        <w:t xml:space="preserve">4.6 Heading Structure (H1 / H2 / H3)</w:t>
      </w:r>
    </w:p>
    <w:p>
      <w:pPr>
        <w:spacing w:after="160" w:before="0"/>
        <w:jc w:val="left"/>
      </w:pPr>
      <w:r>
        <w:rPr>
          <w:rFonts w:ascii="Arial" w:cs="Arial" w:eastAsia="Arial" w:hAnsi="Arial"/>
          <w:b w:val="false"/>
          <w:bCs w:val="false"/>
          <w:i w:val="false"/>
          <w:iCs w:val="false"/>
          <w:color w:val="000000"/>
          <w:sz w:val="22"/>
          <w:szCs w:val="22"/>
        </w:rPr>
        <w:t xml:space="preserve">Headings must match Orlagh's SEO brief exactly. Do not add, remove, or reword any heading without flagging it to Orlagh first. The heading structure is a core part of the SEO brief.</w:t>
      </w:r>
    </w:p>
    <w:p>
      <w:pPr>
        <w:pStyle w:val="ListParagraph"/>
        <w:numPr>
          <w:ilvl w:val="0"/>
          <w:numId w:val="2"/>
        </w:numPr>
        <w:spacing w:after="100"/>
      </w:pPr>
      <w:r>
        <w:rPr>
          <w:rFonts w:ascii="Arial" w:cs="Arial" w:eastAsia="Arial" w:hAnsi="Arial"/>
          <w:b w:val="false"/>
          <w:bCs w:val="false"/>
          <w:color w:val="000000"/>
          <w:sz w:val="22"/>
          <w:szCs w:val="22"/>
        </w:rPr>
        <w:t xml:space="preserve">H1 must contain the primary keyword exactly or in very close natural form</w:t>
      </w:r>
    </w:p>
    <w:p>
      <w:pPr>
        <w:pStyle w:val="ListParagraph"/>
        <w:numPr>
          <w:ilvl w:val="0"/>
          <w:numId w:val="2"/>
        </w:numPr>
        <w:spacing w:after="100"/>
      </w:pPr>
      <w:r>
        <w:rPr>
          <w:rFonts w:ascii="Arial" w:cs="Arial" w:eastAsia="Arial" w:hAnsi="Arial"/>
          <w:b w:val="false"/>
          <w:bCs w:val="false"/>
          <w:color w:val="000000"/>
          <w:sz w:val="22"/>
          <w:szCs w:val="22"/>
        </w:rPr>
        <w:t xml:space="preserve">H2s map to the main content sections defined in Orlagh's brief</w:t>
      </w:r>
    </w:p>
    <w:p>
      <w:pPr>
        <w:pStyle w:val="ListParagraph"/>
        <w:numPr>
          <w:ilvl w:val="0"/>
          <w:numId w:val="2"/>
        </w:numPr>
        <w:spacing w:after="100"/>
      </w:pPr>
      <w:r>
        <w:rPr>
          <w:rFonts w:ascii="Arial" w:cs="Arial" w:eastAsia="Arial" w:hAnsi="Arial"/>
          <w:b w:val="false"/>
          <w:bCs w:val="false"/>
          <w:color w:val="000000"/>
          <w:sz w:val="22"/>
          <w:szCs w:val="22"/>
        </w:rPr>
        <w:t xml:space="preserve">H3s are sub-sections within H2s; use sparingly</w:t>
      </w:r>
    </w:p>
    <w:p>
      <w:pPr>
        <w:pStyle w:val="ListParagraph"/>
        <w:numPr>
          <w:ilvl w:val="0"/>
          <w:numId w:val="2"/>
        </w:numPr>
        <w:spacing w:after="100"/>
      </w:pPr>
      <w:r>
        <w:rPr>
          <w:rFonts w:ascii="Arial" w:cs="Arial" w:eastAsia="Arial" w:hAnsi="Arial"/>
          <w:b w:val="false"/>
          <w:bCs w:val="false"/>
          <w:color w:val="000000"/>
          <w:sz w:val="22"/>
          <w:szCs w:val="22"/>
        </w:rPr>
        <w:t xml:space="preserve">Never create a heading for decoration; every heading must be a genuine content marker</w:t>
      </w:r>
    </w:p>
    <w:p>
      <w:pPr>
        <w:pStyle w:val="ListParagraph"/>
        <w:numPr>
          <w:ilvl w:val="0"/>
          <w:numId w:val="2"/>
        </w:numPr>
        <w:spacing w:after="100"/>
      </w:pPr>
      <w:r>
        <w:rPr>
          <w:rFonts w:ascii="Arial" w:cs="Arial" w:eastAsia="Arial" w:hAnsi="Arial"/>
          <w:b w:val="false"/>
          <w:bCs w:val="false"/>
          <w:color w:val="000000"/>
          <w:sz w:val="22"/>
          <w:szCs w:val="22"/>
        </w:rPr>
        <w:t xml:space="preserve">Where a subheading poses an evaluative question (for example, "What Procurement Leaders Should Look For"), attribute the underlying framework to a named third party if one exists, rather than presenting it as unattributed house opinion (see Section 5.2)</w:t>
      </w:r>
    </w:p>
    <w:p>
      <w:pPr>
        <w:spacing w:after="200"/>
      </w:pPr>
    </w:p>
    <w:p>
      <w:pPr>
        <w:pStyle w:val="Heading2"/>
        <w:spacing w:after="140" w:before="300"/>
      </w:pPr>
      <w:r>
        <w:rPr>
          <w:rFonts w:ascii="Arial" w:cs="Arial" w:eastAsia="Arial" w:hAnsi="Arial"/>
          <w:b/>
          <w:bCs/>
          <w:color w:val="1C2B3A"/>
          <w:sz w:val="26"/>
          <w:szCs w:val="26"/>
        </w:rPr>
        <w:t xml:space="preserve">4.7 No AI Meta-Commentary (New, Aug 2026)</w:t>
      </w:r>
    </w:p>
    <w:tbl>
      <w:tblPr>
        <w:tblW w:type="pct" w:w="100%"/>
        <w:tblBorders>
          <w:top w:val="single" w:color="D0D0D0" w:sz="4"/>
          <w:left w:val="single" w:color="D0D0D0" w:sz="4"/>
          <w:bottom w:val="single" w:color="D0D0D0" w:sz="4"/>
          <w:right w:val="single" w:color="D0D0D0" w:sz="4"/>
          <w:insideH w:val="single" w:color="D0D0D0" w:sz="4"/>
          <w:insideV w:val="single" w:color="D0D0D0" w:sz="4"/>
        </w:tblBorders>
      </w:tblPr>
      <w:tblGrid>
        <w:gridCol w:w="100"/>
      </w:tblGrid>
      <w:tr>
        <w:tc>
          <w:tcPr>
            <w:shd w:fill="FDEDEC" w:val="clear"/>
            <w:tcMar>
              <w:top w:type="dxa" w:w="100"/>
              <w:left w:type="dxa" w:w="150"/>
              <w:bottom w:type="dxa" w:w="100"/>
              <w:right w:type="dxa" w:w="150"/>
            </w:tcMar>
          </w:tcPr>
          <w:p>
            <w:pPr>
              <w:spacing w:after="60"/>
            </w:pPr>
            <w:r>
              <w:rPr>
                <w:rFonts w:ascii="Arial" w:cs="Arial" w:eastAsia="Arial" w:hAnsi="Arial"/>
                <w:b/>
                <w:bCs/>
                <w:color w:val="C0392B"/>
                <w:sz w:val="22"/>
                <w:szCs w:val="22"/>
              </w:rPr>
              <w:t xml:space="preserve">THE RULE</w:t>
            </w:r>
          </w:p>
          <w:p>
            <w:r>
              <w:rPr>
                <w:rFonts w:ascii="Arial" w:cs="Arial" w:eastAsia="Arial" w:hAnsi="Arial"/>
                <w:color w:val="000000"/>
                <w:sz w:val="22"/>
                <w:szCs w:val="22"/>
              </w:rPr>
              <w:t xml:space="preserve">Before submission, every author must read the draft as the audience would, not as an editor of AI-assisted output. Remove any line that talks about the content itself rather than to the reader.</w:t>
            </w:r>
          </w:p>
        </w:tc>
      </w:tr>
    </w:tbl>
    <w:p>
      <w:pPr>
        <w:spacing w:after="120"/>
      </w:pPr>
    </w:p>
    <w:p>
      <w:pPr>
        <w:spacing w:after="160" w:before="0"/>
        <w:jc w:val="left"/>
      </w:pPr>
      <w:r>
        <w:rPr>
          <w:rFonts w:ascii="Arial" w:cs="Arial" w:eastAsia="Arial" w:hAnsi="Arial"/>
          <w:b w:val="false"/>
          <w:bCs w:val="false"/>
          <w:i w:val="false"/>
          <w:iCs w:val="false"/>
          <w:color w:val="000000"/>
          <w:sz w:val="22"/>
          <w:szCs w:val="22"/>
        </w:rPr>
        <w:t xml:space="preserve">Example flagged by the client: "Governance is the one worth checking first, since it's independently certified rather than self-declared." This reads as commentary aimed at an editor, not information for a procurement leader. There is no reason our own content should undercut itself this way.</w:t>
      </w:r>
    </w:p>
    <w:p>
      <w:pPr>
        <w:spacing w:after="160" w:before="0"/>
        <w:jc w:val="left"/>
      </w:pPr>
      <w:r>
        <w:rPr>
          <w:rFonts w:ascii="Arial" w:cs="Arial" w:eastAsia="Arial" w:hAnsi="Arial"/>
          <w:b w:val="false"/>
          <w:bCs w:val="false"/>
          <w:i w:val="false"/>
          <w:iCs w:val="false"/>
          <w:color w:val="000000"/>
          <w:sz w:val="22"/>
          <w:szCs w:val="22"/>
        </w:rPr>
        <w:t xml:space="preserve">If a sentence reads like commentary on the article rather than information for the reader, cut or rewrite it. This is now a mandatory check before any draft is submitted, alongside the keyword density and sentence length checks.</w:t>
      </w:r>
    </w:p>
    <w:p>
      <w:pPr>
        <w:spacing w:after="200"/>
      </w:pPr>
    </w:p>
    <w:p>
      <w:pPr>
        <w:pStyle w:val="Heading1"/>
        <w:spacing w:after="200" w:before="400"/>
      </w:pPr>
      <w:r>
        <w:rPr>
          <w:rFonts w:ascii="Arial" w:cs="Arial" w:eastAsia="Arial" w:hAnsi="Arial"/>
          <w:b/>
          <w:bCs/>
          <w:color w:val="1C2B3A"/>
          <w:sz w:val="32"/>
          <w:szCs w:val="32"/>
        </w:rPr>
        <w:t xml:space="preserve">5. Currency &amp; Expertise Signals</w:t>
      </w:r>
    </w:p>
    <w:p>
      <w:pPr>
        <w:spacing w:after="160" w:before="0"/>
        <w:jc w:val="left"/>
      </w:pPr>
      <w:r>
        <w:rPr>
          <w:rFonts w:ascii="Arial" w:cs="Arial" w:eastAsia="Arial" w:hAnsi="Arial"/>
          <w:b w:val="false"/>
          <w:bCs w:val="false"/>
          <w:i w:val="false"/>
          <w:iCs w:val="false"/>
          <w:color w:val="000000"/>
          <w:sz w:val="22"/>
          <w:szCs w:val="22"/>
        </w:rPr>
        <w:t xml:space="preserve">Every article must actively signal to Google (and the reader) that it is current and credible. These signals must be explicit, not just implied by the content itself.</w:t>
      </w:r>
    </w:p>
    <w:p>
      <w:pPr>
        <w:pStyle w:val="Heading2"/>
        <w:spacing w:after="140" w:before="300"/>
      </w:pPr>
      <w:r>
        <w:rPr>
          <w:rFonts w:ascii="Arial" w:cs="Arial" w:eastAsia="Arial" w:hAnsi="Arial"/>
          <w:b/>
          <w:bCs/>
          <w:color w:val="1C2B3A"/>
          <w:sz w:val="26"/>
          <w:szCs w:val="26"/>
        </w:rPr>
        <w:t xml:space="preserve">5.1 Currency Indicators</w:t>
      </w:r>
    </w:p>
    <w:p>
      <w:pPr>
        <w:spacing w:after="160" w:before="0"/>
        <w:jc w:val="left"/>
      </w:pPr>
      <w:r>
        <w:rPr>
          <w:rFonts w:ascii="Arial" w:cs="Arial" w:eastAsia="Arial" w:hAnsi="Arial"/>
          <w:b w:val="false"/>
          <w:bCs w:val="false"/>
          <w:i w:val="false"/>
          <w:iCs w:val="false"/>
          <w:color w:val="000000"/>
          <w:sz w:val="22"/>
          <w:szCs w:val="22"/>
        </w:rPr>
        <w:t xml:space="preserve">Currency tells Google the content is fresh and therefore more likely to be relevant to a current search query.</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tcW w:type="pct" w:w="28%"/>
            <w:shd w:fill="1C2B3A" w:val="clear"/>
            <w:tcMar>
              <w:top w:type="dxa" w:w="100"/>
              <w:left w:type="dxa" w:w="150"/>
              <w:bottom w:type="dxa" w:w="100"/>
              <w:right w:type="dxa" w:w="150"/>
            </w:tcMar>
          </w:tcPr>
          <w:p>
            <w:r>
              <w:rPr>
                <w:rFonts w:ascii="Arial" w:cs="Arial" w:eastAsia="Arial" w:hAnsi="Arial"/>
                <w:b/>
                <w:bCs/>
                <w:color w:val="FFFFFF"/>
                <w:sz w:val="20"/>
                <w:szCs w:val="20"/>
              </w:rPr>
              <w:t xml:space="preserve">Currency Signal</w:t>
            </w:r>
          </w:p>
        </w:tc>
        <w:tc>
          <w:tcPr>
            <w:tcW w:type="pct" w:w="72%"/>
            <w:shd w:fill="1C2B3A" w:val="clear"/>
            <w:tcMar>
              <w:top w:type="dxa" w:w="100"/>
              <w:left w:type="dxa" w:w="150"/>
              <w:bottom w:type="dxa" w:w="100"/>
              <w:right w:type="dxa" w:w="150"/>
            </w:tcMar>
          </w:tcPr>
          <w:p>
            <w:r>
              <w:rPr>
                <w:rFonts w:ascii="Arial" w:cs="Arial" w:eastAsia="Arial" w:hAnsi="Arial"/>
                <w:b/>
                <w:bCs/>
                <w:color w:val="FFFFFF"/>
                <w:sz w:val="20"/>
                <w:szCs w:val="20"/>
              </w:rPr>
              <w:t xml:space="preserve">How to Apply It</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Year or quarter in headline</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Add 2026 to the H1 where possible; use quarter-level phrasing where it fits, for example "in Q3 2026," since it reads as more current than a bare year (client feedback, Aug 2026). Example: 'Supplier Financial Risk Signals Procurement Should Monitor in 2026'</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Year in H2s</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Include Mid-2026, H2 2026, or 2026 in at least one H2 per article</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Publish date timestamp</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Ensure the published date is visible on the page. Google uses this as a freshness signal</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Dated citations</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All statistics must reference the year of the study, for example McKinsey, 2026 or Gartner, Q1 2026</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Recent Developments section</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Include a subsection titled 'Recent Developments' or 'What Changed in 2026' where the topic has evolved</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Quarterly refresh of time-bound topics</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Review published articles anchored to time-bound data (tariffs, regulations, market forecasts) at least once a quarter, and update the headline and stats to the current half or quarter. Example flagged by the client: a tariffs article referencing 2025 should be refreshed to reference the second half of 2026 rather than left as-is.</w:t>
            </w:r>
          </w:p>
        </w:tc>
      </w:tr>
    </w:tbl>
    <w:p>
      <w:pPr>
        <w:spacing w:after="200"/>
      </w:pPr>
    </w:p>
    <w:p>
      <w:pPr>
        <w:pStyle w:val="Heading2"/>
        <w:spacing w:after="140" w:before="300"/>
      </w:pPr>
      <w:r>
        <w:rPr>
          <w:rFonts w:ascii="Arial" w:cs="Arial" w:eastAsia="Arial" w:hAnsi="Arial"/>
          <w:b/>
          <w:bCs/>
          <w:color w:val="1C2B3A"/>
          <w:sz w:val="26"/>
          <w:szCs w:val="26"/>
        </w:rPr>
        <w:t xml:space="preserve">5.2 Expertise Indicators</w:t>
      </w:r>
    </w:p>
    <w:p>
      <w:pPr>
        <w:spacing w:after="160" w:before="0"/>
        <w:jc w:val="left"/>
      </w:pPr>
      <w:r>
        <w:rPr>
          <w:rFonts w:ascii="Arial" w:cs="Arial" w:eastAsia="Arial" w:hAnsi="Arial"/>
          <w:b w:val="false"/>
          <w:bCs w:val="false"/>
          <w:i w:val="false"/>
          <w:iCs w:val="false"/>
          <w:color w:val="000000"/>
          <w:sz w:val="22"/>
          <w:szCs w:val="22"/>
        </w:rPr>
        <w:t xml:space="preserve">Expertise signals tell Google that the content is backed by authoritative, credible sources, not just opinion.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tcW w:type="pct" w:w="28%"/>
            <w:shd w:fill="1C2B3A" w:val="clear"/>
            <w:tcMar>
              <w:top w:type="dxa" w:w="100"/>
              <w:left w:type="dxa" w:w="150"/>
              <w:bottom w:type="dxa" w:w="100"/>
              <w:right w:type="dxa" w:w="150"/>
            </w:tcMar>
          </w:tcPr>
          <w:p>
            <w:r>
              <w:rPr>
                <w:rFonts w:ascii="Arial" w:cs="Arial" w:eastAsia="Arial" w:hAnsi="Arial"/>
                <w:b/>
                <w:bCs/>
                <w:color w:val="FFFFFF"/>
                <w:sz w:val="20"/>
                <w:szCs w:val="20"/>
              </w:rPr>
              <w:t xml:space="preserve">Expertise Signal</w:t>
            </w:r>
          </w:p>
        </w:tc>
        <w:tc>
          <w:tcPr>
            <w:tcW w:type="pct" w:w="72%"/>
            <w:shd w:fill="1C2B3A" w:val="clear"/>
            <w:tcMar>
              <w:top w:type="dxa" w:w="100"/>
              <w:left w:type="dxa" w:w="150"/>
              <w:bottom w:type="dxa" w:w="100"/>
              <w:right w:type="dxa" w:w="150"/>
            </w:tcMar>
          </w:tcPr>
          <w:p>
            <w:r>
              <w:rPr>
                <w:rFonts w:ascii="Arial" w:cs="Arial" w:eastAsia="Arial" w:hAnsi="Arial"/>
                <w:b/>
                <w:bCs/>
                <w:color w:val="FFFFFF"/>
                <w:sz w:val="20"/>
                <w:szCs w:val="20"/>
              </w:rPr>
              <w:t xml:space="preserve">How to Apply It</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What the Experts Are Saying section</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Include a dedicated summary table in every article listing all third-party citations in one place. Label it 'What the Experts Are Saying.' Include: source name, key finding, year.</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Lead with the source</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Where an article or section opens on a statistic, name the source in the first sentence itself, for example "According to Gartner, procurement AI adoption increased 387%," rather than attributing it later in the paragraph (client feedback, Aug 2026).</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Bold third-party names</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Bold the name of the third-party source on first mention in a sentence to visually flag independent validation, for example "Procurement Magazine's 2026 review compares eleven vendors building agentic AI."</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Named sources only</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Every statistic must have a named source. Never write 'studies show' or 'research indicates.' Name the institution, the report, and the year.</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Hyperlinked citations</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All third-party data points must be hyperlinked to the primary source where publicly available.</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Minimum citation count</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Every article must include at least 4 named, cited external data points.</w:t>
            </w:r>
          </w:p>
        </w:tc>
      </w:tr>
    </w:tbl>
    <w:p>
      <w:pPr>
        <w:spacing w:after="200"/>
      </w:pPr>
    </w:p>
    <w:p>
      <w:pPr>
        <w:pStyle w:val="Heading2"/>
        <w:spacing w:after="140" w:before="300"/>
      </w:pPr>
      <w:r>
        <w:rPr>
          <w:rFonts w:ascii="Arial" w:cs="Arial" w:eastAsia="Arial" w:hAnsi="Arial"/>
          <w:b/>
          <w:bCs/>
          <w:color w:val="1C2B3A"/>
          <w:sz w:val="26"/>
          <w:szCs w:val="26"/>
        </w:rPr>
        <w:t xml:space="preserve">5.3 Data Presentation &amp; Contrast (New, Aug 2026)</w:t>
      </w:r>
    </w:p>
    <w:p>
      <w:pPr>
        <w:spacing w:after="160" w:before="0"/>
        <w:jc w:val="left"/>
      </w:pPr>
      <w:r>
        <w:rPr>
          <w:rFonts w:ascii="Arial" w:cs="Arial" w:eastAsia="Arial" w:hAnsi="Arial"/>
          <w:b w:val="false"/>
          <w:bCs w:val="false"/>
          <w:i w:val="false"/>
          <w:iCs w:val="false"/>
          <w:color w:val="000000"/>
          <w:sz w:val="22"/>
          <w:szCs w:val="22"/>
        </w:rPr>
        <w:t xml:space="preserve">When a section presents multiple related data points that exist specifically to set up a contrast, do not give every item equal visual or textual weight. Structure the sentence or layout so the contrasting point carries the emphasis.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BEFORE</w:t>
            </w:r>
          </w:p>
        </w:tc>
        <w:tc>
          <w:tcPr>
            <w:tcW w:type="pct" w:w="8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Four data points shown at equal size and weight: 95% Tier 1 visibility, 85% Tier 2+ incidents, [item 3], [item 4].</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AFTER</w:t>
            </w:r>
          </w:p>
        </w:tc>
        <w:tc>
          <w:tcPr>
            <w:tcW w:type="pct" w:w="82%"/>
            <w:shd w:fill="EAFAF1" w:val="clear"/>
            <w:tcMar>
              <w:top w:type="dxa" w:w="100"/>
              <w:left w:type="dxa" w:w="150"/>
              <w:bottom w:type="dxa" w:w="100"/>
              <w:right w:type="dxa" w:w="150"/>
            </w:tcMar>
          </w:tcPr>
          <w:p>
            <w:r>
              <w:rPr>
                <w:rFonts w:ascii="Arial" w:cs="Arial" w:eastAsia="Arial" w:hAnsi="Arial"/>
                <w:b/>
                <w:bCs/>
                <w:sz w:val="20"/>
                <w:szCs w:val="20"/>
              </w:rPr>
              <w:t xml:space="preserve">95% of procurement teams have full visibility into their Tier 1 suppliers. BUT 85% of supply chain risk incidents originate at Tier 2, 3, and 4, where that visibility disappears.</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NOTE</w:t>
            </w:r>
          </w:p>
        </w:tc>
        <w:tc>
          <w:tcPr>
            <w:tcW w:type="pct" w:w="82%"/>
            <w:shd w:fill="EA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Client feedback, Aug 2026: equal-sized data points lose the story. Use an explicit contrast construction, X% ... BUT Y% ..., so the reader doesn't lose the surprising point among equally-weighted stats.</w:t>
            </w:r>
          </w:p>
        </w:tc>
      </w:tr>
    </w:tbl>
    <w:p>
      <w:pPr>
        <w:spacing w:after="200"/>
      </w:pPr>
    </w:p>
    <w:p>
      <w:pPr>
        <w:pStyle w:val="Heading2"/>
        <w:spacing w:after="140" w:before="300"/>
      </w:pPr>
      <w:r>
        <w:rPr>
          <w:rFonts w:ascii="Arial" w:cs="Arial" w:eastAsia="Arial" w:hAnsi="Arial"/>
          <w:b/>
          <w:bCs/>
          <w:color w:val="1C2B3A"/>
          <w:sz w:val="26"/>
          <w:szCs w:val="26"/>
        </w:rPr>
        <w:t xml:space="preserve">5.4 AI &amp; Search Crawlability (New, Aug 2026)</w:t>
      </w:r>
    </w:p>
    <w:tbl>
      <w:tblPr>
        <w:tblW w:type="pct" w:w="100%"/>
        <w:tblBorders>
          <w:top w:val="single" w:color="D0D0D0" w:sz="4"/>
          <w:left w:val="single" w:color="D0D0D0" w:sz="4"/>
          <w:bottom w:val="single" w:color="D0D0D0" w:sz="4"/>
          <w:right w:val="single" w:color="D0D0D0" w:sz="4"/>
          <w:insideH w:val="single" w:color="D0D0D0" w:sz="4"/>
          <w:insideV w:val="single" w:color="D0D0D0" w:sz="4"/>
        </w:tblBorders>
      </w:tblPr>
      <w:tblGrid>
        <w:gridCol w:w="100"/>
      </w:tblGrid>
      <w:tr>
        <w:tc>
          <w:tcPr>
            <w:shd w:fill="EAF2F8" w:val="clear"/>
            <w:tcMar>
              <w:top w:type="dxa" w:w="100"/>
              <w:left w:type="dxa" w:w="150"/>
              <w:bottom w:type="dxa" w:w="100"/>
              <w:right w:type="dxa" w:w="150"/>
            </w:tcMar>
          </w:tcPr>
          <w:p>
            <w:pPr>
              <w:spacing w:after="60"/>
            </w:pPr>
            <w:r>
              <w:rPr>
                <w:rFonts w:ascii="Arial" w:cs="Arial" w:eastAsia="Arial" w:hAnsi="Arial"/>
                <w:b/>
                <w:bCs/>
                <w:color w:val="1C2B3A"/>
                <w:sz w:val="22"/>
                <w:szCs w:val="22"/>
              </w:rPr>
              <w:t xml:space="preserve">THE RULE</w:t>
            </w:r>
          </w:p>
          <w:p>
            <w:r>
              <w:rPr>
                <w:rFonts w:ascii="Arial" w:cs="Arial" w:eastAsia="Arial" w:hAnsi="Arial"/>
                <w:color w:val="000000"/>
                <w:sz w:val="22"/>
                <w:szCs w:val="22"/>
              </w:rPr>
              <w:t xml:space="preserve">All key statistics, callout boxes, and the 'What the Experts Are Saying' summary must be coded as real, selectable text (HTML or plain text), never as an image. Google and AI answer engines such as ChatGPT, Gemini, and Perplexity can only read and cite text; anything delivered as an image is invisible to them, however visually prominent it looks to a human reader.</w:t>
            </w:r>
          </w:p>
        </w:tc>
      </w:tr>
    </w:tbl>
    <w:p>
      <w:pPr>
        <w:spacing w:after="120"/>
      </w:pPr>
    </w:p>
    <w:p>
      <w:pPr>
        <w:spacing w:after="160" w:before="0"/>
        <w:jc w:val="left"/>
      </w:pPr>
      <w:r>
        <w:rPr>
          <w:rFonts w:ascii="Arial" w:cs="Arial" w:eastAsia="Arial" w:hAnsi="Arial"/>
          <w:b w:val="false"/>
          <w:bCs w:val="false"/>
          <w:i w:val="false"/>
          <w:iCs w:val="false"/>
          <w:color w:val="000000"/>
          <w:sz w:val="22"/>
          <w:szCs w:val="22"/>
        </w:rPr>
        <w:t xml:space="preserve">This applies to any element a designer might otherwise be tempted to build as a graphic: pull quotes, stat call-outs, and comparison tables all need a text-based fallback or must be built in text from the start.</w:t>
      </w:r>
    </w:p>
    <w:p>
      <w:pPr>
        <w:spacing w:after="200"/>
      </w:pPr>
    </w:p>
    <w:p>
      <w:pPr>
        <w:pStyle w:val="Heading1"/>
        <w:spacing w:after="200" w:before="400"/>
      </w:pPr>
      <w:r>
        <w:rPr>
          <w:rFonts w:ascii="Arial" w:cs="Arial" w:eastAsia="Arial" w:hAnsi="Arial"/>
          <w:b/>
          <w:bCs/>
          <w:color w:val="1C2B3A"/>
          <w:sz w:val="32"/>
          <w:szCs w:val="32"/>
        </w:rPr>
        <w:t xml:space="preserve">6. Jaggaer CTA Rules</w:t>
      </w:r>
    </w:p>
    <w:p>
      <w:pPr>
        <w:spacing w:after="160" w:before="0"/>
        <w:jc w:val="left"/>
      </w:pPr>
      <w:r>
        <w:rPr>
          <w:rFonts w:ascii="Arial" w:cs="Arial" w:eastAsia="Arial" w:hAnsi="Arial"/>
          <w:b w:val="false"/>
          <w:bCs w:val="false"/>
          <w:i w:val="false"/>
          <w:iCs w:val="false"/>
          <w:color w:val="000000"/>
          <w:sz w:val="22"/>
          <w:szCs w:val="22"/>
        </w:rPr>
        <w:t xml:space="preserve">Every article must include Jaggaer product CTAs (interstitial ads) built into the body. These are HTML blocks, not images, and must be text-coded to be indexable by Google. Client feedback flagged that blog content was not consistently building in CTA opportunities back to the product; the rules below are now the standard for every brief.</w:t>
      </w:r>
    </w:p>
    <w:p>
      <w:pPr>
        <w:pStyle w:val="Heading2"/>
        <w:spacing w:after="140" w:before="300"/>
      </w:pPr>
      <w:r>
        <w:rPr>
          <w:rFonts w:ascii="Arial" w:cs="Arial" w:eastAsia="Arial" w:hAnsi="Arial"/>
          <w:b/>
          <w:bCs/>
          <w:color w:val="1C2B3A"/>
          <w:sz w:val="26"/>
          <w:szCs w:val="26"/>
        </w:rPr>
        <w:t xml:space="preserve">6.1 CTA Placement Rules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tcW w:type="pct" w:w="28%"/>
            <w:shd w:fill="1C2B3A" w:val="clear"/>
            <w:tcMar>
              <w:top w:type="dxa" w:w="100"/>
              <w:left w:type="dxa" w:w="150"/>
              <w:bottom w:type="dxa" w:w="100"/>
              <w:right w:type="dxa" w:w="150"/>
            </w:tcMar>
          </w:tcPr>
          <w:p>
            <w:r>
              <w:rPr>
                <w:rFonts w:ascii="Arial" w:cs="Arial" w:eastAsia="Arial" w:hAnsi="Arial"/>
                <w:b/>
                <w:bCs/>
                <w:color w:val="FFFFFF"/>
                <w:sz w:val="20"/>
                <w:szCs w:val="20"/>
              </w:rPr>
              <w:t xml:space="preserve">Rule</w:t>
            </w:r>
          </w:p>
        </w:tc>
        <w:tc>
          <w:tcPr>
            <w:tcW w:type="pct" w:w="72%"/>
            <w:shd w:fill="1C2B3A" w:val="clear"/>
            <w:tcMar>
              <w:top w:type="dxa" w:w="100"/>
              <w:left w:type="dxa" w:w="150"/>
              <w:bottom w:type="dxa" w:w="100"/>
              <w:right w:type="dxa" w:w="150"/>
            </w:tcMar>
          </w:tcPr>
          <w:p>
            <w:r>
              <w:rPr>
                <w:rFonts w:ascii="Arial" w:cs="Arial" w:eastAsia="Arial" w:hAnsi="Arial"/>
                <w:b/>
                <w:bCs/>
                <w:color w:val="FFFFFF"/>
                <w:sz w:val="20"/>
                <w:szCs w:val="20"/>
              </w:rPr>
              <w:t xml:space="preserve">Requirement</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First CTA placement</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Must appear within the first section, ideally by the end of the first 150 to 200 words. Client feedback (Aug 2026): most readers do not scroll, so the earliest possible placement is now the standard, not the previous two-page ceiling.</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Subsequent CTAs</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Roughly one CTA every three scrollable pages, each one moving progressively deeper into a related Jaggaer offering rather than repeating the same ad. The core message and primary offer should also be echoed in different words as the article progresses, since most readers will not reach a CTA that only appears once.</w:t>
            </w:r>
          </w:p>
        </w:tc>
      </w:tr>
      <w:tr>
        <w:tc>
          <w:tcPr>
            <w:tcW w:type="pct" w:w="28%"/>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Minimum CTAs per article</w:t>
            </w:r>
          </w:p>
        </w:tc>
        <w:tc>
          <w:tcPr>
            <w:tcW w:type="pct" w:w="7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3 CTAs minimum for a 2,000+ word article. 2 for a 1,000-1,500 word article.</w:t>
            </w:r>
          </w:p>
        </w:tc>
      </w:tr>
      <w:tr>
        <w:tc>
          <w:tcPr>
            <w:tcW w:type="pct" w:w="28%"/>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CTA format</w:t>
            </w:r>
          </w:p>
        </w:tc>
        <w:tc>
          <w:tcPr>
            <w:tcW w:type="pct" w:w="72%"/>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HTML text block, not an image. Must be text-coded so Google can read it (see Section 5.4).</w:t>
            </w:r>
          </w:p>
        </w:tc>
      </w:tr>
    </w:tbl>
    <w:p>
      <w:pPr>
        <w:spacing w:after="200"/>
      </w:pPr>
    </w:p>
    <w:p>
      <w:pPr>
        <w:pStyle w:val="Heading2"/>
        <w:spacing w:after="140" w:before="300"/>
      </w:pPr>
      <w:r>
        <w:rPr>
          <w:rFonts w:ascii="Arial" w:cs="Arial" w:eastAsia="Arial" w:hAnsi="Arial"/>
          <w:b/>
          <w:bCs/>
          <w:color w:val="1C2B3A"/>
          <w:sz w:val="26"/>
          <w:szCs w:val="26"/>
        </w:rPr>
        <w:t xml:space="preserve">6.2 CTA Copy Rules</w:t>
      </w:r>
    </w:p>
    <w:p>
      <w:pPr>
        <w:pStyle w:val="ListParagraph"/>
        <w:numPr>
          <w:ilvl w:val="0"/>
          <w:numId w:val="2"/>
        </w:numPr>
        <w:spacing w:after="100"/>
      </w:pPr>
      <w:r>
        <w:rPr>
          <w:rFonts w:ascii="Arial" w:cs="Arial" w:eastAsia="Arial" w:hAnsi="Arial"/>
          <w:b w:val="false"/>
          <w:bCs w:val="false"/>
          <w:color w:val="000000"/>
          <w:sz w:val="22"/>
          <w:szCs w:val="22"/>
        </w:rPr>
        <w:t xml:space="preserve">State what Jaggaer does, not why it matters</w:t>
      </w:r>
    </w:p>
    <w:p>
      <w:pPr>
        <w:pStyle w:val="ListParagraph"/>
        <w:numPr>
          <w:ilvl w:val="0"/>
          <w:numId w:val="2"/>
        </w:numPr>
        <w:spacing w:after="100"/>
      </w:pPr>
      <w:r>
        <w:rPr>
          <w:rFonts w:ascii="Arial" w:cs="Arial" w:eastAsia="Arial" w:hAnsi="Arial"/>
          <w:b w:val="false"/>
          <w:bCs w:val="false"/>
          <w:color w:val="000000"/>
          <w:sz w:val="22"/>
          <w:szCs w:val="22"/>
        </w:rPr>
        <w:t xml:space="preserve">Each CTA must be contextually tied to the section it follows, not generic</w:t>
      </w:r>
    </w:p>
    <w:p>
      <w:pPr>
        <w:pStyle w:val="ListParagraph"/>
        <w:numPr>
          <w:ilvl w:val="0"/>
          <w:numId w:val="2"/>
        </w:numPr>
        <w:spacing w:after="100"/>
      </w:pPr>
      <w:r>
        <w:rPr>
          <w:rFonts w:ascii="Arial" w:cs="Arial" w:eastAsia="Arial" w:hAnsi="Arial"/>
          <w:b w:val="false"/>
          <w:bCs w:val="false"/>
          <w:color w:val="000000"/>
          <w:sz w:val="22"/>
          <w:szCs w:val="22"/>
        </w:rPr>
        <w:t xml:space="preserve">No business benefit language (see Section 4.4)</w:t>
      </w:r>
    </w:p>
    <w:p>
      <w:pPr>
        <w:pStyle w:val="ListParagraph"/>
        <w:numPr>
          <w:ilvl w:val="0"/>
          <w:numId w:val="2"/>
        </w:numPr>
        <w:spacing w:after="100"/>
      </w:pPr>
      <w:r>
        <w:rPr>
          <w:rFonts w:ascii="Arial" w:cs="Arial" w:eastAsia="Arial" w:hAnsi="Arial"/>
          <w:b w:val="false"/>
          <w:bCs w:val="false"/>
          <w:color w:val="000000"/>
          <w:sz w:val="22"/>
          <w:szCs w:val="22"/>
        </w:rPr>
        <w:t xml:space="preserve">Where a named third-party report (for example, a Gartner study) is the primary data source for the article, prioritise offering that report as a downloadable asset in the first CTA over a generic Jaggaer product ad. Make the source attribution visually obvious next to the download offer (client feedback, Aug 2026).</w:t>
      </w:r>
    </w:p>
    <w:p>
      <w:pPr>
        <w:pStyle w:val="ListParagraph"/>
        <w:numPr>
          <w:ilvl w:val="0"/>
          <w:numId w:val="2"/>
        </w:numPr>
        <w:spacing w:after="100"/>
      </w:pPr>
      <w:r>
        <w:rPr>
          <w:rFonts w:ascii="Arial" w:cs="Arial" w:eastAsia="Arial" w:hAnsi="Arial"/>
          <w:b w:val="false"/>
          <w:bCs w:val="false"/>
          <w:color w:val="000000"/>
          <w:sz w:val="22"/>
          <w:szCs w:val="22"/>
        </w:rPr>
        <w:t xml:space="preserve">Where a named JAI/Claude case study exists for the specific topic under discussion (for example, an AI use case table), link the CTA to that case study or download rather than a generic CTA.</w:t>
      </w:r>
    </w:p>
    <w:p>
      <w:pPr>
        <w:pStyle w:val="ListParagraph"/>
        <w:numPr>
          <w:ilvl w:val="0"/>
          <w:numId w:val="2"/>
        </w:numPr>
        <w:spacing w:after="100"/>
      </w:pPr>
      <w:r>
        <w:rPr>
          <w:rFonts w:ascii="Arial" w:cs="Arial" w:eastAsia="Arial" w:hAnsi="Arial"/>
          <w:b w:val="false"/>
          <w:bCs w:val="false"/>
          <w:color w:val="000000"/>
          <w:sz w:val="22"/>
          <w:szCs w:val="22"/>
        </w:rPr>
        <w:t xml:space="preserve">For the closing CTA on Claude/JAI-focused content, pair the CTA copy with an approved supporting product screenshot (for example, the Deep Research image from the Jaggaer homepage hero section) rather than text alone.</w:t>
      </w:r>
    </w:p>
    <w:p>
      <w:pPr>
        <w:spacing w:after="160"/>
      </w:pPr>
    </w:p>
    <w:p>
      <w:pPr>
        <w:spacing w:after="160" w:before="0"/>
        <w:jc w:val="left"/>
      </w:pPr>
      <w:r>
        <w:rPr>
          <w:rFonts w:ascii="Arial" w:cs="Arial" w:eastAsia="Arial" w:hAnsi="Arial"/>
          <w:b w:val="false"/>
          <w:bCs w:val="false"/>
          <w:i w:val="false"/>
          <w:iCs w:val="false"/>
          <w:color w:val="000000"/>
          <w:sz w:val="22"/>
          <w:szCs w:val="22"/>
        </w:rPr>
        <w:t xml:space="preserve">Example CTA copy by article section: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tcW w:type="pct" w:w="45%"/>
            <w:shd w:fill="1C2B3A" w:val="clear"/>
            <w:tcMar>
              <w:top w:type="dxa" w:w="100"/>
              <w:left w:type="dxa" w:w="150"/>
              <w:bottom w:type="dxa" w:w="100"/>
              <w:right w:type="dxa" w:w="150"/>
            </w:tcMar>
          </w:tcPr>
          <w:p>
            <w:r>
              <w:rPr>
                <w:rFonts w:ascii="Arial" w:cs="Arial" w:eastAsia="Arial" w:hAnsi="Arial"/>
                <w:b/>
                <w:bCs/>
                <w:color w:val="FFFFFF"/>
                <w:sz w:val="20"/>
                <w:szCs w:val="20"/>
              </w:rPr>
              <w:t xml:space="preserve">Section Context</w:t>
            </w:r>
          </w:p>
        </w:tc>
        <w:tc>
          <w:tcPr>
            <w:tcW w:type="pct" w:w="55%"/>
            <w:shd w:fill="1C2B3A" w:val="clear"/>
            <w:tcMar>
              <w:top w:type="dxa" w:w="100"/>
              <w:left w:type="dxa" w:w="150"/>
              <w:bottom w:type="dxa" w:w="100"/>
              <w:right w:type="dxa" w:w="150"/>
            </w:tcMar>
          </w:tcPr>
          <w:p>
            <w:r>
              <w:rPr>
                <w:rFonts w:ascii="Arial" w:cs="Arial" w:eastAsia="Arial" w:hAnsi="Arial"/>
                <w:b/>
                <w:bCs/>
                <w:color w:val="FFFFFF"/>
                <w:sz w:val="20"/>
                <w:szCs w:val="20"/>
              </w:rPr>
              <w:t xml:space="preserve">CTA Copy Example</w:t>
            </w:r>
          </w:p>
        </w:tc>
      </w:tr>
      <w:tr>
        <w:tc>
          <w:tcPr>
            <w:tcW w:type="pct" w:w="4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After sub-tier risk data</w:t>
            </w:r>
          </w:p>
        </w:tc>
        <w:tc>
          <w:tcPr>
            <w:tcW w:type="pct" w:w="5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See how Jaggaer maps Tier 2-4 supplier networks →</w:t>
            </w:r>
          </w:p>
        </w:tc>
      </w:tr>
      <w:tr>
        <w:tc>
          <w:tcPr>
            <w:tcW w:type="pct" w:w="4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After SRM limitations section</w:t>
            </w:r>
          </w:p>
        </w:tc>
        <w:tc>
          <w:tcPr>
            <w:tcW w:type="pct" w:w="5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Compare what your current platform sees vs. what Jaggaer sees →</w:t>
            </w:r>
          </w:p>
        </w:tc>
      </w:tr>
      <w:tr>
        <w:tc>
          <w:tcPr>
            <w:tcW w:type="pct" w:w="4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After a cited third-party report (for example, Gartner)</w:t>
            </w:r>
          </w:p>
        </w:tc>
        <w:tc>
          <w:tcPr>
            <w:tcW w:type="pct" w:w="5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Download the full Gartner report on [topic] →</w:t>
            </w:r>
          </w:p>
        </w:tc>
      </w:tr>
      <w:tr>
        <w:tc>
          <w:tcPr>
            <w:tcW w:type="pct" w:w="4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After an AI use case table with a matching JAI case study</w:t>
            </w:r>
          </w:p>
        </w:tc>
        <w:tc>
          <w:tcPr>
            <w:tcW w:type="pct" w:w="5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Download the JAI case study on [use case] →</w:t>
            </w:r>
          </w:p>
        </w:tc>
      </w:tr>
      <w:tr>
        <w:tc>
          <w:tcPr>
            <w:tcW w:type="pct" w:w="4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Near article close</w:t>
            </w:r>
          </w:p>
        </w:tc>
        <w:tc>
          <w:tcPr>
            <w:tcW w:type="pct" w:w="55%"/>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Download the Jaggaer Supplier Visibility Brochure →</w:t>
            </w:r>
          </w:p>
        </w:tc>
      </w:tr>
      <w:tr>
        <w:tc>
          <w:tcPr>
            <w:tcW w:type="pct" w:w="4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After financial risk signals section</w:t>
            </w:r>
          </w:p>
        </w:tc>
        <w:tc>
          <w:tcPr>
            <w:tcW w:type="pct" w:w="55%"/>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See how Jaggaer monitors supplier financial health in real time →</w:t>
            </w:r>
          </w:p>
        </w:tc>
      </w:tr>
    </w:tbl>
    <w:p>
      <w:pPr>
        <w:spacing w:after="200"/>
      </w:pPr>
    </w:p>
    <w:p>
      <w:pPr>
        <w:pStyle w:val="Heading1"/>
        <w:spacing w:after="200" w:before="400"/>
      </w:pPr>
      <w:r>
        <w:rPr>
          <w:rFonts w:ascii="Arial" w:cs="Arial" w:eastAsia="Arial" w:hAnsi="Arial"/>
          <w:b/>
          <w:bCs/>
          <w:color w:val="1C2B3A"/>
          <w:sz w:val="32"/>
          <w:szCs w:val="32"/>
        </w:rPr>
        <w:t xml:space="preserve">7. Interlinking Rules</w:t>
      </w:r>
    </w:p>
    <w:p>
      <w:pPr>
        <w:spacing w:after="160" w:before="0"/>
        <w:jc w:val="left"/>
      </w:pPr>
      <w:r>
        <w:rPr>
          <w:rFonts w:ascii="Arial" w:cs="Arial" w:eastAsia="Arial" w:hAnsi="Arial"/>
          <w:b w:val="false"/>
          <w:bCs w:val="false"/>
          <w:i w:val="false"/>
          <w:iCs w:val="false"/>
          <w:color w:val="000000"/>
          <w:sz w:val="22"/>
          <w:szCs w:val="22"/>
        </w:rPr>
        <w:t xml:space="preserve">There are two types of interlinking on this engagement. Both are required, but SEO interlinking is the priority.</w:t>
      </w:r>
    </w:p>
    <w:p>
      <w:pPr>
        <w:pStyle w:val="Heading2"/>
        <w:spacing w:after="140" w:before="300"/>
      </w:pPr>
      <w:r>
        <w:rPr>
          <w:rFonts w:ascii="Arial" w:cs="Arial" w:eastAsia="Arial" w:hAnsi="Arial"/>
          <w:b/>
          <w:bCs/>
          <w:color w:val="1C2B3A"/>
          <w:sz w:val="26"/>
          <w:szCs w:val="26"/>
        </w:rPr>
        <w:t xml:space="preserve">7.1 SEO Interlinking</w:t>
      </w:r>
    </w:p>
    <w:p>
      <w:pPr>
        <w:spacing w:after="160" w:before="0"/>
        <w:jc w:val="left"/>
      </w:pPr>
      <w:r>
        <w:rPr>
          <w:rFonts w:ascii="Arial" w:cs="Arial" w:eastAsia="Arial" w:hAnsi="Arial"/>
          <w:b w:val="false"/>
          <w:bCs w:val="false"/>
          <w:i w:val="false"/>
          <w:iCs w:val="false"/>
          <w:color w:val="000000"/>
          <w:sz w:val="22"/>
          <w:szCs w:val="22"/>
        </w:rPr>
        <w:t xml:space="preserve">Inline text anchor links within the body copy, connecting sub-topic articles to the pillar page and to each other. These tell Google that the articles form a structured content cluster.</w:t>
      </w:r>
    </w:p>
    <w:p>
      <w:pPr>
        <w:pStyle w:val="ListParagraph"/>
        <w:numPr>
          <w:ilvl w:val="0"/>
          <w:numId w:val="2"/>
        </w:numPr>
        <w:spacing w:after="100"/>
      </w:pPr>
      <w:r>
        <w:rPr>
          <w:rFonts w:ascii="Arial" w:cs="Arial" w:eastAsia="Arial" w:hAnsi="Arial"/>
          <w:b w:val="false"/>
          <w:bCs w:val="false"/>
          <w:color w:val="000000"/>
          <w:sz w:val="22"/>
          <w:szCs w:val="22"/>
        </w:rPr>
        <w:t xml:space="preserve">Every sub-topic article must link back to the pillar page at least once, in the introduction or first main section</w:t>
      </w:r>
    </w:p>
    <w:p>
      <w:pPr>
        <w:pStyle w:val="ListParagraph"/>
        <w:numPr>
          <w:ilvl w:val="0"/>
          <w:numId w:val="2"/>
        </w:numPr>
        <w:spacing w:after="100"/>
      </w:pPr>
      <w:r>
        <w:rPr>
          <w:rFonts w:ascii="Arial" w:cs="Arial" w:eastAsia="Arial" w:hAnsi="Arial"/>
          <w:b w:val="false"/>
          <w:bCs w:val="false"/>
          <w:color w:val="000000"/>
          <w:sz w:val="22"/>
          <w:szCs w:val="22"/>
        </w:rPr>
        <w:t xml:space="preserve">Sub-topic articles must cross-link to each other where the content is naturally related; minimum 2 cross-links per article</w:t>
      </w:r>
    </w:p>
    <w:p>
      <w:pPr>
        <w:pStyle w:val="ListParagraph"/>
        <w:numPr>
          <w:ilvl w:val="0"/>
          <w:numId w:val="2"/>
        </w:numPr>
        <w:spacing w:after="100"/>
      </w:pPr>
      <w:r>
        <w:rPr>
          <w:rFonts w:ascii="Arial" w:cs="Arial" w:eastAsia="Arial" w:hAnsi="Arial"/>
          <w:b w:val="false"/>
          <w:bCs w:val="false"/>
          <w:color w:val="000000"/>
          <w:sz w:val="22"/>
          <w:szCs w:val="22"/>
        </w:rPr>
        <w:t xml:space="preserve">Links must be embedded within natural sentences, not listed separately or added at the end</w:t>
      </w:r>
    </w:p>
    <w:p>
      <w:pPr>
        <w:pStyle w:val="ListParagraph"/>
        <w:numPr>
          <w:ilvl w:val="0"/>
          <w:numId w:val="2"/>
        </w:numPr>
        <w:spacing w:after="100"/>
      </w:pPr>
      <w:r>
        <w:rPr>
          <w:rFonts w:ascii="Arial" w:cs="Arial" w:eastAsia="Arial" w:hAnsi="Arial"/>
          <w:b w:val="false"/>
          <w:bCs w:val="false"/>
          <w:color w:val="000000"/>
          <w:sz w:val="22"/>
          <w:szCs w:val="22"/>
        </w:rPr>
        <w:t xml:space="preserve">Anchor text must be 3-6 words extracted naturally from the sentence, not 'click here' or 'read more'</w:t>
      </w:r>
    </w:p>
    <w:p>
      <w:pPr>
        <w:pStyle w:val="ListParagraph"/>
        <w:numPr>
          <w:ilvl w:val="0"/>
          <w:numId w:val="2"/>
        </w:numPr>
        <w:spacing w:after="100"/>
      </w:pPr>
      <w:r>
        <w:rPr>
          <w:rFonts w:ascii="Arial" w:cs="Arial" w:eastAsia="Arial" w:hAnsi="Arial"/>
          <w:b w:val="false"/>
          <w:bCs w:val="false"/>
          <w:color w:val="000000"/>
          <w:sz w:val="22"/>
          <w:szCs w:val="22"/>
        </w:rPr>
        <w:t xml:space="preserve">All cluster articles must be published on the same day to avoid broken links at launch</w:t>
      </w:r>
    </w:p>
    <w:p>
      <w:pPr>
        <w:spacing w:after="12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BEFORE</w:t>
            </w:r>
          </w:p>
        </w:tc>
        <w:tc>
          <w:tcPr>
            <w:tcW w:type="pct" w:w="82%"/>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financial consequences of sub-tier blind spots are significant.</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AFTER</w:t>
            </w:r>
          </w:p>
        </w:tc>
        <w:tc>
          <w:tcPr>
            <w:tcW w:type="pct" w:w="82%"/>
            <w:shd w:fill="EAFAF1" w:val="clear"/>
            <w:tcMar>
              <w:top w:type="dxa" w:w="100"/>
              <w:left w:type="dxa" w:w="150"/>
              <w:bottom w:type="dxa" w:w="100"/>
              <w:right w:type="dxa" w:w="150"/>
            </w:tcMar>
          </w:tcPr>
          <w:p>
            <w:r>
              <w:rPr>
                <w:rFonts w:ascii="Arial" w:cs="Arial" w:eastAsia="Arial" w:hAnsi="Arial"/>
                <w:b/>
                <w:bCs/>
                <w:sz w:val="20"/>
                <w:szCs w:val="20"/>
              </w:rPr>
              <w:t xml:space="preserve">The financial consequences of sub-tier blind spots are significant, and in many cases, supplier financial risk signals were present well before any operational alert fired.</w:t>
            </w:r>
          </w:p>
        </w:tc>
      </w:tr>
      <w:tr>
        <w:tc>
          <w:tcPr>
            <w:tcW w:type="pct" w:w="18%"/>
            <w:shd w:fill="1C2B3A" w:val="clear"/>
            <w:tcMar>
              <w:top w:type="dxa" w:w="100"/>
              <w:left w:type="dxa" w:w="150"/>
              <w:bottom w:type="dxa" w:w="100"/>
              <w:right w:type="dxa" w:w="150"/>
            </w:tcMar>
          </w:tcPr>
          <w:p>
            <w:r>
              <w:rPr>
                <w:rFonts w:ascii="Arial" w:cs="Arial" w:eastAsia="Arial" w:hAnsi="Arial"/>
                <w:b/>
                <w:bCs/>
                <w:color w:val="FFFFFF"/>
                <w:sz w:val="20"/>
                <w:szCs w:val="20"/>
              </w:rPr>
              <w:t xml:space="preserve">NOTE</w:t>
            </w:r>
          </w:p>
        </w:tc>
        <w:tc>
          <w:tcPr>
            <w:tcW w:type="pct" w:w="82%"/>
            <w:shd w:fill="EAF2F8" w:val="clear"/>
            <w:tcMar>
              <w:top w:type="dxa" w:w="100"/>
              <w:left w:type="dxa" w:w="150"/>
              <w:bottom w:type="dxa" w:w="100"/>
              <w:right w:type="dxa" w:w="150"/>
            </w:tcMar>
          </w:tcPr>
          <w:p>
            <w:r>
              <w:rPr>
                <w:rFonts w:ascii="Arial" w:cs="Arial" w:eastAsia="Arial" w:hAnsi="Arial"/>
                <w:b w:val="false"/>
                <w:bCs w:val="false"/>
                <w:color w:val="000000"/>
                <w:sz w:val="20"/>
                <w:szCs w:val="20"/>
              </w:rPr>
              <w:t xml:space="preserve">The anchor text 'supplier financial risk signals' links to the Supplier Financial Risk Signals article. It reads as a natural part of the sentence.</w:t>
            </w:r>
          </w:p>
        </w:tc>
      </w:tr>
    </w:tbl>
    <w:p>
      <w:pPr>
        <w:spacing w:after="200"/>
      </w:pPr>
    </w:p>
    <w:p>
      <w:pPr>
        <w:pStyle w:val="Heading2"/>
        <w:spacing w:after="140" w:before="300"/>
      </w:pPr>
      <w:r>
        <w:rPr>
          <w:rFonts w:ascii="Arial" w:cs="Arial" w:eastAsia="Arial" w:hAnsi="Arial"/>
          <w:b/>
          <w:bCs/>
          <w:color w:val="1C2B3A"/>
          <w:sz w:val="26"/>
          <w:szCs w:val="26"/>
        </w:rPr>
        <w:t xml:space="preserve">7.2 Monetisation Interlinking (Funnel Movement)</w:t>
      </w:r>
    </w:p>
    <w:p>
      <w:pPr>
        <w:spacing w:after="160" w:before="0"/>
        <w:jc w:val="left"/>
      </w:pPr>
      <w:r>
        <w:rPr>
          <w:rFonts w:ascii="Arial" w:cs="Arial" w:eastAsia="Arial" w:hAnsi="Arial"/>
          <w:b w:val="false"/>
          <w:bCs w:val="false"/>
          <w:i w:val="false"/>
          <w:iCs w:val="false"/>
          <w:color w:val="000000"/>
          <w:sz w:val="22"/>
          <w:szCs w:val="22"/>
        </w:rPr>
        <w:t xml:space="preserve">Visually prominent CTAs and section links designed to move the reader up or down the funnel, from awareness (TOFU) to consideration (MOFU) to conversion (BOFU). These are more visible than SEO text links.</w:t>
      </w:r>
    </w:p>
    <w:p>
      <w:pPr>
        <w:pStyle w:val="ListParagraph"/>
        <w:numPr>
          <w:ilvl w:val="0"/>
          <w:numId w:val="2"/>
        </w:numPr>
        <w:spacing w:after="100"/>
      </w:pPr>
      <w:r>
        <w:rPr>
          <w:rFonts w:ascii="Arial" w:cs="Arial" w:eastAsia="Arial" w:hAnsi="Arial"/>
          <w:b w:val="false"/>
          <w:bCs w:val="false"/>
          <w:color w:val="000000"/>
          <w:sz w:val="22"/>
          <w:szCs w:val="22"/>
        </w:rPr>
        <w:t xml:space="preserve">Not just text anchors; designed as visible, clickable section elements</w:t>
      </w:r>
    </w:p>
    <w:p>
      <w:pPr>
        <w:pStyle w:val="ListParagraph"/>
        <w:numPr>
          <w:ilvl w:val="0"/>
          <w:numId w:val="2"/>
        </w:numPr>
        <w:spacing w:after="100"/>
      </w:pPr>
      <w:r>
        <w:rPr>
          <w:rFonts w:ascii="Arial" w:cs="Arial" w:eastAsia="Arial" w:hAnsi="Arial"/>
          <w:b w:val="false"/>
          <w:bCs w:val="false"/>
          <w:color w:val="000000"/>
          <w:sz w:val="22"/>
          <w:szCs w:val="22"/>
        </w:rPr>
        <w:t xml:space="preserve">Goal: allow the reader to choose their own journey between TOFU, MOFU, and BOFU content</w:t>
      </w:r>
    </w:p>
    <w:p>
      <w:pPr>
        <w:pStyle w:val="ListParagraph"/>
        <w:numPr>
          <w:ilvl w:val="0"/>
          <w:numId w:val="2"/>
        </w:numPr>
        <w:spacing w:after="100"/>
      </w:pPr>
      <w:r>
        <w:rPr>
          <w:rFonts w:ascii="Arial" w:cs="Arial" w:eastAsia="Arial" w:hAnsi="Arial"/>
          <w:b w:val="false"/>
          <w:bCs w:val="false"/>
          <w:color w:val="000000"/>
          <w:sz w:val="22"/>
          <w:szCs w:val="22"/>
        </w:rPr>
        <w:t xml:space="preserve">Track whether users move between funnel levels to map which asset types work best at each stage</w:t>
      </w:r>
    </w:p>
    <w:p>
      <w:pPr>
        <w:pStyle w:val="ListParagraph"/>
        <w:numPr>
          <w:ilvl w:val="0"/>
          <w:numId w:val="2"/>
        </w:numPr>
        <w:spacing w:after="100"/>
      </w:pPr>
      <w:r>
        <w:rPr>
          <w:rFonts w:ascii="Arial" w:cs="Arial" w:eastAsia="Arial" w:hAnsi="Arial"/>
          <w:b w:val="false"/>
          <w:bCs w:val="false"/>
          <w:color w:val="000000"/>
          <w:sz w:val="22"/>
          <w:szCs w:val="22"/>
        </w:rPr>
        <w:t xml:space="preserve">Priority: SEO interlinking first. Monetisation interlinking is a secondary objective built out as the asset library grows.</w:t>
      </w:r>
    </w:p>
    <w:p>
      <w:pPr>
        <w:spacing w:after="200"/>
      </w:pPr>
    </w:p>
    <w:p>
      <w:pPr>
        <w:pStyle w:val="Heading1"/>
        <w:spacing w:after="200" w:before="400"/>
      </w:pPr>
      <w:r>
        <w:rPr>
          <w:rFonts w:ascii="Arial" w:cs="Arial" w:eastAsia="Arial" w:hAnsi="Arial"/>
          <w:b/>
          <w:bCs/>
          <w:color w:val="1C2B3A"/>
          <w:sz w:val="32"/>
          <w:szCs w:val="32"/>
        </w:rPr>
        <w:t xml:space="preserve">8. Customer References &amp; Compliance (New, Aug 2026)</w:t>
      </w:r>
    </w:p>
    <w:p>
      <w:pPr>
        <w:spacing w:after="160" w:before="0"/>
        <w:jc w:val="left"/>
      </w:pPr>
      <w:r>
        <w:rPr>
          <w:rFonts w:ascii="Arial" w:cs="Arial" w:eastAsia="Arial" w:hAnsi="Arial"/>
          <w:b w:val="false"/>
          <w:bCs w:val="false"/>
          <w:i w:val="false"/>
          <w:iCs w:val="false"/>
          <w:color w:val="000000"/>
          <w:sz w:val="22"/>
          <w:szCs w:val="22"/>
        </w:rPr>
        <w:t xml:space="preserve">Any use of a named customer in content must be checked before publication. This section replaces the ad hoc note in the previous version of this guide.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tcW w:type="pct" w:w="30%"/>
            <w:shd w:fill="1C2B3A" w:val="clear"/>
            <w:tcMar>
              <w:top w:type="dxa" w:w="100"/>
              <w:left w:type="dxa" w:w="150"/>
              <w:bottom w:type="dxa" w:w="100"/>
              <w:right w:type="dxa" w:w="150"/>
            </w:tcMar>
          </w:tcPr>
          <w:p>
            <w:r>
              <w:rPr>
                <w:rFonts w:ascii="Arial" w:cs="Arial" w:eastAsia="Arial" w:hAnsi="Arial"/>
                <w:b/>
                <w:bCs/>
                <w:color w:val="FFFFFF"/>
                <w:sz w:val="20"/>
                <w:szCs w:val="20"/>
              </w:rPr>
              <w:t xml:space="preserve">Rule</w:t>
            </w:r>
          </w:p>
        </w:tc>
        <w:tc>
          <w:tcPr>
            <w:tcW w:type="pct" w:w="70%"/>
            <w:shd w:fill="1C2B3A" w:val="clear"/>
            <w:tcMar>
              <w:top w:type="dxa" w:w="100"/>
              <w:left w:type="dxa" w:w="150"/>
              <w:bottom w:type="dxa" w:w="100"/>
              <w:right w:type="dxa" w:w="150"/>
            </w:tcMar>
          </w:tcPr>
          <w:p>
            <w:r>
              <w:rPr>
                <w:rFonts w:ascii="Arial" w:cs="Arial" w:eastAsia="Arial" w:hAnsi="Arial"/>
                <w:b/>
                <w:bCs/>
                <w:color w:val="FFFFFF"/>
                <w:sz w:val="20"/>
                <w:szCs w:val="20"/>
              </w:rPr>
              <w:t xml:space="preserve">Requirement</w:t>
            </w:r>
          </w:p>
        </w:tc>
      </w:tr>
      <w:tr>
        <w:tc>
          <w:tcPr>
            <w:tcW w:type="pct" w:w="3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Confirm authority before publishing</w:t>
            </w:r>
          </w:p>
        </w:tc>
        <w:tc>
          <w:tcPr>
            <w:tcW w:type="pct" w:w="70%"/>
            <w:shd w:fill="FFFFFF" w:val="clear"/>
            <w:tcMar>
              <w:top w:type="dxa" w:w="100"/>
              <w:left w:type="dxa" w:w="150"/>
              <w:bottom w:type="dxa" w:w="100"/>
              <w:right w:type="dxa" w:w="150"/>
            </w:tcMar>
          </w:tcPr>
          <w:p>
            <w:r>
              <w:rPr>
                <w:rFonts w:ascii="Arial" w:cs="Arial" w:eastAsia="Arial" w:hAnsi="Arial"/>
                <w:b w:val="false"/>
                <w:bCs w:val="false"/>
                <w:color w:val="000000"/>
                <w:sz w:val="20"/>
                <w:szCs w:val="20"/>
              </w:rPr>
              <w:t xml:space="preserve">Before publishing any customer name, logo, or specific outcome, confirm with the account team that Jaggaer has PR or contractual authority to reference that customer publicly. Do not assume prior use elsewhere means clearance for a new piece.</w:t>
            </w:r>
          </w:p>
        </w:tc>
      </w:tr>
      <w:tr>
        <w:tc>
          <w:tcPr>
            <w:tcW w:type="pct" w:w="3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Do not misattribute platform-wide results to JAI/Claude</w:t>
            </w:r>
          </w:p>
        </w:tc>
        <w:tc>
          <w:tcPr>
            <w:tcW w:type="pct" w:w="70%"/>
            <w:shd w:fill="F2F3F4" w:val="clear"/>
            <w:tcMar>
              <w:top w:type="dxa" w:w="100"/>
              <w:left w:type="dxa" w:w="150"/>
              <w:bottom w:type="dxa" w:w="100"/>
              <w:right w:type="dxa" w:w="150"/>
            </w:tcMar>
          </w:tcPr>
          <w:p>
            <w:r>
              <w:rPr>
                <w:rFonts w:ascii="Arial" w:cs="Arial" w:eastAsia="Arial" w:hAnsi="Arial"/>
                <w:b w:val="false"/>
                <w:bCs w:val="false"/>
                <w:color w:val="000000"/>
                <w:sz w:val="20"/>
                <w:szCs w:val="20"/>
              </w:rPr>
              <w:t xml:space="preserve">If a customer example demonstrates Jaggaer's platform value broadly rather than a JAI/Claude-specific result, do not present it as a Claude/JAI outcome. Use accurate, suggestive framing instead, for example 'Examples of Jaggaer platform value' rather than implying the result came from the AI feature the article is about.</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Jaggaer Blog Content Style Guide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2026-08-11T10:29:46.509Z</dcterms:created>
  <dcterms:modified xsi:type="dcterms:W3CDTF">2026-08-11T10:29:46.525Z</dcterms:modified>
</cp:coreProperties>
</file>

<file path=docProps/custom.xml><?xml version="1.0" encoding="utf-8"?>
<Properties xmlns="http://schemas.openxmlformats.org/officeDocument/2006/custom-properties" xmlns:vt="http://schemas.openxmlformats.org/officeDocument/2006/docPropsVTypes"/>
</file>