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aps/>
          <w:color w:val="888888"/>
          <w:sz w:val="20"/>
          <w:szCs w:val="20"/>
        </w:rPr>
        <w:t xml:space="preserve">CONTENT BRIEF  ·  E-Invoicing &amp; AP Automation  ·  Quick-take Blog</w:t>
      </w:r>
    </w:p>
    <w:p>
      <w:pPr>
        <w:spacing w:after="40" w:before="60"/>
      </w:pPr>
      <w:r>
        <w:rPr>
          <w:b/>
          <w:bCs/>
          <w:color w:val="1A2E4A"/>
          <w:sz w:val="40"/>
          <w:szCs w:val="40"/>
        </w:rPr>
        <w:t xml:space="preserve">E-Invoicing Is Live in France &amp; Spain. Is Your AP Stack Compliant?</w:t>
      </w:r>
    </w:p>
    <w:p>
      <w:pPr>
        <w:spacing w:after="200" w:before="0"/>
      </w:pPr>
      <w:r>
        <w:rPr>
          <w:i/>
          <w:iCs/>
          <w:color w:val="555555"/>
          <w:sz w:val="20"/>
          <w:szCs w:val="20"/>
        </w:rPr>
        <w:t xml:space="preserve">Public Sector  ·  E-Invoicing &amp; AP Automation  ·  Week 2  ·  TOFU — Commercial intent  ·  FR (France &amp; Spain only)</w:t>
      </w:r>
    </w:p>
    <w:p>
      <w:pPr>
        <w:pStyle w:val="Heading2"/>
        <w:pBdr>
          <w:bottom w:val="single" w:color="1A2E4A" w:sz="6"/>
        </w:pBdr>
        <w:spacing w:after="100" w:before="280"/>
      </w:pPr>
      <w:r>
        <w:rPr>
          <w:b/>
          <w:bCs/>
          <w:color w:val="1A2E4A"/>
          <w:sz w:val="28"/>
          <w:szCs w:val="28"/>
        </w:rPr>
        <w:t xml:space="preserve">Brief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0"/>
        <w:gridCol w:w="6840"/>
      </w:tblGrid>
      <w:tr>
        <w:tc>
          <w:tcPr>
            <w:tcW w:type="dxa" w:w="2520"/>
            <w:tcBorders>
              <w:top w:val="single" w:color="CCCCCC" w:sz="4"/>
              <w:left w:val="single" w:color="CCCCCC" w:sz="4"/>
              <w:bottom w:val="single" w:color="CCCCCC" w:sz="4"/>
              <w:right w:val="single" w:color="CCCCCC" w:sz="4"/>
            </w:tcBorders>
            <w:shd w:fill="F0F2F5" w:color="auto" w:val="clear"/>
          </w:tcPr>
          <w:p>
            <w:pPr>
              <w:spacing w:after="60" w:before="60"/>
            </w:pPr>
            <w:r>
              <w:rPr>
                <w:b/>
                <w:bCs/>
                <w:color w:val="2B6CB0"/>
                <w:sz w:val="18"/>
                <w:szCs w:val="18"/>
              </w:rPr>
              <w:t xml:space="preserve">URL slug</w:t>
            </w:r>
          </w:p>
        </w:tc>
        <w:tc>
          <w:tcPr>
            <w:tcW w:type="dxa" w:w="684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8"/>
                <w:szCs w:val="18"/>
              </w:rPr>
              <w:t xml:space="preserve">/e-invoicing-compliance-france-spain-2026</w:t>
            </w:r>
          </w:p>
        </w:tc>
      </w:tr>
      <w:tr>
        <w:tc>
          <w:tcPr>
            <w:tcW w:type="dxa" w:w="2520"/>
            <w:tcBorders>
              <w:top w:val="single" w:color="CCCCCC" w:sz="4"/>
              <w:left w:val="single" w:color="CCCCCC" w:sz="4"/>
              <w:bottom w:val="single" w:color="CCCCCC" w:sz="4"/>
              <w:right w:val="single" w:color="CCCCCC" w:sz="4"/>
            </w:tcBorders>
            <w:shd w:fill="F0F2F5" w:color="auto" w:val="clear"/>
          </w:tcPr>
          <w:p>
            <w:pPr>
              <w:spacing w:after="60" w:before="60"/>
            </w:pPr>
            <w:r>
              <w:rPr>
                <w:b/>
                <w:bCs/>
                <w:color w:val="2B6CB0"/>
                <w:sz w:val="18"/>
                <w:szCs w:val="18"/>
              </w:rPr>
              <w:t xml:space="preserve">Content type</w:t>
            </w:r>
          </w:p>
        </w:tc>
        <w:tc>
          <w:tcPr>
            <w:tcW w:type="dxa" w:w="684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8"/>
                <w:szCs w:val="18"/>
              </w:rPr>
              <w:t xml:space="preserve">Quick-take Blog — E-Invoicing &amp; AP Automation cluster spoke</w:t>
            </w:r>
          </w:p>
        </w:tc>
      </w:tr>
      <w:tr>
        <w:tc>
          <w:tcPr>
            <w:tcW w:type="dxa" w:w="2520"/>
            <w:tcBorders>
              <w:top w:val="single" w:color="CCCCCC" w:sz="4"/>
              <w:left w:val="single" w:color="CCCCCC" w:sz="4"/>
              <w:bottom w:val="single" w:color="CCCCCC" w:sz="4"/>
              <w:right w:val="single" w:color="CCCCCC" w:sz="4"/>
            </w:tcBorders>
            <w:shd w:fill="F0F2F5" w:color="auto" w:val="clear"/>
          </w:tcPr>
          <w:p>
            <w:pPr>
              <w:spacing w:after="60" w:before="60"/>
            </w:pPr>
            <w:r>
              <w:rPr>
                <w:b/>
                <w:bCs/>
                <w:color w:val="2B6CB0"/>
                <w:sz w:val="18"/>
                <w:szCs w:val="18"/>
              </w:rPr>
              <w:t xml:space="preserve">Target audience</w:t>
            </w:r>
          </w:p>
        </w:tc>
        <w:tc>
          <w:tcPr>
            <w:tcW w:type="dxa" w:w="684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8"/>
                <w:szCs w:val="18"/>
              </w:rPr>
              <w:t xml:space="preserve">AP leads, finance directors, and procurement heads at public sector organisations and private companies operating in France and Spain — particularly those running legacy AP systems or mixed manual/digital invoice processes</w:t>
            </w:r>
          </w:p>
        </w:tc>
      </w:tr>
      <w:tr>
        <w:tc>
          <w:tcPr>
            <w:tcW w:type="dxa" w:w="2520"/>
            <w:tcBorders>
              <w:top w:val="single" w:color="CCCCCC" w:sz="4"/>
              <w:left w:val="single" w:color="CCCCCC" w:sz="4"/>
              <w:bottom w:val="single" w:color="CCCCCC" w:sz="4"/>
              <w:right w:val="single" w:color="CCCCCC" w:sz="4"/>
            </w:tcBorders>
            <w:shd w:fill="F0F2F5" w:color="auto" w:val="clear"/>
          </w:tcPr>
          <w:p>
            <w:pPr>
              <w:spacing w:after="60" w:before="60"/>
            </w:pPr>
            <w:r>
              <w:rPr>
                <w:b/>
                <w:bCs/>
                <w:color w:val="2B6CB0"/>
                <w:sz w:val="18"/>
                <w:szCs w:val="18"/>
              </w:rPr>
              <w:t xml:space="preserve">Primary keyword</w:t>
            </w:r>
          </w:p>
        </w:tc>
        <w:tc>
          <w:tcPr>
            <w:tcW w:type="dxa" w:w="684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8"/>
                <w:szCs w:val="18"/>
              </w:rPr>
              <w:t xml:space="preserve">e-invoicing compliance France Spain 2026</w:t>
            </w:r>
          </w:p>
        </w:tc>
      </w:tr>
      <w:tr>
        <w:tc>
          <w:tcPr>
            <w:tcW w:type="dxa" w:w="2520"/>
            <w:tcBorders>
              <w:top w:val="single" w:color="CCCCCC" w:sz="4"/>
              <w:left w:val="single" w:color="CCCCCC" w:sz="4"/>
              <w:bottom w:val="single" w:color="CCCCCC" w:sz="4"/>
              <w:right w:val="single" w:color="CCCCCC" w:sz="4"/>
            </w:tcBorders>
            <w:shd w:fill="F0F2F5" w:color="auto" w:val="clear"/>
          </w:tcPr>
          <w:p>
            <w:pPr>
              <w:spacing w:after="60" w:before="60"/>
            </w:pPr>
            <w:r>
              <w:rPr>
                <w:b/>
                <w:bCs/>
                <w:color w:val="2B6CB0"/>
                <w:sz w:val="18"/>
                <w:szCs w:val="18"/>
              </w:rPr>
              <w:t xml:space="preserve">Secondary keywords</w:t>
            </w:r>
          </w:p>
        </w:tc>
        <w:tc>
          <w:tcPr>
            <w:tcW w:type="dxa" w:w="684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8"/>
                <w:szCs w:val="18"/>
              </w:rPr>
              <w:t xml:space="preserve">AP automation government e-invoicing mandate · Factur-X France e-invoicing · Verifactu Spain e-invoicing</w:t>
            </w:r>
          </w:p>
        </w:tc>
      </w:tr>
      <w:tr>
        <w:tc>
          <w:tcPr>
            <w:tcW w:type="dxa" w:w="2520"/>
            <w:tcBorders>
              <w:top w:val="single" w:color="CCCCCC" w:sz="4"/>
              <w:left w:val="single" w:color="CCCCCC" w:sz="4"/>
              <w:bottom w:val="single" w:color="CCCCCC" w:sz="4"/>
              <w:right w:val="single" w:color="CCCCCC" w:sz="4"/>
            </w:tcBorders>
            <w:shd w:fill="F0F2F5" w:color="auto" w:val="clear"/>
          </w:tcPr>
          <w:p>
            <w:pPr>
              <w:spacing w:after="60" w:before="60"/>
            </w:pPr>
            <w:r>
              <w:rPr>
                <w:b/>
                <w:bCs/>
                <w:color w:val="2B6CB0"/>
                <w:sz w:val="18"/>
                <w:szCs w:val="18"/>
              </w:rPr>
              <w:t xml:space="preserve">Pillar page link</w:t>
            </w:r>
          </w:p>
        </w:tc>
        <w:tc>
          <w:tcPr>
            <w:tcW w:type="dxa" w:w="684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8"/>
                <w:szCs w:val="18"/>
              </w:rPr>
              <w:t xml:space="preserve">Links to and receives a link from the Public Sector pillar page</w:t>
            </w:r>
          </w:p>
        </w:tc>
      </w:tr>
      <w:tr>
        <w:tc>
          <w:tcPr>
            <w:tcW w:type="dxa" w:w="2520"/>
            <w:tcBorders>
              <w:top w:val="single" w:color="CCCCCC" w:sz="4"/>
              <w:left w:val="single" w:color="CCCCCC" w:sz="4"/>
              <w:bottom w:val="single" w:color="CCCCCC" w:sz="4"/>
              <w:right w:val="single" w:color="CCCCCC" w:sz="4"/>
            </w:tcBorders>
            <w:shd w:fill="F0F2F5" w:color="auto" w:val="clear"/>
          </w:tcPr>
          <w:p>
            <w:pPr>
              <w:spacing w:after="60" w:before="60"/>
            </w:pPr>
            <w:r>
              <w:rPr>
                <w:b/>
                <w:bCs/>
                <w:color w:val="2B6CB0"/>
                <w:sz w:val="18"/>
                <w:szCs w:val="18"/>
              </w:rPr>
              <w:t xml:space="preserve">Publish priority</w:t>
            </w:r>
          </w:p>
        </w:tc>
        <w:tc>
          <w:tcPr>
            <w:tcW w:type="dxa" w:w="684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8"/>
                <w:szCs w:val="18"/>
              </w:rPr>
              <w:t xml:space="preserve">Very high — mandate is live, readers are in active compliance mode; highest commercial intent of the 4 quick-take blogs</w:t>
            </w:r>
          </w:p>
        </w:tc>
      </w:tr>
    </w:tbl>
    <w:p>
      <w:pPr>
        <w:spacing w:after="40" w:before="40"/>
      </w:pPr>
      <w:r>
        <w:t xml:space="preserve"/>
      </w:r>
    </w:p>
    <w:p>
      <w:pPr>
        <w:pStyle w:val="Heading2"/>
        <w:pBdr>
          <w:bottom w:val="single" w:color="1A2E4A" w:sz="6"/>
        </w:pBdr>
        <w:spacing w:after="100" w:before="280"/>
      </w:pPr>
      <w:r>
        <w:rPr>
          <w:b/>
          <w:bCs/>
          <w:color w:val="1A2E4A"/>
          <w:sz w:val="28"/>
          <w:szCs w:val="28"/>
        </w:rPr>
        <w:t xml:space="preserve">1. Search intent analysis</w:t>
      </w:r>
    </w:p>
    <w:p>
      <w:pPr>
        <w:spacing w:after="80" w:before="60"/>
      </w:pPr>
      <w:r>
        <w:rPr>
          <w:color w:val="333333"/>
          <w:sz w:val="20"/>
          <w:szCs w:val="20"/>
        </w:rPr>
        <w:t xml:space="preserve">This is the most commercially-driven of the 4 quick-take blogs. The reader is an AP or finance professional — or a procurement leader sharing AP responsibility — who knows the mandate is live and is checking whether their current setup is compliant. Their question is urgent and binary: am I compliant, and if not, what do I need to do? Unlike the other blogs which are purely informational, this one sits at the informational/commercial boundary. The reader is not researching the topic — they are assessing their compliance status. Both AP and procurement readers are in scope: AP owns the stack and operational risk; procurement owns supplier relationships and contract compliance.</w:t>
      </w:r>
    </w:p>
    <w:p>
      <w:pPr>
        <w:spacing w:after="40" w:before="40"/>
      </w:pPr>
      <w:r>
        <w:t xml:space="preserve"/>
      </w:r>
    </w:p>
    <w:p>
      <w:pPr>
        <w:pStyle w:val="Heading3"/>
        <w:spacing w:after="60" w:before="180"/>
      </w:pPr>
      <w:r>
        <w:rPr>
          <w:b/>
          <w:bCs/>
          <w:color w:val="2B6CB0"/>
          <w:sz w:val="22"/>
          <w:szCs w:val="22"/>
        </w:rPr>
        <w:t xml:space="preserve">What the reader needs to leave with</w:t>
      </w:r>
    </w:p>
    <w:p>
      <w:pPr>
        <w:spacing w:after="40" w:before="40"/>
        <w:ind w:left="360"/>
      </w:pPr>
      <w:r>
        <w:rPr>
          <w:color w:val="333333"/>
          <w:sz w:val="20"/>
          <w:szCs w:val="20"/>
        </w:rPr>
        <w:t xml:space="preserve">• A clear answer: what exactly is now live in France and Spain, and from what date</w:t>
      </w:r>
    </w:p>
    <w:p>
      <w:pPr>
        <w:spacing w:after="40" w:before="40"/>
        <w:ind w:left="360"/>
      </w:pPr>
      <w:r>
        <w:rPr>
          <w:color w:val="333333"/>
          <w:sz w:val="20"/>
          <w:szCs w:val="20"/>
        </w:rPr>
        <w:t xml:space="preserve">• A plain-English explanation of what "compliant" means for their AP stack — format, transmission, archiving</w:t>
      </w:r>
    </w:p>
    <w:p>
      <w:pPr>
        <w:spacing w:after="40" w:before="40"/>
        <w:ind w:left="360"/>
      </w:pPr>
      <w:r>
        <w:rPr>
          <w:color w:val="333333"/>
          <w:sz w:val="20"/>
          <w:szCs w:val="20"/>
        </w:rPr>
        <w:t xml:space="preserve">• The specific failure modes if not compliant — fines, rejected invoices, blocked payments</w:t>
      </w:r>
    </w:p>
    <w:p>
      <w:pPr>
        <w:spacing w:after="40" w:before="40"/>
        <w:ind w:left="360"/>
      </w:pPr>
      <w:r>
        <w:rPr>
          <w:color w:val="333333"/>
          <w:sz w:val="20"/>
          <w:szCs w:val="20"/>
        </w:rPr>
        <w:t xml:space="preserve">• A clear next step: internal action checklist or link to the JAGGAER compliance solution</w:t>
      </w:r>
    </w:p>
    <w:p>
      <w:pPr>
        <w:spacing w:after="40" w:before="40"/>
      </w:pPr>
      <w:r>
        <w:t xml:space="preserve"/>
      </w:r>
    </w:p>
    <w:p>
      <w:pPr>
        <w:pStyle w:val="Heading3"/>
        <w:spacing w:after="60" w:before="180"/>
      </w:pPr>
      <w:r>
        <w:rPr>
          <w:b/>
          <w:bCs/>
          <w:color w:val="2B6CB0"/>
          <w:sz w:val="22"/>
          <w:szCs w:val="22"/>
        </w:rPr>
        <w:t xml:space="preserve">SERP features to target</w:t>
      </w:r>
    </w:p>
    <w:p>
      <w:pPr>
        <w:spacing w:after="40" w:before="40"/>
        <w:ind w:left="360"/>
      </w:pPr>
      <w:r>
        <w:rPr>
          <w:color w:val="333333"/>
          <w:sz w:val="20"/>
          <w:szCs w:val="20"/>
        </w:rPr>
        <w:t xml:space="preserve">• Featured snippet — open with a 2–3 sentence direct answer to "is e-invoicing mandatory in France and Spain" directly under the H1</w:t>
      </w:r>
    </w:p>
    <w:p>
      <w:pPr>
        <w:spacing w:after="40" w:before="40"/>
        <w:ind w:left="360"/>
      </w:pPr>
      <w:r>
        <w:rPr>
          <w:color w:val="333333"/>
          <w:sz w:val="20"/>
          <w:szCs w:val="20"/>
        </w:rPr>
        <w:t xml:space="preserve">• People Also Ask — FAQ should cover mandate dates, compliance requirements, penalties, and what AP teams need to do</w:t>
      </w:r>
    </w:p>
    <w:p>
      <w:pPr>
        <w:spacing w:after="40" w:before="40"/>
      </w:pPr>
      <w:r>
        <w:t xml:space="preserve"/>
      </w:r>
    </w:p>
    <w:p>
      <w:pPr>
        <w:spacing w:after="80" w:before="40"/>
      </w:pPr>
      <w:r>
        <w:rPr>
          <w:i/>
          <w:iCs/>
          <w:color w:val="888888"/>
          <w:sz w:val="18"/>
          <w:szCs w:val="18"/>
        </w:rPr>
        <w:t xml:space="preserve">SERP note: this SERP has high commercial intent — compliance software vendors and advisory firms rank here. The Jaggaer post needs a clear, authoritative answer in the first paragraph to compete for the featured snippet. Avoid hedging language in the opening.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Borders>
              <w:top w:val="single" w:color="E6A817" w:sz="8"/>
              <w:left w:val="thick" w:color="E6A817" w:sz="16"/>
              <w:bottom w:val="single" w:color="E6A817" w:sz="8"/>
              <w:right w:val="single" w:color="E6A817" w:sz="8"/>
            </w:tcBorders>
            <w:shd w:fill="FFF8E7" w:color="auto" w:val="clear"/>
          </w:tcPr>
          <w:p>
            <w:pPr>
              <w:spacing w:after="60" w:before="60"/>
            </w:pPr>
            <w:r>
              <w:rPr>
                <w:b/>
                <w:bCs/>
                <w:color w:val="8B5E00"/>
                <w:sz w:val="17"/>
                <w:szCs w:val="17"/>
              </w:rPr>
              <w:t xml:space="preserve">💡 SEO NOTE  </w:t>
            </w:r>
            <w:r>
              <w:rPr>
                <w:i/>
                <w:iCs/>
                <w:color w:val="5C3D00"/>
                <w:sz w:val="17"/>
                <w:szCs w:val="17"/>
              </w:rPr>
              <w:t xml:space="preserve">This is the only post in the set with genuine commercial SERP intent — meaning users on this query are closer to a purchase decision than any other blog in this cluster. The CTA here should be harder than on the other 3 posts: "Book a Demo" should appear twice — once mid-article after the compliance gap H2, and once at the close. The Factur-X and Verifactu technical terms should appear in the body copy and FAQ to capture specialist long-tail searches with very low KD.</w:t>
            </w:r>
          </w:p>
        </w:tc>
      </w:tr>
    </w:tbl>
    <w:p>
      <w:pPr>
        <w:spacing w:after="40" w:before="40"/>
      </w:pPr>
      <w:r>
        <w:t xml:space="preserve"/>
      </w:r>
    </w:p>
    <w:p>
      <w:pPr>
        <w:pStyle w:val="Heading2"/>
        <w:pBdr>
          <w:bottom w:val="single" w:color="1A2E4A" w:sz="6"/>
        </w:pBdr>
        <w:spacing w:after="100" w:before="280"/>
      </w:pPr>
      <w:r>
        <w:rPr>
          <w:b/>
          <w:bCs/>
          <w:color w:val="1A2E4A"/>
          <w:sz w:val="28"/>
          <w:szCs w:val="28"/>
        </w:rPr>
        <w:t xml:space="preserve">2. Target keywords</w:t>
      </w:r>
    </w:p>
    <w:p>
      <w:pPr>
        <w:pStyle w:val="Heading3"/>
        <w:spacing w:after="60" w:before="180"/>
      </w:pPr>
      <w:r>
        <w:rPr>
          <w:b/>
          <w:bCs/>
          <w:color w:val="2B6CB0"/>
          <w:sz w:val="22"/>
          <w:szCs w:val="22"/>
        </w:rPr>
        <w:t xml:space="preserve">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1560"/>
        <w:gridCol w:w="1560"/>
        <w:gridCol w:w="2040"/>
      </w:tblGrid>
      <w:tr>
        <w:tc>
          <w:tcPr>
            <w:tcW w:type="dxa" w:w="4200"/>
            <w:tcBorders>
              <w:top w:val="single" w:color="CCCCCC" w:sz="4"/>
              <w:left w:val="single" w:color="CCCCCC" w:sz="4"/>
              <w:bottom w:val="single" w:color="CCCCCC" w:sz="4"/>
              <w:right w:val="single" w:color="CCCCCC" w:sz="4"/>
            </w:tcBorders>
            <w:shd w:fill="1A2E4A" w:color="auto" w:val="clear"/>
          </w:tcPr>
          <w:p>
            <w:pPr>
              <w:spacing w:after="50" w:before="50"/>
            </w:pPr>
            <w:r>
              <w:rPr>
                <w:b/>
                <w:bCs/>
                <w:color w:val="FFFFFF"/>
                <w:sz w:val="17"/>
                <w:szCs w:val="17"/>
              </w:rPr>
              <w:t xml:space="preserve">Keyword</w:t>
            </w:r>
          </w:p>
        </w:tc>
        <w:tc>
          <w:tcPr>
            <w:tcW w:type="dxa" w:w="1560"/>
            <w:tcBorders>
              <w:top w:val="single" w:color="CCCCCC" w:sz="4"/>
              <w:left w:val="single" w:color="CCCCCC" w:sz="4"/>
              <w:bottom w:val="single" w:color="CCCCCC" w:sz="4"/>
              <w:right w:val="single" w:color="CCCCCC" w:sz="4"/>
            </w:tcBorders>
            <w:shd w:fill="1A2E4A" w:color="auto" w:val="clear"/>
          </w:tcPr>
          <w:p>
            <w:pPr>
              <w:spacing w:after="50" w:before="50"/>
            </w:pPr>
            <w:r>
              <w:rPr>
                <w:b/>
                <w:bCs/>
                <w:color w:val="FFFFFF"/>
                <w:sz w:val="17"/>
                <w:szCs w:val="17"/>
              </w:rPr>
              <w:t xml:space="preserve">MSV</w:t>
            </w:r>
          </w:p>
        </w:tc>
        <w:tc>
          <w:tcPr>
            <w:tcW w:type="dxa" w:w="1560"/>
            <w:tcBorders>
              <w:top w:val="single" w:color="CCCCCC" w:sz="4"/>
              <w:left w:val="single" w:color="CCCCCC" w:sz="4"/>
              <w:bottom w:val="single" w:color="CCCCCC" w:sz="4"/>
              <w:right w:val="single" w:color="CCCCCC" w:sz="4"/>
            </w:tcBorders>
            <w:shd w:fill="1A2E4A" w:color="auto" w:val="clear"/>
          </w:tcPr>
          <w:p>
            <w:pPr>
              <w:spacing w:after="50" w:before="50"/>
            </w:pPr>
            <w:r>
              <w:rPr>
                <w:b/>
                <w:bCs/>
                <w:color w:val="FFFFFF"/>
                <w:sz w:val="17"/>
                <w:szCs w:val="17"/>
              </w:rPr>
              <w:t xml:space="preserve">KD</w:t>
            </w:r>
          </w:p>
        </w:tc>
        <w:tc>
          <w:tcPr>
            <w:tcW w:type="dxa" w:w="2040"/>
            <w:tcBorders>
              <w:top w:val="single" w:color="CCCCCC" w:sz="4"/>
              <w:left w:val="single" w:color="CCCCCC" w:sz="4"/>
              <w:bottom w:val="single" w:color="CCCCCC" w:sz="4"/>
              <w:right w:val="single" w:color="CCCCCC" w:sz="4"/>
            </w:tcBorders>
            <w:shd w:fill="1A2E4A" w:color="auto" w:val="clear"/>
          </w:tcPr>
          <w:p>
            <w:pPr>
              <w:spacing w:after="50" w:before="50"/>
            </w:pPr>
            <w:r>
              <w:rPr>
                <w:b/>
                <w:bCs/>
                <w:color w:val="FFFFFF"/>
                <w:sz w:val="17"/>
                <w:szCs w:val="17"/>
              </w:rPr>
              <w:t xml:space="preserve">Intent</w:t>
            </w:r>
          </w:p>
        </w:tc>
      </w:tr>
      <w:tr>
        <w:tc>
          <w:tcPr>
            <w:tcW w:type="dxa" w:w="420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e-invoicing compliance France Spain 2026</w:t>
            </w:r>
          </w:p>
        </w:tc>
        <w:tc>
          <w:tcPr>
            <w:tcW w:type="dxa" w:w="156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w:t>
            </w:r>
          </w:p>
        </w:tc>
        <w:tc>
          <w:tcPr>
            <w:tcW w:type="dxa" w:w="156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w:t>
            </w:r>
          </w:p>
        </w:tc>
        <w:tc>
          <w:tcPr>
            <w:tcW w:type="dxa" w:w="204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Commercial</w:t>
            </w:r>
          </w:p>
        </w:tc>
      </w:tr>
      <w:tr>
        <w:tc>
          <w:tcPr>
            <w:tcW w:type="dxa" w:w="420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AP automation government e-invoicing mandate</w:t>
            </w:r>
          </w:p>
        </w:tc>
        <w:tc>
          <w:tcPr>
            <w:tcW w:type="dxa" w:w="156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w:t>
            </w:r>
          </w:p>
        </w:tc>
        <w:tc>
          <w:tcPr>
            <w:tcW w:type="dxa" w:w="156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w:t>
            </w:r>
          </w:p>
        </w:tc>
        <w:tc>
          <w:tcPr>
            <w:tcW w:type="dxa" w:w="204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Commercial</w:t>
            </w:r>
          </w:p>
        </w:tc>
      </w:tr>
      <w:tr>
        <w:tc>
          <w:tcPr>
            <w:tcW w:type="dxa" w:w="420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e-invoicing mandate France 2026</w:t>
            </w:r>
          </w:p>
        </w:tc>
        <w:tc>
          <w:tcPr>
            <w:tcW w:type="dxa" w:w="156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w:t>
            </w:r>
          </w:p>
        </w:tc>
        <w:tc>
          <w:tcPr>
            <w:tcW w:type="dxa" w:w="156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w:t>
            </w:r>
          </w:p>
        </w:tc>
        <w:tc>
          <w:tcPr>
            <w:tcW w:type="dxa" w:w="204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Informational</w:t>
            </w:r>
          </w:p>
        </w:tc>
      </w:tr>
      <w:tr>
        <w:tc>
          <w:tcPr>
            <w:tcW w:type="dxa" w:w="420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Spain e-invoicing requirement 2026</w:t>
            </w:r>
          </w:p>
        </w:tc>
        <w:tc>
          <w:tcPr>
            <w:tcW w:type="dxa" w:w="156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w:t>
            </w:r>
          </w:p>
        </w:tc>
        <w:tc>
          <w:tcPr>
            <w:tcW w:type="dxa" w:w="156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w:t>
            </w:r>
          </w:p>
        </w:tc>
        <w:tc>
          <w:tcPr>
            <w:tcW w:type="dxa" w:w="204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Informational</w:t>
            </w:r>
          </w:p>
        </w:tc>
      </w:tr>
    </w:tbl>
    <w:p>
      <w:pPr>
        <w:spacing w:after="40" w:before="40"/>
      </w:pPr>
      <w:r>
        <w:t xml:space="preserve"/>
      </w:r>
    </w:p>
    <w:p>
      <w:pPr>
        <w:pStyle w:val="Heading3"/>
        <w:spacing w:after="60" w:before="180"/>
      </w:pPr>
      <w:r>
        <w:rPr>
          <w:b/>
          <w:bCs/>
          <w:color w:val="2B6CB0"/>
          <w:sz w:val="22"/>
          <w:szCs w:val="22"/>
        </w:rPr>
        <w:t xml:space="preserve">Secondary (capture via subheadings and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1560"/>
        <w:gridCol w:w="1560"/>
        <w:gridCol w:w="2040"/>
      </w:tblGrid>
      <w:tr>
        <w:tc>
          <w:tcPr>
            <w:tcW w:type="dxa" w:w="4200"/>
            <w:tcBorders>
              <w:top w:val="single" w:color="CCCCCC" w:sz="4"/>
              <w:left w:val="single" w:color="CCCCCC" w:sz="4"/>
              <w:bottom w:val="single" w:color="CCCCCC" w:sz="4"/>
              <w:right w:val="single" w:color="CCCCCC" w:sz="4"/>
            </w:tcBorders>
            <w:shd w:fill="1A2E4A" w:color="auto" w:val="clear"/>
          </w:tcPr>
          <w:p>
            <w:pPr>
              <w:spacing w:after="50" w:before="50"/>
            </w:pPr>
            <w:r>
              <w:rPr>
                <w:b/>
                <w:bCs/>
                <w:color w:val="FFFFFF"/>
                <w:sz w:val="17"/>
                <w:szCs w:val="17"/>
              </w:rPr>
              <w:t xml:space="preserve">Keyword</w:t>
            </w:r>
          </w:p>
        </w:tc>
        <w:tc>
          <w:tcPr>
            <w:tcW w:type="dxa" w:w="1560"/>
            <w:tcBorders>
              <w:top w:val="single" w:color="CCCCCC" w:sz="4"/>
              <w:left w:val="single" w:color="CCCCCC" w:sz="4"/>
              <w:bottom w:val="single" w:color="CCCCCC" w:sz="4"/>
              <w:right w:val="single" w:color="CCCCCC" w:sz="4"/>
            </w:tcBorders>
            <w:shd w:fill="1A2E4A" w:color="auto" w:val="clear"/>
          </w:tcPr>
          <w:p>
            <w:pPr>
              <w:spacing w:after="50" w:before="50"/>
            </w:pPr>
            <w:r>
              <w:rPr>
                <w:b/>
                <w:bCs/>
                <w:color w:val="FFFFFF"/>
                <w:sz w:val="17"/>
                <w:szCs w:val="17"/>
              </w:rPr>
              <w:t xml:space="preserve">MSV</w:t>
            </w:r>
          </w:p>
        </w:tc>
        <w:tc>
          <w:tcPr>
            <w:tcW w:type="dxa" w:w="1560"/>
            <w:tcBorders>
              <w:top w:val="single" w:color="CCCCCC" w:sz="4"/>
              <w:left w:val="single" w:color="CCCCCC" w:sz="4"/>
              <w:bottom w:val="single" w:color="CCCCCC" w:sz="4"/>
              <w:right w:val="single" w:color="CCCCCC" w:sz="4"/>
            </w:tcBorders>
            <w:shd w:fill="1A2E4A" w:color="auto" w:val="clear"/>
          </w:tcPr>
          <w:p>
            <w:pPr>
              <w:spacing w:after="50" w:before="50"/>
            </w:pPr>
            <w:r>
              <w:rPr>
                <w:b/>
                <w:bCs/>
                <w:color w:val="FFFFFF"/>
                <w:sz w:val="17"/>
                <w:szCs w:val="17"/>
              </w:rPr>
              <w:t xml:space="preserve">KD</w:t>
            </w:r>
          </w:p>
        </w:tc>
        <w:tc>
          <w:tcPr>
            <w:tcW w:type="dxa" w:w="2040"/>
            <w:tcBorders>
              <w:top w:val="single" w:color="CCCCCC" w:sz="4"/>
              <w:left w:val="single" w:color="CCCCCC" w:sz="4"/>
              <w:bottom w:val="single" w:color="CCCCCC" w:sz="4"/>
              <w:right w:val="single" w:color="CCCCCC" w:sz="4"/>
            </w:tcBorders>
            <w:shd w:fill="1A2E4A" w:color="auto" w:val="clear"/>
          </w:tcPr>
          <w:p>
            <w:pPr>
              <w:spacing w:after="50" w:before="50"/>
            </w:pPr>
            <w:r>
              <w:rPr>
                <w:b/>
                <w:bCs/>
                <w:color w:val="FFFFFF"/>
                <w:sz w:val="17"/>
                <w:szCs w:val="17"/>
              </w:rPr>
              <w:t xml:space="preserve">Intent</w:t>
            </w:r>
          </w:p>
        </w:tc>
      </w:tr>
      <w:tr>
        <w:tc>
          <w:tcPr>
            <w:tcW w:type="dxa" w:w="420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Factur-X France e-invoicing</w:t>
            </w:r>
          </w:p>
        </w:tc>
        <w:tc>
          <w:tcPr>
            <w:tcW w:type="dxa" w:w="156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w:t>
            </w:r>
          </w:p>
        </w:tc>
        <w:tc>
          <w:tcPr>
            <w:tcW w:type="dxa" w:w="156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w:t>
            </w:r>
          </w:p>
        </w:tc>
        <w:tc>
          <w:tcPr>
            <w:tcW w:type="dxa" w:w="204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Informational</w:t>
            </w:r>
          </w:p>
        </w:tc>
      </w:tr>
      <w:tr>
        <w:tc>
          <w:tcPr>
            <w:tcW w:type="dxa" w:w="420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Verifactu Spain e-invoicing</w:t>
            </w:r>
          </w:p>
        </w:tc>
        <w:tc>
          <w:tcPr>
            <w:tcW w:type="dxa" w:w="156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w:t>
            </w:r>
          </w:p>
        </w:tc>
        <w:tc>
          <w:tcPr>
            <w:tcW w:type="dxa" w:w="156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w:t>
            </w:r>
          </w:p>
        </w:tc>
        <w:tc>
          <w:tcPr>
            <w:tcW w:type="dxa" w:w="204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Informational</w:t>
            </w:r>
          </w:p>
        </w:tc>
      </w:tr>
      <w:tr>
        <w:tc>
          <w:tcPr>
            <w:tcW w:type="dxa" w:w="420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AP stack e-invoicing compliance</w:t>
            </w:r>
          </w:p>
        </w:tc>
        <w:tc>
          <w:tcPr>
            <w:tcW w:type="dxa" w:w="156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w:t>
            </w:r>
          </w:p>
        </w:tc>
        <w:tc>
          <w:tcPr>
            <w:tcW w:type="dxa" w:w="156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w:t>
            </w:r>
          </w:p>
        </w:tc>
        <w:tc>
          <w:tcPr>
            <w:tcW w:type="dxa" w:w="204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Commercial</w:t>
            </w:r>
          </w:p>
        </w:tc>
      </w:tr>
      <w:tr>
        <w:tc>
          <w:tcPr>
            <w:tcW w:type="dxa" w:w="420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e-invoice format requirements Europe</w:t>
            </w:r>
          </w:p>
        </w:tc>
        <w:tc>
          <w:tcPr>
            <w:tcW w:type="dxa" w:w="156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w:t>
            </w:r>
          </w:p>
        </w:tc>
        <w:tc>
          <w:tcPr>
            <w:tcW w:type="dxa" w:w="156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w:t>
            </w:r>
          </w:p>
        </w:tc>
        <w:tc>
          <w:tcPr>
            <w:tcW w:type="dxa" w:w="204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Informational</w:t>
            </w:r>
          </w:p>
        </w:tc>
      </w:tr>
      <w:tr>
        <w:tc>
          <w:tcPr>
            <w:tcW w:type="dxa" w:w="420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government e-invoicing AP automation</w:t>
            </w:r>
          </w:p>
        </w:tc>
        <w:tc>
          <w:tcPr>
            <w:tcW w:type="dxa" w:w="156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w:t>
            </w:r>
          </w:p>
        </w:tc>
        <w:tc>
          <w:tcPr>
            <w:tcW w:type="dxa" w:w="156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w:t>
            </w:r>
          </w:p>
        </w:tc>
        <w:tc>
          <w:tcPr>
            <w:tcW w:type="dxa" w:w="204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Commercial</w:t>
            </w:r>
          </w:p>
        </w:tc>
      </w:tr>
      <w:tr>
        <w:tc>
          <w:tcPr>
            <w:tcW w:type="dxa" w:w="420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Chorus Pro France e-invoicing portal</w:t>
            </w:r>
          </w:p>
        </w:tc>
        <w:tc>
          <w:tcPr>
            <w:tcW w:type="dxa" w:w="156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w:t>
            </w:r>
          </w:p>
        </w:tc>
        <w:tc>
          <w:tcPr>
            <w:tcW w:type="dxa" w:w="156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w:t>
            </w:r>
          </w:p>
        </w:tc>
        <w:tc>
          <w:tcPr>
            <w:tcW w:type="dxa" w:w="2040"/>
            <w:tcBorders>
              <w:top w:val="single" w:color="CCCCCC" w:sz="4"/>
              <w:left w:val="single" w:color="CCCCCC" w:sz="4"/>
              <w:bottom w:val="single" w:color="CCCCCC" w:sz="4"/>
              <w:right w:val="single" w:color="CCCCCC" w:sz="4"/>
            </w:tcBorders>
            <w:shd w:fill="FFFFFF" w:color="auto" w:val="clear"/>
          </w:tcPr>
          <w:p>
            <w:pPr>
              <w:spacing w:after="50" w:before="50"/>
            </w:pPr>
            <w:r>
              <w:rPr>
                <w:color w:val="333333"/>
                <w:sz w:val="17"/>
                <w:szCs w:val="17"/>
              </w:rPr>
              <w:t xml:space="preserve">Informational</w:t>
            </w:r>
          </w:p>
        </w:tc>
      </w:tr>
      <w:tr>
        <w:tc>
          <w:tcPr>
            <w:tcW w:type="dxa" w:w="420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AEAT e-invoicing Spain</w:t>
            </w:r>
          </w:p>
        </w:tc>
        <w:tc>
          <w:tcPr>
            <w:tcW w:type="dxa" w:w="156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w:t>
            </w:r>
          </w:p>
        </w:tc>
        <w:tc>
          <w:tcPr>
            <w:tcW w:type="dxa" w:w="156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w:t>
            </w:r>
          </w:p>
        </w:tc>
        <w:tc>
          <w:tcPr>
            <w:tcW w:type="dxa" w:w="2040"/>
            <w:tcBorders>
              <w:top w:val="single" w:color="CCCCCC" w:sz="4"/>
              <w:left w:val="single" w:color="CCCCCC" w:sz="4"/>
              <w:bottom w:val="single" w:color="CCCCCC" w:sz="4"/>
              <w:right w:val="single" w:color="CCCCCC" w:sz="4"/>
            </w:tcBorders>
            <w:shd w:fill="F0F2F5" w:color="auto" w:val="clear"/>
          </w:tcPr>
          <w:p>
            <w:pPr>
              <w:spacing w:after="50" w:before="50"/>
            </w:pPr>
            <w:r>
              <w:rPr>
                <w:color w:val="333333"/>
                <w:sz w:val="17"/>
                <w:szCs w:val="17"/>
              </w:rPr>
              <w:t xml:space="preserve">Informational</w:t>
            </w:r>
          </w:p>
        </w:tc>
      </w:tr>
    </w:tbl>
    <w:p>
      <w:pPr>
        <w:spacing w:after="40" w:before="40"/>
      </w:pPr>
      <w:r>
        <w:t xml:space="preserve"/>
      </w:r>
    </w:p>
    <w:p>
      <w:pPr>
        <w:spacing w:after="80" w:before="40"/>
      </w:pPr>
      <w:r>
        <w:rPr>
          <w:i/>
          <w:iCs/>
          <w:color w:val="888888"/>
          <w:sz w:val="18"/>
          <w:szCs w:val="18"/>
        </w:rPr>
        <w:t xml:space="preserve">Note: "Factur-X" (France) and "Verifactu/SII" (Spain) are the specific technical formats mandated. "Chorus Pro" is the French B2G transmission portal. These terms should appear naturally in the body copy and FAQ to capture long-tail technical searches — they are low-competition because most content on this topic avoids technical specificity.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Borders>
              <w:top w:val="single" w:color="E6A817" w:sz="8"/>
              <w:left w:val="thick" w:color="E6A817" w:sz="16"/>
              <w:bottom w:val="single" w:color="E6A817" w:sz="8"/>
              <w:right w:val="single" w:color="E6A817" w:sz="8"/>
            </w:tcBorders>
            <w:shd w:fill="FFF8E7" w:color="auto" w:val="clear"/>
          </w:tcPr>
          <w:p>
            <w:pPr>
              <w:spacing w:after="60" w:before="60"/>
            </w:pPr>
            <w:r>
              <w:rPr>
                <w:b/>
                <w:bCs/>
                <w:color w:val="8B5E00"/>
                <w:sz w:val="17"/>
                <w:szCs w:val="17"/>
              </w:rPr>
              <w:t xml:space="preserve">💡 SEO NOTE  </w:t>
            </w:r>
            <w:r>
              <w:rPr>
                <w:i/>
                <w:iCs/>
                <w:color w:val="5C3D00"/>
                <w:sz w:val="17"/>
                <w:szCs w:val="17"/>
              </w:rPr>
              <w:t xml:space="preserve">Factur-X and Verifactu are near-zero KD keywords with genuine search intent from AP and finance teams looking for format-specific compliance guidance. Including them in a dedicated FAQ question each ("What is Factur-X?" / "What is Verifactu?") captures this traffic with minimal word count cost. These terms also signal technical authority to Google's quality raters, which improves E-E-A-T scoring for a compliance topic.</w:t>
            </w:r>
          </w:p>
        </w:tc>
      </w:tr>
    </w:tbl>
    <w:p>
      <w:pPr>
        <w:spacing w:after="40" w:before="40"/>
      </w:pPr>
      <w:r>
        <w:t xml:space="preserve"/>
      </w:r>
    </w:p>
    <w:p>
      <w:pPr>
        <w:pStyle w:val="Heading2"/>
        <w:pBdr>
          <w:bottom w:val="single" w:color="1A2E4A" w:sz="6"/>
        </w:pBdr>
        <w:spacing w:after="100" w:before="280"/>
      </w:pPr>
      <w:r>
        <w:rPr>
          <w:b/>
          <w:bCs/>
          <w:color w:val="1A2E4A"/>
          <w:sz w:val="28"/>
          <w:szCs w:val="28"/>
        </w:rPr>
        <w:t xml:space="preserve">3. Recommended page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c>
          <w:tcPr>
            <w:tcW w:type="dxa" w:w="2400"/>
            <w:tcBorders>
              <w:top w:val="single" w:color="CCCCCC" w:sz="4"/>
              <w:left w:val="single" w:color="CCCCCC" w:sz="4"/>
              <w:bottom w:val="single" w:color="CCCCCC" w:sz="4"/>
              <w:right w:val="single" w:color="CCCCCC" w:sz="4"/>
            </w:tcBorders>
            <w:shd w:fill="1A2E4A" w:color="auto" w:val="clear"/>
          </w:tcPr>
          <w:p>
            <w:pPr>
              <w:spacing w:after="60" w:before="60"/>
            </w:pPr>
            <w:r>
              <w:rPr>
                <w:b/>
                <w:bCs/>
                <w:color w:val="FFFFFF"/>
                <w:sz w:val="18"/>
                <w:szCs w:val="18"/>
              </w:rPr>
              <w:t xml:space="preserve">Element</w:t>
            </w:r>
          </w:p>
        </w:tc>
        <w:tc>
          <w:tcPr>
            <w:tcW w:type="dxa" w:w="6960"/>
            <w:tcBorders>
              <w:top w:val="single" w:color="CCCCCC" w:sz="4"/>
              <w:left w:val="single" w:color="CCCCCC" w:sz="4"/>
              <w:bottom w:val="single" w:color="CCCCCC" w:sz="4"/>
              <w:right w:val="single" w:color="CCCCCC" w:sz="4"/>
            </w:tcBorders>
            <w:shd w:fill="1A2E4A" w:color="auto" w:val="clear"/>
          </w:tcPr>
          <w:p>
            <w:pPr>
              <w:spacing w:after="60" w:before="60"/>
            </w:pPr>
            <w:r>
              <w:rPr>
                <w:b/>
                <w:bCs/>
                <w:color w:val="FFFFFF"/>
                <w:sz w:val="18"/>
                <w:szCs w:val="18"/>
              </w:rPr>
              <w:t xml:space="preserve">Content guidance</w:t>
            </w:r>
          </w:p>
        </w:tc>
      </w:tr>
      <w:tr>
        <w:tc>
          <w:tcPr>
            <w:tcW w:type="dxa" w:w="2400"/>
            <w:tcBorders>
              <w:top w:val="single" w:color="CCCCCC" w:sz="4"/>
              <w:left w:val="single" w:color="CCCCCC" w:sz="4"/>
              <w:bottom w:val="single" w:color="CCCCCC" w:sz="4"/>
              <w:right w:val="single" w:color="CCCCCC" w:sz="4"/>
            </w:tcBorders>
            <w:shd w:fill="F0F2F5" w:color="auto" w:val="clear"/>
          </w:tcPr>
          <w:p>
            <w:pPr>
              <w:spacing w:after="60" w:before="60"/>
            </w:pPr>
            <w:r>
              <w:rPr>
                <w:i/>
                <w:iCs/>
                <w:color w:val="444444"/>
                <w:sz w:val="17"/>
                <w:szCs w:val="17"/>
              </w:rPr>
              <w:t xml:space="preserve">H1 (Title)</w:t>
            </w:r>
          </w:p>
        </w:tc>
        <w:tc>
          <w:tcPr>
            <w:tcW w:type="dxa" w:w="6960"/>
            <w:tcBorders>
              <w:top w:val="single" w:color="CCCCCC" w:sz="4"/>
              <w:left w:val="single" w:color="CCCCCC" w:sz="4"/>
              <w:bottom w:val="single" w:color="CCCCCC" w:sz="4"/>
              <w:right w:val="single" w:color="CCCCCC" w:sz="4"/>
            </w:tcBorders>
            <w:shd w:fill="F0F2F5" w:color="auto" w:val="clear"/>
          </w:tcPr>
          <w:p>
            <w:pPr>
              <w:spacing w:after="60" w:before="60"/>
            </w:pPr>
            <w:r>
              <w:rPr>
                <w:color w:val="222222"/>
                <w:sz w:val="17"/>
                <w:szCs w:val="17"/>
              </w:rPr>
              <w:t xml:space="preserve">E-Invoicing Is Live in France &amp; Spain. Is Your AP Stack Compliant? — the direct question in the H1 matches the exact mental question the reader is asking, maximising CTR from the SERP</w:t>
            </w:r>
          </w:p>
        </w:tc>
      </w:tr>
      <w:tr>
        <w:tc>
          <w:tcPr>
            <w:tcW w:type="dxa" w:w="2400"/>
            <w:tcBorders>
              <w:top w:val="single" w:color="CCCCCC" w:sz="4"/>
              <w:left w:val="single" w:color="CCCCCC" w:sz="4"/>
              <w:bottom w:val="single" w:color="CCCCCC" w:sz="4"/>
              <w:right w:val="single" w:color="CCCCCC" w:sz="4"/>
            </w:tcBorders>
            <w:shd w:fill="FFFFFF" w:color="auto" w:val="clear"/>
          </w:tcPr>
          <w:p>
            <w:pPr>
              <w:spacing w:after="60" w:before="60"/>
            </w:pPr>
            <w:r>
              <w:rPr>
                <w:i/>
                <w:iCs/>
                <w:color w:val="444444"/>
                <w:sz w:val="17"/>
                <w:szCs w:val="17"/>
              </w:rPr>
              <w:t xml:space="preserve">Meta title</w:t>
            </w:r>
          </w:p>
        </w:tc>
        <w:tc>
          <w:tcPr>
            <w:tcW w:type="dxa" w:w="696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7"/>
                <w:szCs w:val="17"/>
              </w:rPr>
              <w:t xml:space="preserve">E-Invoicing France &amp; Spain 2026: Is Your AP Stack Compliant? — 60 chars</w:t>
            </w:r>
          </w:p>
        </w:tc>
      </w:tr>
      <w:tr>
        <w:tc>
          <w:tcPr>
            <w:tcW w:type="dxa" w:w="2400"/>
            <w:tcBorders>
              <w:top w:val="single" w:color="CCCCCC" w:sz="4"/>
              <w:left w:val="single" w:color="CCCCCC" w:sz="4"/>
              <w:bottom w:val="single" w:color="CCCCCC" w:sz="4"/>
              <w:right w:val="single" w:color="CCCCCC" w:sz="4"/>
            </w:tcBorders>
            <w:shd w:fill="F0F2F5" w:color="auto" w:val="clear"/>
          </w:tcPr>
          <w:p>
            <w:pPr>
              <w:spacing w:after="60" w:before="60"/>
            </w:pPr>
            <w:r>
              <w:rPr>
                <w:i/>
                <w:iCs/>
                <w:color w:val="444444"/>
                <w:sz w:val="17"/>
                <w:szCs w:val="17"/>
              </w:rPr>
              <w:t xml:space="preserve">Meta description</w:t>
            </w:r>
          </w:p>
        </w:tc>
        <w:tc>
          <w:tcPr>
            <w:tcW w:type="dxa" w:w="6960"/>
            <w:tcBorders>
              <w:top w:val="single" w:color="CCCCCC" w:sz="4"/>
              <w:left w:val="single" w:color="CCCCCC" w:sz="4"/>
              <w:bottom w:val="single" w:color="CCCCCC" w:sz="4"/>
              <w:right w:val="single" w:color="CCCCCC" w:sz="4"/>
            </w:tcBorders>
            <w:shd w:fill="F0F2F5" w:color="auto" w:val="clear"/>
          </w:tcPr>
          <w:p>
            <w:pPr>
              <w:spacing w:after="60" w:before="60"/>
            </w:pPr>
            <w:r>
              <w:rPr>
                <w:color w:val="222222"/>
                <w:sz w:val="17"/>
                <w:szCs w:val="17"/>
              </w:rPr>
              <w:t xml:space="preserve">E-invoicing is now mandatory in France and Spain. Find out what compliance means for your AP stack, what happens if you are not compliant, and how to close the gap fast. — 166 chars (trim: "...and how to fix it.")</w:t>
            </w:r>
          </w:p>
        </w:tc>
      </w:tr>
      <w:tr>
        <w:tc>
          <w:tcPr>
            <w:tcW w:type="dxa" w:w="2400"/>
            <w:tcBorders>
              <w:top w:val="single" w:color="CCCCCC" w:sz="4"/>
              <w:left w:val="single" w:color="CCCCCC" w:sz="4"/>
              <w:bottom w:val="single" w:color="CCCCCC" w:sz="4"/>
              <w:right w:val="single" w:color="CCCCCC" w:sz="4"/>
            </w:tcBorders>
            <w:shd w:fill="FFFFFF" w:color="auto" w:val="clear"/>
          </w:tcPr>
          <w:p>
            <w:pPr>
              <w:spacing w:after="60" w:before="60"/>
            </w:pPr>
            <w:r>
              <w:rPr>
                <w:i/>
                <w:iCs/>
                <w:color w:val="444444"/>
                <w:sz w:val="17"/>
                <w:szCs w:val="17"/>
              </w:rPr>
              <w:t xml:space="preserve">Intro (100–150 words)</w:t>
            </w:r>
          </w:p>
        </w:tc>
        <w:tc>
          <w:tcPr>
            <w:tcW w:type="dxa" w:w="696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7"/>
                <w:szCs w:val="17"/>
              </w:rPr>
              <w:t xml:space="preserve">Open with a direct statement: e-invoicing is live in France and Spain — not coming, live. State the specific mandate (France: Factur-X via Chorus Pro; Spain: Verifactu/SII). State who is affected and from when. End with a single framing question: "Is your AP stack ready?" First 2 sentences optimised for featured snippet. Do not open with context-setting — lead with the fact.</w:t>
            </w:r>
          </w:p>
        </w:tc>
      </w:tr>
      <w:tr>
        <w:tc>
          <w:tcPr>
            <w:tcW w:type="dxa" w:w="2400"/>
            <w:tcBorders>
              <w:top w:val="single" w:color="CCCCCC" w:sz="4"/>
              <w:left w:val="single" w:color="CCCCCC" w:sz="4"/>
              <w:bottom w:val="single" w:color="CCCCCC" w:sz="4"/>
              <w:right w:val="single" w:color="CCCCCC" w:sz="4"/>
            </w:tcBorders>
            <w:shd w:fill="F0F2F5" w:color="auto" w:val="clear"/>
          </w:tcPr>
          <w:p>
            <w:pPr>
              <w:spacing w:after="60" w:before="60"/>
            </w:pPr>
            <w:r>
              <w:rPr>
                <w:i/>
                <w:iCs/>
                <w:color w:val="444444"/>
                <w:sz w:val="17"/>
                <w:szCs w:val="17"/>
              </w:rPr>
              <w:t xml:space="preserve">H2: What is now live — France and Spain explained</w:t>
            </w:r>
          </w:p>
        </w:tc>
        <w:tc>
          <w:tcPr>
            <w:tcW w:type="dxa" w:w="6960"/>
            <w:tcBorders>
              <w:top w:val="single" w:color="CCCCCC" w:sz="4"/>
              <w:left w:val="single" w:color="CCCCCC" w:sz="4"/>
              <w:bottom w:val="single" w:color="CCCCCC" w:sz="4"/>
              <w:right w:val="single" w:color="CCCCCC" w:sz="4"/>
            </w:tcBorders>
            <w:shd w:fill="F0F2F5" w:color="auto" w:val="clear"/>
          </w:tcPr>
          <w:p>
            <w:pPr>
              <w:spacing w:after="60" w:before="60"/>
            </w:pPr>
            <w:r>
              <w:rPr>
                <w:color w:val="222222"/>
                <w:sz w:val="17"/>
                <w:szCs w:val="17"/>
              </w:rPr>
              <w:t xml:space="preserve">Two short sub-sections: France mandate (what changed, who is in scope, format required, transmission route) and Spain mandate (same structure). 150 words each max. Source from official government sources only. Answer the most urgent reader question first — do not bury it.</w:t>
            </w:r>
          </w:p>
        </w:tc>
      </w:tr>
      <w:tr>
        <w:tc>
          <w:tcPr>
            <w:tcW w:type="dxa" w:w="2400"/>
            <w:tcBorders>
              <w:top w:val="single" w:color="CCCCCC" w:sz="4"/>
              <w:left w:val="single" w:color="CCCCCC" w:sz="4"/>
              <w:bottom w:val="single" w:color="CCCCCC" w:sz="4"/>
              <w:right w:val="single" w:color="CCCCCC" w:sz="4"/>
            </w:tcBorders>
            <w:shd w:fill="FFFFFF" w:color="auto" w:val="clear"/>
          </w:tcPr>
          <w:p>
            <w:pPr>
              <w:spacing w:after="60" w:before="60"/>
            </w:pPr>
            <w:r>
              <w:rPr>
                <w:i/>
                <w:iCs/>
                <w:color w:val="444444"/>
                <w:sz w:val="17"/>
                <w:szCs w:val="17"/>
              </w:rPr>
              <w:t xml:space="preserve">H2: What "compliant" actually means for your AP stack</w:t>
            </w:r>
          </w:p>
        </w:tc>
        <w:tc>
          <w:tcPr>
            <w:tcW w:type="dxa" w:w="696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7"/>
                <w:szCs w:val="17"/>
              </w:rPr>
              <w:t xml:space="preserve">Practical section. Break down 4 compliance requirements: (1) invoice format, (2) transmission channel, (3) required data fields, (4) archiving duration. Use a short checklist or table. This is what the AP professional needs to take back to their team.</w:t>
            </w:r>
          </w:p>
        </w:tc>
      </w:tr>
      <w:tr>
        <w:tc>
          <w:tcPr>
            <w:tcW w:type="dxa" w:w="2400"/>
            <w:tcBorders>
              <w:top w:val="single" w:color="CCCCCC" w:sz="4"/>
              <w:left w:val="single" w:color="CCCCCC" w:sz="4"/>
              <w:bottom w:val="single" w:color="CCCCCC" w:sz="4"/>
              <w:right w:val="single" w:color="CCCCCC" w:sz="4"/>
            </w:tcBorders>
            <w:shd w:fill="F0F2F5" w:color="auto" w:val="clear"/>
          </w:tcPr>
          <w:p>
            <w:pPr>
              <w:spacing w:after="60" w:before="60"/>
            </w:pPr>
            <w:r>
              <w:rPr>
                <w:i/>
                <w:iCs/>
                <w:color w:val="444444"/>
                <w:sz w:val="17"/>
                <w:szCs w:val="17"/>
              </w:rPr>
              <w:t xml:space="preserve">H2: What happens if you are not compliant</w:t>
            </w:r>
          </w:p>
        </w:tc>
        <w:tc>
          <w:tcPr>
            <w:tcW w:type="dxa" w:w="6960"/>
            <w:tcBorders>
              <w:top w:val="single" w:color="CCCCCC" w:sz="4"/>
              <w:left w:val="single" w:color="CCCCCC" w:sz="4"/>
              <w:bottom w:val="single" w:color="CCCCCC" w:sz="4"/>
              <w:right w:val="single" w:color="CCCCCC" w:sz="4"/>
            </w:tcBorders>
            <w:shd w:fill="F0F2F5" w:color="auto" w:val="clear"/>
          </w:tcPr>
          <w:p>
            <w:pPr>
              <w:spacing w:after="60" w:before="60"/>
            </w:pPr>
            <w:r>
              <w:rPr>
                <w:color w:val="222222"/>
                <w:sz w:val="17"/>
                <w:szCs w:val="17"/>
              </w:rPr>
              <w:t xml:space="preserve">Risk section — brief but specific. Cover: rejected invoices, blocked supplier payments, regulatory fines (cite amounts from official sources), audit exposure. 100–150 words. Cite only confirmed regulation — do not overstate.</w:t>
            </w:r>
          </w:p>
        </w:tc>
      </w:tr>
      <w:tr>
        <w:tc>
          <w:tcPr>
            <w:tcW w:type="dxa" w:w="2400"/>
            <w:tcBorders>
              <w:top w:val="single" w:color="CCCCCC" w:sz="4"/>
              <w:left w:val="single" w:color="CCCCCC" w:sz="4"/>
              <w:bottom w:val="single" w:color="CCCCCC" w:sz="4"/>
              <w:right w:val="single" w:color="CCCCCC" w:sz="4"/>
            </w:tcBorders>
            <w:shd w:fill="FFFFFF" w:color="auto" w:val="clear"/>
          </w:tcPr>
          <w:p>
            <w:pPr>
              <w:spacing w:after="60" w:before="60"/>
            </w:pPr>
            <w:r>
              <w:rPr>
                <w:i/>
                <w:iCs/>
                <w:color w:val="444444"/>
                <w:sz w:val="17"/>
                <w:szCs w:val="17"/>
              </w:rPr>
              <w:t xml:space="preserve">H2: The gap most AP stacks have right now</w:t>
            </w:r>
          </w:p>
        </w:tc>
        <w:tc>
          <w:tcPr>
            <w:tcW w:type="dxa" w:w="696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7"/>
                <w:szCs w:val="17"/>
              </w:rPr>
              <w:t xml:space="preserve">Where most organisations fail: format conversion, transmission routing, archiving. Legacy ERP AP modules and manual processes do not handle Factur-X or Verifactu natively. Name JAGGAER Global eInvoicing Compliance once here. This is the appropriate place for the first in-article CTA.</w:t>
            </w:r>
          </w:p>
        </w:tc>
      </w:tr>
      <w:tr>
        <w:tc>
          <w:tcPr>
            <w:tcW w:type="dxa" w:w="2400"/>
            <w:tcBorders>
              <w:top w:val="single" w:color="CCCCCC" w:sz="4"/>
              <w:left w:val="single" w:color="CCCCCC" w:sz="4"/>
              <w:bottom w:val="single" w:color="CCCCCC" w:sz="4"/>
              <w:right w:val="single" w:color="CCCCCC" w:sz="4"/>
            </w:tcBorders>
            <w:shd w:fill="F0F2F5" w:color="auto" w:val="clear"/>
          </w:tcPr>
          <w:p>
            <w:pPr>
              <w:spacing w:after="60" w:before="60"/>
            </w:pPr>
            <w:r>
              <w:rPr>
                <w:i/>
                <w:iCs/>
                <w:color w:val="444444"/>
                <w:sz w:val="17"/>
                <w:szCs w:val="17"/>
              </w:rPr>
              <w:t xml:space="preserve">H2: FAQ</w:t>
            </w:r>
          </w:p>
        </w:tc>
        <w:tc>
          <w:tcPr>
            <w:tcW w:type="dxa" w:w="6960"/>
            <w:tcBorders>
              <w:top w:val="single" w:color="CCCCCC" w:sz="4"/>
              <w:left w:val="single" w:color="CCCCCC" w:sz="4"/>
              <w:bottom w:val="single" w:color="CCCCCC" w:sz="4"/>
              <w:right w:val="single" w:color="CCCCCC" w:sz="4"/>
            </w:tcBorders>
            <w:shd w:fill="F0F2F5" w:color="auto" w:val="clear"/>
          </w:tcPr>
          <w:p>
            <w:pPr>
              <w:spacing w:after="60" w:before="60"/>
            </w:pPr>
            <w:r>
              <w:rPr>
                <w:color w:val="222222"/>
                <w:sz w:val="17"/>
                <w:szCs w:val="17"/>
              </w:rPr>
              <w:t xml:space="preserve">6–8 questions — see Section 6.</w:t>
            </w:r>
          </w:p>
        </w:tc>
      </w:tr>
      <w:tr>
        <w:tc>
          <w:tcPr>
            <w:tcW w:type="dxa" w:w="2400"/>
            <w:tcBorders>
              <w:top w:val="single" w:color="CCCCCC" w:sz="4"/>
              <w:left w:val="single" w:color="CCCCCC" w:sz="4"/>
              <w:bottom w:val="single" w:color="CCCCCC" w:sz="4"/>
              <w:right w:val="single" w:color="CCCCCC" w:sz="4"/>
            </w:tcBorders>
            <w:shd w:fill="FFFFFF" w:color="auto" w:val="clear"/>
          </w:tcPr>
          <w:p>
            <w:pPr>
              <w:spacing w:after="60" w:before="60"/>
            </w:pPr>
            <w:r>
              <w:rPr>
                <w:i/>
                <w:iCs/>
                <w:color w:val="444444"/>
                <w:sz w:val="17"/>
                <w:szCs w:val="17"/>
              </w:rPr>
              <w:t xml:space="preserve">H2: Next steps</w:t>
            </w:r>
          </w:p>
        </w:tc>
        <w:tc>
          <w:tcPr>
            <w:tcW w:type="dxa" w:w="696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7"/>
                <w:szCs w:val="17"/>
              </w:rPr>
              <w:t xml:space="preserve">1 paragraph. Link to jaggaer.com/solutions/global-einvoicing-compliance ("JAGGAER Global eInvoicing Compliance") and jaggaer.com/solutions/source-to-pay. Book a Demo button.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Borders>
              <w:top w:val="single" w:color="E6A817" w:sz="8"/>
              <w:left w:val="thick" w:color="E6A817" w:sz="16"/>
              <w:bottom w:val="single" w:color="E6A817" w:sz="8"/>
              <w:right w:val="single" w:color="E6A817" w:sz="8"/>
            </w:tcBorders>
            <w:shd w:fill="FFF8E7" w:color="auto" w:val="clear"/>
          </w:tcPr>
          <w:p>
            <w:pPr>
              <w:spacing w:after="60" w:before="60"/>
            </w:pPr>
            <w:r>
              <w:rPr>
                <w:b/>
                <w:bCs/>
                <w:color w:val="8B5E00"/>
                <w:sz w:val="17"/>
                <w:szCs w:val="17"/>
              </w:rPr>
              <w:t xml:space="preserve">💡 SEO NOTE  </w:t>
            </w:r>
            <w:r>
              <w:rPr>
                <w:i/>
                <w:iCs/>
                <w:color w:val="5C3D00"/>
                <w:sz w:val="17"/>
                <w:szCs w:val="17"/>
              </w:rPr>
              <w:t xml:space="preserve">The compliance checklist table under "What 'compliant' actually means for your AP stack" is the most likely featured snippet candidate in the entire post — Google frequently extracts 3–5 row tables for compliance-related queries. Structure the table rows to mirror the exact format of PAA questions: e.g. row label "Invoice format" maps to the PAA "What invoice format is required in France?" The table is also the element most likely to be shared on LinkedIn by AP professionals, driving referral traffic.</w:t>
            </w:r>
          </w:p>
        </w:tc>
      </w:tr>
    </w:tbl>
    <w:p>
      <w:pPr>
        <w:spacing w:after="40" w:before="40"/>
      </w:pPr>
      <w:r>
        <w:t xml:space="preserve"/>
      </w:r>
    </w:p>
    <w:p>
      <w:pPr>
        <w:pStyle w:val="Heading2"/>
        <w:pBdr>
          <w:bottom w:val="single" w:color="1A2E4A" w:sz="6"/>
        </w:pBdr>
        <w:spacing w:after="100" w:before="280"/>
      </w:pPr>
      <w:r>
        <w:rPr>
          <w:b/>
          <w:bCs/>
          <w:color w:val="1A2E4A"/>
          <w:sz w:val="28"/>
          <w:szCs w:val="28"/>
        </w:rPr>
        <w:t xml:space="preserve">4. Visual production notes</w:t>
      </w:r>
    </w:p>
    <w:p>
      <w:pPr>
        <w:spacing w:after="80" w:before="60"/>
      </w:pPr>
      <w:r>
        <w:rPr>
          <w:color w:val="333333"/>
          <w:sz w:val="20"/>
          <w:szCs w:val="20"/>
        </w:rPr>
        <w:t xml:space="preserve">Two visuals recommended. The compliance checklist table is the most valuable SEO and shareability asset in the post.</w:t>
      </w:r>
    </w:p>
    <w:p>
      <w:pPr>
        <w:pStyle w:val="Heading3"/>
        <w:spacing w:after="60" w:before="180"/>
      </w:pPr>
      <w:r>
        <w:rPr>
          <w:b/>
          <w:bCs/>
          <w:color w:val="2B6CB0"/>
          <w:sz w:val="22"/>
          <w:szCs w:val="22"/>
        </w:rPr>
        <w:t xml:space="preserve">Primary visual</w:t>
      </w:r>
    </w:p>
    <w:p>
      <w:pPr>
        <w:spacing w:after="80" w:before="60"/>
      </w:pPr>
      <w:r>
        <w:rPr>
          <w:color w:val="333333"/>
          <w:sz w:val="20"/>
          <w:szCs w:val="20"/>
        </w:rPr>
        <w:t xml:space="preserve">Compliance checklist table: "Compliance requirement | France | Spain." Rows: Invoice format, Transmission channel, Mandatory data fields, Archiving period, Penalty for non-compliance. Place immediately under H2: "What 'compliant' actually means for your AP stack." This is the most scannable and shareable element — it will drive LinkedIn shares which generate backlinks.</w:t>
      </w:r>
    </w:p>
    <w:p>
      <w:pPr>
        <w:pStyle w:val="Heading3"/>
        <w:spacing w:after="60" w:before="180"/>
      </w:pPr>
      <w:r>
        <w:rPr>
          <w:b/>
          <w:bCs/>
          <w:color w:val="2B6CB0"/>
          <w:sz w:val="22"/>
          <w:szCs w:val="22"/>
        </w:rPr>
        <w:t xml:space="preserve">Secondary visual (if applicable)</w:t>
      </w:r>
    </w:p>
    <w:p>
      <w:pPr>
        <w:spacing w:after="80" w:before="60"/>
      </w:pPr>
      <w:r>
        <w:rPr>
          <w:color w:val="333333"/>
          <w:sz w:val="20"/>
          <w:szCs w:val="20"/>
        </w:rPr>
        <w:t xml:space="preserve">"Before / After" two-column table showing a typical AP workflow before and after mandate compliance. Place under H2: "The gap most AP stacks have right now." Helps the reader self-diagnose their current position.</w:t>
      </w:r>
    </w:p>
    <w:p>
      <w:pPr>
        <w:spacing w:after="40" w:before="40"/>
      </w:pPr>
      <w:r>
        <w:t xml:space="preserve"/>
      </w:r>
    </w:p>
    <w:p>
      <w:pPr>
        <w:spacing w:after="80" w:before="40"/>
      </w:pPr>
      <w:r>
        <w:rPr>
          <w:i/>
          <w:iCs/>
          <w:color w:val="888888"/>
          <w:sz w:val="18"/>
          <w:szCs w:val="18"/>
        </w:rPr>
        <w:t xml:space="preserve">Formatting notes: keep tables to 3–5 columns. Avoid footnotes in tables — link to the source instead. Ensure visuals are mobile-readable.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Borders>
              <w:top w:val="single" w:color="E6A817" w:sz="8"/>
              <w:left w:val="thick" w:color="E6A817" w:sz="16"/>
              <w:bottom w:val="single" w:color="E6A817" w:sz="8"/>
              <w:right w:val="single" w:color="E6A817" w:sz="8"/>
            </w:tcBorders>
            <w:shd w:fill="FFF8E7" w:color="auto" w:val="clear"/>
          </w:tcPr>
          <w:p>
            <w:pPr>
              <w:spacing w:after="60" w:before="60"/>
            </w:pPr>
            <w:r>
              <w:rPr>
                <w:b/>
                <w:bCs/>
                <w:color w:val="8B5E00"/>
                <w:sz w:val="17"/>
                <w:szCs w:val="17"/>
              </w:rPr>
              <w:t xml:space="preserve">💡 SEO NOTE  </w:t>
            </w:r>
            <w:r>
              <w:rPr>
                <w:i/>
                <w:iCs/>
                <w:color w:val="5C3D00"/>
                <w:sz w:val="17"/>
                <w:szCs w:val="17"/>
              </w:rPr>
              <w:t xml:space="preserve">The France vs Spain comparison table is specifically structured for rich snippet extraction. Ensure each cell contains concrete values (e.g. "Factur-X (EN 16931)" not "structured XML format") — Google's rich snippet algorithm favours specific, citable values over descriptive text. The table should also be marked up with HTML table tags in the CMS, not inserted as an image — images cannot be extracted for featured snippets.</w:t>
            </w:r>
          </w:p>
        </w:tc>
      </w:tr>
    </w:tbl>
    <w:p>
      <w:pPr>
        <w:spacing w:after="40" w:before="40"/>
      </w:pPr>
      <w:r>
        <w:t xml:space="preserve"/>
      </w:r>
    </w:p>
    <w:p>
      <w:pPr>
        <w:pStyle w:val="Heading2"/>
        <w:pBdr>
          <w:bottom w:val="single" w:color="1A2E4A" w:sz="6"/>
        </w:pBdr>
        <w:spacing w:after="100" w:before="280"/>
      </w:pPr>
      <w:r>
        <w:rPr>
          <w:b/>
          <w:bCs/>
          <w:color w:val="1A2E4A"/>
          <w:sz w:val="28"/>
          <w:szCs w:val="28"/>
        </w:rPr>
        <w:t xml:space="preserve">5. Internal linking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0"/>
        <w:gridCol w:w="3840"/>
        <w:gridCol w:w="3000"/>
      </w:tblGrid>
      <w:tr>
        <w:tc>
          <w:tcPr>
            <w:tcW w:type="dxa" w:w="2520"/>
            <w:tcBorders>
              <w:top w:val="single" w:color="CCCCCC" w:sz="4"/>
              <w:left w:val="single" w:color="CCCCCC" w:sz="4"/>
              <w:bottom w:val="single" w:color="CCCCCC" w:sz="4"/>
              <w:right w:val="single" w:color="CCCCCC" w:sz="4"/>
            </w:tcBorders>
            <w:shd w:fill="1A2E4A" w:color="auto" w:val="clear"/>
          </w:tcPr>
          <w:p>
            <w:pPr>
              <w:spacing w:after="60" w:before="60"/>
            </w:pPr>
            <w:r>
              <w:rPr>
                <w:b/>
                <w:bCs/>
                <w:color w:val="FFFFFF"/>
                <w:sz w:val="18"/>
                <w:szCs w:val="18"/>
              </w:rPr>
              <w:t xml:space="preserve">Destination</w:t>
            </w:r>
          </w:p>
        </w:tc>
        <w:tc>
          <w:tcPr>
            <w:tcW w:type="dxa" w:w="3840"/>
            <w:tcBorders>
              <w:top w:val="single" w:color="CCCCCC" w:sz="4"/>
              <w:left w:val="single" w:color="CCCCCC" w:sz="4"/>
              <w:bottom w:val="single" w:color="CCCCCC" w:sz="4"/>
              <w:right w:val="single" w:color="CCCCCC" w:sz="4"/>
            </w:tcBorders>
            <w:shd w:fill="1A2E4A" w:color="auto" w:val="clear"/>
          </w:tcPr>
          <w:p>
            <w:pPr>
              <w:spacing w:after="60" w:before="60"/>
            </w:pPr>
            <w:r>
              <w:rPr>
                <w:b/>
                <w:bCs/>
                <w:color w:val="FFFFFF"/>
                <w:sz w:val="18"/>
                <w:szCs w:val="18"/>
              </w:rPr>
              <w:t xml:space="preserve">Anchor text</w:t>
            </w:r>
          </w:p>
        </w:tc>
        <w:tc>
          <w:tcPr>
            <w:tcW w:type="dxa" w:w="3000"/>
            <w:tcBorders>
              <w:top w:val="single" w:color="CCCCCC" w:sz="4"/>
              <w:left w:val="single" w:color="CCCCCC" w:sz="4"/>
              <w:bottom w:val="single" w:color="CCCCCC" w:sz="4"/>
              <w:right w:val="single" w:color="CCCCCC" w:sz="4"/>
            </w:tcBorders>
            <w:shd w:fill="1A2E4A" w:color="auto" w:val="clear"/>
          </w:tcPr>
          <w:p>
            <w:pPr>
              <w:spacing w:after="60" w:before="60"/>
            </w:pPr>
            <w:r>
              <w:rPr>
                <w:b/>
                <w:bCs/>
                <w:color w:val="FFFFFF"/>
                <w:sz w:val="18"/>
                <w:szCs w:val="18"/>
              </w:rPr>
              <w:t xml:space="preserve">Placement</w:t>
            </w:r>
          </w:p>
        </w:tc>
      </w:tr>
      <w:tr>
        <w:tc>
          <w:tcPr>
            <w:tcW w:type="dxa" w:w="2520"/>
            <w:tcBorders>
              <w:top w:val="single" w:color="CCCCCC" w:sz="4"/>
              <w:left w:val="single" w:color="CCCCCC" w:sz="4"/>
              <w:bottom w:val="single" w:color="CCCCCC" w:sz="4"/>
              <w:right w:val="single" w:color="CCCCCC" w:sz="4"/>
            </w:tcBorders>
            <w:shd w:fill="F0F2F5" w:color="auto" w:val="clear"/>
          </w:tcPr>
          <w:p>
            <w:pPr>
              <w:spacing w:after="60" w:before="60"/>
            </w:pPr>
            <w:r>
              <w:rPr>
                <w:i/>
                <w:iCs/>
                <w:color w:val="444444"/>
                <w:sz w:val="17"/>
                <w:szCs w:val="17"/>
              </w:rPr>
              <w:t xml:space="preserve">JAGGAER Global eInvoicing Compliance</w:t>
            </w:r>
          </w:p>
        </w:tc>
        <w:tc>
          <w:tcPr>
            <w:tcW w:type="dxa" w:w="3840"/>
            <w:tcBorders>
              <w:top w:val="single" w:color="CCCCCC" w:sz="4"/>
              <w:left w:val="single" w:color="CCCCCC" w:sz="4"/>
              <w:bottom w:val="single" w:color="CCCCCC" w:sz="4"/>
              <w:right w:val="single" w:color="CCCCCC" w:sz="4"/>
            </w:tcBorders>
            <w:shd w:fill="F0F2F5" w:color="auto" w:val="clear"/>
          </w:tcPr>
          <w:p>
            <w:pPr>
              <w:spacing w:after="60" w:before="60"/>
            </w:pPr>
            <w:r>
              <w:rPr>
                <w:color w:val="222222"/>
                <w:sz w:val="17"/>
                <w:szCs w:val="17"/>
              </w:rPr>
              <w:t xml:space="preserve">JAGGAER Global eInvoicing Compliance</w:t>
            </w:r>
          </w:p>
        </w:tc>
        <w:tc>
          <w:tcPr>
            <w:tcW w:type="dxa" w:w="3000"/>
            <w:tcBorders>
              <w:top w:val="single" w:color="CCCCCC" w:sz="4"/>
              <w:left w:val="single" w:color="CCCCCC" w:sz="4"/>
              <w:bottom w:val="single" w:color="CCCCCC" w:sz="4"/>
              <w:right w:val="single" w:color="CCCCCC" w:sz="4"/>
            </w:tcBorders>
            <w:shd w:fill="F0F2F5" w:color="auto" w:val="clear"/>
          </w:tcPr>
          <w:p>
            <w:pPr>
              <w:spacing w:after="60" w:before="60"/>
            </w:pPr>
            <w:r>
              <w:rPr>
                <w:color w:val="222222"/>
                <w:sz w:val="17"/>
                <w:szCs w:val="17"/>
              </w:rPr>
              <w:t xml:space="preserve">H2: The gap most AP stacks have right now + H2: Next steps</w:t>
            </w:r>
          </w:p>
        </w:tc>
      </w:tr>
      <w:tr>
        <w:tc>
          <w:tcPr>
            <w:tcW w:type="dxa" w:w="2520"/>
            <w:tcBorders>
              <w:top w:val="single" w:color="CCCCCC" w:sz="4"/>
              <w:left w:val="single" w:color="CCCCCC" w:sz="4"/>
              <w:bottom w:val="single" w:color="CCCCCC" w:sz="4"/>
              <w:right w:val="single" w:color="CCCCCC" w:sz="4"/>
            </w:tcBorders>
            <w:shd w:fill="FFFFFF" w:color="auto" w:val="clear"/>
          </w:tcPr>
          <w:p>
            <w:pPr>
              <w:spacing w:after="60" w:before="60"/>
            </w:pPr>
            <w:r>
              <w:rPr>
                <w:i/>
                <w:iCs/>
                <w:color w:val="444444"/>
                <w:sz w:val="17"/>
                <w:szCs w:val="17"/>
              </w:rPr>
              <w:t xml:space="preserve">JAGGAER S2P platform</w:t>
            </w:r>
          </w:p>
        </w:tc>
        <w:tc>
          <w:tcPr>
            <w:tcW w:type="dxa" w:w="384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7"/>
                <w:szCs w:val="17"/>
              </w:rPr>
              <w:t xml:space="preserve">JAGGAER source-to-pay platform</w:t>
            </w:r>
          </w:p>
        </w:tc>
        <w:tc>
          <w:tcPr>
            <w:tcW w:type="dxa" w:w="300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7"/>
                <w:szCs w:val="17"/>
              </w:rPr>
              <w:t xml:space="preserve">H2: Next steps</w:t>
            </w:r>
          </w:p>
        </w:tc>
      </w:tr>
      <w:tr>
        <w:tc>
          <w:tcPr>
            <w:tcW w:type="dxa" w:w="2520"/>
            <w:tcBorders>
              <w:top w:val="single" w:color="CCCCCC" w:sz="4"/>
              <w:left w:val="single" w:color="CCCCCC" w:sz="4"/>
              <w:bottom w:val="single" w:color="CCCCCC" w:sz="4"/>
              <w:right w:val="single" w:color="CCCCCC" w:sz="4"/>
            </w:tcBorders>
            <w:shd w:fill="F0F2F5" w:color="auto" w:val="clear"/>
          </w:tcPr>
          <w:p>
            <w:pPr>
              <w:spacing w:after="60" w:before="60"/>
            </w:pPr>
            <w:r>
              <w:rPr>
                <w:i/>
                <w:iCs/>
                <w:color w:val="444444"/>
                <w:sz w:val="17"/>
                <w:szCs w:val="17"/>
              </w:rPr>
              <w:t xml:space="preserve">Government Contract Leakage cluster post</w:t>
            </w:r>
          </w:p>
        </w:tc>
        <w:tc>
          <w:tcPr>
            <w:tcW w:type="dxa" w:w="3840"/>
            <w:tcBorders>
              <w:top w:val="single" w:color="CCCCCC" w:sz="4"/>
              <w:left w:val="single" w:color="CCCCCC" w:sz="4"/>
              <w:bottom w:val="single" w:color="CCCCCC" w:sz="4"/>
              <w:right w:val="single" w:color="CCCCCC" w:sz="4"/>
            </w:tcBorders>
            <w:shd w:fill="F0F2F5" w:color="auto" w:val="clear"/>
          </w:tcPr>
          <w:p>
            <w:pPr>
              <w:spacing w:after="60" w:before="60"/>
            </w:pPr>
            <w:r>
              <w:rPr>
                <w:color w:val="222222"/>
                <w:sz w:val="17"/>
                <w:szCs w:val="17"/>
              </w:rPr>
              <w:t xml:space="preserve">off-contract spend in public sector procurement</w:t>
            </w:r>
          </w:p>
        </w:tc>
        <w:tc>
          <w:tcPr>
            <w:tcW w:type="dxa" w:w="3000"/>
            <w:tcBorders>
              <w:top w:val="single" w:color="CCCCCC" w:sz="4"/>
              <w:left w:val="single" w:color="CCCCCC" w:sz="4"/>
              <w:bottom w:val="single" w:color="CCCCCC" w:sz="4"/>
              <w:right w:val="single" w:color="CCCCCC" w:sz="4"/>
            </w:tcBorders>
            <w:shd w:fill="F0F2F5" w:color="auto" w:val="clear"/>
          </w:tcPr>
          <w:p>
            <w:pPr>
              <w:spacing w:after="60" w:before="60"/>
            </w:pPr>
            <w:r>
              <w:rPr>
                <w:color w:val="222222"/>
                <w:sz w:val="17"/>
                <w:szCs w:val="17"/>
              </w:rPr>
              <w:t xml:space="preserve">H2: What happens if you are not compliant</w:t>
            </w:r>
          </w:p>
        </w:tc>
      </w:tr>
      <w:tr>
        <w:tc>
          <w:tcPr>
            <w:tcW w:type="dxa" w:w="2520"/>
            <w:tcBorders>
              <w:top w:val="single" w:color="CCCCCC" w:sz="4"/>
              <w:left w:val="single" w:color="CCCCCC" w:sz="4"/>
              <w:bottom w:val="single" w:color="CCCCCC" w:sz="4"/>
              <w:right w:val="single" w:color="CCCCCC" w:sz="4"/>
            </w:tcBorders>
            <w:shd w:fill="FFFFFF" w:color="auto" w:val="clear"/>
          </w:tcPr>
          <w:p>
            <w:pPr>
              <w:spacing w:after="60" w:before="60"/>
            </w:pPr>
            <w:r>
              <w:rPr>
                <w:i/>
                <w:iCs/>
                <w:color w:val="444444"/>
                <w:sz w:val="17"/>
                <w:szCs w:val="17"/>
              </w:rPr>
              <w:t xml:space="preserve">Public Sector pillar page</w:t>
            </w:r>
          </w:p>
        </w:tc>
        <w:tc>
          <w:tcPr>
            <w:tcW w:type="dxa" w:w="384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7"/>
                <w:szCs w:val="17"/>
              </w:rPr>
              <w:t xml:space="preserve">public sector procurement platform</w:t>
            </w:r>
          </w:p>
        </w:tc>
        <w:tc>
          <w:tcPr>
            <w:tcW w:type="dxa" w:w="300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7"/>
                <w:szCs w:val="17"/>
              </w:rPr>
              <w:t xml:space="preserve">Intro paragraph</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Borders>
              <w:top w:val="single" w:color="E6A817" w:sz="8"/>
              <w:left w:val="thick" w:color="E6A817" w:sz="16"/>
              <w:bottom w:val="single" w:color="E6A817" w:sz="8"/>
              <w:right w:val="single" w:color="E6A817" w:sz="8"/>
            </w:tcBorders>
            <w:shd w:fill="FFF8E7" w:color="auto" w:val="clear"/>
          </w:tcPr>
          <w:p>
            <w:pPr>
              <w:spacing w:after="60" w:before="60"/>
            </w:pPr>
            <w:r>
              <w:rPr>
                <w:b/>
                <w:bCs/>
                <w:color w:val="8B5E00"/>
                <w:sz w:val="17"/>
                <w:szCs w:val="17"/>
              </w:rPr>
              <w:t xml:space="preserve">💡 SEO NOTE  </w:t>
            </w:r>
            <w:r>
              <w:rPr>
                <w:i/>
                <w:iCs/>
                <w:color w:val="5C3D00"/>
                <w:sz w:val="17"/>
                <w:szCs w:val="17"/>
              </w:rPr>
              <w:t xml:space="preserve">The Global eInvoicing Compliance solution page link is the most commercially valuable internal link in this brief — it connects a TOFU informational post directly to a product page, which is a strong conversion signal. Use it twice: once in the body (H2: The gap most AP stacks have) and once in the CTA. Avoid using it more than twice — over-linking to the same page dilutes the anchor text signal.</w:t>
            </w:r>
          </w:p>
        </w:tc>
      </w:tr>
    </w:tbl>
    <w:p>
      <w:pPr>
        <w:spacing w:after="40" w:before="40"/>
      </w:pPr>
      <w:r>
        <w:t xml:space="preserve"/>
      </w:r>
    </w:p>
    <w:p>
      <w:pPr>
        <w:pStyle w:val="Heading2"/>
        <w:pBdr>
          <w:bottom w:val="single" w:color="1A2E4A" w:sz="6"/>
        </w:pBdr>
        <w:spacing w:after="100" w:before="280"/>
      </w:pPr>
      <w:r>
        <w:rPr>
          <w:b/>
          <w:bCs/>
          <w:color w:val="1A2E4A"/>
          <w:sz w:val="28"/>
          <w:szCs w:val="28"/>
        </w:rPr>
        <w:t xml:space="preserve">6. FAQ targets</w:t>
      </w:r>
    </w:p>
    <w:p>
      <w:pPr>
        <w:spacing w:after="80" w:before="60"/>
      </w:pPr>
      <w:r>
        <w:rPr>
          <w:color w:val="333333"/>
          <w:sz w:val="20"/>
          <w:szCs w:val="20"/>
        </w:rPr>
        <w:t xml:space="preserve">Each answer should be 2–3 sentences, written to target the PAA box. Answers must be self-contained — assume the reader may read only the FAQ. Questions are drawn from keyword data and PAA triggers.</w:t>
      </w:r>
    </w:p>
    <w:p>
      <w:pPr>
        <w:spacing w:after="40" w:before="40"/>
      </w:pPr>
      <w:r>
        <w:t xml:space="preserve"/>
      </w:r>
    </w:p>
    <w:p>
      <w:pPr>
        <w:spacing w:after="40" w:before="40"/>
        <w:ind w:left="360"/>
      </w:pPr>
      <w:r>
        <w:rPr>
          <w:color w:val="333333"/>
          <w:sz w:val="20"/>
          <w:szCs w:val="20"/>
        </w:rPr>
        <w:t xml:space="preserve">• Is e-invoicing now mandatory in France?</w:t>
      </w:r>
    </w:p>
    <w:p>
      <w:pPr>
        <w:spacing w:after="40" w:before="40"/>
        <w:ind w:left="360"/>
      </w:pPr>
      <w:r>
        <w:rPr>
          <w:color w:val="333333"/>
          <w:sz w:val="20"/>
          <w:szCs w:val="20"/>
        </w:rPr>
        <w:t xml:space="preserve">• Is e-invoicing now mandatory in Spain?</w:t>
      </w:r>
    </w:p>
    <w:p>
      <w:pPr>
        <w:spacing w:after="40" w:before="40"/>
        <w:ind w:left="360"/>
      </w:pPr>
      <w:r>
        <w:rPr>
          <w:color w:val="333333"/>
          <w:sz w:val="20"/>
          <w:szCs w:val="20"/>
        </w:rPr>
        <w:t xml:space="preserve">• What is Factur-X and does my AP system support it?</w:t>
      </w:r>
    </w:p>
    <w:p>
      <w:pPr>
        <w:spacing w:after="40" w:before="40"/>
        <w:ind w:left="360"/>
      </w:pPr>
      <w:r>
        <w:rPr>
          <w:color w:val="333333"/>
          <w:sz w:val="20"/>
          <w:szCs w:val="20"/>
        </w:rPr>
        <w:t xml:space="preserve">• What is Verifactu and how does it differ from SII?</w:t>
      </w:r>
    </w:p>
    <w:p>
      <w:pPr>
        <w:spacing w:after="40" w:before="40"/>
        <w:ind w:left="360"/>
      </w:pPr>
      <w:r>
        <w:rPr>
          <w:color w:val="333333"/>
          <w:sz w:val="20"/>
          <w:szCs w:val="20"/>
        </w:rPr>
        <w:t xml:space="preserve">• What happens if I send a non-compliant invoice in France or Spain?</w:t>
      </w:r>
    </w:p>
    <w:p>
      <w:pPr>
        <w:spacing w:after="40" w:before="40"/>
        <w:ind w:left="360"/>
      </w:pPr>
      <w:r>
        <w:rPr>
          <w:color w:val="333333"/>
          <w:sz w:val="20"/>
          <w:szCs w:val="20"/>
        </w:rPr>
        <w:t xml:space="preserve">• Do the mandates apply to foreign companies invoicing French or Spanish public bodies?</w:t>
      </w:r>
    </w:p>
    <w:p>
      <w:pPr>
        <w:spacing w:after="40" w:before="40"/>
        <w:ind w:left="360"/>
      </w:pPr>
      <w:r>
        <w:rPr>
          <w:color w:val="333333"/>
          <w:sz w:val="20"/>
          <w:szCs w:val="20"/>
        </w:rPr>
        <w:t xml:space="preserve">• What data fields are required on a compliant e-invoice in France and Spain?</w:t>
      </w:r>
    </w:p>
    <w:p>
      <w:pPr>
        <w:spacing w:after="40" w:before="40"/>
        <w:ind w:left="360"/>
      </w:pPr>
      <w:r>
        <w:rPr>
          <w:color w:val="333333"/>
          <w:sz w:val="20"/>
          <w:szCs w:val="20"/>
        </w:rPr>
        <w:t xml:space="preserve">• How long do I need to archive e-invoices under the French and Spanish mandates?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Borders>
              <w:top w:val="single" w:color="E6A817" w:sz="8"/>
              <w:left w:val="thick" w:color="E6A817" w:sz="16"/>
              <w:bottom w:val="single" w:color="E6A817" w:sz="8"/>
              <w:right w:val="single" w:color="E6A817" w:sz="8"/>
            </w:tcBorders>
            <w:shd w:fill="FFF8E7" w:color="auto" w:val="clear"/>
          </w:tcPr>
          <w:p>
            <w:pPr>
              <w:spacing w:after="60" w:before="60"/>
            </w:pPr>
            <w:r>
              <w:rPr>
                <w:b/>
                <w:bCs/>
                <w:color w:val="8B5E00"/>
                <w:sz w:val="17"/>
                <w:szCs w:val="17"/>
              </w:rPr>
              <w:t xml:space="preserve">💡 SEO NOTE  </w:t>
            </w:r>
            <w:r>
              <w:rPr>
                <w:i/>
                <w:iCs/>
                <w:color w:val="5C3D00"/>
                <w:sz w:val="17"/>
                <w:szCs w:val="17"/>
              </w:rPr>
              <w:t xml:space="preserve">The FAQ questions "What is Factur-X?" and "What is Verifactu?" are near-zero KD and capture the specialist long-tail traffic that most competitors' content misses. Answering them in 2–3 precise sentences with the technical format name and transmission channel establishes E-E-A-T (Experience, Expertise, Authority, Trust) — a key ranking factor for compliance content on a .com domain competing against .gov and advisory firm sites.</w:t>
            </w:r>
          </w:p>
        </w:tc>
      </w:tr>
    </w:tbl>
    <w:p>
      <w:pPr>
        <w:spacing w:after="40" w:before="40"/>
      </w:pPr>
      <w:r>
        <w:t xml:space="preserve"/>
      </w:r>
    </w:p>
    <w:p>
      <w:pPr>
        <w:pStyle w:val="Heading2"/>
        <w:pBdr>
          <w:bottom w:val="single" w:color="1A2E4A" w:sz="6"/>
        </w:pBdr>
        <w:spacing w:after="100" w:before="280"/>
      </w:pPr>
      <w:r>
        <w:rPr>
          <w:b/>
          <w:bCs/>
          <w:color w:val="1A2E4A"/>
          <w:sz w:val="28"/>
          <w:szCs w:val="28"/>
        </w:rPr>
        <w:t xml:space="preserve">7. SEO and technical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c>
          <w:tcPr>
            <w:tcW w:type="dxa" w:w="2400"/>
            <w:tcBorders>
              <w:top w:val="single" w:color="CCCCCC" w:sz="4"/>
              <w:left w:val="single" w:color="CCCCCC" w:sz="4"/>
              <w:bottom w:val="single" w:color="CCCCCC" w:sz="4"/>
              <w:right w:val="single" w:color="CCCCCC" w:sz="4"/>
            </w:tcBorders>
            <w:shd w:fill="1A2E4A" w:color="auto" w:val="clear"/>
          </w:tcPr>
          <w:p>
            <w:pPr>
              <w:spacing w:after="60" w:before="60"/>
            </w:pPr>
            <w:r>
              <w:rPr>
                <w:b/>
                <w:bCs/>
                <w:color w:val="FFFFFF"/>
                <w:sz w:val="18"/>
                <w:szCs w:val="18"/>
              </w:rPr>
              <w:t xml:space="preserve">Field</w:t>
            </w:r>
          </w:p>
        </w:tc>
        <w:tc>
          <w:tcPr>
            <w:tcW w:type="dxa" w:w="6960"/>
            <w:tcBorders>
              <w:top w:val="single" w:color="CCCCCC" w:sz="4"/>
              <w:left w:val="single" w:color="CCCCCC" w:sz="4"/>
              <w:bottom w:val="single" w:color="CCCCCC" w:sz="4"/>
              <w:right w:val="single" w:color="CCCCCC" w:sz="4"/>
            </w:tcBorders>
            <w:shd w:fill="1A2E4A" w:color="auto" w:val="clear"/>
          </w:tcPr>
          <w:p>
            <w:pPr>
              <w:spacing w:after="60" w:before="60"/>
            </w:pPr>
            <w:r>
              <w:rPr>
                <w:b/>
                <w:bCs/>
                <w:color w:val="FFFFFF"/>
                <w:sz w:val="18"/>
                <w:szCs w:val="18"/>
              </w:rPr>
              <w:t xml:space="preserve">Value / guidance</w:t>
            </w:r>
          </w:p>
        </w:tc>
      </w:tr>
      <w:tr>
        <w:tc>
          <w:tcPr>
            <w:tcW w:type="dxa" w:w="2400"/>
            <w:tcBorders>
              <w:top w:val="single" w:color="CCCCCC" w:sz="4"/>
              <w:left w:val="single" w:color="CCCCCC" w:sz="4"/>
              <w:bottom w:val="single" w:color="CCCCCC" w:sz="4"/>
              <w:right w:val="single" w:color="CCCCCC" w:sz="4"/>
            </w:tcBorders>
            <w:shd w:fill="F0F2F5" w:color="auto" w:val="clear"/>
          </w:tcPr>
          <w:p>
            <w:pPr>
              <w:spacing w:after="60" w:before="60"/>
            </w:pPr>
            <w:r>
              <w:rPr>
                <w:i/>
                <w:iCs/>
                <w:color w:val="444444"/>
                <w:sz w:val="17"/>
                <w:szCs w:val="17"/>
              </w:rPr>
              <w:t xml:space="preserve">URL</w:t>
            </w:r>
          </w:p>
        </w:tc>
        <w:tc>
          <w:tcPr>
            <w:tcW w:type="dxa" w:w="6960"/>
            <w:tcBorders>
              <w:top w:val="single" w:color="CCCCCC" w:sz="4"/>
              <w:left w:val="single" w:color="CCCCCC" w:sz="4"/>
              <w:bottom w:val="single" w:color="CCCCCC" w:sz="4"/>
              <w:right w:val="single" w:color="CCCCCC" w:sz="4"/>
            </w:tcBorders>
            <w:shd w:fill="F0F2F5" w:color="auto" w:val="clear"/>
          </w:tcPr>
          <w:p>
            <w:pPr>
              <w:spacing w:after="60" w:before="60"/>
            </w:pPr>
            <w:r>
              <w:rPr>
                <w:color w:val="222222"/>
                <w:sz w:val="17"/>
                <w:szCs w:val="17"/>
              </w:rPr>
              <w:t xml:space="preserve">/e-invoicing-compliance-france-spain-2026</w:t>
            </w:r>
          </w:p>
        </w:tc>
      </w:tr>
      <w:tr>
        <w:tc>
          <w:tcPr>
            <w:tcW w:type="dxa" w:w="2400"/>
            <w:tcBorders>
              <w:top w:val="single" w:color="CCCCCC" w:sz="4"/>
              <w:left w:val="single" w:color="CCCCCC" w:sz="4"/>
              <w:bottom w:val="single" w:color="CCCCCC" w:sz="4"/>
              <w:right w:val="single" w:color="CCCCCC" w:sz="4"/>
            </w:tcBorders>
            <w:shd w:fill="FFFFFF" w:color="auto" w:val="clear"/>
          </w:tcPr>
          <w:p>
            <w:pPr>
              <w:spacing w:after="60" w:before="60"/>
            </w:pPr>
            <w:r>
              <w:rPr>
                <w:i/>
                <w:iCs/>
                <w:color w:val="444444"/>
                <w:sz w:val="17"/>
                <w:szCs w:val="17"/>
              </w:rPr>
              <w:t xml:space="preserve">Title tag</w:t>
            </w:r>
          </w:p>
        </w:tc>
        <w:tc>
          <w:tcPr>
            <w:tcW w:type="dxa" w:w="696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7"/>
                <w:szCs w:val="17"/>
              </w:rPr>
              <w:t xml:space="preserve">E-Invoicing France &amp; Spain 2026: Is Your AP Stack Compliant? — 60 chars</w:t>
            </w:r>
          </w:p>
        </w:tc>
      </w:tr>
      <w:tr>
        <w:tc>
          <w:tcPr>
            <w:tcW w:type="dxa" w:w="2400"/>
            <w:tcBorders>
              <w:top w:val="single" w:color="CCCCCC" w:sz="4"/>
              <w:left w:val="single" w:color="CCCCCC" w:sz="4"/>
              <w:bottom w:val="single" w:color="CCCCCC" w:sz="4"/>
              <w:right w:val="single" w:color="CCCCCC" w:sz="4"/>
            </w:tcBorders>
            <w:shd w:fill="F0F2F5" w:color="auto" w:val="clear"/>
          </w:tcPr>
          <w:p>
            <w:pPr>
              <w:spacing w:after="60" w:before="60"/>
            </w:pPr>
            <w:r>
              <w:rPr>
                <w:i/>
                <w:iCs/>
                <w:color w:val="444444"/>
                <w:sz w:val="17"/>
                <w:szCs w:val="17"/>
              </w:rPr>
              <w:t xml:space="preserve">Meta description</w:t>
            </w:r>
          </w:p>
        </w:tc>
        <w:tc>
          <w:tcPr>
            <w:tcW w:type="dxa" w:w="6960"/>
            <w:tcBorders>
              <w:top w:val="single" w:color="CCCCCC" w:sz="4"/>
              <w:left w:val="single" w:color="CCCCCC" w:sz="4"/>
              <w:bottom w:val="single" w:color="CCCCCC" w:sz="4"/>
              <w:right w:val="single" w:color="CCCCCC" w:sz="4"/>
            </w:tcBorders>
            <w:shd w:fill="F0F2F5" w:color="auto" w:val="clear"/>
          </w:tcPr>
          <w:p>
            <w:pPr>
              <w:spacing w:after="60" w:before="60"/>
            </w:pPr>
            <w:r>
              <w:rPr>
                <w:color w:val="222222"/>
                <w:sz w:val="17"/>
                <w:szCs w:val="17"/>
              </w:rPr>
              <w:t xml:space="preserve">E-invoicing is now mandatory in France and Spain. Find out what compliance means for your AP stack, what happens if you are not compliant, and how to fix it.</w:t>
            </w:r>
          </w:p>
        </w:tc>
      </w:tr>
      <w:tr>
        <w:tc>
          <w:tcPr>
            <w:tcW w:type="dxa" w:w="2400"/>
            <w:tcBorders>
              <w:top w:val="single" w:color="CCCCCC" w:sz="4"/>
              <w:left w:val="single" w:color="CCCCCC" w:sz="4"/>
              <w:bottom w:val="single" w:color="CCCCCC" w:sz="4"/>
              <w:right w:val="single" w:color="CCCCCC" w:sz="4"/>
            </w:tcBorders>
            <w:shd w:fill="FFFFFF" w:color="auto" w:val="clear"/>
          </w:tcPr>
          <w:p>
            <w:pPr>
              <w:spacing w:after="60" w:before="60"/>
            </w:pPr>
            <w:r>
              <w:rPr>
                <w:i/>
                <w:iCs/>
                <w:color w:val="444444"/>
                <w:sz w:val="17"/>
                <w:szCs w:val="17"/>
              </w:rPr>
              <w:t xml:space="preserve">Schema markup</w:t>
            </w:r>
          </w:p>
        </w:tc>
        <w:tc>
          <w:tcPr>
            <w:tcW w:type="dxa" w:w="696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7"/>
                <w:szCs w:val="17"/>
              </w:rPr>
              <w:t xml:space="preserve">Article + FAQPage schema on the FAQ section</w:t>
            </w:r>
          </w:p>
        </w:tc>
      </w:tr>
      <w:tr>
        <w:tc>
          <w:tcPr>
            <w:tcW w:type="dxa" w:w="2400"/>
            <w:tcBorders>
              <w:top w:val="single" w:color="CCCCCC" w:sz="4"/>
              <w:left w:val="single" w:color="CCCCCC" w:sz="4"/>
              <w:bottom w:val="single" w:color="CCCCCC" w:sz="4"/>
              <w:right w:val="single" w:color="CCCCCC" w:sz="4"/>
            </w:tcBorders>
            <w:shd w:fill="F0F2F5" w:color="auto" w:val="clear"/>
          </w:tcPr>
          <w:p>
            <w:pPr>
              <w:spacing w:after="60" w:before="60"/>
            </w:pPr>
            <w:r>
              <w:rPr>
                <w:i/>
                <w:iCs/>
                <w:color w:val="444444"/>
                <w:sz w:val="17"/>
                <w:szCs w:val="17"/>
              </w:rPr>
              <w:t xml:space="preserve">Update cadence</w:t>
            </w:r>
          </w:p>
        </w:tc>
        <w:tc>
          <w:tcPr>
            <w:tcW w:type="dxa" w:w="6960"/>
            <w:tcBorders>
              <w:top w:val="single" w:color="CCCCCC" w:sz="4"/>
              <w:left w:val="single" w:color="CCCCCC" w:sz="4"/>
              <w:bottom w:val="single" w:color="CCCCCC" w:sz="4"/>
              <w:right w:val="single" w:color="CCCCCC" w:sz="4"/>
            </w:tcBorders>
            <w:shd w:fill="F0F2F5" w:color="auto" w:val="clear"/>
          </w:tcPr>
          <w:p>
            <w:pPr>
              <w:spacing w:after="60" w:before="60"/>
            </w:pPr>
            <w:r>
              <w:rPr>
                <w:color w:val="222222"/>
                <w:sz w:val="17"/>
                <w:szCs w:val="17"/>
              </w:rPr>
              <w:t xml:space="preserve">Review when DGFiP or AEAT publish updated technical specifications, or when penalty enforcement begins. Add "Last reviewed: [date]" below H1.</w:t>
            </w:r>
          </w:p>
        </w:tc>
      </w:tr>
      <w:tr>
        <w:tc>
          <w:tcPr>
            <w:tcW w:type="dxa" w:w="2400"/>
            <w:tcBorders>
              <w:top w:val="single" w:color="CCCCCC" w:sz="4"/>
              <w:left w:val="single" w:color="CCCCCC" w:sz="4"/>
              <w:bottom w:val="single" w:color="CCCCCC" w:sz="4"/>
              <w:right w:val="single" w:color="CCCCCC" w:sz="4"/>
            </w:tcBorders>
            <w:shd w:fill="FFFFFF" w:color="auto" w:val="clear"/>
          </w:tcPr>
          <w:p>
            <w:pPr>
              <w:spacing w:after="60" w:before="60"/>
            </w:pPr>
            <w:r>
              <w:rPr>
                <w:i/>
                <w:iCs/>
                <w:color w:val="444444"/>
                <w:sz w:val="17"/>
                <w:szCs w:val="17"/>
              </w:rPr>
              <w:t xml:space="preserve">Canonical</w:t>
            </w:r>
          </w:p>
        </w:tc>
        <w:tc>
          <w:tcPr>
            <w:tcW w:type="dxa" w:w="6960"/>
            <w:tcBorders>
              <w:top w:val="single" w:color="CCCCCC" w:sz="4"/>
              <w:left w:val="single" w:color="CCCCCC" w:sz="4"/>
              <w:bottom w:val="single" w:color="CCCCCC" w:sz="4"/>
              <w:right w:val="single" w:color="CCCCCC" w:sz="4"/>
            </w:tcBorders>
            <w:shd w:fill="FFFFFF" w:color="auto" w:val="clear"/>
          </w:tcPr>
          <w:p>
            <w:pPr>
              <w:spacing w:after="60" w:before="60"/>
            </w:pPr>
            <w:r>
              <w:rPr>
                <w:color w:val="222222"/>
                <w:sz w:val="17"/>
                <w:szCs w:val="17"/>
              </w:rPr>
              <w:t xml:space="preserve">Self-canonical. No date variants.</w:t>
            </w:r>
          </w:p>
        </w:tc>
      </w:tr>
      <w:tr>
        <w:tc>
          <w:tcPr>
            <w:tcW w:type="dxa" w:w="2400"/>
            <w:tcBorders>
              <w:top w:val="single" w:color="CCCCCC" w:sz="4"/>
              <w:left w:val="single" w:color="CCCCCC" w:sz="4"/>
              <w:bottom w:val="single" w:color="CCCCCC" w:sz="4"/>
              <w:right w:val="single" w:color="CCCCCC" w:sz="4"/>
            </w:tcBorders>
            <w:shd w:fill="F0F2F5" w:color="auto" w:val="clear"/>
          </w:tcPr>
          <w:p>
            <w:pPr>
              <w:spacing w:after="60" w:before="60"/>
            </w:pPr>
            <w:r>
              <w:rPr>
                <w:i/>
                <w:iCs/>
                <w:color w:val="444444"/>
                <w:sz w:val="17"/>
                <w:szCs w:val="17"/>
              </w:rPr>
              <w:t xml:space="preserve">Disclaimer</w:t>
            </w:r>
          </w:p>
        </w:tc>
        <w:tc>
          <w:tcPr>
            <w:tcW w:type="dxa" w:w="6960"/>
            <w:tcBorders>
              <w:top w:val="single" w:color="CCCCCC" w:sz="4"/>
              <w:left w:val="single" w:color="CCCCCC" w:sz="4"/>
              <w:bottom w:val="single" w:color="CCCCCC" w:sz="4"/>
              <w:right w:val="single" w:color="CCCCCC" w:sz="4"/>
            </w:tcBorders>
            <w:shd w:fill="F0F2F5" w:color="auto" w:val="clear"/>
          </w:tcPr>
          <w:p>
            <w:pPr>
              <w:spacing w:after="60" w:before="60"/>
            </w:pPr>
            <w:r>
              <w:rPr>
                <w:color w:val="222222"/>
                <w:sz w:val="17"/>
                <w:szCs w:val="17"/>
              </w:rPr>
              <w:t xml:space="preserve">This post is for informational purposes only and does not constitute legal or tax advice. Verify compliance requirements with local advisors.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Borders>
              <w:top w:val="single" w:color="E6A817" w:sz="8"/>
              <w:left w:val="thick" w:color="E6A817" w:sz="16"/>
              <w:bottom w:val="single" w:color="E6A817" w:sz="8"/>
              <w:right w:val="single" w:color="E6A817" w:sz="8"/>
            </w:tcBorders>
            <w:shd w:fill="FFF8E7" w:color="auto" w:val="clear"/>
          </w:tcPr>
          <w:p>
            <w:pPr>
              <w:spacing w:after="60" w:before="60"/>
            </w:pPr>
            <w:r>
              <w:rPr>
                <w:b/>
                <w:bCs/>
                <w:color w:val="8B5E00"/>
                <w:sz w:val="17"/>
                <w:szCs w:val="17"/>
              </w:rPr>
              <w:t xml:space="preserve">💡 SEO NOTE  </w:t>
            </w:r>
            <w:r>
              <w:rPr>
                <w:i/>
                <w:iCs/>
                <w:color w:val="5C3D00"/>
                <w:sz w:val="17"/>
                <w:szCs w:val="17"/>
              </w:rPr>
              <w:t xml:space="preserve">Because this post targets FR geography, consider adding hreflang="fr" for a French-language version. A French version of this post targeting "facture électronique conformité 2026" would rank in the French market with minimal content adaptation. If Jaggaer publishes on jaggaer.com/fr, ensure the English version at /e-invoicing-compliance-france-spain-2026 has hreflang="en" pointing to the FR version and vice versa.</w:t>
            </w:r>
          </w:p>
        </w:tc>
      </w:tr>
    </w:tbl>
    <w:p>
      <w:pPr>
        <w:spacing w:after="40" w:before="40"/>
      </w:pPr>
      <w:r>
        <w:t xml:space="preserve"/>
      </w:r>
    </w:p>
    <w:p>
      <w:pPr>
        <w:pStyle w:val="Heading2"/>
        <w:pBdr>
          <w:bottom w:val="single" w:color="1A2E4A" w:sz="6"/>
        </w:pBdr>
        <w:spacing w:after="100" w:before="280"/>
      </w:pPr>
      <w:r>
        <w:rPr>
          <w:b/>
          <w:bCs/>
          <w:color w:val="1A2E4A"/>
          <w:sz w:val="28"/>
          <w:szCs w:val="28"/>
        </w:rPr>
        <w:t xml:space="preserve">8. Recommended sources</w:t>
      </w:r>
    </w:p>
    <w:p>
      <w:pPr>
        <w:spacing w:after="80" w:before="60"/>
      </w:pPr>
      <w:r>
        <w:rPr>
          <w:color w:val="333333"/>
          <w:sz w:val="20"/>
          <w:szCs w:val="20"/>
        </w:rPr>
        <w:t xml:space="preserve">List only primary sources: official regulatory text, government publications, peer-reviewed research, or official organisation guidance. Do not list vendor blogs, advisory marketing content, or news articles as primary sources for factual claims.</w:t>
      </w:r>
    </w:p>
    <w:p>
      <w:pPr>
        <w:spacing w:after="40" w:before="40"/>
      </w:pPr>
      <w:r>
        <w:t xml:space="preserve"/>
      </w:r>
    </w:p>
    <w:p>
      <w:pPr>
        <w:spacing w:after="40" w:before="40"/>
        <w:ind w:left="360"/>
      </w:pPr>
      <w:r>
        <w:rPr>
          <w:color w:val="333333"/>
          <w:sz w:val="20"/>
          <w:szCs w:val="20"/>
        </w:rPr>
        <w:t xml:space="preserve">• Direction Générale des Finances Publiques (DGFiP) — French e-invoicing mandate documentation — impots.gouv.fr</w:t>
      </w:r>
    </w:p>
    <w:p>
      <w:pPr>
        <w:spacing w:after="40" w:before="40"/>
        <w:ind w:left="360"/>
      </w:pPr>
      <w:r>
        <w:rPr>
          <w:color w:val="333333"/>
          <w:sz w:val="20"/>
          <w:szCs w:val="20"/>
        </w:rPr>
        <w:t xml:space="preserve">• Agencia Estatal de Administración Tributaria (AEAT) — Verifactu technical specifications — agenciatributaria.gob.es</w:t>
      </w:r>
    </w:p>
    <w:p>
      <w:pPr>
        <w:spacing w:after="40" w:before="40"/>
        <w:ind w:left="360"/>
      </w:pPr>
      <w:r>
        <w:rPr>
          <w:color w:val="333333"/>
          <w:sz w:val="20"/>
          <w:szCs w:val="20"/>
        </w:rPr>
        <w:t xml:space="preserve">• Chorus Pro — French B2G e-invoicing portal — chorus-pro.gouv.fr</w:t>
      </w:r>
    </w:p>
    <w:p>
      <w:pPr>
        <w:spacing w:after="40" w:before="40"/>
        <w:ind w:left="360"/>
      </w:pPr>
      <w:r>
        <w:rPr>
          <w:color w:val="333333"/>
          <w:sz w:val="20"/>
          <w:szCs w:val="20"/>
        </w:rPr>
        <w:t xml:space="preserve">• European Commission — EN 16931 standard for electronic invoicing — ec.europa.eu</w:t>
      </w:r>
    </w:p>
    <w:p>
      <w:pPr>
        <w:spacing w:after="40" w:before="40"/>
      </w:pPr>
      <w:r>
        <w:t xml:space="preserve"/>
      </w:r>
    </w:p>
    <w:p>
      <w:pPr>
        <w:spacing w:after="80" w:before="40"/>
      </w:pPr>
      <w:r>
        <w:rPr>
          <w:i/>
          <w:iCs/>
          <w:color w:val="888888"/>
          <w:sz w:val="18"/>
          <w:szCs w:val="18"/>
        </w:rPr>
        <w:t xml:space="preserve">All mandate dates, format requirements, and penalty figures must be sourced from the official French or Spanish government sources above. Do not cite vendor compliance guides or advisory marketing content as primary sources. Errors in compliance dates or format requirements are frequently spotted by specialist readers and damage Jaggaer's E-E-A-T score on this topic.</w:t>
      </w:r>
    </w:p>
    <w:p>
      <w:pPr>
        <w:spacing w:after="40" w:before="40"/>
      </w:pPr>
      <w:r>
        <w:t xml:space="preserve"/>
      </w:r>
    </w:p>
    <w:p>
      <w:pPr>
        <w:spacing w:after="80" w:before="40"/>
      </w:pPr>
      <w:r>
        <w:rPr>
          <w:i/>
          <w:iCs/>
          <w:color w:val="888888"/>
          <w:sz w:val="18"/>
          <w:szCs w:val="18"/>
        </w:rPr>
        <w:t xml:space="preserve">This brief was generated from MSV keyword data dated July 2026. This document is not legal advice.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2026-07-24T11:48:33.181Z</dcterms:created>
  <dcterms:modified xsi:type="dcterms:W3CDTF">2026-07-24T11:48:33.181Z</dcterms:modified>
</cp:coreProperties>
</file>

<file path=docProps/custom.xml><?xml version="1.0" encoding="utf-8"?>
<Properties xmlns="http://schemas.openxmlformats.org/officeDocument/2006/custom-properties" xmlns:vt="http://schemas.openxmlformats.org/officeDocument/2006/docPropsVTypes"/>
</file>