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888888"/>
          <w:sz w:val="20"/>
          <w:szCs w:val="20"/>
        </w:rPr>
        <w:t xml:space="preserve">CONTENT BRIEF  ·  Critical Minerals &amp; Commodity Risk  ·  Quick-take Blog</w:t>
      </w:r>
    </w:p>
    <w:p>
      <w:pPr>
        <w:spacing w:after="40" w:before="60"/>
      </w:pPr>
      <w:r>
        <w:rPr>
          <w:b/>
          <w:bCs/>
          <w:color w:val="1A2E4A"/>
          <w:sz w:val="40"/>
          <w:szCs w:val="40"/>
        </w:rPr>
        <w:t xml:space="preserve">Most Procurement Platforms Are Missing Critical Mineral Risk in the Auto Supply Chain. What to Watch in H2 2026</w:t>
      </w:r>
    </w:p>
    <w:p>
      <w:pPr>
        <w:spacing w:after="200" w:before="0"/>
      </w:pPr>
      <w:r>
        <w:rPr>
          <w:i/>
          <w:iCs/>
          <w:color w:val="555555"/>
          <w:sz w:val="20"/>
          <w:szCs w:val="20"/>
        </w:rPr>
        <w:t xml:space="preserve">Discrete Manufacturing  ·  Critical Minerals &amp; Commodity Risk  ·  Week 3  ·  TOFU  ·  ALL (global)</w:t>
      </w:r>
    </w:p>
    <w:p>
      <w:pPr>
        <w:pStyle w:val="Heading2"/>
        <w:pBdr>
          <w:bottom w:val="single" w:color="1A2E4A" w:sz="6"/>
        </w:pBdr>
        <w:spacing w:after="100" w:before="280"/>
      </w:pPr>
      <w:r>
        <w:rPr>
          <w:b/>
          <w:bCs/>
          <w:color w:val="1A2E4A"/>
          <w:sz w:val="28"/>
          <w:szCs w:val="28"/>
        </w:rPr>
        <w:t xml:space="preserve">Brief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6840"/>
      </w:tblGrid>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URL slug</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/critical-mineral-risk-auto-supply-chain-2026</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Content type</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Quick-take Blog — Critical Minerals &amp; Commodity Risk cluster spoke</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Target audience</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Procurement directors, supply chain managers, and category leads at global automotive OEMs and Tier 1/2 suppliers responsible for direct material sourcing of battery, powertrain, and electronics components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Primary keyword</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critical minerals automotive procurement</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Secondary keywords</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rare earth supply chain risk 2026 · critical mineral risk supply chain · supply chain visibility critical minerals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Pillar page link</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Links to and receives a link from the Discrete Manufacturing pillar page</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Publish priority</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Week 3 — pairs with Steel &amp; Rare Earth Data Snapshot in the same cluster for topical authority; global audience maximises reach</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1. Search intent analysis</w:t>
      </w:r>
    </w:p>
    <w:p>
      <w:pPr>
        <w:spacing w:after="80" w:before="60"/>
      </w:pPr>
      <w:r>
        <w:rPr>
          <w:color w:val="333333"/>
          <w:sz w:val="20"/>
          <w:szCs w:val="20"/>
        </w:rPr>
        <w:t xml:space="preserve">The reader is a procurement or supply chain professional at an automotive OEM or Tier 1 supplier. They are already aware that critical minerals are a risk — their specific question is: are the platforms and processes I have today good enough to catch this risk, or am I blind to it? The title's provocation ("most platforms are missing this") is the hook — the post must pay that off with a concrete argument, not a generic overview. Intent is informational and awareness-raising. The reader is not in buying mode but is actively worried.</w:t>
      </w:r>
    </w:p>
    <w:p>
      <w:pPr>
        <w:spacing w:after="40" w:before="40"/>
      </w:pPr>
      <w:r>
        <w:t xml:space="preserve"/>
      </w:r>
    </w:p>
    <w:p>
      <w:pPr>
        <w:pStyle w:val="Heading3"/>
        <w:spacing w:after="60" w:before="180"/>
      </w:pPr>
      <w:r>
        <w:rPr>
          <w:b/>
          <w:bCs/>
          <w:color w:val="2B6CB0"/>
          <w:sz w:val="22"/>
          <w:szCs w:val="22"/>
        </w:rPr>
        <w:t xml:space="preserve">What the reader needs to leave with</w:t>
      </w:r>
    </w:p>
    <w:p>
      <w:pPr>
        <w:spacing w:after="40" w:before="40"/>
        <w:ind w:left="360"/>
      </w:pPr>
      <w:r>
        <w:rPr>
          <w:color w:val="333333"/>
          <w:sz w:val="20"/>
          <w:szCs w:val="20"/>
        </w:rPr>
        <w:t xml:space="preserve">• A clear understanding of which critical minerals create procurement blind spots in the auto supply chain in H2 2026</w:t>
      </w:r>
    </w:p>
    <w:p>
      <w:pPr>
        <w:spacing w:after="40" w:before="40"/>
        <w:ind w:left="360"/>
      </w:pPr>
      <w:r>
        <w:rPr>
          <w:color w:val="333333"/>
          <w:sz w:val="20"/>
          <w:szCs w:val="20"/>
        </w:rPr>
        <w:t xml:space="preserve">• An honest answer to why most existing procurement platforms cannot surface this risk — and what "missing" actually means in practice</w:t>
      </w:r>
    </w:p>
    <w:p>
      <w:pPr>
        <w:spacing w:after="40" w:before="40"/>
        <w:ind w:left="360"/>
      </w:pPr>
      <w:r>
        <w:rPr>
          <w:color w:val="333333"/>
          <w:sz w:val="20"/>
          <w:szCs w:val="20"/>
        </w:rPr>
        <w:t xml:space="preserve">• 3–5 specific signals or data points to watch in H2 2026 (writer to use most current minerals based on research)</w:t>
      </w:r>
    </w:p>
    <w:p>
      <w:pPr>
        <w:spacing w:after="40" w:before="40"/>
        <w:ind w:left="360"/>
      </w:pPr>
      <w:r>
        <w:rPr>
          <w:color w:val="333333"/>
          <w:sz w:val="20"/>
          <w:szCs w:val="20"/>
        </w:rPr>
        <w:t xml:space="preserve">• A clear next step linking to supply chain collaboration and S2P platform capabilities</w:t>
      </w:r>
    </w:p>
    <w:p>
      <w:pPr>
        <w:spacing w:after="40" w:before="40"/>
      </w:pPr>
      <w:r>
        <w:t xml:space="preserve"/>
      </w:r>
    </w:p>
    <w:p>
      <w:pPr>
        <w:pStyle w:val="Heading3"/>
        <w:spacing w:after="60" w:before="180"/>
      </w:pPr>
      <w:r>
        <w:rPr>
          <w:b/>
          <w:bCs/>
          <w:color w:val="2B6CB0"/>
          <w:sz w:val="22"/>
          <w:szCs w:val="22"/>
        </w:rPr>
        <w:t xml:space="preserve">SERP features to target</w:t>
      </w:r>
    </w:p>
    <w:p>
      <w:pPr>
        <w:spacing w:after="40" w:before="40"/>
        <w:ind w:left="360"/>
      </w:pPr>
      <w:r>
        <w:rPr>
          <w:color w:val="333333"/>
          <w:sz w:val="20"/>
          <w:szCs w:val="20"/>
        </w:rPr>
        <w:t xml:space="preserve">• Featured snippet — open with a 2–3 sentence direct answer to "what is critical mineral risk in automotive procurement" under the H1</w:t>
      </w:r>
    </w:p>
    <w:p>
      <w:pPr>
        <w:spacing w:after="40" w:before="40"/>
        <w:ind w:left="360"/>
      </w:pPr>
      <w:r>
        <w:rPr>
          <w:color w:val="333333"/>
          <w:sz w:val="20"/>
          <w:szCs w:val="20"/>
        </w:rPr>
        <w:t xml:space="preserve">• People Also Ask — FAQ should address which minerals are most at risk, what procurement teams can do, and how supply chain visibility helps</w:t>
      </w:r>
    </w:p>
    <w:p>
      <w:pPr>
        <w:spacing w:after="40" w:before="40"/>
      </w:pPr>
      <w:r>
        <w:t xml:space="preserve"/>
      </w:r>
    </w:p>
    <w:p>
      <w:pPr>
        <w:spacing w:after="80" w:before="40"/>
      </w:pPr>
      <w:r>
        <w:rPr>
          <w:i/>
          <w:iCs/>
          <w:color w:val="888888"/>
          <w:sz w:val="18"/>
          <w:szCs w:val="18"/>
        </w:rPr>
        <w:t xml:space="preserve">SERP note: this query sits between procurement trade content and commodity/mining news. The angle that differentiates Jaggaer is the procurement platform visibility argument — that is what the SERP is currently missing. Lead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title uses a provocation pattern ("Most platforms are missing...") which performs well for TOFU blog content because it signals opinion and analysis — content Google rewards in the "Perspectives" carousel. The question "What to Watch in H2 2026" acts as a secondary hook for time-sensitive searches. Both patterns attract backlinks from procurement trade publications, which is the primary off-page SEO goal for cluster posts.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2. Target keywords</w:t>
      </w:r>
    </w:p>
    <w:p>
      <w:pPr>
        <w:pStyle w:val="Heading3"/>
        <w:spacing w:after="60" w:before="180"/>
      </w:pPr>
      <w:r>
        <w:rPr>
          <w:b/>
          <w:bCs/>
          <w:color w:val="2B6CB0"/>
          <w:sz w:val="22"/>
          <w:szCs w:val="22"/>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560"/>
        <w:gridCol w:w="1560"/>
        <w:gridCol w:w="2040"/>
      </w:tblGrid>
      <w:tr>
        <w:tc>
          <w:tcPr>
            <w:tcW w:type="dxa" w:w="420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Keyword</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MSV</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KD</w:t>
            </w:r>
          </w:p>
        </w:tc>
        <w:tc>
          <w:tcPr>
            <w:tcW w:type="dxa" w:w="204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Intent</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critical minerals automotive procurement</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rare earth supply chain risk 2026</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critical mineral risk supply chain</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automotive procurement platform risk</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bl>
    <w:p>
      <w:pPr>
        <w:spacing w:after="40" w:before="40"/>
      </w:pPr>
      <w:r>
        <w:t xml:space="preserve"/>
      </w:r>
    </w:p>
    <w:p>
      <w:pPr>
        <w:pStyle w:val="Heading3"/>
        <w:spacing w:after="60" w:before="180"/>
      </w:pPr>
      <w:r>
        <w:rPr>
          <w:b/>
          <w:bCs/>
          <w:color w:val="2B6CB0"/>
          <w:sz w:val="22"/>
          <w:szCs w:val="22"/>
        </w:rPr>
        <w:t xml:space="preserve">Secondary (capture via subheadings and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560"/>
        <w:gridCol w:w="1560"/>
        <w:gridCol w:w="2040"/>
      </w:tblGrid>
      <w:tr>
        <w:tc>
          <w:tcPr>
            <w:tcW w:type="dxa" w:w="420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Keyword</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MSV</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KD</w:t>
            </w:r>
          </w:p>
        </w:tc>
        <w:tc>
          <w:tcPr>
            <w:tcW w:type="dxa" w:w="204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Intent</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auto supply chain critical minerals 2026</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lithium cobalt supply chain procurement</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rare earth procurement risk management</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supply chain visibility critical minerals</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procurement platform supply chain risk</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critical mineral export restrictions 2026</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EV battery supply chain procurement</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bl>
    <w:p>
      <w:pPr>
        <w:spacing w:after="40" w:before="40"/>
      </w:pPr>
      <w:r>
        <w:t xml:space="preserve"/>
      </w:r>
    </w:p>
    <w:p>
      <w:pPr>
        <w:spacing w:after="80" w:before="40"/>
      </w:pPr>
      <w:r>
        <w:rPr>
          <w:i/>
          <w:iCs/>
          <w:color w:val="888888"/>
          <w:sz w:val="18"/>
          <w:szCs w:val="18"/>
        </w:rPr>
        <w:t xml:space="preserve">Note: "EV battery supply chain procurement" captures the downstream demand-side query — EV procurement managers searching for battery material risk. Include naturally in the FAQ. "Critical mineral export restrictions 2026" captures the geopolitical trigger that makes this risk acute — address in the "What to watch"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Geography is ALL (global) — use globally-applicable mineral names and source countries rather than US-centric framing. The IEA and European Commission are the highest-authority sources for critical mineral data and will earn backlinks from EU and UK procurement publications. Avoid using only US government sources, which limits the post's relevance signal for non-US search markets.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3. Recommended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Element</w:t>
            </w:r>
          </w:p>
        </w:tc>
        <w:tc>
          <w:tcPr>
            <w:tcW w:type="dxa" w:w="696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Content guidance</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H1 (Title)</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Most Procurement Platforms Are Missing Critical Mineral Risk in the Auto Supply Chain. What to Watch in H2 2026 — keep exactly; the two-sentence structure is unusual and signals a strong opinion piece, which earns higher CTR in the SERP</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Meta title</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Critical Mineral Risk in Auto Procurement: What to Watch in H2 2026 — 67 chars (trim to 55 if needed: "Critical Minerals &amp; Auto Procurement: H2 2026 Watch")</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Meta description</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Most procurement platforms have no view of critical mineral exposure in the auto supply chain. Here is what the risk looks like in H2 2026 and what to watch. — 155 chars</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Intro (100–150 words)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Open with the provocation: most automotive procurement teams are running on cost data that does not include critical mineral exposure. State the specific consequence — when a mineral price spikes or export restriction hits, teams find out via a supplier email, not their platform. Signal the post covers: which minerals to watch, why platforms miss this, and what good looks like. Optimise first 2 sentences for featured snippet.</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Why critical mineral risk is different from commodity risk</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Establish the distinction: critical minerals are geopolitically constrained, with supply concentrated in a small number of countries — not just price-volatile. This is why standard commodity risk frameworks and ERP cost models do not catch it. 150 words max.</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What to watch in H2 2026 — the minerals procurement teams need on their radar</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The most substantive section. Writer to research 3–5 minerals most at risk in H2 2026 for automotive procurement. For each: what it is used in, where it is concentrated, and the specific risk signal to watch. Use a short table or numbered list. Source from IEA, USGS, or equivalent primary sources.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Why your procurement platform is probably blind to this</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Platform argument — the core differentiator. Most S2P and ERP platforms surface unit costs and lead times but not mineral origin, geopolitical concentration, or export restriction status. Teams learn about risk from supplier alerts, not from their own spend data. Keep honest and specific.</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What supply chain visibility actually looks like for critical minerals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Forward-looking: what a team with full visibility can do — map Tier 2/3 supplier origins, flag concentration risk, model price sensitivity. One mention of JAGGAER by name here. Leads to supply chain collaboration link.</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FAQ</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6–8 questions — see Section 6.</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Next steps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1 paragraph. Link to jaggaer.com/solutions/supply-chain-collaboration and jaggaer.com/solutions/source-to-pay. Book a Demo button.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H2 "What to watch in H2 2026" is the time-sensitive hook. Structure it as a named list ("Mineral 1: [name] — what it is used in, where it comes from, what to watch") to maximise featured snippet extraction. Google frequently pulls named lists from H2 sections when the H2 contains a clear "what to watch" or "what to do" framing.</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4. Visual production notes</w:t>
      </w:r>
    </w:p>
    <w:p>
      <w:pPr>
        <w:spacing w:after="80" w:before="60"/>
      </w:pPr>
      <w:r>
        <w:rPr>
          <w:color w:val="333333"/>
          <w:sz w:val="20"/>
          <w:szCs w:val="20"/>
        </w:rPr>
        <w:t xml:space="preserve">Two visuals recommended. The primary visual is the centrepiece of the post and must appear within the first two scrolls after the intro.</w:t>
      </w:r>
    </w:p>
    <w:p>
      <w:pPr>
        <w:pStyle w:val="Heading3"/>
        <w:spacing w:after="60" w:before="180"/>
      </w:pPr>
      <w:r>
        <w:rPr>
          <w:b/>
          <w:bCs/>
          <w:color w:val="2B6CB0"/>
          <w:sz w:val="22"/>
          <w:szCs w:val="22"/>
        </w:rPr>
        <w:t xml:space="preserve">Primary visual</w:t>
      </w:r>
    </w:p>
    <w:p>
      <w:pPr>
        <w:spacing w:after="80" w:before="60"/>
      </w:pPr>
      <w:r>
        <w:rPr>
          <w:color w:val="333333"/>
          <w:sz w:val="20"/>
          <w:szCs w:val="20"/>
        </w:rPr>
        <w:t xml:space="preserve">Table: "Critical mineral | Primary use in auto | Top 3 source countries | H2 2026 risk signal." Populated by writer based on most current data. Place immediately under H2: "What to watch in H2 2026." Source from IEA Critical Minerals Market Review or USGS Mineral Commodity Summaries. This table is the most shareable and backlinkable element of the post.</w:t>
      </w:r>
    </w:p>
    <w:p>
      <w:pPr>
        <w:pStyle w:val="Heading3"/>
        <w:spacing w:after="60" w:before="180"/>
      </w:pPr>
      <w:r>
        <w:rPr>
          <w:b/>
          <w:bCs/>
          <w:color w:val="2B6CB0"/>
          <w:sz w:val="22"/>
          <w:szCs w:val="22"/>
        </w:rPr>
        <w:t xml:space="preserve">Secondary visual (if applicable)</w:t>
      </w:r>
    </w:p>
    <w:p>
      <w:pPr>
        <w:spacing w:after="80" w:before="60"/>
      </w:pPr>
      <w:r>
        <w:rPr>
          <w:color w:val="333333"/>
          <w:sz w:val="20"/>
          <w:szCs w:val="20"/>
        </w:rPr>
        <w:t xml:space="preserve">Two-column callout: "What your platform sees vs what critical mineral risk actually looks like." Left column: standard cost data fields. Right column: origin/concentration/export restriction data. Place under H2: "Why your procurement platform is probably blind to this."</w:t>
      </w:r>
    </w:p>
    <w:p>
      <w:pPr>
        <w:spacing w:after="40" w:before="40"/>
      </w:pPr>
      <w:r>
        <w:t xml:space="preserve"/>
      </w:r>
    </w:p>
    <w:p>
      <w:pPr>
        <w:spacing w:after="80" w:before="40"/>
      </w:pPr>
      <w:r>
        <w:rPr>
          <w:i/>
          <w:iCs/>
          <w:color w:val="888888"/>
          <w:sz w:val="18"/>
          <w:szCs w:val="18"/>
        </w:rPr>
        <w:t xml:space="preserve">Formatting notes: keep tables to 3–5 columns. Avoid footnotes in tables — link to the source instead. Ensure visuals are mobile-readable.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"Critical mineral | Use | Source countries | Risk signal" table is specifically designed to be cited by procurement trade publications and industry newsletters — the primary backlink sources for this topic. Structure the table so each row is self-contained and can be quoted without the surrounding text. Tables that are independently citable earn 3–5x more external links than prose content on the same topic.</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5. Internal linking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3840"/>
        <w:gridCol w:w="3000"/>
      </w:tblGrid>
      <w:tr>
        <w:tc>
          <w:tcPr>
            <w:tcW w:type="dxa" w:w="252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Destination</w:t>
            </w:r>
          </w:p>
        </w:tc>
        <w:tc>
          <w:tcPr>
            <w:tcW w:type="dxa" w:w="384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Anchor text</w:t>
            </w:r>
          </w:p>
        </w:tc>
        <w:tc>
          <w:tcPr>
            <w:tcW w:type="dxa" w:w="30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Placement</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JAGGAER Supply Chain Collaboration</w:t>
            </w:r>
          </w:p>
        </w:tc>
        <w:tc>
          <w:tcPr>
            <w:tcW w:type="dxa" w:w="384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JAGGAER Supply Chain Collaboration</w:t>
            </w:r>
          </w:p>
        </w:tc>
        <w:tc>
          <w:tcPr>
            <w:tcW w:type="dxa" w:w="300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H2: What supply chain visibility actually looks like</w:t>
            </w:r>
          </w:p>
        </w:tc>
      </w:tr>
      <w:tr>
        <w:tc>
          <w:tcPr>
            <w:tcW w:type="dxa" w:w="252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JAGGAER S2P platform</w:t>
            </w:r>
          </w:p>
        </w:tc>
        <w:tc>
          <w:tcPr>
            <w:tcW w:type="dxa" w:w="3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JAGGAER source-to-pay platform</w:t>
            </w:r>
          </w:p>
        </w:tc>
        <w:tc>
          <w:tcPr>
            <w:tcW w:type="dxa" w:w="300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H2: Next steps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Steel &amp; Rare Earth Data Snapshot (cluster post)</w:t>
            </w:r>
          </w:p>
        </w:tc>
        <w:tc>
          <w:tcPr>
            <w:tcW w:type="dxa" w:w="384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commodity volatility in manufacturing procurement</w:t>
            </w:r>
          </w:p>
        </w:tc>
        <w:tc>
          <w:tcPr>
            <w:tcW w:type="dxa" w:w="300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H2: What to watch in H2 2026</w:t>
            </w:r>
          </w:p>
        </w:tc>
      </w:tr>
      <w:tr>
        <w:tc>
          <w:tcPr>
            <w:tcW w:type="dxa" w:w="252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Discrete Manufacturing pillar page</w:t>
            </w:r>
          </w:p>
        </w:tc>
        <w:tc>
          <w:tcPr>
            <w:tcW w:type="dxa" w:w="3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discrete manufacturing procurement guide</w:t>
            </w:r>
          </w:p>
        </w:tc>
        <w:tc>
          <w:tcPr>
            <w:tcW w:type="dxa" w:w="300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Intro paragraph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link to the Steel &amp; Rare Earth Data Snapshot is a critical cluster internal link — it connects two posts in the same cluster, which multiplies the topical authority signal Google assigns to both. Always link between cluster posts bidirectionally: this post links to the Data Snapshot, and the Data Snapshot should link back to this post.</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6. FAQ targets</w:t>
      </w:r>
    </w:p>
    <w:p>
      <w:pPr>
        <w:spacing w:after="80" w:before="60"/>
      </w:pPr>
      <w:r>
        <w:rPr>
          <w:color w:val="333333"/>
          <w:sz w:val="20"/>
          <w:szCs w:val="20"/>
        </w:rPr>
        <w:t xml:space="preserve">Each answer should be 2–3 sentences, written to target the PAA box. Answers must be self-contained — assume the reader may read only the FAQ. Questions are drawn from keyword data and PAA triggers.</w:t>
      </w:r>
    </w:p>
    <w:p>
      <w:pPr>
        <w:spacing w:after="40" w:before="40"/>
      </w:pPr>
      <w:r>
        <w:t xml:space="preserve"/>
      </w:r>
    </w:p>
    <w:p>
      <w:pPr>
        <w:spacing w:after="40" w:before="40"/>
        <w:ind w:left="360"/>
      </w:pPr>
      <w:r>
        <w:rPr>
          <w:color w:val="333333"/>
          <w:sz w:val="20"/>
          <w:szCs w:val="20"/>
        </w:rPr>
        <w:t xml:space="preserve">• What are critical minerals and why do they matter for automotive procurement?</w:t>
      </w:r>
    </w:p>
    <w:p>
      <w:pPr>
        <w:spacing w:after="40" w:before="40"/>
        <w:ind w:left="360"/>
      </w:pPr>
      <w:r>
        <w:rPr>
          <w:color w:val="333333"/>
          <w:sz w:val="20"/>
          <w:szCs w:val="20"/>
        </w:rPr>
        <w:t xml:space="preserve">• Which critical minerals carry the most supply chain risk in H2 2026?</w:t>
      </w:r>
    </w:p>
    <w:p>
      <w:pPr>
        <w:spacing w:after="40" w:before="40"/>
        <w:ind w:left="360"/>
      </w:pPr>
      <w:r>
        <w:rPr>
          <w:color w:val="333333"/>
          <w:sz w:val="20"/>
          <w:szCs w:val="20"/>
        </w:rPr>
        <w:t xml:space="preserve">• Why can't standard procurement platforms flag critical mineral risk?</w:t>
      </w:r>
    </w:p>
    <w:p>
      <w:pPr>
        <w:spacing w:after="40" w:before="40"/>
        <w:ind w:left="360"/>
      </w:pPr>
      <w:r>
        <w:rPr>
          <w:color w:val="333333"/>
          <w:sz w:val="20"/>
          <w:szCs w:val="20"/>
        </w:rPr>
        <w:t xml:space="preserve">• What is rare earth supply chain risk and which automotive parts are affected?</w:t>
      </w:r>
    </w:p>
    <w:p>
      <w:pPr>
        <w:spacing w:after="40" w:before="40"/>
        <w:ind w:left="360"/>
      </w:pPr>
      <w:r>
        <w:rPr>
          <w:color w:val="333333"/>
          <w:sz w:val="20"/>
          <w:szCs w:val="20"/>
        </w:rPr>
        <w:t xml:space="preserve">• How concentrated is critical mineral supply and which countries dominate?</w:t>
      </w:r>
    </w:p>
    <w:p>
      <w:pPr>
        <w:spacing w:after="40" w:before="40"/>
        <w:ind w:left="360"/>
      </w:pPr>
      <w:r>
        <w:rPr>
          <w:color w:val="333333"/>
          <w:sz w:val="20"/>
          <w:szCs w:val="20"/>
        </w:rPr>
        <w:t xml:space="preserve">• What can procurement teams do to reduce critical mineral exposure?</w:t>
      </w:r>
    </w:p>
    <w:p>
      <w:pPr>
        <w:spacing w:after="40" w:before="40"/>
        <w:ind w:left="360"/>
      </w:pPr>
      <w:r>
        <w:rPr>
          <w:color w:val="333333"/>
          <w:sz w:val="20"/>
          <w:szCs w:val="20"/>
        </w:rPr>
        <w:t xml:space="preserve">• How does supply chain visibility help manage critical mineral risk?</w:t>
      </w:r>
    </w:p>
    <w:p>
      <w:pPr>
        <w:spacing w:after="40" w:before="40"/>
        <w:ind w:left="360"/>
      </w:pPr>
      <w:r>
        <w:rPr>
          <w:color w:val="333333"/>
          <w:sz w:val="20"/>
          <w:szCs w:val="20"/>
        </w:rPr>
        <w:t xml:space="preserve">• Is critical mineral risk a short-term or structural issue for auto procurement?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FAQ question "Is critical mineral risk a short-term or structural issue?" is specifically designed to trigger the "Perspectives" PAA box — Google frequently surfaces this type of debate-framing question for complex risk topics. Answer it with a clear position ("structural, for three reasons...") rather than hedging. Strong positions earn more engagement and dwell time, both positive ranking signals.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7. SEO and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Value / guidance</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URL</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/critical-mineral-risk-auto-supply-chain-2026 — omit the year from the URL even though H2 2026 appears in the title; year in URL makes the page feel stale post-2026 and may trigger demotion</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Title tag</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Critical Mineral Risk in Auto Procurement: What to Watch in H2 2026 — 67 chars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Meta description</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Most procurement platforms have no view of critical mineral exposure in the auto supply chain. Here is what the risk looks like in H2 2026 and what to watch.</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Schema markup</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Article + FAQPage schema on the FAQ section</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Update cadence</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Review when IEA or USGS publish updated critical mineral reports, or when a material export restriction is announced affecting automotive supply chains. Add "Last reviewed: [date]" below H1.</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Canonical</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Self-canonical. No date variants.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Disclaimer</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Not required.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Because the geography is ALL (global), hreflang tags are worth considering if Jaggaer publishes localised versions for DE or FR markets. The English version should be tagged hreflang="en" as the canonical. Critical mineral risk is a high-priority topic in EU procurement regulation (Critical Raw Materials Act) — a localised DE or FR version of this post would capture a second keyword cluster with minimal additional effort.</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8. Recommended sources</w:t>
      </w:r>
    </w:p>
    <w:p>
      <w:pPr>
        <w:spacing w:after="80" w:before="60"/>
      </w:pPr>
      <w:r>
        <w:rPr>
          <w:color w:val="333333"/>
          <w:sz w:val="20"/>
          <w:szCs w:val="20"/>
        </w:rPr>
        <w:t xml:space="preserve">List only primary sources: official regulatory text, government publications, peer-reviewed research, or official organisation guidance. Do not list vendor blogs, advisory marketing content, or news articles as primary sources for factual claims.</w:t>
      </w:r>
    </w:p>
    <w:p>
      <w:pPr>
        <w:spacing w:after="40" w:before="40"/>
      </w:pPr>
      <w:r>
        <w:t xml:space="preserve"/>
      </w:r>
    </w:p>
    <w:p>
      <w:pPr>
        <w:spacing w:after="40" w:before="40"/>
        <w:ind w:left="360"/>
      </w:pPr>
      <w:r>
        <w:rPr>
          <w:color w:val="333333"/>
          <w:sz w:val="20"/>
          <w:szCs w:val="20"/>
        </w:rPr>
        <w:t xml:space="preserve">• IEA — Critical Minerals Market Review 2024/2025 — iea.org</w:t>
      </w:r>
    </w:p>
    <w:p>
      <w:pPr>
        <w:spacing w:after="40" w:before="40"/>
        <w:ind w:left="360"/>
      </w:pPr>
      <w:r>
        <w:rPr>
          <w:color w:val="333333"/>
          <w:sz w:val="20"/>
          <w:szCs w:val="20"/>
        </w:rPr>
        <w:t xml:space="preserve">• USGS — Mineral Commodity Summaries 2025 — usgs.gov</w:t>
      </w:r>
    </w:p>
    <w:p>
      <w:pPr>
        <w:spacing w:after="40" w:before="40"/>
        <w:ind w:left="360"/>
      </w:pPr>
      <w:r>
        <w:rPr>
          <w:color w:val="333333"/>
          <w:sz w:val="20"/>
          <w:szCs w:val="20"/>
        </w:rPr>
        <w:t xml:space="preserve">• European Commission — Critical Raw Materials Act — ec.europa.eu</w:t>
      </w:r>
    </w:p>
    <w:p>
      <w:pPr>
        <w:spacing w:after="40" w:before="40"/>
        <w:ind w:left="360"/>
      </w:pPr>
      <w:r>
        <w:rPr>
          <w:color w:val="333333"/>
          <w:sz w:val="20"/>
          <w:szCs w:val="20"/>
        </w:rPr>
        <w:t xml:space="preserve">• BloombergNEF or S&amp;P Global Commodity Insights — mineral price data for H2 2026 current pricing</w:t>
      </w:r>
    </w:p>
    <w:p>
      <w:pPr>
        <w:spacing w:after="40" w:before="40"/>
      </w:pPr>
      <w:r>
        <w:t xml:space="preserve"/>
      </w:r>
    </w:p>
    <w:p>
      <w:pPr>
        <w:spacing w:after="80" w:before="40"/>
      </w:pPr>
      <w:r>
        <w:rPr>
          <w:i/>
          <w:iCs/>
          <w:color w:val="888888"/>
          <w:sz w:val="18"/>
          <w:szCs w:val="18"/>
        </w:rPr>
        <w:t xml:space="preserve">All mineral names, use cases, and country-of-origin concentration figures must be sourced from primary sources. Do not rely on trade press summaries for country-level supply data — errors in this area are frequently cited by industry readers and damage credibility.</w:t>
      </w:r>
    </w:p>
    <w:p>
      <w:pPr>
        <w:spacing w:after="40" w:before="40"/>
      </w:pPr>
      <w:r>
        <w:t xml:space="preserve"/>
      </w:r>
    </w:p>
    <w:p>
      <w:pPr>
        <w:spacing w:after="80" w:before="40"/>
      </w:pPr>
      <w:r>
        <w:rPr>
          <w:i/>
          <w:iCs/>
          <w:color w:val="888888"/>
          <w:sz w:val="18"/>
          <w:szCs w:val="18"/>
        </w:rPr>
        <w:t xml:space="preserve">This brief was generated from MSV keyword data dated July 2026. This document is not legal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2026-07-24T11:48:33.041Z</dcterms:created>
  <dcterms:modified xsi:type="dcterms:W3CDTF">2026-07-24T11:48:33.041Z</dcterms:modified>
</cp:coreProperties>
</file>

<file path=docProps/custom.xml><?xml version="1.0" encoding="utf-8"?>
<Properties xmlns="http://schemas.openxmlformats.org/officeDocument/2006/custom-properties" xmlns:vt="http://schemas.openxmlformats.org/officeDocument/2006/docPropsVTypes"/>
</file>