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559C" w14:textId="77777777" w:rsidR="00312A7C" w:rsidRDefault="00000000">
      <w:pPr>
        <w:spacing w:after="60"/>
      </w:pPr>
      <w:r>
        <w:rPr>
          <w:b/>
          <w:bCs/>
          <w:color w:val="1C2B3A"/>
          <w:sz w:val="44"/>
          <w:szCs w:val="44"/>
        </w:rPr>
        <w:t>Blog Content Style Guide &amp; Rubric</w:t>
      </w:r>
    </w:p>
    <w:p w14:paraId="4B6E1DAF" w14:textId="77777777" w:rsidR="00312A7C" w:rsidRDefault="00000000">
      <w:pPr>
        <w:spacing w:after="200"/>
      </w:pPr>
      <w:r>
        <w:rPr>
          <w:i/>
          <w:iCs/>
          <w:color w:val="595959"/>
        </w:rPr>
        <w:t>Version 2.0  |  August 2026</w:t>
      </w:r>
    </w:p>
    <w:p w14:paraId="5A759E83" w14:textId="77777777" w:rsidR="00312A7C" w:rsidRDefault="00000000">
      <w:pPr>
        <w:spacing w:after="300"/>
      </w:pPr>
      <w:r>
        <w:rPr>
          <w:i/>
          <w:iCs/>
        </w:rPr>
        <w:t xml:space="preserve">This document consolidates all client feedback and </w:t>
      </w:r>
      <w:proofErr w:type="gramStart"/>
      <w:r>
        <w:rPr>
          <w:i/>
          <w:iCs/>
        </w:rPr>
        <w:t>agreed</w:t>
      </w:r>
      <w:proofErr w:type="gramEnd"/>
      <w:r>
        <w:rPr>
          <w:i/>
          <w:iCs/>
        </w:rPr>
        <w:t xml:space="preserve"> standards for every content piece produced for the Jaggaer engagement. All writers and reviewers must reference this guide before submitting any draft.</w:t>
      </w:r>
    </w:p>
    <w:p w14:paraId="0E9D5669" w14:textId="77777777" w:rsidR="00312A7C" w:rsidRDefault="00000000">
      <w:pPr>
        <w:pStyle w:val="Heading1"/>
        <w:spacing w:before="400" w:after="200"/>
      </w:pPr>
      <w:r>
        <w:rPr>
          <w:b/>
          <w:bCs/>
          <w:color w:val="1C2B3A"/>
        </w:rPr>
        <w:t>1. Purpose &amp; How to Use This Guide</w:t>
      </w:r>
    </w:p>
    <w:p w14:paraId="4508C320" w14:textId="77777777" w:rsidR="00312A7C" w:rsidRDefault="00000000">
      <w:pPr>
        <w:spacing w:after="160"/>
      </w:pPr>
      <w:r>
        <w:rPr>
          <w:color w:val="000000"/>
        </w:rPr>
        <w:t>This style guide is the single source of truth for all blog and long-form content produced under the Jaggaer x Netscribes content intelligence engagement. Every article must be checked against this rubric before it is shared with the Jaggaer team.</w:t>
      </w:r>
    </w:p>
    <w:p w14:paraId="7C327950" w14:textId="77777777" w:rsidR="00312A7C" w:rsidRDefault="00000000">
      <w:pPr>
        <w:spacing w:after="160"/>
      </w:pPr>
      <w:r>
        <w:rPr>
          <w:b/>
          <w:bCs/>
          <w:color w:val="000000"/>
        </w:rPr>
        <w:t>The guide covers three areas:</w:t>
      </w:r>
    </w:p>
    <w:p w14:paraId="3764F856" w14:textId="77777777" w:rsidR="00312A7C" w:rsidRDefault="00000000">
      <w:pPr>
        <w:pStyle w:val="ListParagraph"/>
        <w:numPr>
          <w:ilvl w:val="0"/>
          <w:numId w:val="2"/>
        </w:numPr>
        <w:spacing w:after="100"/>
      </w:pPr>
      <w:r>
        <w:rPr>
          <w:color w:val="000000"/>
        </w:rPr>
        <w:t>Content objectives - what every article must achieve</w:t>
      </w:r>
    </w:p>
    <w:p w14:paraId="3797C1E7" w14:textId="77777777" w:rsidR="00312A7C" w:rsidRDefault="00000000">
      <w:pPr>
        <w:pStyle w:val="ListParagraph"/>
        <w:numPr>
          <w:ilvl w:val="0"/>
          <w:numId w:val="2"/>
        </w:numPr>
        <w:spacing w:after="100"/>
      </w:pPr>
      <w:r>
        <w:rPr>
          <w:color w:val="000000"/>
        </w:rPr>
        <w:t>Writing standards - how the content must be written</w:t>
      </w:r>
    </w:p>
    <w:p w14:paraId="53F67968" w14:textId="77777777" w:rsidR="00312A7C" w:rsidRDefault="00000000">
      <w:pPr>
        <w:pStyle w:val="ListParagraph"/>
        <w:numPr>
          <w:ilvl w:val="0"/>
          <w:numId w:val="2"/>
        </w:numPr>
        <w:spacing w:after="100"/>
      </w:pPr>
      <w:r>
        <w:rPr>
          <w:color w:val="000000"/>
        </w:rPr>
        <w:t>Design and formatting rules - how the content must look</w:t>
      </w:r>
    </w:p>
    <w:p w14:paraId="319C775B" w14:textId="77777777" w:rsidR="00312A7C" w:rsidRDefault="00312A7C">
      <w:pPr>
        <w:spacing w:after="200"/>
      </w:pPr>
    </w:p>
    <w:p w14:paraId="5A9B991A" w14:textId="77777777" w:rsidR="00312A7C" w:rsidRDefault="00000000">
      <w:pPr>
        <w:pStyle w:val="Heading1"/>
        <w:spacing w:before="400" w:after="200"/>
      </w:pPr>
      <w:r>
        <w:rPr>
          <w:b/>
          <w:bCs/>
          <w:color w:val="1C2B3A"/>
        </w:rPr>
        <w:t>2. Content Objectives - Priority Order</w:t>
      </w:r>
    </w:p>
    <w:p w14:paraId="1E4D5962" w14:textId="77777777" w:rsidR="00312A7C" w:rsidRDefault="00000000">
      <w:pPr>
        <w:spacing w:after="160"/>
      </w:pPr>
      <w:r>
        <w:rPr>
          <w:color w:val="000000"/>
        </w:rPr>
        <w:t>Every article must serve the following objectives, in this priority order: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006"/>
        <w:gridCol w:w="2518"/>
        <w:gridCol w:w="6546"/>
      </w:tblGrid>
      <w:tr w:rsidR="00312A7C" w14:paraId="42B8B263" w14:textId="77777777">
        <w:trPr>
          <w:tblHeader/>
        </w:trPr>
        <w:tc>
          <w:tcPr>
            <w:tcW w:w="500" w:type="pct"/>
            <w:shd w:val="clear" w:color="auto" w:fill="1C2B3A"/>
            <w:tcMar>
              <w:top w:w="100" w:type="dxa"/>
              <w:left w:w="150" w:type="dxa"/>
              <w:bottom w:w="100" w:type="dxa"/>
              <w:right w:w="150" w:type="dxa"/>
            </w:tcMar>
          </w:tcPr>
          <w:p w14:paraId="186ABD66" w14:textId="77777777" w:rsidR="00312A7C" w:rsidRDefault="00000000">
            <w:r>
              <w:rPr>
                <w:b/>
                <w:bCs/>
                <w:color w:val="FFFFFF"/>
                <w:sz w:val="20"/>
                <w:szCs w:val="20"/>
              </w:rPr>
              <w:t>Priority</w:t>
            </w:r>
          </w:p>
        </w:tc>
        <w:tc>
          <w:tcPr>
            <w:tcW w:w="1250" w:type="pct"/>
            <w:shd w:val="clear" w:color="auto" w:fill="1C2B3A"/>
            <w:tcMar>
              <w:top w:w="100" w:type="dxa"/>
              <w:left w:w="150" w:type="dxa"/>
              <w:bottom w:w="100" w:type="dxa"/>
              <w:right w:w="150" w:type="dxa"/>
            </w:tcMar>
          </w:tcPr>
          <w:p w14:paraId="51F0BFC1" w14:textId="77777777" w:rsidR="00312A7C" w:rsidRDefault="00000000">
            <w:r>
              <w:rPr>
                <w:b/>
                <w:bCs/>
                <w:color w:val="FFFFFF"/>
                <w:sz w:val="20"/>
                <w:szCs w:val="20"/>
              </w:rPr>
              <w:t>Objective</w:t>
            </w:r>
          </w:p>
        </w:tc>
        <w:tc>
          <w:tcPr>
            <w:tcW w:w="3250" w:type="pct"/>
            <w:shd w:val="clear" w:color="auto" w:fill="1C2B3A"/>
            <w:tcMar>
              <w:top w:w="100" w:type="dxa"/>
              <w:left w:w="150" w:type="dxa"/>
              <w:bottom w:w="100" w:type="dxa"/>
              <w:right w:w="150" w:type="dxa"/>
            </w:tcMar>
          </w:tcPr>
          <w:p w14:paraId="1BF936D1" w14:textId="77777777" w:rsidR="00312A7C" w:rsidRDefault="00000000">
            <w:r>
              <w:rPr>
                <w:b/>
                <w:bCs/>
                <w:color w:val="FFFFFF"/>
                <w:sz w:val="20"/>
                <w:szCs w:val="20"/>
              </w:rPr>
              <w:t>What It Means</w:t>
            </w:r>
          </w:p>
        </w:tc>
      </w:tr>
      <w:tr w:rsidR="00312A7C" w14:paraId="58D86896" w14:textId="77777777">
        <w:tc>
          <w:tcPr>
            <w:tcW w:w="500" w:type="pct"/>
            <w:shd w:val="clear" w:color="auto" w:fill="FFFFFF"/>
            <w:tcMar>
              <w:top w:w="100" w:type="dxa"/>
              <w:left w:w="150" w:type="dxa"/>
              <w:bottom w:w="100" w:type="dxa"/>
              <w:right w:w="150" w:type="dxa"/>
            </w:tcMar>
          </w:tcPr>
          <w:p w14:paraId="42A05E3A" w14:textId="77777777" w:rsidR="00312A7C" w:rsidRDefault="00000000">
            <w:r>
              <w:rPr>
                <w:color w:val="000000"/>
                <w:sz w:val="20"/>
                <w:szCs w:val="20"/>
              </w:rPr>
              <w:t>01</w:t>
            </w:r>
          </w:p>
        </w:tc>
        <w:tc>
          <w:tcPr>
            <w:tcW w:w="1250" w:type="pct"/>
            <w:shd w:val="clear" w:color="auto" w:fill="FFFFFF"/>
            <w:tcMar>
              <w:top w:w="100" w:type="dxa"/>
              <w:left w:w="150" w:type="dxa"/>
              <w:bottom w:w="100" w:type="dxa"/>
              <w:right w:w="150" w:type="dxa"/>
            </w:tcMar>
          </w:tcPr>
          <w:p w14:paraId="1D4B9DE1" w14:textId="77777777" w:rsidR="00312A7C" w:rsidRDefault="00000000">
            <w:r>
              <w:rPr>
                <w:color w:val="000000"/>
                <w:sz w:val="20"/>
                <w:szCs w:val="20"/>
              </w:rPr>
              <w:t>MSV Ranking</w:t>
            </w:r>
          </w:p>
        </w:tc>
        <w:tc>
          <w:tcPr>
            <w:tcW w:w="3250" w:type="pct"/>
            <w:shd w:val="clear" w:color="auto" w:fill="FFFFFF"/>
            <w:tcMar>
              <w:top w:w="100" w:type="dxa"/>
              <w:left w:w="150" w:type="dxa"/>
              <w:bottom w:w="100" w:type="dxa"/>
              <w:right w:w="150" w:type="dxa"/>
            </w:tcMar>
          </w:tcPr>
          <w:p w14:paraId="78F48D29" w14:textId="77777777" w:rsidR="00312A7C" w:rsidRDefault="00000000">
            <w:r>
              <w:rPr>
                <w:color w:val="000000"/>
                <w:sz w:val="20"/>
                <w:szCs w:val="20"/>
              </w:rPr>
              <w:t>The article must target a high-search-volume keyword and be structured to rank on Google page 1. Every other objective is secondary to this.</w:t>
            </w:r>
          </w:p>
        </w:tc>
      </w:tr>
      <w:tr w:rsidR="00312A7C" w14:paraId="01B75370" w14:textId="77777777">
        <w:tc>
          <w:tcPr>
            <w:tcW w:w="500" w:type="pct"/>
            <w:shd w:val="clear" w:color="auto" w:fill="F2F3F4"/>
            <w:tcMar>
              <w:top w:w="100" w:type="dxa"/>
              <w:left w:w="150" w:type="dxa"/>
              <w:bottom w:w="100" w:type="dxa"/>
              <w:right w:w="150" w:type="dxa"/>
            </w:tcMar>
          </w:tcPr>
          <w:p w14:paraId="013124BA" w14:textId="77777777" w:rsidR="00312A7C" w:rsidRDefault="00000000">
            <w:r>
              <w:rPr>
                <w:color w:val="000000"/>
                <w:sz w:val="20"/>
                <w:szCs w:val="20"/>
              </w:rPr>
              <w:t>02</w:t>
            </w:r>
          </w:p>
        </w:tc>
        <w:tc>
          <w:tcPr>
            <w:tcW w:w="1250" w:type="pct"/>
            <w:shd w:val="clear" w:color="auto" w:fill="F2F3F4"/>
            <w:tcMar>
              <w:top w:w="100" w:type="dxa"/>
              <w:left w:w="150" w:type="dxa"/>
              <w:bottom w:w="100" w:type="dxa"/>
              <w:right w:w="150" w:type="dxa"/>
            </w:tcMar>
          </w:tcPr>
          <w:p w14:paraId="555AAC11" w14:textId="77777777" w:rsidR="00312A7C" w:rsidRDefault="00000000">
            <w:r>
              <w:rPr>
                <w:color w:val="000000"/>
                <w:sz w:val="20"/>
                <w:szCs w:val="20"/>
              </w:rPr>
              <w:t>Form Fill / Lead Gen</w:t>
            </w:r>
          </w:p>
        </w:tc>
        <w:tc>
          <w:tcPr>
            <w:tcW w:w="3250" w:type="pct"/>
            <w:shd w:val="clear" w:color="auto" w:fill="F2F3F4"/>
            <w:tcMar>
              <w:top w:w="100" w:type="dxa"/>
              <w:left w:w="150" w:type="dxa"/>
              <w:bottom w:w="100" w:type="dxa"/>
              <w:right w:w="150" w:type="dxa"/>
            </w:tcMar>
          </w:tcPr>
          <w:p w14:paraId="1287E05F" w14:textId="77777777" w:rsidR="00312A7C" w:rsidRDefault="00000000">
            <w:r>
              <w:rPr>
                <w:color w:val="000000"/>
                <w:sz w:val="20"/>
                <w:szCs w:val="20"/>
              </w:rPr>
              <w:t>The article must drive at least one form fill or demo request via Jaggaer CTAs. First CTA must appear early in the article (see Section 6.1, updated Aug 2026).</w:t>
            </w:r>
          </w:p>
        </w:tc>
      </w:tr>
      <w:tr w:rsidR="00312A7C" w14:paraId="32A49298" w14:textId="77777777">
        <w:tc>
          <w:tcPr>
            <w:tcW w:w="500" w:type="pct"/>
            <w:shd w:val="clear" w:color="auto" w:fill="FFFFFF"/>
            <w:tcMar>
              <w:top w:w="100" w:type="dxa"/>
              <w:left w:w="150" w:type="dxa"/>
              <w:bottom w:w="100" w:type="dxa"/>
              <w:right w:w="150" w:type="dxa"/>
            </w:tcMar>
          </w:tcPr>
          <w:p w14:paraId="7108A8A1" w14:textId="77777777" w:rsidR="00312A7C" w:rsidRDefault="00000000">
            <w:r>
              <w:rPr>
                <w:color w:val="000000"/>
                <w:sz w:val="20"/>
                <w:szCs w:val="20"/>
              </w:rPr>
              <w:t>03</w:t>
            </w:r>
          </w:p>
        </w:tc>
        <w:tc>
          <w:tcPr>
            <w:tcW w:w="1250" w:type="pct"/>
            <w:shd w:val="clear" w:color="auto" w:fill="FFFFFF"/>
            <w:tcMar>
              <w:top w:w="100" w:type="dxa"/>
              <w:left w:w="150" w:type="dxa"/>
              <w:bottom w:w="100" w:type="dxa"/>
              <w:right w:w="150" w:type="dxa"/>
            </w:tcMar>
          </w:tcPr>
          <w:p w14:paraId="743A2A7D" w14:textId="77777777" w:rsidR="00312A7C" w:rsidRDefault="00000000">
            <w:r>
              <w:rPr>
                <w:color w:val="000000"/>
                <w:sz w:val="20"/>
                <w:szCs w:val="20"/>
              </w:rPr>
              <w:t>Currency Signal</w:t>
            </w:r>
          </w:p>
        </w:tc>
        <w:tc>
          <w:tcPr>
            <w:tcW w:w="3250" w:type="pct"/>
            <w:shd w:val="clear" w:color="auto" w:fill="FFFFFF"/>
            <w:tcMar>
              <w:top w:w="100" w:type="dxa"/>
              <w:left w:w="150" w:type="dxa"/>
              <w:bottom w:w="100" w:type="dxa"/>
              <w:right w:w="150" w:type="dxa"/>
            </w:tcMar>
          </w:tcPr>
          <w:p w14:paraId="767CF3DE" w14:textId="77777777" w:rsidR="00312A7C" w:rsidRDefault="00000000">
            <w:r>
              <w:rPr>
                <w:color w:val="000000"/>
                <w:sz w:val="20"/>
                <w:szCs w:val="20"/>
              </w:rPr>
              <w:t>The article must signal to both readers and Google that it contains current, up-to-date intelligence via year (or quarter) in the headline, a recency section, and dated citations.</w:t>
            </w:r>
          </w:p>
        </w:tc>
      </w:tr>
      <w:tr w:rsidR="00312A7C" w14:paraId="5D073929" w14:textId="77777777">
        <w:tc>
          <w:tcPr>
            <w:tcW w:w="500" w:type="pct"/>
            <w:shd w:val="clear" w:color="auto" w:fill="F2F3F4"/>
            <w:tcMar>
              <w:top w:w="100" w:type="dxa"/>
              <w:left w:w="150" w:type="dxa"/>
              <w:bottom w:w="100" w:type="dxa"/>
              <w:right w:w="150" w:type="dxa"/>
            </w:tcMar>
          </w:tcPr>
          <w:p w14:paraId="6E98B04D" w14:textId="77777777" w:rsidR="00312A7C" w:rsidRDefault="00000000">
            <w:r>
              <w:rPr>
                <w:color w:val="000000"/>
                <w:sz w:val="20"/>
                <w:szCs w:val="20"/>
              </w:rPr>
              <w:t>04</w:t>
            </w:r>
          </w:p>
        </w:tc>
        <w:tc>
          <w:tcPr>
            <w:tcW w:w="1250" w:type="pct"/>
            <w:shd w:val="clear" w:color="auto" w:fill="F2F3F4"/>
            <w:tcMar>
              <w:top w:w="100" w:type="dxa"/>
              <w:left w:w="150" w:type="dxa"/>
              <w:bottom w:w="100" w:type="dxa"/>
              <w:right w:w="150" w:type="dxa"/>
            </w:tcMar>
          </w:tcPr>
          <w:p w14:paraId="72B06711" w14:textId="77777777" w:rsidR="00312A7C" w:rsidRDefault="00000000">
            <w:r>
              <w:rPr>
                <w:color w:val="000000"/>
                <w:sz w:val="20"/>
                <w:szCs w:val="20"/>
              </w:rPr>
              <w:t>Expertise Signal</w:t>
            </w:r>
          </w:p>
        </w:tc>
        <w:tc>
          <w:tcPr>
            <w:tcW w:w="3250" w:type="pct"/>
            <w:shd w:val="clear" w:color="auto" w:fill="F2F3F4"/>
            <w:tcMar>
              <w:top w:w="100" w:type="dxa"/>
              <w:left w:w="150" w:type="dxa"/>
              <w:bottom w:w="100" w:type="dxa"/>
              <w:right w:w="150" w:type="dxa"/>
            </w:tcMar>
          </w:tcPr>
          <w:p w14:paraId="746EE2FF" w14:textId="77777777" w:rsidR="00312A7C" w:rsidRDefault="00000000">
            <w:r>
              <w:rPr>
                <w:color w:val="000000"/>
                <w:sz w:val="20"/>
                <w:szCs w:val="20"/>
              </w:rPr>
              <w:t>The article must demonstrate credibility through named third-party citations grouped in a dedicated Experts section so Google can register it as authoritative.</w:t>
            </w:r>
          </w:p>
        </w:tc>
      </w:tr>
      <w:tr w:rsidR="00312A7C" w14:paraId="07FC0692" w14:textId="77777777">
        <w:tc>
          <w:tcPr>
            <w:tcW w:w="500" w:type="pct"/>
            <w:shd w:val="clear" w:color="auto" w:fill="FFFFFF"/>
            <w:tcMar>
              <w:top w:w="100" w:type="dxa"/>
              <w:left w:w="150" w:type="dxa"/>
              <w:bottom w:w="100" w:type="dxa"/>
              <w:right w:w="150" w:type="dxa"/>
            </w:tcMar>
          </w:tcPr>
          <w:p w14:paraId="7928C2B7" w14:textId="77777777" w:rsidR="00312A7C" w:rsidRDefault="00000000">
            <w:r>
              <w:rPr>
                <w:color w:val="000000"/>
                <w:sz w:val="20"/>
                <w:szCs w:val="20"/>
              </w:rPr>
              <w:t>06</w:t>
            </w:r>
          </w:p>
        </w:tc>
        <w:tc>
          <w:tcPr>
            <w:tcW w:w="1250" w:type="pct"/>
            <w:shd w:val="clear" w:color="auto" w:fill="FFFFFF"/>
            <w:tcMar>
              <w:top w:w="100" w:type="dxa"/>
              <w:left w:w="150" w:type="dxa"/>
              <w:bottom w:w="100" w:type="dxa"/>
              <w:right w:w="150" w:type="dxa"/>
            </w:tcMar>
          </w:tcPr>
          <w:p w14:paraId="2BC2EB1B" w14:textId="77777777" w:rsidR="00312A7C" w:rsidRDefault="00000000">
            <w:r>
              <w:rPr>
                <w:color w:val="000000"/>
                <w:sz w:val="20"/>
                <w:szCs w:val="20"/>
              </w:rPr>
              <w:t>JAI Promotion</w:t>
            </w:r>
          </w:p>
        </w:tc>
        <w:tc>
          <w:tcPr>
            <w:tcW w:w="3250" w:type="pct"/>
            <w:shd w:val="clear" w:color="auto" w:fill="FFFFFF"/>
            <w:tcMar>
              <w:top w:w="100" w:type="dxa"/>
              <w:left w:w="150" w:type="dxa"/>
              <w:bottom w:w="100" w:type="dxa"/>
              <w:right w:w="150" w:type="dxa"/>
            </w:tcMar>
          </w:tcPr>
          <w:p w14:paraId="6FC231C3" w14:textId="77777777" w:rsidR="00312A7C" w:rsidRDefault="00000000">
            <w:r>
              <w:rPr>
                <w:color w:val="000000"/>
                <w:sz w:val="20"/>
                <w:szCs w:val="20"/>
              </w:rPr>
              <w:t>Jaggaer's platform must be subtly positioned through contextual CTAs, not hard sells. The reader should feel informed, not marketed to.</w:t>
            </w:r>
          </w:p>
        </w:tc>
      </w:tr>
    </w:tbl>
    <w:p w14:paraId="6A94C4E9" w14:textId="77777777" w:rsidR="00312A7C" w:rsidRDefault="00312A7C">
      <w:pPr>
        <w:spacing w:after="200"/>
      </w:pPr>
    </w:p>
    <w:p w14:paraId="1E5DED90" w14:textId="77777777" w:rsidR="001C250C" w:rsidRDefault="001C250C">
      <w:pPr>
        <w:pStyle w:val="Heading1"/>
        <w:spacing w:before="400" w:after="200"/>
        <w:rPr>
          <w:b/>
          <w:bCs/>
          <w:color w:val="1C2B3A"/>
        </w:rPr>
      </w:pPr>
    </w:p>
    <w:p w14:paraId="13BAEAB3" w14:textId="77777777" w:rsidR="001C250C" w:rsidRDefault="001C250C">
      <w:pPr>
        <w:pStyle w:val="Heading1"/>
        <w:spacing w:before="400" w:after="200"/>
        <w:rPr>
          <w:b/>
          <w:bCs/>
          <w:color w:val="1C2B3A"/>
        </w:rPr>
      </w:pPr>
    </w:p>
    <w:p w14:paraId="68530F7C" w14:textId="146F7A7E" w:rsidR="00312A7C" w:rsidRDefault="00000000">
      <w:pPr>
        <w:pStyle w:val="Heading1"/>
        <w:spacing w:before="400" w:after="200"/>
      </w:pPr>
      <w:r>
        <w:rPr>
          <w:b/>
          <w:bCs/>
          <w:color w:val="1C2B3A"/>
        </w:rPr>
        <w:lastRenderedPageBreak/>
        <w:t>3. Content Type Split</w:t>
      </w:r>
    </w:p>
    <w:p w14:paraId="5585F704" w14:textId="77777777" w:rsidR="00312A7C" w:rsidRDefault="00000000">
      <w:pPr>
        <w:spacing w:after="160"/>
      </w:pPr>
      <w:r>
        <w:rPr>
          <w:color w:val="000000"/>
        </w:rPr>
        <w:t>Every article must be tagged as one of three content types before writing begins. The split for Month 1 is: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20"/>
        <w:gridCol w:w="1511"/>
        <w:gridCol w:w="5539"/>
      </w:tblGrid>
      <w:tr w:rsidR="00312A7C" w14:paraId="13914C15" w14:textId="77777777">
        <w:trPr>
          <w:tblHeader/>
        </w:trPr>
        <w:tc>
          <w:tcPr>
            <w:tcW w:w="1500" w:type="pct"/>
            <w:shd w:val="clear" w:color="auto" w:fill="1C2B3A"/>
            <w:tcMar>
              <w:top w:w="100" w:type="dxa"/>
              <w:left w:w="150" w:type="dxa"/>
              <w:bottom w:w="100" w:type="dxa"/>
              <w:right w:w="150" w:type="dxa"/>
            </w:tcMar>
          </w:tcPr>
          <w:p w14:paraId="0F622EAC" w14:textId="77777777" w:rsidR="00312A7C" w:rsidRDefault="00000000">
            <w:r>
              <w:rPr>
                <w:b/>
                <w:bCs/>
                <w:color w:val="FFFFFF"/>
                <w:sz w:val="20"/>
                <w:szCs w:val="20"/>
              </w:rPr>
              <w:t>Content Type</w:t>
            </w:r>
          </w:p>
        </w:tc>
        <w:tc>
          <w:tcPr>
            <w:tcW w:w="750" w:type="pct"/>
            <w:shd w:val="clear" w:color="auto" w:fill="1C2B3A"/>
            <w:tcMar>
              <w:top w:w="100" w:type="dxa"/>
              <w:left w:w="150" w:type="dxa"/>
              <w:bottom w:w="100" w:type="dxa"/>
              <w:right w:w="150" w:type="dxa"/>
            </w:tcMar>
          </w:tcPr>
          <w:p w14:paraId="44A52445" w14:textId="77777777" w:rsidR="00312A7C" w:rsidRDefault="00000000">
            <w:r>
              <w:rPr>
                <w:b/>
                <w:bCs/>
                <w:color w:val="FFFFFF"/>
                <w:sz w:val="20"/>
                <w:szCs w:val="20"/>
              </w:rPr>
              <w:t>% of Output</w:t>
            </w:r>
          </w:p>
        </w:tc>
        <w:tc>
          <w:tcPr>
            <w:tcW w:w="2750" w:type="pct"/>
            <w:shd w:val="clear" w:color="auto" w:fill="1C2B3A"/>
            <w:tcMar>
              <w:top w:w="100" w:type="dxa"/>
              <w:left w:w="150" w:type="dxa"/>
              <w:bottom w:w="100" w:type="dxa"/>
              <w:right w:w="150" w:type="dxa"/>
            </w:tcMar>
          </w:tcPr>
          <w:p w14:paraId="0E6D5638" w14:textId="77777777" w:rsidR="00312A7C" w:rsidRDefault="00000000">
            <w:r>
              <w:rPr>
                <w:b/>
                <w:bCs/>
                <w:color w:val="FFFFFF"/>
                <w:sz w:val="20"/>
                <w:szCs w:val="20"/>
              </w:rPr>
              <w:t>Definition</w:t>
            </w:r>
          </w:p>
        </w:tc>
      </w:tr>
      <w:tr w:rsidR="00312A7C" w14:paraId="09157F2D" w14:textId="77777777">
        <w:tc>
          <w:tcPr>
            <w:tcW w:w="1500" w:type="pct"/>
            <w:shd w:val="clear" w:color="auto" w:fill="FFFFFF"/>
            <w:tcMar>
              <w:top w:w="100" w:type="dxa"/>
              <w:left w:w="150" w:type="dxa"/>
              <w:bottom w:w="100" w:type="dxa"/>
              <w:right w:w="150" w:type="dxa"/>
            </w:tcMar>
          </w:tcPr>
          <w:p w14:paraId="48207BC6" w14:textId="77777777" w:rsidR="00312A7C" w:rsidRDefault="00000000">
            <w:r>
              <w:rPr>
                <w:color w:val="000000"/>
                <w:sz w:val="20"/>
                <w:szCs w:val="20"/>
              </w:rPr>
              <w:t>MSV-Driven (Broad, Horizontal)</w:t>
            </w:r>
          </w:p>
        </w:tc>
        <w:tc>
          <w:tcPr>
            <w:tcW w:w="750" w:type="pct"/>
            <w:shd w:val="clear" w:color="auto" w:fill="FFFFFF"/>
            <w:tcMar>
              <w:top w:w="100" w:type="dxa"/>
              <w:left w:w="150" w:type="dxa"/>
              <w:bottom w:w="100" w:type="dxa"/>
              <w:right w:w="150" w:type="dxa"/>
            </w:tcMar>
          </w:tcPr>
          <w:p w14:paraId="213932F9" w14:textId="77777777" w:rsidR="00312A7C" w:rsidRDefault="00000000">
            <w:r>
              <w:rPr>
                <w:color w:val="000000"/>
                <w:sz w:val="20"/>
                <w:szCs w:val="20"/>
              </w:rPr>
              <w:t>50%</w:t>
            </w:r>
          </w:p>
        </w:tc>
        <w:tc>
          <w:tcPr>
            <w:tcW w:w="2750" w:type="pct"/>
            <w:shd w:val="clear" w:color="auto" w:fill="FFFFFF"/>
            <w:tcMar>
              <w:top w:w="100" w:type="dxa"/>
              <w:left w:w="150" w:type="dxa"/>
              <w:bottom w:w="100" w:type="dxa"/>
              <w:right w:w="150" w:type="dxa"/>
            </w:tcMar>
          </w:tcPr>
          <w:p w14:paraId="2A653E58" w14:textId="77777777" w:rsidR="00312A7C" w:rsidRDefault="00000000">
            <w:r>
              <w:rPr>
                <w:color w:val="000000"/>
                <w:sz w:val="20"/>
                <w:szCs w:val="20"/>
              </w:rPr>
              <w:t>Broad article targeting high-volume generic procurement terms. No industry in the title or URL. Industry-specific For Example callout added within the body.</w:t>
            </w:r>
          </w:p>
        </w:tc>
      </w:tr>
      <w:tr w:rsidR="00312A7C" w14:paraId="41B03BC7" w14:textId="77777777">
        <w:tc>
          <w:tcPr>
            <w:tcW w:w="1500" w:type="pct"/>
            <w:shd w:val="clear" w:color="auto" w:fill="F2F3F4"/>
            <w:tcMar>
              <w:top w:w="100" w:type="dxa"/>
              <w:left w:w="150" w:type="dxa"/>
              <w:bottom w:w="100" w:type="dxa"/>
              <w:right w:w="150" w:type="dxa"/>
            </w:tcMar>
          </w:tcPr>
          <w:p w14:paraId="18BCA696" w14:textId="77777777" w:rsidR="00312A7C" w:rsidRDefault="00000000">
            <w:r>
              <w:rPr>
                <w:color w:val="000000"/>
                <w:sz w:val="20"/>
                <w:szCs w:val="20"/>
              </w:rPr>
              <w:t>AI in S2P (Claude)</w:t>
            </w:r>
          </w:p>
        </w:tc>
        <w:tc>
          <w:tcPr>
            <w:tcW w:w="750" w:type="pct"/>
            <w:shd w:val="clear" w:color="auto" w:fill="F2F3F4"/>
            <w:tcMar>
              <w:top w:w="100" w:type="dxa"/>
              <w:left w:w="150" w:type="dxa"/>
              <w:bottom w:w="100" w:type="dxa"/>
              <w:right w:w="150" w:type="dxa"/>
            </w:tcMar>
          </w:tcPr>
          <w:p w14:paraId="184F75AD" w14:textId="77777777" w:rsidR="00312A7C" w:rsidRDefault="00000000">
            <w:r>
              <w:rPr>
                <w:color w:val="000000"/>
                <w:sz w:val="20"/>
                <w:szCs w:val="20"/>
              </w:rPr>
              <w:t>25%</w:t>
            </w:r>
          </w:p>
        </w:tc>
        <w:tc>
          <w:tcPr>
            <w:tcW w:w="2750" w:type="pct"/>
            <w:shd w:val="clear" w:color="auto" w:fill="F2F3F4"/>
            <w:tcMar>
              <w:top w:w="100" w:type="dxa"/>
              <w:left w:w="150" w:type="dxa"/>
              <w:bottom w:w="100" w:type="dxa"/>
              <w:right w:w="150" w:type="dxa"/>
            </w:tcMar>
          </w:tcPr>
          <w:p w14:paraId="3B6235A1" w14:textId="77777777" w:rsidR="00312A7C" w:rsidRDefault="00000000">
            <w:r>
              <w:rPr>
                <w:color w:val="000000"/>
                <w:sz w:val="20"/>
                <w:szCs w:val="20"/>
              </w:rPr>
              <w:t>Claude-focused content for the Build With Claude section. Targets Claude + S2P searches. User journey tagged per piece (Path 1/2/3).</w:t>
            </w:r>
          </w:p>
        </w:tc>
      </w:tr>
      <w:tr w:rsidR="00312A7C" w14:paraId="4558967E" w14:textId="77777777">
        <w:tc>
          <w:tcPr>
            <w:tcW w:w="1500" w:type="pct"/>
            <w:shd w:val="clear" w:color="auto" w:fill="FFFFFF"/>
            <w:tcMar>
              <w:top w:w="100" w:type="dxa"/>
              <w:left w:w="150" w:type="dxa"/>
              <w:bottom w:w="100" w:type="dxa"/>
              <w:right w:w="150" w:type="dxa"/>
            </w:tcMar>
          </w:tcPr>
          <w:p w14:paraId="20F2166A" w14:textId="77777777" w:rsidR="00312A7C" w:rsidRDefault="00000000">
            <w:r>
              <w:rPr>
                <w:color w:val="000000"/>
                <w:sz w:val="20"/>
                <w:szCs w:val="20"/>
              </w:rPr>
              <w:t>Industry-Specific (rotating)</w:t>
            </w:r>
          </w:p>
        </w:tc>
        <w:tc>
          <w:tcPr>
            <w:tcW w:w="750" w:type="pct"/>
            <w:shd w:val="clear" w:color="auto" w:fill="FFFFFF"/>
            <w:tcMar>
              <w:top w:w="100" w:type="dxa"/>
              <w:left w:w="150" w:type="dxa"/>
              <w:bottom w:w="100" w:type="dxa"/>
              <w:right w:w="150" w:type="dxa"/>
            </w:tcMar>
          </w:tcPr>
          <w:p w14:paraId="0252A12D" w14:textId="77777777" w:rsidR="00312A7C" w:rsidRDefault="00000000">
            <w:r>
              <w:rPr>
                <w:color w:val="000000"/>
                <w:sz w:val="20"/>
                <w:szCs w:val="20"/>
              </w:rPr>
              <w:t>25%</w:t>
            </w:r>
          </w:p>
        </w:tc>
        <w:tc>
          <w:tcPr>
            <w:tcW w:w="2750" w:type="pct"/>
            <w:shd w:val="clear" w:color="auto" w:fill="FFFFFF"/>
            <w:tcMar>
              <w:top w:w="100" w:type="dxa"/>
              <w:left w:w="150" w:type="dxa"/>
              <w:bottom w:w="100" w:type="dxa"/>
              <w:right w:w="150" w:type="dxa"/>
            </w:tcMar>
          </w:tcPr>
          <w:p w14:paraId="36FDE575" w14:textId="77777777" w:rsidR="00312A7C" w:rsidRDefault="00000000">
            <w:r>
              <w:rPr>
                <w:color w:val="000000"/>
                <w:sz w:val="20"/>
                <w:szCs w:val="20"/>
              </w:rPr>
              <w:t xml:space="preserve">Vertical content for one named sector. Lower search volume but high SDR enablement value. eBooks and whitepapers are always </w:t>
            </w:r>
            <w:proofErr w:type="gramStart"/>
            <w:r>
              <w:rPr>
                <w:color w:val="000000"/>
                <w:sz w:val="20"/>
                <w:szCs w:val="20"/>
              </w:rPr>
              <w:t>industry-specific</w:t>
            </w:r>
            <w:proofErr w:type="gramEnd"/>
            <w:r>
              <w:rPr>
                <w:color w:val="000000"/>
                <w:sz w:val="20"/>
                <w:szCs w:val="20"/>
              </w:rPr>
              <w:t>.</w:t>
            </w:r>
          </w:p>
        </w:tc>
      </w:tr>
    </w:tbl>
    <w:p w14:paraId="72923A36" w14:textId="77777777" w:rsidR="00312A7C" w:rsidRDefault="00312A7C">
      <w:pPr>
        <w:spacing w:after="200"/>
      </w:pPr>
    </w:p>
    <w:p w14:paraId="6ED00CAB" w14:textId="77777777" w:rsidR="00312A7C" w:rsidRDefault="00000000">
      <w:pPr>
        <w:pStyle w:val="Heading1"/>
        <w:spacing w:before="400" w:after="200"/>
      </w:pPr>
      <w:r>
        <w:rPr>
          <w:b/>
          <w:bCs/>
          <w:color w:val="1C2B3A"/>
        </w:rPr>
        <w:t>4. Writing Standards</w:t>
      </w:r>
    </w:p>
    <w:p w14:paraId="3E83016B" w14:textId="77777777" w:rsidR="00312A7C" w:rsidRDefault="00000000">
      <w:pPr>
        <w:pStyle w:val="Heading2"/>
        <w:spacing w:before="300" w:after="140"/>
      </w:pPr>
      <w:r>
        <w:rPr>
          <w:b/>
          <w:bCs/>
          <w:color w:val="1C2B3A"/>
        </w:rPr>
        <w:t>4.1 Sentence Length</w:t>
      </w:r>
    </w:p>
    <w:p w14:paraId="42DA451B" w14:textId="77777777" w:rsidR="00312A7C" w:rsidRDefault="00000000">
      <w:pPr>
        <w:spacing w:after="160"/>
      </w:pPr>
      <w:r>
        <w:rPr>
          <w:color w:val="000000"/>
        </w:rPr>
        <w:t>This is the single most important stylistic rule on this engagement.</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10070"/>
      </w:tblGrid>
      <w:tr w:rsidR="00312A7C" w14:paraId="1EAF38C2" w14:textId="77777777">
        <w:tc>
          <w:tcPr>
            <w:tcW w:w="0" w:type="auto"/>
            <w:shd w:val="clear" w:color="auto" w:fill="FDEDEC"/>
            <w:tcMar>
              <w:top w:w="100" w:type="dxa"/>
              <w:left w:w="150" w:type="dxa"/>
              <w:bottom w:w="100" w:type="dxa"/>
              <w:right w:w="150" w:type="dxa"/>
            </w:tcMar>
          </w:tcPr>
          <w:p w14:paraId="4A99F17A" w14:textId="77777777" w:rsidR="00312A7C" w:rsidRDefault="00000000">
            <w:pPr>
              <w:spacing w:after="60"/>
            </w:pPr>
            <w:r>
              <w:rPr>
                <w:b/>
                <w:bCs/>
                <w:color w:val="C0392B"/>
              </w:rPr>
              <w:t>THE RULE</w:t>
            </w:r>
          </w:p>
          <w:p w14:paraId="0ED1B8E7" w14:textId="77777777" w:rsidR="00312A7C" w:rsidRDefault="00000000">
            <w:r>
              <w:rPr>
                <w:color w:val="000000"/>
              </w:rPr>
              <w:t>If you cannot say it in one breath, rewrite it. How to test: read every sentence aloud. If you run out of breath, the sentence is too long. Break it into two.</w:t>
            </w:r>
          </w:p>
        </w:tc>
      </w:tr>
    </w:tbl>
    <w:p w14:paraId="43211EDA" w14:textId="77777777" w:rsidR="00312A7C" w:rsidRDefault="00312A7C">
      <w:pPr>
        <w:spacing w:after="120"/>
      </w:pPr>
    </w:p>
    <w:p w14:paraId="68A969C2" w14:textId="77777777" w:rsidR="00312A7C" w:rsidRDefault="00000000">
      <w:pPr>
        <w:spacing w:after="160"/>
      </w:pPr>
      <w:r>
        <w:rPr>
          <w:color w:val="000000"/>
        </w:rPr>
        <w:t>Target: under 25 words per sentence. Maximum: 30 words. Any sentence over 30 words must be rewritten without exception.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13"/>
        <w:gridCol w:w="8257"/>
      </w:tblGrid>
      <w:tr w:rsidR="00312A7C" w14:paraId="29750755" w14:textId="77777777">
        <w:tc>
          <w:tcPr>
            <w:tcW w:w="900" w:type="pct"/>
            <w:shd w:val="clear" w:color="auto" w:fill="1C2B3A"/>
            <w:tcMar>
              <w:top w:w="100" w:type="dxa"/>
              <w:left w:w="150" w:type="dxa"/>
              <w:bottom w:w="100" w:type="dxa"/>
              <w:right w:w="150" w:type="dxa"/>
            </w:tcMar>
          </w:tcPr>
          <w:p w14:paraId="464B2C24" w14:textId="77777777" w:rsidR="00312A7C" w:rsidRDefault="00000000">
            <w:r>
              <w:rPr>
                <w:b/>
                <w:bCs/>
                <w:color w:val="FFFFFF"/>
                <w:sz w:val="20"/>
                <w:szCs w:val="20"/>
              </w:rPr>
              <w:t>BEFORE</w:t>
            </w:r>
          </w:p>
        </w:tc>
        <w:tc>
          <w:tcPr>
            <w:tcW w:w="4100" w:type="pct"/>
            <w:shd w:val="clear" w:color="auto" w:fill="FFFFFF"/>
            <w:tcMar>
              <w:top w:w="100" w:type="dxa"/>
              <w:left w:w="150" w:type="dxa"/>
              <w:bottom w:w="100" w:type="dxa"/>
              <w:right w:w="150" w:type="dxa"/>
            </w:tcMar>
          </w:tcPr>
          <w:p w14:paraId="4CE933CC" w14:textId="77777777" w:rsidR="00312A7C" w:rsidRDefault="00000000">
            <w:r>
              <w:rPr>
                <w:color w:val="000000"/>
                <w:sz w:val="20"/>
                <w:szCs w:val="20"/>
              </w:rPr>
              <w:t>Supplier financial risk signals carry measurable procurement consequences and with 30% of supply chain disruptions in 2025 exceeding $5 million in direct costs, delayed responses can quickly escalate to a major operational and financial exposure.</w:t>
            </w:r>
          </w:p>
        </w:tc>
      </w:tr>
      <w:tr w:rsidR="00312A7C" w14:paraId="26A20980" w14:textId="77777777">
        <w:tc>
          <w:tcPr>
            <w:tcW w:w="900" w:type="pct"/>
            <w:shd w:val="clear" w:color="auto" w:fill="1C2B3A"/>
            <w:tcMar>
              <w:top w:w="100" w:type="dxa"/>
              <w:left w:w="150" w:type="dxa"/>
              <w:bottom w:w="100" w:type="dxa"/>
              <w:right w:w="150" w:type="dxa"/>
            </w:tcMar>
          </w:tcPr>
          <w:p w14:paraId="09A702C7" w14:textId="77777777" w:rsidR="00312A7C" w:rsidRDefault="00000000">
            <w:r>
              <w:rPr>
                <w:b/>
                <w:bCs/>
                <w:color w:val="FFFFFF"/>
                <w:sz w:val="20"/>
                <w:szCs w:val="20"/>
              </w:rPr>
              <w:t>AFTER</w:t>
            </w:r>
          </w:p>
        </w:tc>
        <w:tc>
          <w:tcPr>
            <w:tcW w:w="4100" w:type="pct"/>
            <w:shd w:val="clear" w:color="auto" w:fill="EAFAF1"/>
            <w:tcMar>
              <w:top w:w="100" w:type="dxa"/>
              <w:left w:w="150" w:type="dxa"/>
              <w:bottom w:w="100" w:type="dxa"/>
              <w:right w:w="150" w:type="dxa"/>
            </w:tcMar>
          </w:tcPr>
          <w:p w14:paraId="672236ED" w14:textId="77777777" w:rsidR="00312A7C" w:rsidRDefault="00000000">
            <w:r>
              <w:rPr>
                <w:b/>
                <w:bCs/>
                <w:sz w:val="20"/>
                <w:szCs w:val="20"/>
              </w:rPr>
              <w:t>Supplier financial risk signals have measurable consequences. In 2025, 30% of supply chain disruptions exceeded $5 million in direct costs. Delayed responses compound that exposure fast.</w:t>
            </w:r>
          </w:p>
        </w:tc>
      </w:tr>
      <w:tr w:rsidR="00312A7C" w14:paraId="5FEF5BFD" w14:textId="77777777">
        <w:tc>
          <w:tcPr>
            <w:tcW w:w="900" w:type="pct"/>
            <w:shd w:val="clear" w:color="auto" w:fill="1C2B3A"/>
            <w:tcMar>
              <w:top w:w="100" w:type="dxa"/>
              <w:left w:w="150" w:type="dxa"/>
              <w:bottom w:w="100" w:type="dxa"/>
              <w:right w:w="150" w:type="dxa"/>
            </w:tcMar>
          </w:tcPr>
          <w:p w14:paraId="31534074" w14:textId="77777777" w:rsidR="00312A7C" w:rsidRDefault="00000000">
            <w:r>
              <w:rPr>
                <w:b/>
                <w:bCs/>
                <w:color w:val="FFFFFF"/>
                <w:sz w:val="20"/>
                <w:szCs w:val="20"/>
              </w:rPr>
              <w:t>NOTE</w:t>
            </w:r>
          </w:p>
        </w:tc>
        <w:tc>
          <w:tcPr>
            <w:tcW w:w="4100" w:type="pct"/>
            <w:shd w:val="clear" w:color="auto" w:fill="EAF2F8"/>
            <w:tcMar>
              <w:top w:w="100" w:type="dxa"/>
              <w:left w:w="150" w:type="dxa"/>
              <w:bottom w:w="100" w:type="dxa"/>
              <w:right w:w="150" w:type="dxa"/>
            </w:tcMar>
          </w:tcPr>
          <w:p w14:paraId="61DC6A85" w14:textId="77777777" w:rsidR="00312A7C" w:rsidRDefault="00000000">
            <w:r>
              <w:rPr>
                <w:color w:val="000000"/>
                <w:sz w:val="20"/>
                <w:szCs w:val="20"/>
              </w:rPr>
              <w:t>One long sentence becomes three short ones. The information is identical - the readability is transformed.</w:t>
            </w:r>
          </w:p>
        </w:tc>
      </w:tr>
    </w:tbl>
    <w:p w14:paraId="7CA8D36C" w14:textId="77777777" w:rsidR="00312A7C" w:rsidRDefault="00312A7C">
      <w:pPr>
        <w:spacing w:after="200"/>
      </w:pPr>
    </w:p>
    <w:p w14:paraId="73C3C041" w14:textId="77777777" w:rsidR="00312A7C" w:rsidRDefault="00000000">
      <w:pPr>
        <w:pStyle w:val="Heading2"/>
        <w:spacing w:before="300" w:after="140"/>
      </w:pPr>
      <w:r>
        <w:rPr>
          <w:b/>
          <w:bCs/>
          <w:color w:val="1C2B3A"/>
        </w:rPr>
        <w:t>4.2 Answer-First Format</w:t>
      </w:r>
    </w:p>
    <w:p w14:paraId="37B37EB7" w14:textId="77777777" w:rsidR="00312A7C" w:rsidRDefault="00000000">
      <w:pPr>
        <w:spacing w:after="160"/>
      </w:pPr>
      <w:r>
        <w:rPr>
          <w:color w:val="000000"/>
        </w:rPr>
        <w:t>The most important point of the article goes in sentence one. Do not build up to the conclusion or set the scene before delivering the point.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13"/>
        <w:gridCol w:w="8257"/>
      </w:tblGrid>
      <w:tr w:rsidR="00312A7C" w14:paraId="3C172528" w14:textId="77777777">
        <w:tc>
          <w:tcPr>
            <w:tcW w:w="900" w:type="pct"/>
            <w:shd w:val="clear" w:color="auto" w:fill="1C2B3A"/>
            <w:tcMar>
              <w:top w:w="100" w:type="dxa"/>
              <w:left w:w="150" w:type="dxa"/>
              <w:bottom w:w="100" w:type="dxa"/>
              <w:right w:w="150" w:type="dxa"/>
            </w:tcMar>
          </w:tcPr>
          <w:p w14:paraId="7C110B1E" w14:textId="77777777" w:rsidR="00312A7C" w:rsidRDefault="00000000">
            <w:r>
              <w:rPr>
                <w:b/>
                <w:bCs/>
                <w:color w:val="FFFFFF"/>
                <w:sz w:val="20"/>
                <w:szCs w:val="20"/>
              </w:rPr>
              <w:t>BEFORE</w:t>
            </w:r>
          </w:p>
        </w:tc>
        <w:tc>
          <w:tcPr>
            <w:tcW w:w="4100" w:type="pct"/>
            <w:shd w:val="clear" w:color="auto" w:fill="FFFFFF"/>
            <w:tcMar>
              <w:top w:w="100" w:type="dxa"/>
              <w:left w:w="150" w:type="dxa"/>
              <w:bottom w:w="100" w:type="dxa"/>
              <w:right w:w="150" w:type="dxa"/>
            </w:tcMar>
          </w:tcPr>
          <w:p w14:paraId="34E47988" w14:textId="77777777" w:rsidR="00312A7C" w:rsidRDefault="00000000">
            <w:r>
              <w:rPr>
                <w:color w:val="000000"/>
                <w:sz w:val="20"/>
                <w:szCs w:val="20"/>
              </w:rPr>
              <w:t>Supply chain risk management has evolved significantly over the past decade. As globalisation expanded supplier networks and disruption events became more frequent, procurement teams have had to grapple with increasing complexity at every tier of the supply chain.</w:t>
            </w:r>
          </w:p>
        </w:tc>
      </w:tr>
      <w:tr w:rsidR="00312A7C" w14:paraId="702106D2" w14:textId="77777777">
        <w:tc>
          <w:tcPr>
            <w:tcW w:w="900" w:type="pct"/>
            <w:shd w:val="clear" w:color="auto" w:fill="1C2B3A"/>
            <w:tcMar>
              <w:top w:w="100" w:type="dxa"/>
              <w:left w:w="150" w:type="dxa"/>
              <w:bottom w:w="100" w:type="dxa"/>
              <w:right w:w="150" w:type="dxa"/>
            </w:tcMar>
          </w:tcPr>
          <w:p w14:paraId="5EF945B2" w14:textId="77777777" w:rsidR="00312A7C" w:rsidRDefault="00000000">
            <w:r>
              <w:rPr>
                <w:b/>
                <w:bCs/>
                <w:color w:val="FFFFFF"/>
                <w:sz w:val="20"/>
                <w:szCs w:val="20"/>
              </w:rPr>
              <w:t>AFTER</w:t>
            </w:r>
          </w:p>
        </w:tc>
        <w:tc>
          <w:tcPr>
            <w:tcW w:w="4100" w:type="pct"/>
            <w:shd w:val="clear" w:color="auto" w:fill="EAFAF1"/>
            <w:tcMar>
              <w:top w:w="100" w:type="dxa"/>
              <w:left w:w="150" w:type="dxa"/>
              <w:bottom w:w="100" w:type="dxa"/>
              <w:right w:w="150" w:type="dxa"/>
            </w:tcMar>
          </w:tcPr>
          <w:p w14:paraId="1BF3B986" w14:textId="77777777" w:rsidR="00312A7C" w:rsidRDefault="00000000">
            <w:r>
              <w:rPr>
                <w:b/>
                <w:bCs/>
                <w:sz w:val="20"/>
                <w:szCs w:val="20"/>
              </w:rPr>
              <w:t>Most procurement teams can see their Tier 1 suppliers clearly. The problem is that 85% of supply chain risk incidents originate at Tier 2, 3, and 4, where visibility typically drops to zero.</w:t>
            </w:r>
          </w:p>
        </w:tc>
      </w:tr>
      <w:tr w:rsidR="00312A7C" w14:paraId="7E08B768" w14:textId="77777777">
        <w:tc>
          <w:tcPr>
            <w:tcW w:w="900" w:type="pct"/>
            <w:shd w:val="clear" w:color="auto" w:fill="1C2B3A"/>
            <w:tcMar>
              <w:top w:w="100" w:type="dxa"/>
              <w:left w:w="150" w:type="dxa"/>
              <w:bottom w:w="100" w:type="dxa"/>
              <w:right w:w="150" w:type="dxa"/>
            </w:tcMar>
          </w:tcPr>
          <w:p w14:paraId="3E0F8885" w14:textId="77777777" w:rsidR="00312A7C" w:rsidRDefault="00000000">
            <w:r>
              <w:rPr>
                <w:b/>
                <w:bCs/>
                <w:color w:val="FFFFFF"/>
                <w:sz w:val="20"/>
                <w:szCs w:val="20"/>
              </w:rPr>
              <w:t>NOTE</w:t>
            </w:r>
          </w:p>
        </w:tc>
        <w:tc>
          <w:tcPr>
            <w:tcW w:w="4100" w:type="pct"/>
            <w:shd w:val="clear" w:color="auto" w:fill="EAF2F8"/>
            <w:tcMar>
              <w:top w:w="100" w:type="dxa"/>
              <w:left w:w="150" w:type="dxa"/>
              <w:bottom w:w="100" w:type="dxa"/>
              <w:right w:w="150" w:type="dxa"/>
            </w:tcMar>
          </w:tcPr>
          <w:p w14:paraId="74F5353F" w14:textId="77777777" w:rsidR="00312A7C" w:rsidRDefault="00000000">
            <w:r>
              <w:rPr>
                <w:color w:val="000000"/>
                <w:sz w:val="20"/>
                <w:szCs w:val="20"/>
              </w:rPr>
              <w:t>The AFTER version leads with the most dramatic, important point in the article. The reader immediately understands what they are getting.</w:t>
            </w:r>
          </w:p>
        </w:tc>
      </w:tr>
    </w:tbl>
    <w:p w14:paraId="2F7104FF" w14:textId="77777777" w:rsidR="00312A7C" w:rsidRDefault="00312A7C">
      <w:pPr>
        <w:spacing w:after="120"/>
      </w:pP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10070"/>
      </w:tblGrid>
      <w:tr w:rsidR="00312A7C" w14:paraId="46EFB9F8" w14:textId="77777777">
        <w:tc>
          <w:tcPr>
            <w:tcW w:w="0" w:type="auto"/>
            <w:shd w:val="clear" w:color="auto" w:fill="EAF2F8"/>
            <w:tcMar>
              <w:top w:w="100" w:type="dxa"/>
              <w:left w:w="150" w:type="dxa"/>
              <w:bottom w:w="100" w:type="dxa"/>
              <w:right w:w="150" w:type="dxa"/>
            </w:tcMar>
          </w:tcPr>
          <w:p w14:paraId="1DD979FD" w14:textId="77777777" w:rsidR="00312A7C" w:rsidRDefault="00000000">
            <w:pPr>
              <w:spacing w:after="60"/>
            </w:pPr>
            <w:r>
              <w:rPr>
                <w:b/>
                <w:bCs/>
                <w:color w:val="1C2B3A"/>
              </w:rPr>
              <w:t>Client update, Aug 2026</w:t>
            </w:r>
          </w:p>
          <w:p w14:paraId="3B29A019" w14:textId="77777777" w:rsidR="00312A7C" w:rsidRDefault="00000000">
            <w:r>
              <w:rPr>
                <w:color w:val="000000"/>
              </w:rPr>
              <w:t>Where the article opens on a statistic, name the source in sentence one itself - for example, "According to Gartner, procurement AI adoption increased 387%," not a generic build-up followed by attribution later. This satisfies Answer-First and Expertise Signal (Section 5.2) at the same time. Where a dedicated resource hub exists for the topic (for example, the Learn Claude area), the opening section should point to it directly rather than waiting for a CTA further down the page.</w:t>
            </w:r>
          </w:p>
        </w:tc>
      </w:tr>
    </w:tbl>
    <w:p w14:paraId="75BE4598" w14:textId="77777777" w:rsidR="00312A7C" w:rsidRDefault="00312A7C">
      <w:pPr>
        <w:spacing w:after="200"/>
      </w:pPr>
    </w:p>
    <w:p w14:paraId="1F80C4A4" w14:textId="77777777" w:rsidR="00312A7C" w:rsidRDefault="00000000">
      <w:pPr>
        <w:pStyle w:val="Heading2"/>
        <w:spacing w:before="300" w:after="140"/>
      </w:pPr>
      <w:r>
        <w:rPr>
          <w:b/>
          <w:bCs/>
          <w:color w:val="1C2B3A"/>
        </w:rPr>
        <w:t>4.3 Keyword Density</w:t>
      </w:r>
    </w:p>
    <w:p w14:paraId="2A049B20" w14:textId="77777777" w:rsidR="00312A7C" w:rsidRDefault="00000000">
      <w:pPr>
        <w:spacing w:after="160"/>
      </w:pPr>
      <w:r>
        <w:rPr>
          <w:color w:val="000000"/>
        </w:rPr>
        <w:t>Primary keyword density must sit between 1% and 2% of total word count. It must be distributed naturally across the full article, not front-loaded into the opening section.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16"/>
        <w:gridCol w:w="2618"/>
        <w:gridCol w:w="3021"/>
        <w:gridCol w:w="2215"/>
      </w:tblGrid>
      <w:tr w:rsidR="00312A7C" w14:paraId="4A5C04EC" w14:textId="77777777">
        <w:trPr>
          <w:tblHeader/>
        </w:trPr>
        <w:tc>
          <w:tcPr>
            <w:tcW w:w="1100" w:type="pct"/>
            <w:shd w:val="clear" w:color="auto" w:fill="1C2B3A"/>
            <w:tcMar>
              <w:top w:w="100" w:type="dxa"/>
              <w:left w:w="150" w:type="dxa"/>
              <w:bottom w:w="100" w:type="dxa"/>
              <w:right w:w="150" w:type="dxa"/>
            </w:tcMar>
          </w:tcPr>
          <w:p w14:paraId="0DBFE269" w14:textId="77777777" w:rsidR="00312A7C" w:rsidRDefault="00000000">
            <w:r>
              <w:rPr>
                <w:b/>
                <w:bCs/>
                <w:color w:val="FFFFFF"/>
                <w:sz w:val="20"/>
                <w:szCs w:val="20"/>
              </w:rPr>
              <w:t>Article Length</w:t>
            </w:r>
          </w:p>
        </w:tc>
        <w:tc>
          <w:tcPr>
            <w:tcW w:w="1300" w:type="pct"/>
            <w:shd w:val="clear" w:color="auto" w:fill="1C2B3A"/>
            <w:tcMar>
              <w:top w:w="100" w:type="dxa"/>
              <w:left w:w="150" w:type="dxa"/>
              <w:bottom w:w="100" w:type="dxa"/>
              <w:right w:w="150" w:type="dxa"/>
            </w:tcMar>
          </w:tcPr>
          <w:p w14:paraId="155D8A13" w14:textId="77777777" w:rsidR="00312A7C" w:rsidRDefault="00000000">
            <w:r>
              <w:rPr>
                <w:b/>
                <w:bCs/>
                <w:color w:val="FFFFFF"/>
                <w:sz w:val="20"/>
                <w:szCs w:val="20"/>
              </w:rPr>
              <w:t>Min Occurrences (1%)</w:t>
            </w:r>
          </w:p>
        </w:tc>
        <w:tc>
          <w:tcPr>
            <w:tcW w:w="1500" w:type="pct"/>
            <w:shd w:val="clear" w:color="auto" w:fill="1C2B3A"/>
            <w:tcMar>
              <w:top w:w="100" w:type="dxa"/>
              <w:left w:w="150" w:type="dxa"/>
              <w:bottom w:w="100" w:type="dxa"/>
              <w:right w:w="150" w:type="dxa"/>
            </w:tcMar>
          </w:tcPr>
          <w:p w14:paraId="4086A9A8" w14:textId="77777777" w:rsidR="00312A7C" w:rsidRDefault="00000000">
            <w:r>
              <w:rPr>
                <w:b/>
                <w:bCs/>
                <w:color w:val="FFFFFF"/>
                <w:sz w:val="20"/>
                <w:szCs w:val="20"/>
              </w:rPr>
              <w:t>Max Occurrences (2%)</w:t>
            </w:r>
          </w:p>
        </w:tc>
        <w:tc>
          <w:tcPr>
            <w:tcW w:w="1100" w:type="pct"/>
            <w:shd w:val="clear" w:color="auto" w:fill="1C2B3A"/>
            <w:tcMar>
              <w:top w:w="100" w:type="dxa"/>
              <w:left w:w="150" w:type="dxa"/>
              <w:bottom w:w="100" w:type="dxa"/>
              <w:right w:w="150" w:type="dxa"/>
            </w:tcMar>
          </w:tcPr>
          <w:p w14:paraId="09277910" w14:textId="77777777" w:rsidR="00312A7C" w:rsidRDefault="00000000">
            <w:r>
              <w:rPr>
                <w:b/>
                <w:bCs/>
                <w:color w:val="FFFFFF"/>
                <w:sz w:val="20"/>
                <w:szCs w:val="20"/>
              </w:rPr>
              <w:t>Front-Loading Limit</w:t>
            </w:r>
          </w:p>
        </w:tc>
      </w:tr>
      <w:tr w:rsidR="00312A7C" w14:paraId="7573BC13" w14:textId="77777777">
        <w:tc>
          <w:tcPr>
            <w:tcW w:w="1100" w:type="pct"/>
            <w:shd w:val="clear" w:color="auto" w:fill="FFFFFF"/>
            <w:tcMar>
              <w:top w:w="100" w:type="dxa"/>
              <w:left w:w="150" w:type="dxa"/>
              <w:bottom w:w="100" w:type="dxa"/>
              <w:right w:w="150" w:type="dxa"/>
            </w:tcMar>
          </w:tcPr>
          <w:p w14:paraId="4735AEB8" w14:textId="77777777" w:rsidR="00312A7C" w:rsidRDefault="00000000">
            <w:r>
              <w:rPr>
                <w:color w:val="000000"/>
                <w:sz w:val="20"/>
                <w:szCs w:val="20"/>
              </w:rPr>
              <w:t>1,000 words</w:t>
            </w:r>
          </w:p>
        </w:tc>
        <w:tc>
          <w:tcPr>
            <w:tcW w:w="1300" w:type="pct"/>
            <w:shd w:val="clear" w:color="auto" w:fill="FFFFFF"/>
            <w:tcMar>
              <w:top w:w="100" w:type="dxa"/>
              <w:left w:w="150" w:type="dxa"/>
              <w:bottom w:w="100" w:type="dxa"/>
              <w:right w:w="150" w:type="dxa"/>
            </w:tcMar>
          </w:tcPr>
          <w:p w14:paraId="717CB2A4" w14:textId="77777777" w:rsidR="00312A7C" w:rsidRDefault="00000000">
            <w:r>
              <w:rPr>
                <w:color w:val="000000"/>
                <w:sz w:val="20"/>
                <w:szCs w:val="20"/>
              </w:rPr>
              <w:t>10</w:t>
            </w:r>
          </w:p>
        </w:tc>
        <w:tc>
          <w:tcPr>
            <w:tcW w:w="1500" w:type="pct"/>
            <w:shd w:val="clear" w:color="auto" w:fill="FFFFFF"/>
            <w:tcMar>
              <w:top w:w="100" w:type="dxa"/>
              <w:left w:w="150" w:type="dxa"/>
              <w:bottom w:w="100" w:type="dxa"/>
              <w:right w:w="150" w:type="dxa"/>
            </w:tcMar>
          </w:tcPr>
          <w:p w14:paraId="57DE29B3" w14:textId="77777777" w:rsidR="00312A7C" w:rsidRDefault="00000000">
            <w:r>
              <w:rPr>
                <w:color w:val="000000"/>
                <w:sz w:val="20"/>
                <w:szCs w:val="20"/>
              </w:rPr>
              <w:t>20</w:t>
            </w:r>
          </w:p>
        </w:tc>
        <w:tc>
          <w:tcPr>
            <w:tcW w:w="1100" w:type="pct"/>
            <w:shd w:val="clear" w:color="auto" w:fill="FFFFFF"/>
            <w:tcMar>
              <w:top w:w="100" w:type="dxa"/>
              <w:left w:w="150" w:type="dxa"/>
              <w:bottom w:w="100" w:type="dxa"/>
              <w:right w:w="150" w:type="dxa"/>
            </w:tcMar>
          </w:tcPr>
          <w:p w14:paraId="00F29611" w14:textId="77777777" w:rsidR="00312A7C" w:rsidRDefault="00000000">
            <w:r>
              <w:rPr>
                <w:color w:val="000000"/>
                <w:sz w:val="20"/>
                <w:szCs w:val="20"/>
              </w:rPr>
              <w:t>Max 3 in first 200 words</w:t>
            </w:r>
          </w:p>
        </w:tc>
      </w:tr>
      <w:tr w:rsidR="00312A7C" w14:paraId="6462A90B" w14:textId="77777777">
        <w:tc>
          <w:tcPr>
            <w:tcW w:w="1100" w:type="pct"/>
            <w:shd w:val="clear" w:color="auto" w:fill="F2F3F4"/>
            <w:tcMar>
              <w:top w:w="100" w:type="dxa"/>
              <w:left w:w="150" w:type="dxa"/>
              <w:bottom w:w="100" w:type="dxa"/>
              <w:right w:w="150" w:type="dxa"/>
            </w:tcMar>
          </w:tcPr>
          <w:p w14:paraId="7403240E" w14:textId="77777777" w:rsidR="00312A7C" w:rsidRDefault="00000000">
            <w:r>
              <w:rPr>
                <w:color w:val="000000"/>
                <w:sz w:val="20"/>
                <w:szCs w:val="20"/>
              </w:rPr>
              <w:t>1,500 words</w:t>
            </w:r>
          </w:p>
        </w:tc>
        <w:tc>
          <w:tcPr>
            <w:tcW w:w="1300" w:type="pct"/>
            <w:shd w:val="clear" w:color="auto" w:fill="F2F3F4"/>
            <w:tcMar>
              <w:top w:w="100" w:type="dxa"/>
              <w:left w:w="150" w:type="dxa"/>
              <w:bottom w:w="100" w:type="dxa"/>
              <w:right w:w="150" w:type="dxa"/>
            </w:tcMar>
          </w:tcPr>
          <w:p w14:paraId="378B1BE8" w14:textId="77777777" w:rsidR="00312A7C" w:rsidRDefault="00000000">
            <w:r>
              <w:rPr>
                <w:color w:val="000000"/>
                <w:sz w:val="20"/>
                <w:szCs w:val="20"/>
              </w:rPr>
              <w:t>15</w:t>
            </w:r>
          </w:p>
        </w:tc>
        <w:tc>
          <w:tcPr>
            <w:tcW w:w="1500" w:type="pct"/>
            <w:shd w:val="clear" w:color="auto" w:fill="F2F3F4"/>
            <w:tcMar>
              <w:top w:w="100" w:type="dxa"/>
              <w:left w:w="150" w:type="dxa"/>
              <w:bottom w:w="100" w:type="dxa"/>
              <w:right w:w="150" w:type="dxa"/>
            </w:tcMar>
          </w:tcPr>
          <w:p w14:paraId="6EBA5FA1" w14:textId="77777777" w:rsidR="00312A7C" w:rsidRDefault="00000000">
            <w:r>
              <w:rPr>
                <w:color w:val="000000"/>
                <w:sz w:val="20"/>
                <w:szCs w:val="20"/>
              </w:rPr>
              <w:t>30</w:t>
            </w:r>
          </w:p>
        </w:tc>
        <w:tc>
          <w:tcPr>
            <w:tcW w:w="1100" w:type="pct"/>
            <w:shd w:val="clear" w:color="auto" w:fill="F2F3F4"/>
            <w:tcMar>
              <w:top w:w="100" w:type="dxa"/>
              <w:left w:w="150" w:type="dxa"/>
              <w:bottom w:w="100" w:type="dxa"/>
              <w:right w:w="150" w:type="dxa"/>
            </w:tcMar>
          </w:tcPr>
          <w:p w14:paraId="7EF3A735" w14:textId="77777777" w:rsidR="00312A7C" w:rsidRDefault="00000000">
            <w:r>
              <w:rPr>
                <w:color w:val="000000"/>
                <w:sz w:val="20"/>
                <w:szCs w:val="20"/>
              </w:rPr>
              <w:t>Max 3 in first 200 words</w:t>
            </w:r>
          </w:p>
        </w:tc>
      </w:tr>
      <w:tr w:rsidR="00312A7C" w14:paraId="4DCF78F9" w14:textId="77777777">
        <w:tc>
          <w:tcPr>
            <w:tcW w:w="1100" w:type="pct"/>
            <w:shd w:val="clear" w:color="auto" w:fill="FFFFFF"/>
            <w:tcMar>
              <w:top w:w="100" w:type="dxa"/>
              <w:left w:w="150" w:type="dxa"/>
              <w:bottom w:w="100" w:type="dxa"/>
              <w:right w:w="150" w:type="dxa"/>
            </w:tcMar>
          </w:tcPr>
          <w:p w14:paraId="37FBF086" w14:textId="77777777" w:rsidR="00312A7C" w:rsidRDefault="00000000">
            <w:r>
              <w:rPr>
                <w:color w:val="000000"/>
                <w:sz w:val="20"/>
                <w:szCs w:val="20"/>
              </w:rPr>
              <w:t>2,000 words</w:t>
            </w:r>
          </w:p>
        </w:tc>
        <w:tc>
          <w:tcPr>
            <w:tcW w:w="1300" w:type="pct"/>
            <w:shd w:val="clear" w:color="auto" w:fill="FFFFFF"/>
            <w:tcMar>
              <w:top w:w="100" w:type="dxa"/>
              <w:left w:w="150" w:type="dxa"/>
              <w:bottom w:w="100" w:type="dxa"/>
              <w:right w:w="150" w:type="dxa"/>
            </w:tcMar>
          </w:tcPr>
          <w:p w14:paraId="5747233D" w14:textId="77777777" w:rsidR="00312A7C" w:rsidRDefault="00000000">
            <w:r>
              <w:rPr>
                <w:color w:val="000000"/>
                <w:sz w:val="20"/>
                <w:szCs w:val="20"/>
              </w:rPr>
              <w:t>20</w:t>
            </w:r>
          </w:p>
        </w:tc>
        <w:tc>
          <w:tcPr>
            <w:tcW w:w="1500" w:type="pct"/>
            <w:shd w:val="clear" w:color="auto" w:fill="FFFFFF"/>
            <w:tcMar>
              <w:top w:w="100" w:type="dxa"/>
              <w:left w:w="150" w:type="dxa"/>
              <w:bottom w:w="100" w:type="dxa"/>
              <w:right w:w="150" w:type="dxa"/>
            </w:tcMar>
          </w:tcPr>
          <w:p w14:paraId="5F1FBDD7" w14:textId="77777777" w:rsidR="00312A7C" w:rsidRDefault="00000000">
            <w:r>
              <w:rPr>
                <w:color w:val="000000"/>
                <w:sz w:val="20"/>
                <w:szCs w:val="20"/>
              </w:rPr>
              <w:t>40</w:t>
            </w:r>
          </w:p>
        </w:tc>
        <w:tc>
          <w:tcPr>
            <w:tcW w:w="1100" w:type="pct"/>
            <w:shd w:val="clear" w:color="auto" w:fill="FFFFFF"/>
            <w:tcMar>
              <w:top w:w="100" w:type="dxa"/>
              <w:left w:w="150" w:type="dxa"/>
              <w:bottom w:w="100" w:type="dxa"/>
              <w:right w:w="150" w:type="dxa"/>
            </w:tcMar>
          </w:tcPr>
          <w:p w14:paraId="5FC2C369" w14:textId="77777777" w:rsidR="00312A7C" w:rsidRDefault="00000000">
            <w:r>
              <w:rPr>
                <w:color w:val="000000"/>
                <w:sz w:val="20"/>
                <w:szCs w:val="20"/>
              </w:rPr>
              <w:t>Max 3 in first 200 words</w:t>
            </w:r>
          </w:p>
        </w:tc>
      </w:tr>
      <w:tr w:rsidR="00312A7C" w14:paraId="099EBB56" w14:textId="77777777">
        <w:tc>
          <w:tcPr>
            <w:tcW w:w="1100" w:type="pct"/>
            <w:shd w:val="clear" w:color="auto" w:fill="F2F3F4"/>
            <w:tcMar>
              <w:top w:w="100" w:type="dxa"/>
              <w:left w:w="150" w:type="dxa"/>
              <w:bottom w:w="100" w:type="dxa"/>
              <w:right w:w="150" w:type="dxa"/>
            </w:tcMar>
          </w:tcPr>
          <w:p w14:paraId="2B60BC87" w14:textId="77777777" w:rsidR="00312A7C" w:rsidRDefault="00000000">
            <w:r>
              <w:rPr>
                <w:color w:val="000000"/>
                <w:sz w:val="20"/>
                <w:szCs w:val="20"/>
              </w:rPr>
              <w:t>2,500 words</w:t>
            </w:r>
          </w:p>
        </w:tc>
        <w:tc>
          <w:tcPr>
            <w:tcW w:w="1300" w:type="pct"/>
            <w:shd w:val="clear" w:color="auto" w:fill="F2F3F4"/>
            <w:tcMar>
              <w:top w:w="100" w:type="dxa"/>
              <w:left w:w="150" w:type="dxa"/>
              <w:bottom w:w="100" w:type="dxa"/>
              <w:right w:w="150" w:type="dxa"/>
            </w:tcMar>
          </w:tcPr>
          <w:p w14:paraId="392D593D" w14:textId="77777777" w:rsidR="00312A7C" w:rsidRDefault="00000000">
            <w:r>
              <w:rPr>
                <w:color w:val="000000"/>
                <w:sz w:val="20"/>
                <w:szCs w:val="20"/>
              </w:rPr>
              <w:t>25</w:t>
            </w:r>
          </w:p>
        </w:tc>
        <w:tc>
          <w:tcPr>
            <w:tcW w:w="1500" w:type="pct"/>
            <w:shd w:val="clear" w:color="auto" w:fill="F2F3F4"/>
            <w:tcMar>
              <w:top w:w="100" w:type="dxa"/>
              <w:left w:w="150" w:type="dxa"/>
              <w:bottom w:w="100" w:type="dxa"/>
              <w:right w:w="150" w:type="dxa"/>
            </w:tcMar>
          </w:tcPr>
          <w:p w14:paraId="1BC55CF8" w14:textId="77777777" w:rsidR="00312A7C" w:rsidRDefault="00000000">
            <w:r>
              <w:rPr>
                <w:color w:val="000000"/>
                <w:sz w:val="20"/>
                <w:szCs w:val="20"/>
              </w:rPr>
              <w:t>50</w:t>
            </w:r>
          </w:p>
        </w:tc>
        <w:tc>
          <w:tcPr>
            <w:tcW w:w="1100" w:type="pct"/>
            <w:shd w:val="clear" w:color="auto" w:fill="F2F3F4"/>
            <w:tcMar>
              <w:top w:w="100" w:type="dxa"/>
              <w:left w:w="150" w:type="dxa"/>
              <w:bottom w:w="100" w:type="dxa"/>
              <w:right w:w="150" w:type="dxa"/>
            </w:tcMar>
          </w:tcPr>
          <w:p w14:paraId="7D8C4778" w14:textId="77777777" w:rsidR="00312A7C" w:rsidRDefault="00000000">
            <w:r>
              <w:rPr>
                <w:color w:val="000000"/>
                <w:sz w:val="20"/>
                <w:szCs w:val="20"/>
              </w:rPr>
              <w:t>Max 3 in first 200 words</w:t>
            </w:r>
          </w:p>
        </w:tc>
      </w:tr>
      <w:tr w:rsidR="00312A7C" w14:paraId="122398EC" w14:textId="77777777">
        <w:tc>
          <w:tcPr>
            <w:tcW w:w="1100" w:type="pct"/>
            <w:shd w:val="clear" w:color="auto" w:fill="FFFFFF"/>
            <w:tcMar>
              <w:top w:w="100" w:type="dxa"/>
              <w:left w:w="150" w:type="dxa"/>
              <w:bottom w:w="100" w:type="dxa"/>
              <w:right w:w="150" w:type="dxa"/>
            </w:tcMar>
          </w:tcPr>
          <w:p w14:paraId="298585B8" w14:textId="77777777" w:rsidR="00312A7C" w:rsidRDefault="00000000">
            <w:r>
              <w:rPr>
                <w:color w:val="000000"/>
                <w:sz w:val="20"/>
                <w:szCs w:val="20"/>
              </w:rPr>
              <w:t>Warning</w:t>
            </w:r>
          </w:p>
        </w:tc>
        <w:tc>
          <w:tcPr>
            <w:tcW w:w="1300" w:type="pct"/>
            <w:shd w:val="clear" w:color="auto" w:fill="FFFFFF"/>
            <w:tcMar>
              <w:top w:w="100" w:type="dxa"/>
              <w:left w:w="150" w:type="dxa"/>
              <w:bottom w:w="100" w:type="dxa"/>
              <w:right w:w="150" w:type="dxa"/>
            </w:tcMar>
          </w:tcPr>
          <w:p w14:paraId="0267B585" w14:textId="77777777" w:rsidR="00312A7C" w:rsidRDefault="00000000">
            <w:r>
              <w:rPr>
                <w:color w:val="000000"/>
                <w:sz w:val="20"/>
                <w:szCs w:val="20"/>
              </w:rPr>
              <w:t>Below 1% = under-optimised</w:t>
            </w:r>
          </w:p>
        </w:tc>
        <w:tc>
          <w:tcPr>
            <w:tcW w:w="1500" w:type="pct"/>
            <w:shd w:val="clear" w:color="auto" w:fill="FFFFFF"/>
            <w:tcMar>
              <w:top w:w="100" w:type="dxa"/>
              <w:left w:w="150" w:type="dxa"/>
              <w:bottom w:w="100" w:type="dxa"/>
              <w:right w:w="150" w:type="dxa"/>
            </w:tcMar>
          </w:tcPr>
          <w:p w14:paraId="5FAB6257" w14:textId="77777777" w:rsidR="00312A7C" w:rsidRDefault="00000000">
            <w:r>
              <w:rPr>
                <w:color w:val="000000"/>
                <w:sz w:val="20"/>
                <w:szCs w:val="20"/>
              </w:rPr>
              <w:t>Above 2% = keyword stuffing (Google penalty)</w:t>
            </w:r>
          </w:p>
        </w:tc>
        <w:tc>
          <w:tcPr>
            <w:tcW w:w="1100" w:type="pct"/>
            <w:shd w:val="clear" w:color="auto" w:fill="FFFFFF"/>
            <w:tcMar>
              <w:top w:w="100" w:type="dxa"/>
              <w:left w:w="150" w:type="dxa"/>
              <w:bottom w:w="100" w:type="dxa"/>
              <w:right w:w="150" w:type="dxa"/>
            </w:tcMar>
          </w:tcPr>
          <w:p w14:paraId="4CE89832" w14:textId="77777777" w:rsidR="00312A7C" w:rsidRDefault="00000000">
            <w:r>
              <w:rPr>
                <w:color w:val="000000"/>
                <w:sz w:val="20"/>
                <w:szCs w:val="20"/>
              </w:rPr>
              <w:t>Both are failures</w:t>
            </w:r>
          </w:p>
        </w:tc>
      </w:tr>
    </w:tbl>
    <w:p w14:paraId="7AAE58A4" w14:textId="77777777" w:rsidR="00312A7C" w:rsidRDefault="00000000">
      <w:pPr>
        <w:spacing w:after="160"/>
      </w:pPr>
      <w:r>
        <w:rPr>
          <w:b/>
          <w:bCs/>
          <w:i/>
          <w:iCs/>
          <w:color w:val="000000"/>
        </w:rPr>
        <w:t xml:space="preserve">Important: </w:t>
      </w:r>
      <w:r>
        <w:rPr>
          <w:i/>
          <w:iCs/>
          <w:color w:val="000000"/>
        </w:rPr>
        <w:t>Google penalises keyword stuffing above 2%. Do not exceed this threshold under any circumstances.</w:t>
      </w:r>
    </w:p>
    <w:p w14:paraId="0D8B93A7" w14:textId="77777777" w:rsidR="00312A7C" w:rsidRDefault="00312A7C">
      <w:pPr>
        <w:spacing w:after="200"/>
      </w:pPr>
    </w:p>
    <w:p w14:paraId="3EAC1BC0" w14:textId="77777777" w:rsidR="00312A7C" w:rsidRDefault="00000000">
      <w:pPr>
        <w:pStyle w:val="Heading2"/>
        <w:spacing w:before="300" w:after="140"/>
      </w:pPr>
      <w:r>
        <w:rPr>
          <w:b/>
          <w:bCs/>
          <w:color w:val="1C2B3A"/>
        </w:rPr>
        <w:t>4.4 CTA Copy - No Business Benefit Language</w:t>
      </w:r>
    </w:p>
    <w:p w14:paraId="6BB1636C" w14:textId="77777777" w:rsidR="00312A7C" w:rsidRDefault="00000000">
      <w:pPr>
        <w:spacing w:after="160"/>
      </w:pPr>
      <w:r>
        <w:rPr>
          <w:color w:val="000000"/>
        </w:rPr>
        <w:t>CTA copy must state what the product does. It must not tell the reader how to feel, why something is valuable, or what benefit they will experience. Let the reader draw their own conclusion.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13"/>
        <w:gridCol w:w="8257"/>
      </w:tblGrid>
      <w:tr w:rsidR="00312A7C" w14:paraId="5E178E35" w14:textId="77777777">
        <w:tc>
          <w:tcPr>
            <w:tcW w:w="900" w:type="pct"/>
            <w:shd w:val="clear" w:color="auto" w:fill="1C2B3A"/>
            <w:tcMar>
              <w:top w:w="100" w:type="dxa"/>
              <w:left w:w="150" w:type="dxa"/>
              <w:bottom w:w="100" w:type="dxa"/>
              <w:right w:w="150" w:type="dxa"/>
            </w:tcMar>
          </w:tcPr>
          <w:p w14:paraId="0F401BCD" w14:textId="77777777" w:rsidR="00312A7C" w:rsidRDefault="00000000">
            <w:r>
              <w:rPr>
                <w:b/>
                <w:bCs/>
                <w:color w:val="FFFFFF"/>
                <w:sz w:val="20"/>
                <w:szCs w:val="20"/>
              </w:rPr>
              <w:t>BEFORE</w:t>
            </w:r>
          </w:p>
        </w:tc>
        <w:tc>
          <w:tcPr>
            <w:tcW w:w="4100" w:type="pct"/>
            <w:shd w:val="clear" w:color="auto" w:fill="FFFFFF"/>
            <w:tcMar>
              <w:top w:w="100" w:type="dxa"/>
              <w:left w:w="150" w:type="dxa"/>
              <w:bottom w:w="100" w:type="dxa"/>
              <w:right w:w="150" w:type="dxa"/>
            </w:tcMar>
          </w:tcPr>
          <w:p w14:paraId="29773ACD" w14:textId="77777777" w:rsidR="00312A7C" w:rsidRDefault="00000000">
            <w:r>
              <w:rPr>
                <w:color w:val="000000"/>
                <w:sz w:val="20"/>
                <w:szCs w:val="20"/>
              </w:rPr>
              <w:t>See how Jaggaer helps you make more informed, proactive procurement decisions and reduce supply chain risk across your entire supplier network.</w:t>
            </w:r>
          </w:p>
        </w:tc>
      </w:tr>
      <w:tr w:rsidR="00312A7C" w14:paraId="0601855A" w14:textId="77777777">
        <w:tc>
          <w:tcPr>
            <w:tcW w:w="900" w:type="pct"/>
            <w:shd w:val="clear" w:color="auto" w:fill="1C2B3A"/>
            <w:tcMar>
              <w:top w:w="100" w:type="dxa"/>
              <w:left w:w="150" w:type="dxa"/>
              <w:bottom w:w="100" w:type="dxa"/>
              <w:right w:w="150" w:type="dxa"/>
            </w:tcMar>
          </w:tcPr>
          <w:p w14:paraId="48B768E3" w14:textId="77777777" w:rsidR="00312A7C" w:rsidRDefault="00000000">
            <w:r>
              <w:rPr>
                <w:b/>
                <w:bCs/>
                <w:color w:val="FFFFFF"/>
                <w:sz w:val="20"/>
                <w:szCs w:val="20"/>
              </w:rPr>
              <w:t>AFTER</w:t>
            </w:r>
          </w:p>
        </w:tc>
        <w:tc>
          <w:tcPr>
            <w:tcW w:w="4100" w:type="pct"/>
            <w:shd w:val="clear" w:color="auto" w:fill="EAFAF1"/>
            <w:tcMar>
              <w:top w:w="100" w:type="dxa"/>
              <w:left w:w="150" w:type="dxa"/>
              <w:bottom w:w="100" w:type="dxa"/>
              <w:right w:w="150" w:type="dxa"/>
            </w:tcMar>
          </w:tcPr>
          <w:p w14:paraId="3F3F99F1" w14:textId="77777777" w:rsidR="00312A7C" w:rsidRDefault="00000000">
            <w:r>
              <w:rPr>
                <w:b/>
                <w:bCs/>
                <w:sz w:val="20"/>
                <w:szCs w:val="20"/>
              </w:rPr>
              <w:t>See how Jaggaer maps sub-tier supplier networks across Tier 2, 3, and 4.</w:t>
            </w:r>
          </w:p>
        </w:tc>
      </w:tr>
      <w:tr w:rsidR="00312A7C" w14:paraId="5A49A67E" w14:textId="77777777">
        <w:tc>
          <w:tcPr>
            <w:tcW w:w="900" w:type="pct"/>
            <w:shd w:val="clear" w:color="auto" w:fill="1C2B3A"/>
            <w:tcMar>
              <w:top w:w="100" w:type="dxa"/>
              <w:left w:w="150" w:type="dxa"/>
              <w:bottom w:w="100" w:type="dxa"/>
              <w:right w:w="150" w:type="dxa"/>
            </w:tcMar>
          </w:tcPr>
          <w:p w14:paraId="03657629" w14:textId="77777777" w:rsidR="00312A7C" w:rsidRDefault="00000000">
            <w:r>
              <w:rPr>
                <w:b/>
                <w:bCs/>
                <w:color w:val="FFFFFF"/>
                <w:sz w:val="20"/>
                <w:szCs w:val="20"/>
              </w:rPr>
              <w:t>NOTE</w:t>
            </w:r>
          </w:p>
        </w:tc>
        <w:tc>
          <w:tcPr>
            <w:tcW w:w="4100" w:type="pct"/>
            <w:shd w:val="clear" w:color="auto" w:fill="EAF2F8"/>
            <w:tcMar>
              <w:top w:w="100" w:type="dxa"/>
              <w:left w:w="150" w:type="dxa"/>
              <w:bottom w:w="100" w:type="dxa"/>
              <w:right w:w="150" w:type="dxa"/>
            </w:tcMar>
          </w:tcPr>
          <w:p w14:paraId="6672B9AA" w14:textId="77777777" w:rsidR="00312A7C" w:rsidRDefault="00000000">
            <w:r>
              <w:rPr>
                <w:color w:val="000000"/>
                <w:sz w:val="20"/>
                <w:szCs w:val="20"/>
              </w:rPr>
              <w:t>The AFTER version says what it does. The BEFORE version tells the reader how to feel about it. Remove all such language from CTA copy.</w:t>
            </w:r>
          </w:p>
        </w:tc>
      </w:tr>
    </w:tbl>
    <w:p w14:paraId="568513A7" w14:textId="77777777" w:rsidR="00312A7C" w:rsidRDefault="00312A7C">
      <w:pPr>
        <w:spacing w:after="120"/>
      </w:pPr>
    </w:p>
    <w:p w14:paraId="4A4FCC61" w14:textId="77777777" w:rsidR="00312A7C" w:rsidRDefault="00000000">
      <w:pPr>
        <w:spacing w:after="160"/>
      </w:pPr>
      <w:r>
        <w:rPr>
          <w:color w:val="000000"/>
        </w:rPr>
        <w:t>Words and phrases to remove from all CTA copy:</w:t>
      </w:r>
    </w:p>
    <w:p w14:paraId="72606F7D" w14:textId="77777777" w:rsidR="00312A7C" w:rsidRDefault="00000000">
      <w:pPr>
        <w:pStyle w:val="ListParagraph"/>
        <w:numPr>
          <w:ilvl w:val="0"/>
          <w:numId w:val="2"/>
        </w:numPr>
        <w:spacing w:after="100"/>
      </w:pPr>
      <w:r>
        <w:rPr>
          <w:color w:val="000000"/>
        </w:rPr>
        <w:t>helping you make informed decisions</w:t>
      </w:r>
    </w:p>
    <w:p w14:paraId="78A20ED6" w14:textId="77777777" w:rsidR="00312A7C" w:rsidRDefault="00000000">
      <w:pPr>
        <w:pStyle w:val="ListParagraph"/>
        <w:numPr>
          <w:ilvl w:val="0"/>
          <w:numId w:val="2"/>
        </w:numPr>
        <w:spacing w:after="100"/>
      </w:pPr>
      <w:r>
        <w:rPr>
          <w:color w:val="000000"/>
        </w:rPr>
        <w:t>enabling proactive procurement</w:t>
      </w:r>
    </w:p>
    <w:p w14:paraId="7C200E77" w14:textId="77777777" w:rsidR="00312A7C" w:rsidRDefault="00000000">
      <w:pPr>
        <w:pStyle w:val="ListParagraph"/>
        <w:numPr>
          <w:ilvl w:val="0"/>
          <w:numId w:val="2"/>
        </w:numPr>
        <w:spacing w:after="100"/>
      </w:pPr>
      <w:r>
        <w:rPr>
          <w:color w:val="000000"/>
        </w:rPr>
        <w:t>driving better outcomes</w:t>
      </w:r>
    </w:p>
    <w:p w14:paraId="74D7ECA1" w14:textId="77777777" w:rsidR="00312A7C" w:rsidRDefault="00000000">
      <w:pPr>
        <w:pStyle w:val="ListParagraph"/>
        <w:numPr>
          <w:ilvl w:val="0"/>
          <w:numId w:val="2"/>
        </w:numPr>
        <w:spacing w:after="100"/>
      </w:pPr>
      <w:r>
        <w:rPr>
          <w:color w:val="000000"/>
        </w:rPr>
        <w:t>transforming your supply chain</w:t>
      </w:r>
    </w:p>
    <w:p w14:paraId="1A9DD101" w14:textId="77777777" w:rsidR="00312A7C" w:rsidRDefault="00000000">
      <w:pPr>
        <w:pStyle w:val="ListParagraph"/>
        <w:numPr>
          <w:ilvl w:val="0"/>
          <w:numId w:val="2"/>
        </w:numPr>
        <w:spacing w:after="100"/>
      </w:pPr>
      <w:r>
        <w:rPr>
          <w:color w:val="000000"/>
        </w:rPr>
        <w:t>empowering procurement teams</w:t>
      </w:r>
    </w:p>
    <w:p w14:paraId="3367D839" w14:textId="77777777" w:rsidR="00312A7C" w:rsidRDefault="00000000">
      <w:pPr>
        <w:pStyle w:val="ListParagraph"/>
        <w:numPr>
          <w:ilvl w:val="0"/>
          <w:numId w:val="2"/>
        </w:numPr>
        <w:spacing w:after="100"/>
      </w:pPr>
      <w:r>
        <w:rPr>
          <w:color w:val="000000"/>
        </w:rPr>
        <w:t>unlocking value</w:t>
      </w:r>
    </w:p>
    <w:p w14:paraId="31DED9C6" w14:textId="77777777" w:rsidR="00312A7C" w:rsidRDefault="00000000">
      <w:pPr>
        <w:spacing w:after="160"/>
      </w:pPr>
      <w:r>
        <w:rPr>
          <w:b/>
          <w:bCs/>
          <w:color w:val="000000"/>
        </w:rPr>
        <w:t>If a phrase tells the reader how to feel rather than what the product does, remove it.</w:t>
      </w:r>
    </w:p>
    <w:p w14:paraId="4D555D51" w14:textId="77777777" w:rsidR="00312A7C" w:rsidRDefault="00312A7C">
      <w:pPr>
        <w:spacing w:after="200"/>
      </w:pPr>
    </w:p>
    <w:p w14:paraId="5EE9C4D7" w14:textId="77777777" w:rsidR="00312A7C" w:rsidRDefault="00000000">
      <w:pPr>
        <w:pStyle w:val="Heading2"/>
        <w:spacing w:before="300" w:after="140"/>
      </w:pPr>
      <w:r>
        <w:rPr>
          <w:b/>
          <w:bCs/>
          <w:color w:val="1C2B3A"/>
        </w:rPr>
        <w:t>4.5 Numerals in Copy (New, Aug 2026)</w:t>
      </w:r>
    </w:p>
    <w:p w14:paraId="493152D5" w14:textId="77777777" w:rsidR="00312A7C" w:rsidRDefault="00000000">
      <w:pPr>
        <w:spacing w:after="160"/>
      </w:pPr>
      <w:r>
        <w:rPr>
          <w:color w:val="000000"/>
        </w:rPr>
        <w:t xml:space="preserve">Always render statistics as numerals, even where formal grammar convention would spell out numbers under ten or discourage starting a sentence with a numeral. Clarity and </w:t>
      </w:r>
      <w:proofErr w:type="spellStart"/>
      <w:r>
        <w:rPr>
          <w:color w:val="000000"/>
        </w:rPr>
        <w:t>scannability</w:t>
      </w:r>
      <w:proofErr w:type="spellEnd"/>
      <w:r>
        <w:rPr>
          <w:color w:val="000000"/>
        </w:rPr>
        <w:t xml:space="preserve"> take priority over grammar style on this engagement.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13"/>
        <w:gridCol w:w="8257"/>
      </w:tblGrid>
      <w:tr w:rsidR="00312A7C" w14:paraId="78848C33" w14:textId="77777777">
        <w:tc>
          <w:tcPr>
            <w:tcW w:w="900" w:type="pct"/>
            <w:shd w:val="clear" w:color="auto" w:fill="1C2B3A"/>
            <w:tcMar>
              <w:top w:w="100" w:type="dxa"/>
              <w:left w:w="150" w:type="dxa"/>
              <w:bottom w:w="100" w:type="dxa"/>
              <w:right w:w="150" w:type="dxa"/>
            </w:tcMar>
          </w:tcPr>
          <w:p w14:paraId="04439059" w14:textId="77777777" w:rsidR="00312A7C" w:rsidRDefault="00000000">
            <w:r>
              <w:rPr>
                <w:b/>
                <w:bCs/>
                <w:color w:val="FFFFFF"/>
                <w:sz w:val="20"/>
                <w:szCs w:val="20"/>
              </w:rPr>
              <w:t>BEFORE</w:t>
            </w:r>
          </w:p>
        </w:tc>
        <w:tc>
          <w:tcPr>
            <w:tcW w:w="4100" w:type="pct"/>
            <w:shd w:val="clear" w:color="auto" w:fill="FFFFFF"/>
            <w:tcMar>
              <w:top w:w="100" w:type="dxa"/>
              <w:left w:w="150" w:type="dxa"/>
              <w:bottom w:w="100" w:type="dxa"/>
              <w:right w:w="150" w:type="dxa"/>
            </w:tcMar>
          </w:tcPr>
          <w:p w14:paraId="2F054714" w14:textId="77777777" w:rsidR="00312A7C" w:rsidRDefault="00000000">
            <w:r>
              <w:rPr>
                <w:color w:val="000000"/>
                <w:sz w:val="20"/>
                <w:szCs w:val="20"/>
              </w:rPr>
              <w:t>Fifty-eight per cent of procurement teams are using or piloting AI, per Ardent Partners' 2026 survey.</w:t>
            </w:r>
          </w:p>
        </w:tc>
      </w:tr>
      <w:tr w:rsidR="00312A7C" w14:paraId="3B257751" w14:textId="77777777">
        <w:tc>
          <w:tcPr>
            <w:tcW w:w="900" w:type="pct"/>
            <w:shd w:val="clear" w:color="auto" w:fill="1C2B3A"/>
            <w:tcMar>
              <w:top w:w="100" w:type="dxa"/>
              <w:left w:w="150" w:type="dxa"/>
              <w:bottom w:w="100" w:type="dxa"/>
              <w:right w:w="150" w:type="dxa"/>
            </w:tcMar>
          </w:tcPr>
          <w:p w14:paraId="10037ABD" w14:textId="77777777" w:rsidR="00312A7C" w:rsidRDefault="00000000">
            <w:r>
              <w:rPr>
                <w:b/>
                <w:bCs/>
                <w:color w:val="FFFFFF"/>
                <w:sz w:val="20"/>
                <w:szCs w:val="20"/>
              </w:rPr>
              <w:t>AFTER</w:t>
            </w:r>
          </w:p>
        </w:tc>
        <w:tc>
          <w:tcPr>
            <w:tcW w:w="4100" w:type="pct"/>
            <w:shd w:val="clear" w:color="auto" w:fill="EAFAF1"/>
            <w:tcMar>
              <w:top w:w="100" w:type="dxa"/>
              <w:left w:w="150" w:type="dxa"/>
              <w:bottom w:w="100" w:type="dxa"/>
              <w:right w:w="150" w:type="dxa"/>
            </w:tcMar>
          </w:tcPr>
          <w:p w14:paraId="70886206" w14:textId="77777777" w:rsidR="00312A7C" w:rsidRDefault="00000000">
            <w:r>
              <w:rPr>
                <w:b/>
                <w:bCs/>
                <w:sz w:val="20"/>
                <w:szCs w:val="20"/>
              </w:rPr>
              <w:t>58% of procurement teams are using or piloting AI, per Ardent Partners' 2026 survey.</w:t>
            </w:r>
          </w:p>
        </w:tc>
      </w:tr>
      <w:tr w:rsidR="00312A7C" w14:paraId="007638C4" w14:textId="77777777">
        <w:tc>
          <w:tcPr>
            <w:tcW w:w="900" w:type="pct"/>
            <w:shd w:val="clear" w:color="auto" w:fill="1C2B3A"/>
            <w:tcMar>
              <w:top w:w="100" w:type="dxa"/>
              <w:left w:w="150" w:type="dxa"/>
              <w:bottom w:w="100" w:type="dxa"/>
              <w:right w:w="150" w:type="dxa"/>
            </w:tcMar>
          </w:tcPr>
          <w:p w14:paraId="275F3113" w14:textId="77777777" w:rsidR="00312A7C" w:rsidRDefault="00000000">
            <w:r>
              <w:rPr>
                <w:b/>
                <w:bCs/>
                <w:color w:val="FFFFFF"/>
                <w:sz w:val="20"/>
                <w:szCs w:val="20"/>
              </w:rPr>
              <w:t>NOTE</w:t>
            </w:r>
          </w:p>
        </w:tc>
        <w:tc>
          <w:tcPr>
            <w:tcW w:w="4100" w:type="pct"/>
            <w:shd w:val="clear" w:color="auto" w:fill="EAF2F8"/>
            <w:tcMar>
              <w:top w:w="100" w:type="dxa"/>
              <w:left w:w="150" w:type="dxa"/>
              <w:bottom w:w="100" w:type="dxa"/>
              <w:right w:w="150" w:type="dxa"/>
            </w:tcMar>
          </w:tcPr>
          <w:p w14:paraId="09EA66CB" w14:textId="77777777" w:rsidR="00312A7C" w:rsidRDefault="00000000">
            <w:r>
              <w:rPr>
                <w:color w:val="000000"/>
                <w:sz w:val="20"/>
                <w:szCs w:val="20"/>
              </w:rPr>
              <w:t>Client feedback, Aug 2026: use the numeral form even where it reads less formally. Readers scan for numbers; spelled-out figures slow that down.</w:t>
            </w:r>
          </w:p>
        </w:tc>
      </w:tr>
    </w:tbl>
    <w:p w14:paraId="526C6176" w14:textId="77777777" w:rsidR="00312A7C" w:rsidRDefault="00312A7C">
      <w:pPr>
        <w:spacing w:after="200"/>
      </w:pPr>
    </w:p>
    <w:p w14:paraId="22E3D6CB" w14:textId="77777777" w:rsidR="00312A7C" w:rsidRDefault="00000000">
      <w:pPr>
        <w:pStyle w:val="Heading2"/>
        <w:spacing w:before="300" w:after="140"/>
      </w:pPr>
      <w:r>
        <w:rPr>
          <w:b/>
          <w:bCs/>
          <w:color w:val="1C2B3A"/>
        </w:rPr>
        <w:t>4.6 Heading Structure (H1 / H2 / H3)</w:t>
      </w:r>
    </w:p>
    <w:p w14:paraId="19B3F068" w14:textId="77777777" w:rsidR="00312A7C" w:rsidRDefault="00000000">
      <w:pPr>
        <w:spacing w:after="160"/>
      </w:pPr>
      <w:r>
        <w:rPr>
          <w:color w:val="000000"/>
        </w:rPr>
        <w:t>Headings must match Orlagh's SEO brief exactly. Do not add, remove, or reword any heading without flagging it to Orlagh first. The heading structure is a core part of the SEO brief.</w:t>
      </w:r>
    </w:p>
    <w:p w14:paraId="271A8446" w14:textId="77777777" w:rsidR="00312A7C" w:rsidRDefault="00000000">
      <w:pPr>
        <w:pStyle w:val="ListParagraph"/>
        <w:numPr>
          <w:ilvl w:val="0"/>
          <w:numId w:val="2"/>
        </w:numPr>
        <w:spacing w:after="100"/>
      </w:pPr>
      <w:r>
        <w:rPr>
          <w:color w:val="000000"/>
        </w:rPr>
        <w:t>H1 must contain the primary keyword exactly or in very close natural form</w:t>
      </w:r>
    </w:p>
    <w:p w14:paraId="3F5137A3" w14:textId="77777777" w:rsidR="00312A7C" w:rsidRDefault="00000000">
      <w:pPr>
        <w:pStyle w:val="ListParagraph"/>
        <w:numPr>
          <w:ilvl w:val="0"/>
          <w:numId w:val="2"/>
        </w:numPr>
        <w:spacing w:after="100"/>
      </w:pPr>
      <w:r>
        <w:rPr>
          <w:color w:val="000000"/>
        </w:rPr>
        <w:t>H2s map to the main content sections defined in Orlagh's brief</w:t>
      </w:r>
    </w:p>
    <w:p w14:paraId="29D049A0" w14:textId="77777777" w:rsidR="00312A7C" w:rsidRDefault="00000000">
      <w:pPr>
        <w:pStyle w:val="ListParagraph"/>
        <w:numPr>
          <w:ilvl w:val="0"/>
          <w:numId w:val="2"/>
        </w:numPr>
        <w:spacing w:after="100"/>
      </w:pPr>
      <w:r>
        <w:rPr>
          <w:color w:val="000000"/>
        </w:rPr>
        <w:t>H3s are sub-sections within H2s; use sparingly</w:t>
      </w:r>
    </w:p>
    <w:p w14:paraId="36A537B2" w14:textId="77777777" w:rsidR="00312A7C" w:rsidRDefault="00000000">
      <w:pPr>
        <w:pStyle w:val="ListParagraph"/>
        <w:numPr>
          <w:ilvl w:val="0"/>
          <w:numId w:val="2"/>
        </w:numPr>
        <w:spacing w:after="100"/>
      </w:pPr>
      <w:r>
        <w:rPr>
          <w:color w:val="000000"/>
        </w:rPr>
        <w:t>Never create a heading for decoration; every heading must be a genuine content marker</w:t>
      </w:r>
    </w:p>
    <w:p w14:paraId="7B5686D2" w14:textId="77777777" w:rsidR="00312A7C" w:rsidRDefault="00000000">
      <w:pPr>
        <w:pStyle w:val="ListParagraph"/>
        <w:numPr>
          <w:ilvl w:val="0"/>
          <w:numId w:val="2"/>
        </w:numPr>
        <w:spacing w:after="100"/>
      </w:pPr>
      <w:r>
        <w:rPr>
          <w:color w:val="000000"/>
        </w:rPr>
        <w:t>Where a subheading poses an evaluative question (for example, "What Procurement Leaders Should Look For"), attribute the underlying framework to a named third party if one exists, rather than presenting it as unattributed house opinion (see Section 5.2)</w:t>
      </w:r>
    </w:p>
    <w:p w14:paraId="417F1A5A" w14:textId="77777777" w:rsidR="00312A7C" w:rsidRDefault="00312A7C">
      <w:pPr>
        <w:spacing w:after="200"/>
      </w:pPr>
    </w:p>
    <w:p w14:paraId="4422D679" w14:textId="77777777" w:rsidR="00312A7C" w:rsidRDefault="00000000">
      <w:pPr>
        <w:pStyle w:val="Heading2"/>
        <w:spacing w:before="300" w:after="140"/>
      </w:pPr>
      <w:r>
        <w:rPr>
          <w:b/>
          <w:bCs/>
          <w:color w:val="1C2B3A"/>
        </w:rPr>
        <w:t>4.7 No AI Meta-Commentary (New, Aug 2026)</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10070"/>
      </w:tblGrid>
      <w:tr w:rsidR="00312A7C" w14:paraId="71E373FD" w14:textId="77777777">
        <w:tc>
          <w:tcPr>
            <w:tcW w:w="0" w:type="auto"/>
            <w:shd w:val="clear" w:color="auto" w:fill="FDEDEC"/>
            <w:tcMar>
              <w:top w:w="100" w:type="dxa"/>
              <w:left w:w="150" w:type="dxa"/>
              <w:bottom w:w="100" w:type="dxa"/>
              <w:right w:w="150" w:type="dxa"/>
            </w:tcMar>
          </w:tcPr>
          <w:p w14:paraId="078AA964" w14:textId="77777777" w:rsidR="00312A7C" w:rsidRDefault="00000000">
            <w:pPr>
              <w:spacing w:after="60"/>
            </w:pPr>
            <w:r>
              <w:rPr>
                <w:b/>
                <w:bCs/>
                <w:color w:val="C0392B"/>
              </w:rPr>
              <w:t>THE RULE</w:t>
            </w:r>
          </w:p>
          <w:p w14:paraId="6D91151A" w14:textId="77777777" w:rsidR="00312A7C" w:rsidRDefault="00000000">
            <w:r>
              <w:rPr>
                <w:color w:val="000000"/>
              </w:rPr>
              <w:t>Before submission, every author must read the draft as the audience would, not as an editor of AI-assisted output. Remove any line that talks about the content itself rather than to the reader.</w:t>
            </w:r>
          </w:p>
        </w:tc>
      </w:tr>
    </w:tbl>
    <w:p w14:paraId="3DE5A054" w14:textId="77777777" w:rsidR="00312A7C" w:rsidRDefault="00312A7C">
      <w:pPr>
        <w:spacing w:after="120"/>
      </w:pPr>
    </w:p>
    <w:p w14:paraId="2D449441" w14:textId="77777777" w:rsidR="00312A7C" w:rsidRDefault="00000000">
      <w:pPr>
        <w:spacing w:after="160"/>
      </w:pPr>
      <w:r>
        <w:rPr>
          <w:color w:val="000000"/>
        </w:rPr>
        <w:t>Example flagged by the client: "Governance is the one worth checking first, since it's independently certified rather than self-declared." This reads as commentary aimed at an editor, not information for a procurement leader. There is no reason our own content should undercut itself this way.</w:t>
      </w:r>
    </w:p>
    <w:p w14:paraId="3AF83E02" w14:textId="77777777" w:rsidR="00312A7C" w:rsidRDefault="00000000">
      <w:pPr>
        <w:spacing w:after="160"/>
      </w:pPr>
      <w:r>
        <w:rPr>
          <w:color w:val="000000"/>
        </w:rPr>
        <w:t>If a sentence reads like commentary on the article rather than information for the reader, cut or rewrite it. This is now a mandatory check before any draft is submitted, alongside the keyword density and sentence length checks.</w:t>
      </w:r>
    </w:p>
    <w:p w14:paraId="606F95A3" w14:textId="77777777" w:rsidR="00312A7C" w:rsidRDefault="00312A7C">
      <w:pPr>
        <w:spacing w:after="200"/>
      </w:pPr>
    </w:p>
    <w:p w14:paraId="33CC6FEC" w14:textId="77777777" w:rsidR="00312A7C" w:rsidRDefault="00000000">
      <w:pPr>
        <w:pStyle w:val="Heading2"/>
        <w:spacing w:before="300" w:after="140"/>
      </w:pPr>
      <w:r>
        <w:rPr>
          <w:b/>
          <w:bCs/>
          <w:color w:val="1C2B3A"/>
        </w:rPr>
        <w:t>4.8 Bold the Load-Bearing Clause (New, Aug 2026)</w:t>
      </w:r>
    </w:p>
    <w:p w14:paraId="44EE852E" w14:textId="77777777" w:rsidR="00312A7C" w:rsidRDefault="00000000">
      <w:pPr>
        <w:spacing w:after="160"/>
      </w:pPr>
      <w:r>
        <w:rPr>
          <w:color w:val="000000"/>
        </w:rPr>
        <w:t>In every paragraph that carries a discrete point, bold the single clause that expresses that point in full, so a reader skimming only bold text gets the complete argument of the article.</w:t>
      </w:r>
    </w:p>
    <w:p w14:paraId="0D780464" w14:textId="77777777" w:rsidR="00312A7C" w:rsidRDefault="00000000">
      <w:pPr>
        <w:pStyle w:val="ListParagraph"/>
        <w:numPr>
          <w:ilvl w:val="0"/>
          <w:numId w:val="2"/>
        </w:numPr>
        <w:spacing w:after="100"/>
      </w:pPr>
      <w:r>
        <w:rPr>
          <w:color w:val="000000"/>
        </w:rPr>
        <w:t xml:space="preserve">One clause, not a full sentence and not multiple clauses. Cap it at one sentence — bolding more than that defeats the purpose, since the technique only works while most of the paragraph stays </w:t>
      </w:r>
      <w:proofErr w:type="spellStart"/>
      <w:r>
        <w:rPr>
          <w:color w:val="000000"/>
        </w:rPr>
        <w:t>unbold</w:t>
      </w:r>
      <w:proofErr w:type="spellEnd"/>
      <w:r>
        <w:rPr>
          <w:color w:val="000000"/>
        </w:rPr>
        <w:t>.</w:t>
      </w:r>
    </w:p>
    <w:p w14:paraId="504D192A" w14:textId="77777777" w:rsidR="00312A7C" w:rsidRDefault="00000000">
      <w:pPr>
        <w:pStyle w:val="ListParagraph"/>
        <w:numPr>
          <w:ilvl w:val="0"/>
          <w:numId w:val="2"/>
        </w:numPr>
        <w:spacing w:after="100"/>
      </w:pPr>
      <w:r>
        <w:rPr>
          <w:color w:val="000000"/>
        </w:rPr>
        <w:t>Skip this for paragraphs that are purely transitional or set up a list — don’t invent a point to bold where the paragraph doesn’t have one.</w:t>
      </w:r>
    </w:p>
    <w:p w14:paraId="38CB39DF" w14:textId="77777777" w:rsidR="00312A7C" w:rsidRDefault="00000000">
      <w:pPr>
        <w:pStyle w:val="ListParagraph"/>
        <w:numPr>
          <w:ilvl w:val="0"/>
          <w:numId w:val="2"/>
        </w:numPr>
        <w:spacing w:after="100"/>
      </w:pPr>
      <w:r>
        <w:rPr>
          <w:color w:val="000000"/>
        </w:rPr>
        <w:t>Where a paragraph also triggers the Section 5.2 source-name bold, extend that single bold span to cover the attributed finding rather than creating two separate bold fragments in the same paragraph.</w:t>
      </w:r>
    </w:p>
    <w:p w14:paraId="67780324" w14:textId="77777777" w:rsidR="00312A7C" w:rsidRDefault="00312A7C">
      <w:pPr>
        <w:spacing w:after="200"/>
      </w:pPr>
    </w:p>
    <w:p w14:paraId="021D61D6" w14:textId="77777777" w:rsidR="00312A7C" w:rsidRDefault="00000000">
      <w:pPr>
        <w:pStyle w:val="Heading1"/>
        <w:spacing w:before="400" w:after="200"/>
      </w:pPr>
      <w:r>
        <w:rPr>
          <w:b/>
          <w:bCs/>
          <w:color w:val="1C2B3A"/>
        </w:rPr>
        <w:t>5. Currency &amp; Expertise Signals</w:t>
      </w:r>
    </w:p>
    <w:p w14:paraId="3C3EF57B" w14:textId="77777777" w:rsidR="00312A7C" w:rsidRDefault="00000000">
      <w:pPr>
        <w:spacing w:after="160"/>
      </w:pPr>
      <w:r>
        <w:rPr>
          <w:color w:val="000000"/>
        </w:rPr>
        <w:t>Every article must actively signal to Google (and the reader) that it is current and credible. These signals must be explicit, not just implied by the content itself.</w:t>
      </w:r>
    </w:p>
    <w:p w14:paraId="565C4601" w14:textId="77777777" w:rsidR="00312A7C" w:rsidRDefault="00000000">
      <w:pPr>
        <w:pStyle w:val="Heading2"/>
        <w:spacing w:before="300" w:after="140"/>
      </w:pPr>
      <w:r>
        <w:rPr>
          <w:b/>
          <w:bCs/>
          <w:color w:val="1C2B3A"/>
        </w:rPr>
        <w:t>5.1 Currency Indicators</w:t>
      </w:r>
    </w:p>
    <w:p w14:paraId="2CF6686F" w14:textId="77777777" w:rsidR="00312A7C" w:rsidRDefault="00000000">
      <w:pPr>
        <w:spacing w:after="160"/>
      </w:pPr>
      <w:r>
        <w:rPr>
          <w:color w:val="000000"/>
        </w:rPr>
        <w:t>Currency tells Google the content is fresh and therefore more likely to be relevant to a current search query.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0"/>
        <w:gridCol w:w="7250"/>
      </w:tblGrid>
      <w:tr w:rsidR="00312A7C" w14:paraId="03FDE302" w14:textId="77777777">
        <w:trPr>
          <w:tblHeader/>
        </w:trPr>
        <w:tc>
          <w:tcPr>
            <w:tcW w:w="1400" w:type="pct"/>
            <w:shd w:val="clear" w:color="auto" w:fill="1C2B3A"/>
            <w:tcMar>
              <w:top w:w="100" w:type="dxa"/>
              <w:left w:w="150" w:type="dxa"/>
              <w:bottom w:w="100" w:type="dxa"/>
              <w:right w:w="150" w:type="dxa"/>
            </w:tcMar>
          </w:tcPr>
          <w:p w14:paraId="04113C86" w14:textId="77777777" w:rsidR="00312A7C" w:rsidRDefault="00000000">
            <w:r>
              <w:rPr>
                <w:b/>
                <w:bCs/>
                <w:color w:val="FFFFFF"/>
                <w:sz w:val="20"/>
                <w:szCs w:val="20"/>
              </w:rPr>
              <w:t>Currency Signal</w:t>
            </w:r>
          </w:p>
        </w:tc>
        <w:tc>
          <w:tcPr>
            <w:tcW w:w="3600" w:type="pct"/>
            <w:shd w:val="clear" w:color="auto" w:fill="1C2B3A"/>
            <w:tcMar>
              <w:top w:w="100" w:type="dxa"/>
              <w:left w:w="150" w:type="dxa"/>
              <w:bottom w:w="100" w:type="dxa"/>
              <w:right w:w="150" w:type="dxa"/>
            </w:tcMar>
          </w:tcPr>
          <w:p w14:paraId="244B9E1F" w14:textId="77777777" w:rsidR="00312A7C" w:rsidRDefault="00000000">
            <w:r>
              <w:rPr>
                <w:b/>
                <w:bCs/>
                <w:color w:val="FFFFFF"/>
                <w:sz w:val="20"/>
                <w:szCs w:val="20"/>
              </w:rPr>
              <w:t>How to Apply It</w:t>
            </w:r>
          </w:p>
        </w:tc>
      </w:tr>
      <w:tr w:rsidR="00312A7C" w14:paraId="75343F6D" w14:textId="77777777">
        <w:tc>
          <w:tcPr>
            <w:tcW w:w="1400" w:type="pct"/>
            <w:shd w:val="clear" w:color="auto" w:fill="FFFFFF"/>
            <w:tcMar>
              <w:top w:w="100" w:type="dxa"/>
              <w:left w:w="150" w:type="dxa"/>
              <w:bottom w:w="100" w:type="dxa"/>
              <w:right w:w="150" w:type="dxa"/>
            </w:tcMar>
          </w:tcPr>
          <w:p w14:paraId="3DFA6BBD" w14:textId="77777777" w:rsidR="00312A7C" w:rsidRDefault="00000000">
            <w:r>
              <w:rPr>
                <w:color w:val="000000"/>
                <w:sz w:val="20"/>
                <w:szCs w:val="20"/>
              </w:rPr>
              <w:t>Year or quarter in headline</w:t>
            </w:r>
          </w:p>
        </w:tc>
        <w:tc>
          <w:tcPr>
            <w:tcW w:w="3600" w:type="pct"/>
            <w:shd w:val="clear" w:color="auto" w:fill="FFFFFF"/>
            <w:tcMar>
              <w:top w:w="100" w:type="dxa"/>
              <w:left w:w="150" w:type="dxa"/>
              <w:bottom w:w="100" w:type="dxa"/>
              <w:right w:w="150" w:type="dxa"/>
            </w:tcMar>
          </w:tcPr>
          <w:p w14:paraId="4B040B59" w14:textId="77777777" w:rsidR="00312A7C" w:rsidRDefault="00000000">
            <w:r>
              <w:rPr>
                <w:color w:val="000000"/>
                <w:sz w:val="20"/>
                <w:szCs w:val="20"/>
              </w:rPr>
              <w:t>Add 2026 to the H1 where possible; use quarter-level phrasing where it fits, for example "in Q3 2026," since it reads as more current than a bare year (client feedback, Aug 2026). Example: 'Supplier Financial Risk Signals Procurement Should Monitor in 2026'</w:t>
            </w:r>
          </w:p>
        </w:tc>
      </w:tr>
      <w:tr w:rsidR="00312A7C" w14:paraId="22036368" w14:textId="77777777">
        <w:tc>
          <w:tcPr>
            <w:tcW w:w="1400" w:type="pct"/>
            <w:shd w:val="clear" w:color="auto" w:fill="F2F3F4"/>
            <w:tcMar>
              <w:top w:w="100" w:type="dxa"/>
              <w:left w:w="150" w:type="dxa"/>
              <w:bottom w:w="100" w:type="dxa"/>
              <w:right w:w="150" w:type="dxa"/>
            </w:tcMar>
          </w:tcPr>
          <w:p w14:paraId="70724097" w14:textId="77777777" w:rsidR="00312A7C" w:rsidRDefault="00000000">
            <w:r>
              <w:rPr>
                <w:color w:val="000000"/>
                <w:sz w:val="20"/>
                <w:szCs w:val="20"/>
              </w:rPr>
              <w:t>Year in H2s</w:t>
            </w:r>
          </w:p>
        </w:tc>
        <w:tc>
          <w:tcPr>
            <w:tcW w:w="3600" w:type="pct"/>
            <w:shd w:val="clear" w:color="auto" w:fill="F2F3F4"/>
            <w:tcMar>
              <w:top w:w="100" w:type="dxa"/>
              <w:left w:w="150" w:type="dxa"/>
              <w:bottom w:w="100" w:type="dxa"/>
              <w:right w:w="150" w:type="dxa"/>
            </w:tcMar>
          </w:tcPr>
          <w:p w14:paraId="6A24D4C4" w14:textId="77777777" w:rsidR="00312A7C" w:rsidRDefault="00000000">
            <w:r>
              <w:rPr>
                <w:color w:val="000000"/>
                <w:sz w:val="20"/>
                <w:szCs w:val="20"/>
              </w:rPr>
              <w:t>Include Mid-2026, H2 2026, or 2026 in at least one H2 per article</w:t>
            </w:r>
          </w:p>
        </w:tc>
      </w:tr>
      <w:tr w:rsidR="00312A7C" w14:paraId="749F6CB4" w14:textId="77777777">
        <w:tc>
          <w:tcPr>
            <w:tcW w:w="1400" w:type="pct"/>
            <w:shd w:val="clear" w:color="auto" w:fill="FFFFFF"/>
            <w:tcMar>
              <w:top w:w="100" w:type="dxa"/>
              <w:left w:w="150" w:type="dxa"/>
              <w:bottom w:w="100" w:type="dxa"/>
              <w:right w:w="150" w:type="dxa"/>
            </w:tcMar>
          </w:tcPr>
          <w:p w14:paraId="77095E73" w14:textId="77777777" w:rsidR="00312A7C" w:rsidRDefault="00000000">
            <w:r>
              <w:rPr>
                <w:color w:val="000000"/>
                <w:sz w:val="20"/>
                <w:szCs w:val="20"/>
              </w:rPr>
              <w:t>Publish date timestamp</w:t>
            </w:r>
          </w:p>
        </w:tc>
        <w:tc>
          <w:tcPr>
            <w:tcW w:w="3600" w:type="pct"/>
            <w:shd w:val="clear" w:color="auto" w:fill="FFFFFF"/>
            <w:tcMar>
              <w:top w:w="100" w:type="dxa"/>
              <w:left w:w="150" w:type="dxa"/>
              <w:bottom w:w="100" w:type="dxa"/>
              <w:right w:w="150" w:type="dxa"/>
            </w:tcMar>
          </w:tcPr>
          <w:p w14:paraId="3D796188" w14:textId="77777777" w:rsidR="00312A7C" w:rsidRDefault="00000000">
            <w:r>
              <w:rPr>
                <w:color w:val="000000"/>
                <w:sz w:val="20"/>
                <w:szCs w:val="20"/>
              </w:rPr>
              <w:t>Ensure the published date is visible on the page. Google uses this as a freshness signal</w:t>
            </w:r>
          </w:p>
        </w:tc>
      </w:tr>
      <w:tr w:rsidR="00312A7C" w14:paraId="47408D9B" w14:textId="77777777">
        <w:tc>
          <w:tcPr>
            <w:tcW w:w="1400" w:type="pct"/>
            <w:shd w:val="clear" w:color="auto" w:fill="F2F3F4"/>
            <w:tcMar>
              <w:top w:w="100" w:type="dxa"/>
              <w:left w:w="150" w:type="dxa"/>
              <w:bottom w:w="100" w:type="dxa"/>
              <w:right w:w="150" w:type="dxa"/>
            </w:tcMar>
          </w:tcPr>
          <w:p w14:paraId="231A2E7A" w14:textId="77777777" w:rsidR="00312A7C" w:rsidRDefault="00000000">
            <w:r>
              <w:rPr>
                <w:color w:val="000000"/>
                <w:sz w:val="20"/>
                <w:szCs w:val="20"/>
              </w:rPr>
              <w:t>Dated citations</w:t>
            </w:r>
          </w:p>
        </w:tc>
        <w:tc>
          <w:tcPr>
            <w:tcW w:w="3600" w:type="pct"/>
            <w:shd w:val="clear" w:color="auto" w:fill="F2F3F4"/>
            <w:tcMar>
              <w:top w:w="100" w:type="dxa"/>
              <w:left w:w="150" w:type="dxa"/>
              <w:bottom w:w="100" w:type="dxa"/>
              <w:right w:w="150" w:type="dxa"/>
            </w:tcMar>
          </w:tcPr>
          <w:p w14:paraId="3E75C62D" w14:textId="77777777" w:rsidR="00312A7C" w:rsidRDefault="00000000">
            <w:r>
              <w:rPr>
                <w:color w:val="000000"/>
                <w:sz w:val="20"/>
                <w:szCs w:val="20"/>
              </w:rPr>
              <w:t>All statistics must reference the year of the study, for example McKinsey, 2026 or Gartner, Q1 2026</w:t>
            </w:r>
          </w:p>
        </w:tc>
      </w:tr>
      <w:tr w:rsidR="00312A7C" w14:paraId="43585E9D" w14:textId="77777777">
        <w:tc>
          <w:tcPr>
            <w:tcW w:w="1400" w:type="pct"/>
            <w:shd w:val="clear" w:color="auto" w:fill="FFFFFF"/>
            <w:tcMar>
              <w:top w:w="100" w:type="dxa"/>
              <w:left w:w="150" w:type="dxa"/>
              <w:bottom w:w="100" w:type="dxa"/>
              <w:right w:w="150" w:type="dxa"/>
            </w:tcMar>
          </w:tcPr>
          <w:p w14:paraId="1285444F" w14:textId="77777777" w:rsidR="00312A7C" w:rsidRDefault="00000000">
            <w:r>
              <w:rPr>
                <w:color w:val="000000"/>
                <w:sz w:val="20"/>
                <w:szCs w:val="20"/>
              </w:rPr>
              <w:t>Recent Developments section</w:t>
            </w:r>
          </w:p>
        </w:tc>
        <w:tc>
          <w:tcPr>
            <w:tcW w:w="3600" w:type="pct"/>
            <w:shd w:val="clear" w:color="auto" w:fill="FFFFFF"/>
            <w:tcMar>
              <w:top w:w="100" w:type="dxa"/>
              <w:left w:w="150" w:type="dxa"/>
              <w:bottom w:w="100" w:type="dxa"/>
              <w:right w:w="150" w:type="dxa"/>
            </w:tcMar>
          </w:tcPr>
          <w:p w14:paraId="1D9A4BBD" w14:textId="77777777" w:rsidR="00312A7C" w:rsidRDefault="00000000">
            <w:r>
              <w:rPr>
                <w:color w:val="000000"/>
                <w:sz w:val="20"/>
                <w:szCs w:val="20"/>
              </w:rPr>
              <w:t>Include a subsection titled 'Recent Developments' or 'What Changed in 2026' where the topic has evolved</w:t>
            </w:r>
          </w:p>
        </w:tc>
      </w:tr>
      <w:tr w:rsidR="00312A7C" w14:paraId="1E1D723A" w14:textId="77777777">
        <w:tc>
          <w:tcPr>
            <w:tcW w:w="1400" w:type="pct"/>
            <w:shd w:val="clear" w:color="auto" w:fill="F2F3F4"/>
            <w:tcMar>
              <w:top w:w="100" w:type="dxa"/>
              <w:left w:w="150" w:type="dxa"/>
              <w:bottom w:w="100" w:type="dxa"/>
              <w:right w:w="150" w:type="dxa"/>
            </w:tcMar>
          </w:tcPr>
          <w:p w14:paraId="3032756B" w14:textId="77777777" w:rsidR="00312A7C" w:rsidRDefault="00000000">
            <w:r>
              <w:rPr>
                <w:color w:val="000000"/>
                <w:sz w:val="20"/>
                <w:szCs w:val="20"/>
              </w:rPr>
              <w:t>Quarterly refresh of time-bound topics</w:t>
            </w:r>
          </w:p>
        </w:tc>
        <w:tc>
          <w:tcPr>
            <w:tcW w:w="3600" w:type="pct"/>
            <w:shd w:val="clear" w:color="auto" w:fill="F2F3F4"/>
            <w:tcMar>
              <w:top w:w="100" w:type="dxa"/>
              <w:left w:w="150" w:type="dxa"/>
              <w:bottom w:w="100" w:type="dxa"/>
              <w:right w:w="150" w:type="dxa"/>
            </w:tcMar>
          </w:tcPr>
          <w:p w14:paraId="1ACF4F2F" w14:textId="77777777" w:rsidR="00312A7C" w:rsidRDefault="00000000">
            <w:r>
              <w:rPr>
                <w:color w:val="000000"/>
                <w:sz w:val="20"/>
                <w:szCs w:val="20"/>
              </w:rPr>
              <w:t xml:space="preserve">Review published articles anchored to time-bound data (tariffs, regulations, market forecasts) at least once a </w:t>
            </w:r>
            <w:proofErr w:type="gramStart"/>
            <w:r>
              <w:rPr>
                <w:color w:val="000000"/>
                <w:sz w:val="20"/>
                <w:szCs w:val="20"/>
              </w:rPr>
              <w:t>quarter, and</w:t>
            </w:r>
            <w:proofErr w:type="gramEnd"/>
            <w:r>
              <w:rPr>
                <w:color w:val="000000"/>
                <w:sz w:val="20"/>
                <w:szCs w:val="20"/>
              </w:rPr>
              <w:t xml:space="preserve"> update the headline and stats to the current half or quarter. Example flagged by the client: a tariffs article referencing 2025 should be refreshed to reference the second half of 2026 rather than left as-is.</w:t>
            </w:r>
          </w:p>
        </w:tc>
      </w:tr>
    </w:tbl>
    <w:p w14:paraId="6AB3DEBA" w14:textId="77777777" w:rsidR="00312A7C" w:rsidRDefault="00312A7C">
      <w:pPr>
        <w:spacing w:after="200"/>
      </w:pPr>
    </w:p>
    <w:p w14:paraId="1174869A" w14:textId="77777777" w:rsidR="00312A7C" w:rsidRDefault="00000000">
      <w:pPr>
        <w:pStyle w:val="Heading2"/>
        <w:spacing w:before="300" w:after="140"/>
      </w:pPr>
      <w:r>
        <w:rPr>
          <w:b/>
          <w:bCs/>
          <w:color w:val="1C2B3A"/>
        </w:rPr>
        <w:t>5.2 Expertise Indicators</w:t>
      </w:r>
    </w:p>
    <w:p w14:paraId="3E5C6D2E" w14:textId="77777777" w:rsidR="00312A7C" w:rsidRDefault="00000000">
      <w:pPr>
        <w:spacing w:after="160"/>
      </w:pPr>
      <w:r>
        <w:rPr>
          <w:color w:val="000000"/>
        </w:rPr>
        <w:t>Expertise signals tell Google that the content is backed by authoritative, credible sources, not just opinion.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0"/>
        <w:gridCol w:w="7250"/>
      </w:tblGrid>
      <w:tr w:rsidR="00312A7C" w14:paraId="36F1707B" w14:textId="77777777">
        <w:trPr>
          <w:tblHeader/>
        </w:trPr>
        <w:tc>
          <w:tcPr>
            <w:tcW w:w="1400" w:type="pct"/>
            <w:shd w:val="clear" w:color="auto" w:fill="1C2B3A"/>
            <w:tcMar>
              <w:top w:w="100" w:type="dxa"/>
              <w:left w:w="150" w:type="dxa"/>
              <w:bottom w:w="100" w:type="dxa"/>
              <w:right w:w="150" w:type="dxa"/>
            </w:tcMar>
          </w:tcPr>
          <w:p w14:paraId="7AD55021" w14:textId="77777777" w:rsidR="00312A7C" w:rsidRDefault="00000000">
            <w:r>
              <w:rPr>
                <w:b/>
                <w:bCs/>
                <w:color w:val="FFFFFF"/>
                <w:sz w:val="20"/>
                <w:szCs w:val="20"/>
              </w:rPr>
              <w:t>Expertise Signal</w:t>
            </w:r>
          </w:p>
        </w:tc>
        <w:tc>
          <w:tcPr>
            <w:tcW w:w="3600" w:type="pct"/>
            <w:shd w:val="clear" w:color="auto" w:fill="1C2B3A"/>
            <w:tcMar>
              <w:top w:w="100" w:type="dxa"/>
              <w:left w:w="150" w:type="dxa"/>
              <w:bottom w:w="100" w:type="dxa"/>
              <w:right w:w="150" w:type="dxa"/>
            </w:tcMar>
          </w:tcPr>
          <w:p w14:paraId="646FFAB2" w14:textId="77777777" w:rsidR="00312A7C" w:rsidRDefault="00000000">
            <w:r>
              <w:rPr>
                <w:b/>
                <w:bCs/>
                <w:color w:val="FFFFFF"/>
                <w:sz w:val="20"/>
                <w:szCs w:val="20"/>
              </w:rPr>
              <w:t>How to Apply It</w:t>
            </w:r>
          </w:p>
        </w:tc>
      </w:tr>
      <w:tr w:rsidR="00312A7C" w14:paraId="13BFFF02" w14:textId="77777777">
        <w:tc>
          <w:tcPr>
            <w:tcW w:w="1400" w:type="pct"/>
            <w:shd w:val="clear" w:color="auto" w:fill="FFFFFF"/>
            <w:tcMar>
              <w:top w:w="100" w:type="dxa"/>
              <w:left w:w="150" w:type="dxa"/>
              <w:bottom w:w="100" w:type="dxa"/>
              <w:right w:w="150" w:type="dxa"/>
            </w:tcMar>
          </w:tcPr>
          <w:p w14:paraId="6774F526" w14:textId="77777777" w:rsidR="00312A7C" w:rsidRDefault="00000000">
            <w:r>
              <w:rPr>
                <w:color w:val="000000"/>
                <w:sz w:val="20"/>
                <w:szCs w:val="20"/>
              </w:rPr>
              <w:t>What the Experts Are Saying section</w:t>
            </w:r>
          </w:p>
        </w:tc>
        <w:tc>
          <w:tcPr>
            <w:tcW w:w="3600" w:type="pct"/>
            <w:shd w:val="clear" w:color="auto" w:fill="FFFFFF"/>
            <w:tcMar>
              <w:top w:w="100" w:type="dxa"/>
              <w:left w:w="150" w:type="dxa"/>
              <w:bottom w:w="100" w:type="dxa"/>
              <w:right w:w="150" w:type="dxa"/>
            </w:tcMar>
          </w:tcPr>
          <w:p w14:paraId="0CEDA42D" w14:textId="77777777" w:rsidR="00312A7C" w:rsidRDefault="00000000">
            <w:r>
              <w:rPr>
                <w:color w:val="000000"/>
                <w:sz w:val="20"/>
                <w:szCs w:val="20"/>
              </w:rPr>
              <w:t>Include a dedicated summary table in every article listing all third-party citations in one place. Label it 'What the Experts Are Saying.' Include: source name, key finding, year.</w:t>
            </w:r>
          </w:p>
        </w:tc>
      </w:tr>
      <w:tr w:rsidR="00312A7C" w14:paraId="4242AE45" w14:textId="77777777">
        <w:tc>
          <w:tcPr>
            <w:tcW w:w="1400" w:type="pct"/>
            <w:shd w:val="clear" w:color="auto" w:fill="F2F3F4"/>
            <w:tcMar>
              <w:top w:w="100" w:type="dxa"/>
              <w:left w:w="150" w:type="dxa"/>
              <w:bottom w:w="100" w:type="dxa"/>
              <w:right w:w="150" w:type="dxa"/>
            </w:tcMar>
          </w:tcPr>
          <w:p w14:paraId="47A6AD18" w14:textId="77777777" w:rsidR="00312A7C" w:rsidRDefault="00000000">
            <w:r>
              <w:rPr>
                <w:color w:val="000000"/>
                <w:sz w:val="20"/>
                <w:szCs w:val="20"/>
              </w:rPr>
              <w:t>Lead with the source</w:t>
            </w:r>
          </w:p>
        </w:tc>
        <w:tc>
          <w:tcPr>
            <w:tcW w:w="3600" w:type="pct"/>
            <w:shd w:val="clear" w:color="auto" w:fill="F2F3F4"/>
            <w:tcMar>
              <w:top w:w="100" w:type="dxa"/>
              <w:left w:w="150" w:type="dxa"/>
              <w:bottom w:w="100" w:type="dxa"/>
              <w:right w:w="150" w:type="dxa"/>
            </w:tcMar>
          </w:tcPr>
          <w:p w14:paraId="604B427D" w14:textId="77777777" w:rsidR="00312A7C" w:rsidRDefault="00000000">
            <w:r>
              <w:rPr>
                <w:color w:val="000000"/>
                <w:sz w:val="20"/>
                <w:szCs w:val="20"/>
              </w:rPr>
              <w:t>Where an article or section opens on a statistic, name the source in the first sentence itself, for example "According to Gartner, procurement AI adoption increased 387%," rather than attributing it later in the paragraph (client feedback, Aug 2026).</w:t>
            </w:r>
          </w:p>
        </w:tc>
      </w:tr>
      <w:tr w:rsidR="00312A7C" w14:paraId="088DBBCD" w14:textId="77777777">
        <w:tc>
          <w:tcPr>
            <w:tcW w:w="1400" w:type="pct"/>
            <w:shd w:val="clear" w:color="auto" w:fill="FFFFFF"/>
            <w:tcMar>
              <w:top w:w="100" w:type="dxa"/>
              <w:left w:w="150" w:type="dxa"/>
              <w:bottom w:w="100" w:type="dxa"/>
              <w:right w:w="150" w:type="dxa"/>
            </w:tcMar>
          </w:tcPr>
          <w:p w14:paraId="13246662" w14:textId="77777777" w:rsidR="00312A7C" w:rsidRDefault="00000000">
            <w:r>
              <w:rPr>
                <w:color w:val="000000"/>
                <w:sz w:val="20"/>
                <w:szCs w:val="20"/>
              </w:rPr>
              <w:t>Bold third-party names</w:t>
            </w:r>
          </w:p>
        </w:tc>
        <w:tc>
          <w:tcPr>
            <w:tcW w:w="3600" w:type="pct"/>
            <w:shd w:val="clear" w:color="auto" w:fill="FFFFFF"/>
            <w:tcMar>
              <w:top w:w="100" w:type="dxa"/>
              <w:left w:w="150" w:type="dxa"/>
              <w:bottom w:w="100" w:type="dxa"/>
              <w:right w:w="150" w:type="dxa"/>
            </w:tcMar>
          </w:tcPr>
          <w:p w14:paraId="767884DB" w14:textId="77777777" w:rsidR="00312A7C" w:rsidRDefault="00000000">
            <w:r>
              <w:rPr>
                <w:color w:val="000000"/>
                <w:sz w:val="20"/>
                <w:szCs w:val="20"/>
              </w:rPr>
              <w:t>Bold the name of the third-party source on first mention in a sentence to visually flag independent validation, for example "Procurement Magazine's 2026 review compares eleven vendors building agentic AI."</w:t>
            </w:r>
          </w:p>
        </w:tc>
      </w:tr>
      <w:tr w:rsidR="00312A7C" w14:paraId="0D12993A" w14:textId="77777777">
        <w:tc>
          <w:tcPr>
            <w:tcW w:w="1400" w:type="pct"/>
            <w:shd w:val="clear" w:color="auto" w:fill="F2F3F4"/>
            <w:tcMar>
              <w:top w:w="100" w:type="dxa"/>
              <w:left w:w="150" w:type="dxa"/>
              <w:bottom w:w="100" w:type="dxa"/>
              <w:right w:w="150" w:type="dxa"/>
            </w:tcMar>
          </w:tcPr>
          <w:p w14:paraId="406A4CDD" w14:textId="77777777" w:rsidR="00312A7C" w:rsidRDefault="00000000">
            <w:r>
              <w:rPr>
                <w:color w:val="000000"/>
                <w:sz w:val="20"/>
                <w:szCs w:val="20"/>
              </w:rPr>
              <w:t>Named sources only</w:t>
            </w:r>
          </w:p>
        </w:tc>
        <w:tc>
          <w:tcPr>
            <w:tcW w:w="3600" w:type="pct"/>
            <w:shd w:val="clear" w:color="auto" w:fill="F2F3F4"/>
            <w:tcMar>
              <w:top w:w="100" w:type="dxa"/>
              <w:left w:w="150" w:type="dxa"/>
              <w:bottom w:w="100" w:type="dxa"/>
              <w:right w:w="150" w:type="dxa"/>
            </w:tcMar>
          </w:tcPr>
          <w:p w14:paraId="49138643" w14:textId="77777777" w:rsidR="00312A7C" w:rsidRDefault="00000000">
            <w:r>
              <w:rPr>
                <w:color w:val="000000"/>
                <w:sz w:val="20"/>
                <w:szCs w:val="20"/>
              </w:rPr>
              <w:t>Every statistic must have a named source. Never write 'studies show' or 'research indicates.' Name the institution, the report, and the year.</w:t>
            </w:r>
          </w:p>
        </w:tc>
      </w:tr>
      <w:tr w:rsidR="00312A7C" w14:paraId="73AD798E" w14:textId="77777777">
        <w:tc>
          <w:tcPr>
            <w:tcW w:w="1400" w:type="pct"/>
            <w:shd w:val="clear" w:color="auto" w:fill="FFFFFF"/>
            <w:tcMar>
              <w:top w:w="100" w:type="dxa"/>
              <w:left w:w="150" w:type="dxa"/>
              <w:bottom w:w="100" w:type="dxa"/>
              <w:right w:w="150" w:type="dxa"/>
            </w:tcMar>
          </w:tcPr>
          <w:p w14:paraId="1D8CF43B" w14:textId="77777777" w:rsidR="00312A7C" w:rsidRDefault="00000000">
            <w:r>
              <w:rPr>
                <w:color w:val="000000"/>
                <w:sz w:val="20"/>
                <w:szCs w:val="20"/>
              </w:rPr>
              <w:t>Hyperlinked citations</w:t>
            </w:r>
          </w:p>
        </w:tc>
        <w:tc>
          <w:tcPr>
            <w:tcW w:w="3600" w:type="pct"/>
            <w:shd w:val="clear" w:color="auto" w:fill="FFFFFF"/>
            <w:tcMar>
              <w:top w:w="100" w:type="dxa"/>
              <w:left w:w="150" w:type="dxa"/>
              <w:bottom w:w="100" w:type="dxa"/>
              <w:right w:w="150" w:type="dxa"/>
            </w:tcMar>
          </w:tcPr>
          <w:p w14:paraId="43822AB7" w14:textId="77777777" w:rsidR="00312A7C" w:rsidRDefault="00000000">
            <w:r>
              <w:rPr>
                <w:color w:val="000000"/>
                <w:sz w:val="20"/>
                <w:szCs w:val="20"/>
              </w:rPr>
              <w:t>All third-party data points must be hyperlinked to the primary source where publicly available.</w:t>
            </w:r>
          </w:p>
        </w:tc>
      </w:tr>
      <w:tr w:rsidR="00312A7C" w14:paraId="54F01D20" w14:textId="77777777">
        <w:tc>
          <w:tcPr>
            <w:tcW w:w="1400" w:type="pct"/>
            <w:shd w:val="clear" w:color="auto" w:fill="F2F3F4"/>
            <w:tcMar>
              <w:top w:w="100" w:type="dxa"/>
              <w:left w:w="150" w:type="dxa"/>
              <w:bottom w:w="100" w:type="dxa"/>
              <w:right w:w="150" w:type="dxa"/>
            </w:tcMar>
          </w:tcPr>
          <w:p w14:paraId="611D3CF0" w14:textId="77777777" w:rsidR="00312A7C" w:rsidRDefault="00000000">
            <w:r>
              <w:rPr>
                <w:color w:val="000000"/>
                <w:sz w:val="20"/>
                <w:szCs w:val="20"/>
              </w:rPr>
              <w:t>Minimum citation count</w:t>
            </w:r>
          </w:p>
        </w:tc>
        <w:tc>
          <w:tcPr>
            <w:tcW w:w="3600" w:type="pct"/>
            <w:shd w:val="clear" w:color="auto" w:fill="F2F3F4"/>
            <w:tcMar>
              <w:top w:w="100" w:type="dxa"/>
              <w:left w:w="150" w:type="dxa"/>
              <w:bottom w:w="100" w:type="dxa"/>
              <w:right w:w="150" w:type="dxa"/>
            </w:tcMar>
          </w:tcPr>
          <w:p w14:paraId="39B7A2DF" w14:textId="77777777" w:rsidR="00312A7C" w:rsidRDefault="00000000">
            <w:r>
              <w:rPr>
                <w:color w:val="000000"/>
                <w:sz w:val="20"/>
                <w:szCs w:val="20"/>
              </w:rPr>
              <w:t>Every article must include at least 4 named, cited external data points.</w:t>
            </w:r>
          </w:p>
        </w:tc>
      </w:tr>
    </w:tbl>
    <w:p w14:paraId="1A9A45D8" w14:textId="77777777" w:rsidR="00312A7C" w:rsidRDefault="00312A7C">
      <w:pPr>
        <w:spacing w:after="200"/>
      </w:pPr>
    </w:p>
    <w:p w14:paraId="2B76348E" w14:textId="77777777" w:rsidR="00312A7C" w:rsidRDefault="00000000">
      <w:pPr>
        <w:pStyle w:val="Heading2"/>
        <w:spacing w:before="300" w:after="140"/>
      </w:pPr>
      <w:r>
        <w:rPr>
          <w:b/>
          <w:bCs/>
          <w:color w:val="1C2B3A"/>
        </w:rPr>
        <w:t>5.3 Data Presentation &amp; Contrast (New, Aug 2026)</w:t>
      </w:r>
    </w:p>
    <w:p w14:paraId="70CAF131" w14:textId="77777777" w:rsidR="00312A7C" w:rsidRDefault="00000000">
      <w:pPr>
        <w:spacing w:after="160"/>
      </w:pPr>
      <w:r>
        <w:rPr>
          <w:color w:val="000000"/>
        </w:rPr>
        <w:t>When a section presents multiple related data points that exist specifically to set up a contrast, do not give every item equal visual or textual weight. Structure the sentence or layout so the contrasting point carries the emphasis.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13"/>
        <w:gridCol w:w="8257"/>
      </w:tblGrid>
      <w:tr w:rsidR="00312A7C" w14:paraId="40BBE7FB" w14:textId="77777777">
        <w:tc>
          <w:tcPr>
            <w:tcW w:w="900" w:type="pct"/>
            <w:shd w:val="clear" w:color="auto" w:fill="1C2B3A"/>
            <w:tcMar>
              <w:top w:w="100" w:type="dxa"/>
              <w:left w:w="150" w:type="dxa"/>
              <w:bottom w:w="100" w:type="dxa"/>
              <w:right w:w="150" w:type="dxa"/>
            </w:tcMar>
          </w:tcPr>
          <w:p w14:paraId="3493DB30" w14:textId="77777777" w:rsidR="00312A7C" w:rsidRDefault="00000000">
            <w:r>
              <w:rPr>
                <w:b/>
                <w:bCs/>
                <w:color w:val="FFFFFF"/>
                <w:sz w:val="20"/>
                <w:szCs w:val="20"/>
              </w:rPr>
              <w:t>BEFORE</w:t>
            </w:r>
          </w:p>
        </w:tc>
        <w:tc>
          <w:tcPr>
            <w:tcW w:w="4100" w:type="pct"/>
            <w:shd w:val="clear" w:color="auto" w:fill="FFFFFF"/>
            <w:tcMar>
              <w:top w:w="100" w:type="dxa"/>
              <w:left w:w="150" w:type="dxa"/>
              <w:bottom w:w="100" w:type="dxa"/>
              <w:right w:w="150" w:type="dxa"/>
            </w:tcMar>
          </w:tcPr>
          <w:p w14:paraId="274C99FB" w14:textId="77777777" w:rsidR="00312A7C" w:rsidRDefault="00000000">
            <w:r>
              <w:rPr>
                <w:color w:val="000000"/>
                <w:sz w:val="20"/>
                <w:szCs w:val="20"/>
              </w:rPr>
              <w:t>Four data points shown at equal size and weight: 95% Tier 1 visibility, 85% Tier 2+ incidents, [item 3], [item 4].</w:t>
            </w:r>
          </w:p>
        </w:tc>
      </w:tr>
      <w:tr w:rsidR="00312A7C" w14:paraId="01CD7631" w14:textId="77777777">
        <w:tc>
          <w:tcPr>
            <w:tcW w:w="900" w:type="pct"/>
            <w:shd w:val="clear" w:color="auto" w:fill="1C2B3A"/>
            <w:tcMar>
              <w:top w:w="100" w:type="dxa"/>
              <w:left w:w="150" w:type="dxa"/>
              <w:bottom w:w="100" w:type="dxa"/>
              <w:right w:w="150" w:type="dxa"/>
            </w:tcMar>
          </w:tcPr>
          <w:p w14:paraId="03BF7210" w14:textId="77777777" w:rsidR="00312A7C" w:rsidRDefault="00000000">
            <w:r>
              <w:rPr>
                <w:b/>
                <w:bCs/>
                <w:color w:val="FFFFFF"/>
                <w:sz w:val="20"/>
                <w:szCs w:val="20"/>
              </w:rPr>
              <w:t>AFTER</w:t>
            </w:r>
          </w:p>
        </w:tc>
        <w:tc>
          <w:tcPr>
            <w:tcW w:w="4100" w:type="pct"/>
            <w:shd w:val="clear" w:color="auto" w:fill="EAFAF1"/>
            <w:tcMar>
              <w:top w:w="100" w:type="dxa"/>
              <w:left w:w="150" w:type="dxa"/>
              <w:bottom w:w="100" w:type="dxa"/>
              <w:right w:w="150" w:type="dxa"/>
            </w:tcMar>
          </w:tcPr>
          <w:p w14:paraId="6287762D" w14:textId="77777777" w:rsidR="00312A7C" w:rsidRDefault="00000000">
            <w:r>
              <w:rPr>
                <w:b/>
                <w:bCs/>
                <w:sz w:val="20"/>
                <w:szCs w:val="20"/>
              </w:rPr>
              <w:t>95% of procurement teams have full visibility into their Tier 1 suppliers. BUT 85% of supply chain risk incidents originate at Tier 2, 3, and 4, where that visibility disappears.</w:t>
            </w:r>
          </w:p>
        </w:tc>
      </w:tr>
      <w:tr w:rsidR="00312A7C" w14:paraId="0D16218B" w14:textId="77777777">
        <w:tc>
          <w:tcPr>
            <w:tcW w:w="900" w:type="pct"/>
            <w:shd w:val="clear" w:color="auto" w:fill="1C2B3A"/>
            <w:tcMar>
              <w:top w:w="100" w:type="dxa"/>
              <w:left w:w="150" w:type="dxa"/>
              <w:bottom w:w="100" w:type="dxa"/>
              <w:right w:w="150" w:type="dxa"/>
            </w:tcMar>
          </w:tcPr>
          <w:p w14:paraId="423BE11C" w14:textId="77777777" w:rsidR="00312A7C" w:rsidRDefault="00000000">
            <w:r>
              <w:rPr>
                <w:b/>
                <w:bCs/>
                <w:color w:val="FFFFFF"/>
                <w:sz w:val="20"/>
                <w:szCs w:val="20"/>
              </w:rPr>
              <w:t>NOTE</w:t>
            </w:r>
          </w:p>
        </w:tc>
        <w:tc>
          <w:tcPr>
            <w:tcW w:w="4100" w:type="pct"/>
            <w:shd w:val="clear" w:color="auto" w:fill="EAF2F8"/>
            <w:tcMar>
              <w:top w:w="100" w:type="dxa"/>
              <w:left w:w="150" w:type="dxa"/>
              <w:bottom w:w="100" w:type="dxa"/>
              <w:right w:w="150" w:type="dxa"/>
            </w:tcMar>
          </w:tcPr>
          <w:p w14:paraId="0E37C891" w14:textId="77777777" w:rsidR="00312A7C" w:rsidRDefault="00000000">
            <w:r>
              <w:rPr>
                <w:color w:val="000000"/>
                <w:sz w:val="20"/>
                <w:szCs w:val="20"/>
              </w:rPr>
              <w:t xml:space="preserve">Client feedback, Aug 2026: equal-sized data points lose the story. Use an explicit contrast construction, X% ... BUT Y% ..., so the reader doesn't lose the surprising point among </w:t>
            </w:r>
            <w:proofErr w:type="gramStart"/>
            <w:r>
              <w:rPr>
                <w:color w:val="000000"/>
                <w:sz w:val="20"/>
                <w:szCs w:val="20"/>
              </w:rPr>
              <w:t>equally-weighted</w:t>
            </w:r>
            <w:proofErr w:type="gramEnd"/>
            <w:r>
              <w:rPr>
                <w:color w:val="000000"/>
                <w:sz w:val="20"/>
                <w:szCs w:val="20"/>
              </w:rPr>
              <w:t xml:space="preserve"> stats.</w:t>
            </w:r>
          </w:p>
        </w:tc>
      </w:tr>
    </w:tbl>
    <w:p w14:paraId="2511942F" w14:textId="77777777" w:rsidR="00312A7C" w:rsidRDefault="00312A7C">
      <w:pPr>
        <w:spacing w:after="200"/>
      </w:pPr>
    </w:p>
    <w:p w14:paraId="2E6E9BE1" w14:textId="77777777" w:rsidR="00312A7C" w:rsidRDefault="00000000">
      <w:pPr>
        <w:pStyle w:val="Heading2"/>
        <w:spacing w:before="300" w:after="140"/>
      </w:pPr>
      <w:r>
        <w:rPr>
          <w:b/>
          <w:bCs/>
          <w:color w:val="1C2B3A"/>
        </w:rPr>
        <w:t>5.4 AI &amp; Search Crawlability (New, Aug 2026)</w:t>
      </w:r>
    </w:p>
    <w:tbl>
      <w:tblPr>
        <w:tblW w:w="5000" w:type="pct"/>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10070"/>
      </w:tblGrid>
      <w:tr w:rsidR="00312A7C" w14:paraId="254CD4E4" w14:textId="77777777">
        <w:tc>
          <w:tcPr>
            <w:tcW w:w="0" w:type="auto"/>
            <w:shd w:val="clear" w:color="auto" w:fill="EAF2F8"/>
            <w:tcMar>
              <w:top w:w="100" w:type="dxa"/>
              <w:left w:w="150" w:type="dxa"/>
              <w:bottom w:w="100" w:type="dxa"/>
              <w:right w:w="150" w:type="dxa"/>
            </w:tcMar>
          </w:tcPr>
          <w:p w14:paraId="645EC12E" w14:textId="77777777" w:rsidR="00312A7C" w:rsidRDefault="00000000">
            <w:pPr>
              <w:spacing w:after="60"/>
            </w:pPr>
            <w:r>
              <w:rPr>
                <w:b/>
                <w:bCs/>
                <w:color w:val="1C2B3A"/>
              </w:rPr>
              <w:t>THE RULE</w:t>
            </w:r>
          </w:p>
          <w:p w14:paraId="2225F5A1" w14:textId="77777777" w:rsidR="00312A7C" w:rsidRDefault="00000000">
            <w:r>
              <w:rPr>
                <w:color w:val="000000"/>
              </w:rPr>
              <w:t>All key statistics, callout boxes, and the 'What the Experts Are Saying' summary must be coded as real, selectable text (HTML or plain text), never as an image. Google and AI answer engines such as ChatGPT, Gemini, and Perplexity can only read and cite text; anything delivered as an image is invisible to them, however visually prominent it looks to a human reader.</w:t>
            </w:r>
          </w:p>
        </w:tc>
      </w:tr>
    </w:tbl>
    <w:p w14:paraId="0F8FF989" w14:textId="77777777" w:rsidR="00312A7C" w:rsidRDefault="00312A7C">
      <w:pPr>
        <w:spacing w:after="120"/>
      </w:pPr>
    </w:p>
    <w:p w14:paraId="2164B3EB" w14:textId="77777777" w:rsidR="00312A7C" w:rsidRDefault="00000000">
      <w:pPr>
        <w:spacing w:after="160"/>
      </w:pPr>
      <w:r>
        <w:rPr>
          <w:color w:val="000000"/>
        </w:rPr>
        <w:t xml:space="preserve">This applies to any element a designer might otherwise be tempted to build as a graphic: pull quotes, stat </w:t>
      </w:r>
      <w:proofErr w:type="gramStart"/>
      <w:r>
        <w:rPr>
          <w:color w:val="000000"/>
        </w:rPr>
        <w:t>call-outs</w:t>
      </w:r>
      <w:proofErr w:type="gramEnd"/>
      <w:r>
        <w:rPr>
          <w:color w:val="000000"/>
        </w:rPr>
        <w:t>, and comparison tables all need a text-based fallback or must be built in text from the start.</w:t>
      </w:r>
    </w:p>
    <w:p w14:paraId="2F570C39" w14:textId="77777777" w:rsidR="00312A7C" w:rsidRDefault="00312A7C">
      <w:pPr>
        <w:spacing w:after="200"/>
      </w:pPr>
    </w:p>
    <w:p w14:paraId="397CB5FB" w14:textId="77777777" w:rsidR="00312A7C" w:rsidRDefault="00000000">
      <w:pPr>
        <w:pStyle w:val="Heading1"/>
        <w:spacing w:before="400" w:after="200"/>
      </w:pPr>
      <w:r>
        <w:rPr>
          <w:b/>
          <w:bCs/>
          <w:color w:val="1C2B3A"/>
        </w:rPr>
        <w:t>6. Jaggaer CTA Rules</w:t>
      </w:r>
    </w:p>
    <w:p w14:paraId="005E3EC5" w14:textId="77777777" w:rsidR="00312A7C" w:rsidRDefault="00000000">
      <w:pPr>
        <w:spacing w:after="160"/>
      </w:pPr>
      <w:r>
        <w:rPr>
          <w:color w:val="000000"/>
        </w:rPr>
        <w:t>Every article must include Jaggaer product CTAs (interstitial ads) built into the body. These are HTML blocks, not images, and must be text-coded to be indexable by Google. Client feedback flagged that blog content was not consistently building in CTA opportunities back to the product; the rules below are now the standard for every brief.</w:t>
      </w:r>
    </w:p>
    <w:p w14:paraId="3A9AC436" w14:textId="77777777" w:rsidR="00312A7C" w:rsidRDefault="00000000">
      <w:pPr>
        <w:pStyle w:val="Heading2"/>
        <w:spacing w:before="300" w:after="140"/>
      </w:pPr>
      <w:r>
        <w:rPr>
          <w:b/>
          <w:bCs/>
          <w:color w:val="1C2B3A"/>
        </w:rPr>
        <w:t>6.0 Two Required Conversion Elements (New, Aug 2026)</w:t>
      </w:r>
    </w:p>
    <w:p w14:paraId="5E6631BF" w14:textId="77777777" w:rsidR="00312A7C" w:rsidRDefault="00000000">
      <w:pPr>
        <w:spacing w:after="160"/>
      </w:pPr>
      <w:r>
        <w:rPr>
          <w:color w:val="000000"/>
        </w:rPr>
        <w:t xml:space="preserve">Every article must carry two distinct, </w:t>
      </w:r>
      <w:proofErr w:type="gramStart"/>
      <w:r>
        <w:rPr>
          <w:color w:val="000000"/>
        </w:rPr>
        <w:t>separately-tracked</w:t>
      </w:r>
      <w:proofErr w:type="gramEnd"/>
      <w:r>
        <w:rPr>
          <w:color w:val="000000"/>
        </w:rPr>
        <w:t xml:space="preserve"> elements:</w:t>
      </w:r>
    </w:p>
    <w:p w14:paraId="118F445B" w14:textId="77777777" w:rsidR="00312A7C" w:rsidRDefault="00000000">
      <w:pPr>
        <w:pStyle w:val="ListParagraph"/>
        <w:numPr>
          <w:ilvl w:val="0"/>
          <w:numId w:val="2"/>
        </w:numPr>
        <w:spacing w:after="100"/>
      </w:pPr>
      <w:r>
        <w:rPr>
          <w:b/>
          <w:bCs/>
          <w:color w:val="000000"/>
        </w:rPr>
        <w:t xml:space="preserve">CTA (Form-Fill) </w:t>
      </w:r>
      <w:r>
        <w:rPr>
          <w:color w:val="000000"/>
        </w:rPr>
        <w:t>— drives to a gated action: a demo request or a gated content download. Governed by the minimum counts in Section 6.1 and the copy rules in Section 6.2 / 4.4.</w:t>
      </w:r>
    </w:p>
    <w:p w14:paraId="403E13FA" w14:textId="77777777" w:rsidR="00312A7C" w:rsidRDefault="00000000">
      <w:pPr>
        <w:pStyle w:val="ListParagraph"/>
        <w:numPr>
          <w:ilvl w:val="0"/>
          <w:numId w:val="2"/>
        </w:numPr>
        <w:spacing w:after="100"/>
      </w:pPr>
      <w:r>
        <w:rPr>
          <w:b/>
          <w:bCs/>
          <w:color w:val="000000"/>
        </w:rPr>
        <w:t xml:space="preserve">Link to BOFU Page </w:t>
      </w:r>
      <w:r>
        <w:rPr>
          <w:color w:val="000000"/>
        </w:rPr>
        <w:t>— a direct, ungated link to the single most relevant Jaggaer product or solution page for the article’s topic. Does not count toward the Section 6.1 CTA minimums. Minimum one per article, regardless of length.</w:t>
      </w:r>
    </w:p>
    <w:p w14:paraId="28912B26" w14:textId="77777777" w:rsidR="00312A7C" w:rsidRDefault="00312A7C">
      <w:pPr>
        <w:spacing w:after="200"/>
      </w:pPr>
    </w:p>
    <w:p w14:paraId="643115A9" w14:textId="77777777" w:rsidR="00312A7C" w:rsidRDefault="00000000">
      <w:pPr>
        <w:pStyle w:val="Heading2"/>
        <w:spacing w:before="300" w:after="140"/>
      </w:pPr>
      <w:r>
        <w:rPr>
          <w:b/>
          <w:bCs/>
          <w:color w:val="1C2B3A"/>
        </w:rPr>
        <w:t>6.1 CTA Placement Rules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0"/>
        <w:gridCol w:w="7250"/>
      </w:tblGrid>
      <w:tr w:rsidR="00312A7C" w14:paraId="7AFB400C" w14:textId="77777777">
        <w:trPr>
          <w:tblHeader/>
        </w:trPr>
        <w:tc>
          <w:tcPr>
            <w:tcW w:w="1400" w:type="pct"/>
            <w:shd w:val="clear" w:color="auto" w:fill="1C2B3A"/>
            <w:tcMar>
              <w:top w:w="100" w:type="dxa"/>
              <w:left w:w="150" w:type="dxa"/>
              <w:bottom w:w="100" w:type="dxa"/>
              <w:right w:w="150" w:type="dxa"/>
            </w:tcMar>
          </w:tcPr>
          <w:p w14:paraId="4A18F1D3" w14:textId="77777777" w:rsidR="00312A7C" w:rsidRDefault="00000000">
            <w:r>
              <w:rPr>
                <w:b/>
                <w:bCs/>
                <w:color w:val="FFFFFF"/>
                <w:sz w:val="20"/>
                <w:szCs w:val="20"/>
              </w:rPr>
              <w:t>Rule</w:t>
            </w:r>
          </w:p>
        </w:tc>
        <w:tc>
          <w:tcPr>
            <w:tcW w:w="3600" w:type="pct"/>
            <w:shd w:val="clear" w:color="auto" w:fill="1C2B3A"/>
            <w:tcMar>
              <w:top w:w="100" w:type="dxa"/>
              <w:left w:w="150" w:type="dxa"/>
              <w:bottom w:w="100" w:type="dxa"/>
              <w:right w:w="150" w:type="dxa"/>
            </w:tcMar>
          </w:tcPr>
          <w:p w14:paraId="3A02080A" w14:textId="77777777" w:rsidR="00312A7C" w:rsidRDefault="00000000">
            <w:r>
              <w:rPr>
                <w:b/>
                <w:bCs/>
                <w:color w:val="FFFFFF"/>
                <w:sz w:val="20"/>
                <w:szCs w:val="20"/>
              </w:rPr>
              <w:t>Requirement</w:t>
            </w:r>
          </w:p>
        </w:tc>
      </w:tr>
      <w:tr w:rsidR="00312A7C" w14:paraId="6C4FF6FB" w14:textId="77777777">
        <w:tc>
          <w:tcPr>
            <w:tcW w:w="1400" w:type="pct"/>
            <w:shd w:val="clear" w:color="auto" w:fill="FFFFFF"/>
            <w:tcMar>
              <w:top w:w="100" w:type="dxa"/>
              <w:left w:w="150" w:type="dxa"/>
              <w:bottom w:w="100" w:type="dxa"/>
              <w:right w:w="150" w:type="dxa"/>
            </w:tcMar>
          </w:tcPr>
          <w:p w14:paraId="13D4F317" w14:textId="77777777" w:rsidR="00312A7C" w:rsidRDefault="00000000">
            <w:r>
              <w:rPr>
                <w:color w:val="000000"/>
                <w:sz w:val="20"/>
                <w:szCs w:val="20"/>
              </w:rPr>
              <w:t>First CTA placement</w:t>
            </w:r>
          </w:p>
        </w:tc>
        <w:tc>
          <w:tcPr>
            <w:tcW w:w="3600" w:type="pct"/>
            <w:shd w:val="clear" w:color="auto" w:fill="FFFFFF"/>
            <w:tcMar>
              <w:top w:w="100" w:type="dxa"/>
              <w:left w:w="150" w:type="dxa"/>
              <w:bottom w:w="100" w:type="dxa"/>
              <w:right w:w="150" w:type="dxa"/>
            </w:tcMar>
          </w:tcPr>
          <w:p w14:paraId="6B7E6E07" w14:textId="77777777" w:rsidR="00312A7C" w:rsidRDefault="00000000">
            <w:r>
              <w:rPr>
                <w:color w:val="000000"/>
                <w:sz w:val="20"/>
                <w:szCs w:val="20"/>
              </w:rPr>
              <w:t>Must appear within the first section, ideally by the end of the first 150 to 200 words. Client feedback (Aug 2026): most readers do not scroll, so the earliest possible placement is now the standard, not the previous two-page ceiling.</w:t>
            </w:r>
          </w:p>
        </w:tc>
      </w:tr>
      <w:tr w:rsidR="00312A7C" w14:paraId="04120527" w14:textId="77777777">
        <w:tc>
          <w:tcPr>
            <w:tcW w:w="1400" w:type="pct"/>
            <w:shd w:val="clear" w:color="auto" w:fill="F2F3F4"/>
            <w:tcMar>
              <w:top w:w="100" w:type="dxa"/>
              <w:left w:w="150" w:type="dxa"/>
              <w:bottom w:w="100" w:type="dxa"/>
              <w:right w:w="150" w:type="dxa"/>
            </w:tcMar>
          </w:tcPr>
          <w:p w14:paraId="52C2DF83" w14:textId="77777777" w:rsidR="00312A7C" w:rsidRDefault="00000000">
            <w:r>
              <w:rPr>
                <w:color w:val="000000"/>
                <w:sz w:val="20"/>
                <w:szCs w:val="20"/>
              </w:rPr>
              <w:t>Subsequent CTAs</w:t>
            </w:r>
          </w:p>
        </w:tc>
        <w:tc>
          <w:tcPr>
            <w:tcW w:w="3600" w:type="pct"/>
            <w:shd w:val="clear" w:color="auto" w:fill="F2F3F4"/>
            <w:tcMar>
              <w:top w:w="100" w:type="dxa"/>
              <w:left w:w="150" w:type="dxa"/>
              <w:bottom w:w="100" w:type="dxa"/>
              <w:right w:w="150" w:type="dxa"/>
            </w:tcMar>
          </w:tcPr>
          <w:p w14:paraId="190586D3" w14:textId="77777777" w:rsidR="00312A7C" w:rsidRDefault="00000000">
            <w:r>
              <w:rPr>
                <w:color w:val="000000"/>
                <w:sz w:val="20"/>
                <w:szCs w:val="20"/>
              </w:rPr>
              <w:t>Roughly one CTA every three scrollable pages, each one moving progressively deeper into a related Jaggaer offering rather than repeating the same ad. The core message and primary offer should also be echoed in different words as the article progresses, since most readers will not reach a CTA that only appears once.</w:t>
            </w:r>
          </w:p>
        </w:tc>
      </w:tr>
      <w:tr w:rsidR="00312A7C" w14:paraId="7ECD01D4" w14:textId="77777777">
        <w:tc>
          <w:tcPr>
            <w:tcW w:w="1400" w:type="pct"/>
            <w:shd w:val="clear" w:color="auto" w:fill="FFFFFF"/>
            <w:tcMar>
              <w:top w:w="100" w:type="dxa"/>
              <w:left w:w="150" w:type="dxa"/>
              <w:bottom w:w="100" w:type="dxa"/>
              <w:right w:w="150" w:type="dxa"/>
            </w:tcMar>
          </w:tcPr>
          <w:p w14:paraId="425C5AFF" w14:textId="77777777" w:rsidR="00312A7C" w:rsidRDefault="00000000">
            <w:r>
              <w:rPr>
                <w:color w:val="000000"/>
                <w:sz w:val="20"/>
                <w:szCs w:val="20"/>
              </w:rPr>
              <w:t>Minimum CTAs per article</w:t>
            </w:r>
          </w:p>
        </w:tc>
        <w:tc>
          <w:tcPr>
            <w:tcW w:w="3600" w:type="pct"/>
            <w:shd w:val="clear" w:color="auto" w:fill="FFFFFF"/>
            <w:tcMar>
              <w:top w:w="100" w:type="dxa"/>
              <w:left w:w="150" w:type="dxa"/>
              <w:bottom w:w="100" w:type="dxa"/>
              <w:right w:w="150" w:type="dxa"/>
            </w:tcMar>
          </w:tcPr>
          <w:p w14:paraId="6C1BBA75" w14:textId="77777777" w:rsidR="00312A7C" w:rsidRDefault="00000000">
            <w:r>
              <w:rPr>
                <w:color w:val="000000"/>
                <w:sz w:val="20"/>
                <w:szCs w:val="20"/>
              </w:rPr>
              <w:t>3 CTAs minimum for a 2,000+ word article. 2 for a 1,000-1,500 word article.</w:t>
            </w:r>
          </w:p>
        </w:tc>
      </w:tr>
      <w:tr w:rsidR="00312A7C" w14:paraId="338C6F94" w14:textId="77777777">
        <w:tc>
          <w:tcPr>
            <w:tcW w:w="1400" w:type="pct"/>
            <w:shd w:val="clear" w:color="auto" w:fill="F2F3F4"/>
            <w:tcMar>
              <w:top w:w="100" w:type="dxa"/>
              <w:left w:w="150" w:type="dxa"/>
              <w:bottom w:w="100" w:type="dxa"/>
              <w:right w:w="150" w:type="dxa"/>
            </w:tcMar>
          </w:tcPr>
          <w:p w14:paraId="19CC0E71" w14:textId="77777777" w:rsidR="00312A7C" w:rsidRDefault="00000000">
            <w:r>
              <w:rPr>
                <w:color w:val="000000"/>
                <w:sz w:val="20"/>
                <w:szCs w:val="20"/>
              </w:rPr>
              <w:t>CTA format</w:t>
            </w:r>
          </w:p>
        </w:tc>
        <w:tc>
          <w:tcPr>
            <w:tcW w:w="3600" w:type="pct"/>
            <w:shd w:val="clear" w:color="auto" w:fill="F2F3F4"/>
            <w:tcMar>
              <w:top w:w="100" w:type="dxa"/>
              <w:left w:w="150" w:type="dxa"/>
              <w:bottom w:w="100" w:type="dxa"/>
              <w:right w:w="150" w:type="dxa"/>
            </w:tcMar>
          </w:tcPr>
          <w:p w14:paraId="4452B23C" w14:textId="77777777" w:rsidR="00312A7C" w:rsidRDefault="00000000">
            <w:r>
              <w:rPr>
                <w:color w:val="000000"/>
                <w:sz w:val="20"/>
                <w:szCs w:val="20"/>
              </w:rPr>
              <w:t>HTML text block, not an image. Must be text-coded so Google can read it (see Section 5.4).</w:t>
            </w:r>
          </w:p>
        </w:tc>
      </w:tr>
    </w:tbl>
    <w:p w14:paraId="2DA15B0E" w14:textId="77777777" w:rsidR="00312A7C" w:rsidRDefault="00312A7C">
      <w:pPr>
        <w:spacing w:after="200"/>
      </w:pPr>
    </w:p>
    <w:p w14:paraId="222EFD35" w14:textId="77777777" w:rsidR="00312A7C" w:rsidRDefault="00000000">
      <w:pPr>
        <w:pStyle w:val="Heading2"/>
        <w:spacing w:before="300" w:after="140"/>
      </w:pPr>
      <w:r>
        <w:rPr>
          <w:b/>
          <w:bCs/>
          <w:color w:val="1C2B3A"/>
        </w:rPr>
        <w:t>6.2 CTA Copy Rules</w:t>
      </w:r>
    </w:p>
    <w:p w14:paraId="7FB49AEA" w14:textId="77777777" w:rsidR="00312A7C" w:rsidRDefault="00000000">
      <w:pPr>
        <w:pStyle w:val="ListParagraph"/>
        <w:numPr>
          <w:ilvl w:val="0"/>
          <w:numId w:val="2"/>
        </w:numPr>
        <w:spacing w:after="100"/>
      </w:pPr>
      <w:r>
        <w:rPr>
          <w:color w:val="000000"/>
        </w:rPr>
        <w:t>State what Jaggaer does, not why it matters</w:t>
      </w:r>
    </w:p>
    <w:p w14:paraId="4EA7F9D8" w14:textId="77777777" w:rsidR="00312A7C" w:rsidRDefault="00000000">
      <w:pPr>
        <w:pStyle w:val="ListParagraph"/>
        <w:numPr>
          <w:ilvl w:val="0"/>
          <w:numId w:val="2"/>
        </w:numPr>
        <w:spacing w:after="100"/>
      </w:pPr>
      <w:r>
        <w:rPr>
          <w:color w:val="000000"/>
        </w:rPr>
        <w:t>Each CTA must be contextually tied to the section it follows, not generic</w:t>
      </w:r>
    </w:p>
    <w:p w14:paraId="1D28B09B" w14:textId="77777777" w:rsidR="00312A7C" w:rsidRDefault="00000000">
      <w:pPr>
        <w:pStyle w:val="ListParagraph"/>
        <w:numPr>
          <w:ilvl w:val="0"/>
          <w:numId w:val="2"/>
        </w:numPr>
        <w:spacing w:after="100"/>
      </w:pPr>
      <w:r>
        <w:rPr>
          <w:color w:val="000000"/>
        </w:rPr>
        <w:t>No business benefit language (see Section 4.4)</w:t>
      </w:r>
    </w:p>
    <w:p w14:paraId="3D0BFBAE" w14:textId="77777777" w:rsidR="00312A7C" w:rsidRDefault="00000000">
      <w:pPr>
        <w:pStyle w:val="ListParagraph"/>
        <w:numPr>
          <w:ilvl w:val="0"/>
          <w:numId w:val="2"/>
        </w:numPr>
        <w:spacing w:after="100"/>
      </w:pPr>
      <w:r>
        <w:rPr>
          <w:color w:val="000000"/>
        </w:rPr>
        <w:t>Where a named third-party report (for example, a Gartner study) is the primary data source for the article, prioritise offering that report as a downloadable asset in the first CTA over a generic Jaggaer product ad. Make the source attribution visually obvious next to the download offer (client feedback, Aug 2026).</w:t>
      </w:r>
    </w:p>
    <w:p w14:paraId="0FC32618" w14:textId="77777777" w:rsidR="00312A7C" w:rsidRDefault="00000000">
      <w:pPr>
        <w:pStyle w:val="ListParagraph"/>
        <w:numPr>
          <w:ilvl w:val="0"/>
          <w:numId w:val="2"/>
        </w:numPr>
        <w:spacing w:after="100"/>
      </w:pPr>
      <w:r>
        <w:rPr>
          <w:color w:val="000000"/>
        </w:rPr>
        <w:t>Where a named JAI/Claude case study exists for the specific topic under discussion (for example, an AI use case table), link the CTA to that case study or download rather than a generic CTA.</w:t>
      </w:r>
    </w:p>
    <w:p w14:paraId="4C991F10" w14:textId="77777777" w:rsidR="00312A7C" w:rsidRDefault="00000000">
      <w:pPr>
        <w:pStyle w:val="ListParagraph"/>
        <w:numPr>
          <w:ilvl w:val="0"/>
          <w:numId w:val="2"/>
        </w:numPr>
        <w:spacing w:after="100"/>
      </w:pPr>
      <w:r>
        <w:rPr>
          <w:color w:val="000000"/>
        </w:rPr>
        <w:t>For the closing CTA on Claude/JAI-focused content, pair the CTA copy with an approved supporting product screenshot (for example, the Deep Research image from the Jaggaer homepage hero section) rather than text alone.</w:t>
      </w:r>
    </w:p>
    <w:p w14:paraId="2949996E" w14:textId="77777777" w:rsidR="00312A7C" w:rsidRDefault="00312A7C">
      <w:pPr>
        <w:spacing w:after="160"/>
      </w:pPr>
    </w:p>
    <w:p w14:paraId="078FEB07" w14:textId="77777777" w:rsidR="00312A7C" w:rsidRDefault="00000000">
      <w:pPr>
        <w:spacing w:after="160"/>
      </w:pPr>
      <w:r>
        <w:rPr>
          <w:color w:val="000000"/>
        </w:rPr>
        <w:t>Example CTA copy by article section: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31"/>
        <w:gridCol w:w="5539"/>
      </w:tblGrid>
      <w:tr w:rsidR="00312A7C" w14:paraId="1848EA37" w14:textId="77777777">
        <w:trPr>
          <w:tblHeader/>
        </w:trPr>
        <w:tc>
          <w:tcPr>
            <w:tcW w:w="2250" w:type="pct"/>
            <w:shd w:val="clear" w:color="auto" w:fill="1C2B3A"/>
            <w:tcMar>
              <w:top w:w="100" w:type="dxa"/>
              <w:left w:w="150" w:type="dxa"/>
              <w:bottom w:w="100" w:type="dxa"/>
              <w:right w:w="150" w:type="dxa"/>
            </w:tcMar>
          </w:tcPr>
          <w:p w14:paraId="37382BC2" w14:textId="77777777" w:rsidR="00312A7C" w:rsidRDefault="00000000">
            <w:r>
              <w:rPr>
                <w:b/>
                <w:bCs/>
                <w:color w:val="FFFFFF"/>
                <w:sz w:val="20"/>
                <w:szCs w:val="20"/>
              </w:rPr>
              <w:t>Section Context</w:t>
            </w:r>
          </w:p>
        </w:tc>
        <w:tc>
          <w:tcPr>
            <w:tcW w:w="2750" w:type="pct"/>
            <w:shd w:val="clear" w:color="auto" w:fill="1C2B3A"/>
            <w:tcMar>
              <w:top w:w="100" w:type="dxa"/>
              <w:left w:w="150" w:type="dxa"/>
              <w:bottom w:w="100" w:type="dxa"/>
              <w:right w:w="150" w:type="dxa"/>
            </w:tcMar>
          </w:tcPr>
          <w:p w14:paraId="00F37E82" w14:textId="77777777" w:rsidR="00312A7C" w:rsidRDefault="00000000">
            <w:r>
              <w:rPr>
                <w:b/>
                <w:bCs/>
                <w:color w:val="FFFFFF"/>
                <w:sz w:val="20"/>
                <w:szCs w:val="20"/>
              </w:rPr>
              <w:t>CTA Copy Example</w:t>
            </w:r>
          </w:p>
        </w:tc>
      </w:tr>
      <w:tr w:rsidR="00312A7C" w14:paraId="232002EB" w14:textId="77777777">
        <w:tc>
          <w:tcPr>
            <w:tcW w:w="2250" w:type="pct"/>
            <w:shd w:val="clear" w:color="auto" w:fill="FFFFFF"/>
            <w:tcMar>
              <w:top w:w="100" w:type="dxa"/>
              <w:left w:w="150" w:type="dxa"/>
              <w:bottom w:w="100" w:type="dxa"/>
              <w:right w:w="150" w:type="dxa"/>
            </w:tcMar>
          </w:tcPr>
          <w:p w14:paraId="404E012B" w14:textId="77777777" w:rsidR="00312A7C" w:rsidRDefault="00000000">
            <w:r>
              <w:rPr>
                <w:color w:val="000000"/>
                <w:sz w:val="20"/>
                <w:szCs w:val="20"/>
              </w:rPr>
              <w:t>After sub-tier risk data</w:t>
            </w:r>
          </w:p>
        </w:tc>
        <w:tc>
          <w:tcPr>
            <w:tcW w:w="2750" w:type="pct"/>
            <w:shd w:val="clear" w:color="auto" w:fill="FFFFFF"/>
            <w:tcMar>
              <w:top w:w="100" w:type="dxa"/>
              <w:left w:w="150" w:type="dxa"/>
              <w:bottom w:w="100" w:type="dxa"/>
              <w:right w:w="150" w:type="dxa"/>
            </w:tcMar>
          </w:tcPr>
          <w:p w14:paraId="0B8FB504" w14:textId="77777777" w:rsidR="00312A7C" w:rsidRDefault="00000000">
            <w:r>
              <w:rPr>
                <w:color w:val="000000"/>
                <w:sz w:val="20"/>
                <w:szCs w:val="20"/>
              </w:rPr>
              <w:t>See how Jaggaer maps Tier 2-4 supplier networks →</w:t>
            </w:r>
          </w:p>
        </w:tc>
      </w:tr>
      <w:tr w:rsidR="00312A7C" w14:paraId="4F076371" w14:textId="77777777">
        <w:tc>
          <w:tcPr>
            <w:tcW w:w="2250" w:type="pct"/>
            <w:shd w:val="clear" w:color="auto" w:fill="F2F3F4"/>
            <w:tcMar>
              <w:top w:w="100" w:type="dxa"/>
              <w:left w:w="150" w:type="dxa"/>
              <w:bottom w:w="100" w:type="dxa"/>
              <w:right w:w="150" w:type="dxa"/>
            </w:tcMar>
          </w:tcPr>
          <w:p w14:paraId="1E1CA825" w14:textId="77777777" w:rsidR="00312A7C" w:rsidRDefault="00000000">
            <w:r>
              <w:rPr>
                <w:color w:val="000000"/>
                <w:sz w:val="20"/>
                <w:szCs w:val="20"/>
              </w:rPr>
              <w:t>After SRM limitations section</w:t>
            </w:r>
          </w:p>
        </w:tc>
        <w:tc>
          <w:tcPr>
            <w:tcW w:w="2750" w:type="pct"/>
            <w:shd w:val="clear" w:color="auto" w:fill="F2F3F4"/>
            <w:tcMar>
              <w:top w:w="100" w:type="dxa"/>
              <w:left w:w="150" w:type="dxa"/>
              <w:bottom w:w="100" w:type="dxa"/>
              <w:right w:w="150" w:type="dxa"/>
            </w:tcMar>
          </w:tcPr>
          <w:p w14:paraId="4C6B64D0" w14:textId="77777777" w:rsidR="00312A7C" w:rsidRDefault="00000000">
            <w:r>
              <w:rPr>
                <w:color w:val="000000"/>
                <w:sz w:val="20"/>
                <w:szCs w:val="20"/>
              </w:rPr>
              <w:t>Compare what your current platform sees vs. what Jaggaer sees →</w:t>
            </w:r>
          </w:p>
        </w:tc>
      </w:tr>
      <w:tr w:rsidR="00312A7C" w14:paraId="5D016DC8" w14:textId="77777777">
        <w:tc>
          <w:tcPr>
            <w:tcW w:w="2250" w:type="pct"/>
            <w:shd w:val="clear" w:color="auto" w:fill="FFFFFF"/>
            <w:tcMar>
              <w:top w:w="100" w:type="dxa"/>
              <w:left w:w="150" w:type="dxa"/>
              <w:bottom w:w="100" w:type="dxa"/>
              <w:right w:w="150" w:type="dxa"/>
            </w:tcMar>
          </w:tcPr>
          <w:p w14:paraId="697EC4C2" w14:textId="77777777" w:rsidR="00312A7C" w:rsidRDefault="00000000">
            <w:r>
              <w:rPr>
                <w:color w:val="000000"/>
                <w:sz w:val="20"/>
                <w:szCs w:val="20"/>
              </w:rPr>
              <w:t>After a cited third-party report (for example, Gartner)</w:t>
            </w:r>
          </w:p>
        </w:tc>
        <w:tc>
          <w:tcPr>
            <w:tcW w:w="2750" w:type="pct"/>
            <w:shd w:val="clear" w:color="auto" w:fill="FFFFFF"/>
            <w:tcMar>
              <w:top w:w="100" w:type="dxa"/>
              <w:left w:w="150" w:type="dxa"/>
              <w:bottom w:w="100" w:type="dxa"/>
              <w:right w:w="150" w:type="dxa"/>
            </w:tcMar>
          </w:tcPr>
          <w:p w14:paraId="3F4F3718" w14:textId="77777777" w:rsidR="00312A7C" w:rsidRDefault="00000000">
            <w:r>
              <w:rPr>
                <w:color w:val="000000"/>
                <w:sz w:val="20"/>
                <w:szCs w:val="20"/>
              </w:rPr>
              <w:t>Download the full Gartner report on [topic] →</w:t>
            </w:r>
          </w:p>
        </w:tc>
      </w:tr>
      <w:tr w:rsidR="00312A7C" w14:paraId="4F8E0800" w14:textId="77777777">
        <w:tc>
          <w:tcPr>
            <w:tcW w:w="2250" w:type="pct"/>
            <w:shd w:val="clear" w:color="auto" w:fill="F2F3F4"/>
            <w:tcMar>
              <w:top w:w="100" w:type="dxa"/>
              <w:left w:w="150" w:type="dxa"/>
              <w:bottom w:w="100" w:type="dxa"/>
              <w:right w:w="150" w:type="dxa"/>
            </w:tcMar>
          </w:tcPr>
          <w:p w14:paraId="1ADD783C" w14:textId="77777777" w:rsidR="00312A7C" w:rsidRDefault="00000000">
            <w:r>
              <w:rPr>
                <w:color w:val="000000"/>
                <w:sz w:val="20"/>
                <w:szCs w:val="20"/>
              </w:rPr>
              <w:t>After an AI use case table with a matching JAI case study</w:t>
            </w:r>
          </w:p>
        </w:tc>
        <w:tc>
          <w:tcPr>
            <w:tcW w:w="2750" w:type="pct"/>
            <w:shd w:val="clear" w:color="auto" w:fill="F2F3F4"/>
            <w:tcMar>
              <w:top w:w="100" w:type="dxa"/>
              <w:left w:w="150" w:type="dxa"/>
              <w:bottom w:w="100" w:type="dxa"/>
              <w:right w:w="150" w:type="dxa"/>
            </w:tcMar>
          </w:tcPr>
          <w:p w14:paraId="3D5A62D3" w14:textId="77777777" w:rsidR="00312A7C" w:rsidRDefault="00000000">
            <w:r>
              <w:rPr>
                <w:color w:val="000000"/>
                <w:sz w:val="20"/>
                <w:szCs w:val="20"/>
              </w:rPr>
              <w:t>Download the JAI case study on [use case] →</w:t>
            </w:r>
          </w:p>
        </w:tc>
      </w:tr>
      <w:tr w:rsidR="00312A7C" w14:paraId="3A842BAD" w14:textId="77777777">
        <w:tc>
          <w:tcPr>
            <w:tcW w:w="2250" w:type="pct"/>
            <w:shd w:val="clear" w:color="auto" w:fill="FFFFFF"/>
            <w:tcMar>
              <w:top w:w="100" w:type="dxa"/>
              <w:left w:w="150" w:type="dxa"/>
              <w:bottom w:w="100" w:type="dxa"/>
              <w:right w:w="150" w:type="dxa"/>
            </w:tcMar>
          </w:tcPr>
          <w:p w14:paraId="16D5CF8E" w14:textId="77777777" w:rsidR="00312A7C" w:rsidRDefault="00000000">
            <w:r>
              <w:rPr>
                <w:color w:val="000000"/>
                <w:sz w:val="20"/>
                <w:szCs w:val="20"/>
              </w:rPr>
              <w:t>Near article close</w:t>
            </w:r>
          </w:p>
        </w:tc>
        <w:tc>
          <w:tcPr>
            <w:tcW w:w="2750" w:type="pct"/>
            <w:shd w:val="clear" w:color="auto" w:fill="FFFFFF"/>
            <w:tcMar>
              <w:top w:w="100" w:type="dxa"/>
              <w:left w:w="150" w:type="dxa"/>
              <w:bottom w:w="100" w:type="dxa"/>
              <w:right w:w="150" w:type="dxa"/>
            </w:tcMar>
          </w:tcPr>
          <w:p w14:paraId="23882F1D" w14:textId="77777777" w:rsidR="00312A7C" w:rsidRDefault="00000000">
            <w:r>
              <w:rPr>
                <w:color w:val="000000"/>
                <w:sz w:val="20"/>
                <w:szCs w:val="20"/>
              </w:rPr>
              <w:t>Download the Jaggaer Supplier Visibility Brochure →</w:t>
            </w:r>
          </w:p>
        </w:tc>
      </w:tr>
      <w:tr w:rsidR="00312A7C" w14:paraId="13D62114" w14:textId="77777777">
        <w:tc>
          <w:tcPr>
            <w:tcW w:w="2250" w:type="pct"/>
            <w:shd w:val="clear" w:color="auto" w:fill="F2F3F4"/>
            <w:tcMar>
              <w:top w:w="100" w:type="dxa"/>
              <w:left w:w="150" w:type="dxa"/>
              <w:bottom w:w="100" w:type="dxa"/>
              <w:right w:w="150" w:type="dxa"/>
            </w:tcMar>
          </w:tcPr>
          <w:p w14:paraId="7B8C51E7" w14:textId="77777777" w:rsidR="00312A7C" w:rsidRDefault="00000000">
            <w:r>
              <w:rPr>
                <w:color w:val="000000"/>
                <w:sz w:val="20"/>
                <w:szCs w:val="20"/>
              </w:rPr>
              <w:t>After financial risk signals section</w:t>
            </w:r>
          </w:p>
        </w:tc>
        <w:tc>
          <w:tcPr>
            <w:tcW w:w="2750" w:type="pct"/>
            <w:shd w:val="clear" w:color="auto" w:fill="F2F3F4"/>
            <w:tcMar>
              <w:top w:w="100" w:type="dxa"/>
              <w:left w:w="150" w:type="dxa"/>
              <w:bottom w:w="100" w:type="dxa"/>
              <w:right w:w="150" w:type="dxa"/>
            </w:tcMar>
          </w:tcPr>
          <w:p w14:paraId="512F04C0" w14:textId="77777777" w:rsidR="00312A7C" w:rsidRDefault="00000000">
            <w:r>
              <w:rPr>
                <w:color w:val="000000"/>
                <w:sz w:val="20"/>
                <w:szCs w:val="20"/>
              </w:rPr>
              <w:t>See how Jaggaer monitors supplier financial health in real time →</w:t>
            </w:r>
          </w:p>
        </w:tc>
      </w:tr>
    </w:tbl>
    <w:p w14:paraId="18BFC240" w14:textId="77777777" w:rsidR="00312A7C" w:rsidRDefault="00312A7C">
      <w:pPr>
        <w:spacing w:after="200"/>
      </w:pPr>
    </w:p>
    <w:p w14:paraId="0F8BDDC1" w14:textId="77777777" w:rsidR="00312A7C" w:rsidRDefault="00000000">
      <w:pPr>
        <w:pStyle w:val="Heading1"/>
        <w:spacing w:before="400" w:after="200"/>
      </w:pPr>
      <w:r>
        <w:rPr>
          <w:b/>
          <w:bCs/>
          <w:color w:val="1C2B3A"/>
        </w:rPr>
        <w:t>7. Interlinking Rules</w:t>
      </w:r>
    </w:p>
    <w:p w14:paraId="03C6FA0D" w14:textId="77777777" w:rsidR="00312A7C" w:rsidRDefault="00000000">
      <w:pPr>
        <w:spacing w:after="160"/>
      </w:pPr>
      <w:r>
        <w:rPr>
          <w:color w:val="000000"/>
        </w:rPr>
        <w:t>There are two types of interlinking on this engagement. Both are required, but SEO interlinking is the priority.</w:t>
      </w:r>
    </w:p>
    <w:p w14:paraId="03737C66" w14:textId="77777777" w:rsidR="00312A7C" w:rsidRDefault="00000000">
      <w:pPr>
        <w:pStyle w:val="Heading2"/>
        <w:spacing w:before="300" w:after="140"/>
      </w:pPr>
      <w:r>
        <w:rPr>
          <w:b/>
          <w:bCs/>
          <w:color w:val="1C2B3A"/>
        </w:rPr>
        <w:t>7.1 SEO Interlinking</w:t>
      </w:r>
    </w:p>
    <w:p w14:paraId="007806F6" w14:textId="77777777" w:rsidR="00312A7C" w:rsidRDefault="00000000">
      <w:pPr>
        <w:spacing w:after="160"/>
      </w:pPr>
      <w:r>
        <w:rPr>
          <w:color w:val="000000"/>
        </w:rPr>
        <w:t>Inline text anchor links within the body copy, connecting sub-topic articles to the pillar page and to each other. These tell Google that the articles form a structured content cluster.</w:t>
      </w:r>
    </w:p>
    <w:p w14:paraId="17AFBDCC" w14:textId="77777777" w:rsidR="00312A7C" w:rsidRDefault="00000000">
      <w:pPr>
        <w:pStyle w:val="ListParagraph"/>
        <w:numPr>
          <w:ilvl w:val="0"/>
          <w:numId w:val="2"/>
        </w:numPr>
        <w:spacing w:after="100"/>
      </w:pPr>
      <w:r>
        <w:rPr>
          <w:color w:val="000000"/>
        </w:rPr>
        <w:t>Every sub-topic article must link back to the pillar page at least once, in the introduction or first main section</w:t>
      </w:r>
    </w:p>
    <w:p w14:paraId="4C10F7F4" w14:textId="77777777" w:rsidR="00312A7C" w:rsidRDefault="00000000">
      <w:pPr>
        <w:pStyle w:val="ListParagraph"/>
        <w:numPr>
          <w:ilvl w:val="0"/>
          <w:numId w:val="2"/>
        </w:numPr>
        <w:spacing w:after="100"/>
      </w:pPr>
      <w:r>
        <w:rPr>
          <w:color w:val="000000"/>
        </w:rPr>
        <w:t>Sub-topic articles must cross-link to each other where the content is naturally related; minimum 2 cross-links per article</w:t>
      </w:r>
    </w:p>
    <w:p w14:paraId="42051D80" w14:textId="77777777" w:rsidR="00312A7C" w:rsidRDefault="00000000">
      <w:pPr>
        <w:pStyle w:val="ListParagraph"/>
        <w:numPr>
          <w:ilvl w:val="0"/>
          <w:numId w:val="2"/>
        </w:numPr>
        <w:spacing w:after="100"/>
      </w:pPr>
      <w:r>
        <w:rPr>
          <w:color w:val="000000"/>
        </w:rPr>
        <w:t>Links must be embedded within natural sentences, not listed separately or added at the end</w:t>
      </w:r>
    </w:p>
    <w:p w14:paraId="59498F2A" w14:textId="77777777" w:rsidR="00312A7C" w:rsidRDefault="00000000">
      <w:pPr>
        <w:pStyle w:val="ListParagraph"/>
        <w:numPr>
          <w:ilvl w:val="0"/>
          <w:numId w:val="2"/>
        </w:numPr>
        <w:spacing w:after="100"/>
      </w:pPr>
      <w:r>
        <w:rPr>
          <w:color w:val="000000"/>
        </w:rPr>
        <w:t>Anchor text must be 3-6 words extracted naturally from the sentence, not 'click here' or 'read more'</w:t>
      </w:r>
    </w:p>
    <w:p w14:paraId="76062C06" w14:textId="77777777" w:rsidR="00312A7C" w:rsidRDefault="00000000">
      <w:pPr>
        <w:pStyle w:val="ListParagraph"/>
        <w:numPr>
          <w:ilvl w:val="0"/>
          <w:numId w:val="2"/>
        </w:numPr>
        <w:spacing w:after="100"/>
      </w:pPr>
      <w:r>
        <w:rPr>
          <w:color w:val="000000"/>
        </w:rPr>
        <w:t>All cluster articles must be published on the same day to avoid broken links at launch</w:t>
      </w:r>
    </w:p>
    <w:p w14:paraId="65D3E65A" w14:textId="77777777" w:rsidR="00312A7C" w:rsidRDefault="00312A7C">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13"/>
        <w:gridCol w:w="8257"/>
      </w:tblGrid>
      <w:tr w:rsidR="00312A7C" w14:paraId="39BFD243" w14:textId="77777777">
        <w:tc>
          <w:tcPr>
            <w:tcW w:w="900" w:type="pct"/>
            <w:shd w:val="clear" w:color="auto" w:fill="1C2B3A"/>
            <w:tcMar>
              <w:top w:w="100" w:type="dxa"/>
              <w:left w:w="150" w:type="dxa"/>
              <w:bottom w:w="100" w:type="dxa"/>
              <w:right w:w="150" w:type="dxa"/>
            </w:tcMar>
          </w:tcPr>
          <w:p w14:paraId="0D38F46C" w14:textId="77777777" w:rsidR="00312A7C" w:rsidRDefault="00000000">
            <w:r>
              <w:rPr>
                <w:b/>
                <w:bCs/>
                <w:color w:val="FFFFFF"/>
                <w:sz w:val="20"/>
                <w:szCs w:val="20"/>
              </w:rPr>
              <w:t>BEFORE</w:t>
            </w:r>
          </w:p>
        </w:tc>
        <w:tc>
          <w:tcPr>
            <w:tcW w:w="4100" w:type="pct"/>
            <w:shd w:val="clear" w:color="auto" w:fill="FFFFFF"/>
            <w:tcMar>
              <w:top w:w="100" w:type="dxa"/>
              <w:left w:w="150" w:type="dxa"/>
              <w:bottom w:w="100" w:type="dxa"/>
              <w:right w:w="150" w:type="dxa"/>
            </w:tcMar>
          </w:tcPr>
          <w:p w14:paraId="5D059206" w14:textId="77777777" w:rsidR="00312A7C" w:rsidRDefault="00000000">
            <w:r>
              <w:rPr>
                <w:color w:val="000000"/>
                <w:sz w:val="20"/>
                <w:szCs w:val="20"/>
              </w:rPr>
              <w:t>The financial consequences of sub-tier blind spots are significant.</w:t>
            </w:r>
          </w:p>
        </w:tc>
      </w:tr>
      <w:tr w:rsidR="00312A7C" w14:paraId="75A98C00" w14:textId="77777777">
        <w:tc>
          <w:tcPr>
            <w:tcW w:w="900" w:type="pct"/>
            <w:shd w:val="clear" w:color="auto" w:fill="1C2B3A"/>
            <w:tcMar>
              <w:top w:w="100" w:type="dxa"/>
              <w:left w:w="150" w:type="dxa"/>
              <w:bottom w:w="100" w:type="dxa"/>
              <w:right w:w="150" w:type="dxa"/>
            </w:tcMar>
          </w:tcPr>
          <w:p w14:paraId="0EF22544" w14:textId="77777777" w:rsidR="00312A7C" w:rsidRDefault="00000000">
            <w:r>
              <w:rPr>
                <w:b/>
                <w:bCs/>
                <w:color w:val="FFFFFF"/>
                <w:sz w:val="20"/>
                <w:szCs w:val="20"/>
              </w:rPr>
              <w:t>AFTER</w:t>
            </w:r>
          </w:p>
        </w:tc>
        <w:tc>
          <w:tcPr>
            <w:tcW w:w="4100" w:type="pct"/>
            <w:shd w:val="clear" w:color="auto" w:fill="EAFAF1"/>
            <w:tcMar>
              <w:top w:w="100" w:type="dxa"/>
              <w:left w:w="150" w:type="dxa"/>
              <w:bottom w:w="100" w:type="dxa"/>
              <w:right w:w="150" w:type="dxa"/>
            </w:tcMar>
          </w:tcPr>
          <w:p w14:paraId="7A8C5BC5" w14:textId="77777777" w:rsidR="00312A7C" w:rsidRDefault="00000000">
            <w:r>
              <w:rPr>
                <w:b/>
                <w:bCs/>
                <w:sz w:val="20"/>
                <w:szCs w:val="20"/>
              </w:rPr>
              <w:t>The financial consequences of sub-tier blind spots are significant, and in many cases, supplier financial risk signals were present well before any operational alert fired.</w:t>
            </w:r>
          </w:p>
        </w:tc>
      </w:tr>
      <w:tr w:rsidR="00312A7C" w14:paraId="53C51760" w14:textId="77777777">
        <w:tc>
          <w:tcPr>
            <w:tcW w:w="900" w:type="pct"/>
            <w:shd w:val="clear" w:color="auto" w:fill="1C2B3A"/>
            <w:tcMar>
              <w:top w:w="100" w:type="dxa"/>
              <w:left w:w="150" w:type="dxa"/>
              <w:bottom w:w="100" w:type="dxa"/>
              <w:right w:w="150" w:type="dxa"/>
            </w:tcMar>
          </w:tcPr>
          <w:p w14:paraId="046CCA86" w14:textId="77777777" w:rsidR="00312A7C" w:rsidRDefault="00000000">
            <w:r>
              <w:rPr>
                <w:b/>
                <w:bCs/>
                <w:color w:val="FFFFFF"/>
                <w:sz w:val="20"/>
                <w:szCs w:val="20"/>
              </w:rPr>
              <w:t>NOTE</w:t>
            </w:r>
          </w:p>
        </w:tc>
        <w:tc>
          <w:tcPr>
            <w:tcW w:w="4100" w:type="pct"/>
            <w:shd w:val="clear" w:color="auto" w:fill="EAF2F8"/>
            <w:tcMar>
              <w:top w:w="100" w:type="dxa"/>
              <w:left w:w="150" w:type="dxa"/>
              <w:bottom w:w="100" w:type="dxa"/>
              <w:right w:w="150" w:type="dxa"/>
            </w:tcMar>
          </w:tcPr>
          <w:p w14:paraId="5CA22728" w14:textId="77777777" w:rsidR="00312A7C" w:rsidRDefault="00000000">
            <w:r>
              <w:rPr>
                <w:color w:val="000000"/>
                <w:sz w:val="20"/>
                <w:szCs w:val="20"/>
              </w:rPr>
              <w:t>The anchor text 'supplier financial risk signals' links to the Supplier Financial Risk Signals article. It reads as a natural part of the sentence.</w:t>
            </w:r>
          </w:p>
        </w:tc>
      </w:tr>
    </w:tbl>
    <w:p w14:paraId="4B1EA2A7" w14:textId="77777777" w:rsidR="00312A7C" w:rsidRDefault="00312A7C">
      <w:pPr>
        <w:spacing w:after="200"/>
      </w:pPr>
    </w:p>
    <w:p w14:paraId="7152C645" w14:textId="77777777" w:rsidR="00312A7C" w:rsidRDefault="00000000">
      <w:pPr>
        <w:pStyle w:val="Heading2"/>
        <w:spacing w:before="300" w:after="140"/>
      </w:pPr>
      <w:r>
        <w:rPr>
          <w:b/>
          <w:bCs/>
          <w:color w:val="1C2B3A"/>
        </w:rPr>
        <w:t>7.2 Monetisation Interlinking (Funnel Movement)</w:t>
      </w:r>
    </w:p>
    <w:p w14:paraId="0F8D2A99" w14:textId="77777777" w:rsidR="00312A7C" w:rsidRDefault="00000000">
      <w:pPr>
        <w:spacing w:after="160"/>
      </w:pPr>
      <w:r>
        <w:rPr>
          <w:color w:val="000000"/>
        </w:rPr>
        <w:t>Visually prominent CTAs and section links designed to move the reader up or down the funnel, from awareness (TOFU) to consideration (MOFU) to conversion (BOFU). These are more visible than SEO text links.</w:t>
      </w:r>
    </w:p>
    <w:p w14:paraId="35A7E7DB" w14:textId="77777777" w:rsidR="00312A7C" w:rsidRDefault="00000000">
      <w:pPr>
        <w:pStyle w:val="ListParagraph"/>
        <w:numPr>
          <w:ilvl w:val="0"/>
          <w:numId w:val="2"/>
        </w:numPr>
        <w:spacing w:after="100"/>
      </w:pPr>
      <w:r>
        <w:rPr>
          <w:color w:val="000000"/>
        </w:rPr>
        <w:t>Not just text anchors; designed as visible, clickable section elements</w:t>
      </w:r>
    </w:p>
    <w:p w14:paraId="05767FD9" w14:textId="77777777" w:rsidR="00312A7C" w:rsidRDefault="00000000">
      <w:pPr>
        <w:pStyle w:val="ListParagraph"/>
        <w:numPr>
          <w:ilvl w:val="0"/>
          <w:numId w:val="2"/>
        </w:numPr>
        <w:spacing w:after="100"/>
      </w:pPr>
      <w:r>
        <w:rPr>
          <w:color w:val="000000"/>
        </w:rPr>
        <w:t>Goal: allow the reader to choose their own journey between TOFU, MOFU, and BOFU content</w:t>
      </w:r>
    </w:p>
    <w:p w14:paraId="2E135FA8" w14:textId="77777777" w:rsidR="00312A7C" w:rsidRDefault="00000000">
      <w:pPr>
        <w:pStyle w:val="ListParagraph"/>
        <w:numPr>
          <w:ilvl w:val="0"/>
          <w:numId w:val="2"/>
        </w:numPr>
        <w:spacing w:after="100"/>
      </w:pPr>
      <w:r>
        <w:rPr>
          <w:color w:val="000000"/>
        </w:rPr>
        <w:t>Track whether users move between funnel levels to map which asset types work best at each stage</w:t>
      </w:r>
    </w:p>
    <w:p w14:paraId="38496FDF" w14:textId="77777777" w:rsidR="00312A7C" w:rsidRDefault="00000000">
      <w:pPr>
        <w:pStyle w:val="ListParagraph"/>
        <w:numPr>
          <w:ilvl w:val="0"/>
          <w:numId w:val="2"/>
        </w:numPr>
        <w:spacing w:after="100"/>
      </w:pPr>
      <w:r>
        <w:rPr>
          <w:color w:val="000000"/>
        </w:rPr>
        <w:t>Priority: SEO interlinking first. Monetisation interlinking is a secondary objective built out as the asset library grows.</w:t>
      </w:r>
    </w:p>
    <w:p w14:paraId="74558E8F" w14:textId="77777777" w:rsidR="00312A7C" w:rsidRDefault="00312A7C">
      <w:pPr>
        <w:spacing w:after="200"/>
      </w:pPr>
    </w:p>
    <w:p w14:paraId="114AE7E8" w14:textId="77777777" w:rsidR="00312A7C" w:rsidRDefault="00000000">
      <w:pPr>
        <w:pStyle w:val="Heading1"/>
        <w:spacing w:before="400" w:after="200"/>
      </w:pPr>
      <w:r>
        <w:rPr>
          <w:b/>
          <w:bCs/>
          <w:color w:val="1C2B3A"/>
        </w:rPr>
        <w:t>8. Customer References &amp; Compliance (New, Aug 2026)</w:t>
      </w:r>
    </w:p>
    <w:p w14:paraId="01AF6EC0" w14:textId="77777777" w:rsidR="00312A7C" w:rsidRDefault="00000000">
      <w:pPr>
        <w:spacing w:after="160"/>
      </w:pPr>
      <w:r>
        <w:rPr>
          <w:color w:val="000000"/>
        </w:rPr>
        <w:t>Any use of a named customer in content must be checked before publication. This section replaces the ad hoc note in the previous version of this guide.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21"/>
        <w:gridCol w:w="7049"/>
      </w:tblGrid>
      <w:tr w:rsidR="00312A7C" w14:paraId="7159F0D5" w14:textId="77777777">
        <w:trPr>
          <w:tblHeader/>
        </w:trPr>
        <w:tc>
          <w:tcPr>
            <w:tcW w:w="1500" w:type="pct"/>
            <w:shd w:val="clear" w:color="auto" w:fill="1C2B3A"/>
            <w:tcMar>
              <w:top w:w="100" w:type="dxa"/>
              <w:left w:w="150" w:type="dxa"/>
              <w:bottom w:w="100" w:type="dxa"/>
              <w:right w:w="150" w:type="dxa"/>
            </w:tcMar>
          </w:tcPr>
          <w:p w14:paraId="42386975" w14:textId="77777777" w:rsidR="00312A7C" w:rsidRDefault="00000000">
            <w:r>
              <w:rPr>
                <w:b/>
                <w:bCs/>
                <w:color w:val="FFFFFF"/>
                <w:sz w:val="20"/>
                <w:szCs w:val="20"/>
              </w:rPr>
              <w:t>Rule</w:t>
            </w:r>
          </w:p>
        </w:tc>
        <w:tc>
          <w:tcPr>
            <w:tcW w:w="3500" w:type="pct"/>
            <w:shd w:val="clear" w:color="auto" w:fill="1C2B3A"/>
            <w:tcMar>
              <w:top w:w="100" w:type="dxa"/>
              <w:left w:w="150" w:type="dxa"/>
              <w:bottom w:w="100" w:type="dxa"/>
              <w:right w:w="150" w:type="dxa"/>
            </w:tcMar>
          </w:tcPr>
          <w:p w14:paraId="09327FB5" w14:textId="77777777" w:rsidR="00312A7C" w:rsidRDefault="00000000">
            <w:r>
              <w:rPr>
                <w:b/>
                <w:bCs/>
                <w:color w:val="FFFFFF"/>
                <w:sz w:val="20"/>
                <w:szCs w:val="20"/>
              </w:rPr>
              <w:t>Requirement</w:t>
            </w:r>
          </w:p>
        </w:tc>
      </w:tr>
      <w:tr w:rsidR="00312A7C" w14:paraId="1E7D53E6" w14:textId="77777777">
        <w:tc>
          <w:tcPr>
            <w:tcW w:w="1500" w:type="pct"/>
            <w:shd w:val="clear" w:color="auto" w:fill="FFFFFF"/>
            <w:tcMar>
              <w:top w:w="100" w:type="dxa"/>
              <w:left w:w="150" w:type="dxa"/>
              <w:bottom w:w="100" w:type="dxa"/>
              <w:right w:w="150" w:type="dxa"/>
            </w:tcMar>
          </w:tcPr>
          <w:p w14:paraId="2279106B" w14:textId="77777777" w:rsidR="00312A7C" w:rsidRDefault="00000000">
            <w:r>
              <w:rPr>
                <w:color w:val="000000"/>
                <w:sz w:val="20"/>
                <w:szCs w:val="20"/>
              </w:rPr>
              <w:t>Confirm authority before publishing</w:t>
            </w:r>
          </w:p>
        </w:tc>
        <w:tc>
          <w:tcPr>
            <w:tcW w:w="3500" w:type="pct"/>
            <w:shd w:val="clear" w:color="auto" w:fill="FFFFFF"/>
            <w:tcMar>
              <w:top w:w="100" w:type="dxa"/>
              <w:left w:w="150" w:type="dxa"/>
              <w:bottom w:w="100" w:type="dxa"/>
              <w:right w:w="150" w:type="dxa"/>
            </w:tcMar>
          </w:tcPr>
          <w:p w14:paraId="1977A839" w14:textId="77777777" w:rsidR="00312A7C" w:rsidRDefault="00000000">
            <w:r>
              <w:rPr>
                <w:color w:val="000000"/>
                <w:sz w:val="20"/>
                <w:szCs w:val="20"/>
              </w:rPr>
              <w:t>Before publishing any customer name, logo, or specific outcome, confirm with the account team that Jaggaer has PR or contractual authority to reference that customer publicly. Do not assume prior use elsewhere means clearance for a new piece.</w:t>
            </w:r>
          </w:p>
        </w:tc>
      </w:tr>
      <w:tr w:rsidR="00312A7C" w14:paraId="35BEA7A0" w14:textId="77777777">
        <w:tc>
          <w:tcPr>
            <w:tcW w:w="1500" w:type="pct"/>
            <w:shd w:val="clear" w:color="auto" w:fill="F2F3F4"/>
            <w:tcMar>
              <w:top w:w="100" w:type="dxa"/>
              <w:left w:w="150" w:type="dxa"/>
              <w:bottom w:w="100" w:type="dxa"/>
              <w:right w:w="150" w:type="dxa"/>
            </w:tcMar>
          </w:tcPr>
          <w:p w14:paraId="49085314" w14:textId="77777777" w:rsidR="00312A7C" w:rsidRDefault="00000000">
            <w:r>
              <w:rPr>
                <w:color w:val="000000"/>
                <w:sz w:val="20"/>
                <w:szCs w:val="20"/>
              </w:rPr>
              <w:t>Do not misattribute platform-wide results to JAI/Claude</w:t>
            </w:r>
          </w:p>
        </w:tc>
        <w:tc>
          <w:tcPr>
            <w:tcW w:w="3500" w:type="pct"/>
            <w:shd w:val="clear" w:color="auto" w:fill="F2F3F4"/>
            <w:tcMar>
              <w:top w:w="100" w:type="dxa"/>
              <w:left w:w="150" w:type="dxa"/>
              <w:bottom w:w="100" w:type="dxa"/>
              <w:right w:w="150" w:type="dxa"/>
            </w:tcMar>
          </w:tcPr>
          <w:p w14:paraId="5F680CC4" w14:textId="77777777" w:rsidR="00312A7C" w:rsidRDefault="00000000">
            <w:r>
              <w:rPr>
                <w:color w:val="000000"/>
                <w:sz w:val="20"/>
                <w:szCs w:val="20"/>
              </w:rPr>
              <w:t>If a customer example demonstrates Jaggaer's platform value broadly rather than a JAI/Claude-specific result, do not present it as a Claude/JAI outcome. Use accurate, suggestive framing instead, for example 'Examples of Jaggaer platform value' rather than implying the result came from the AI feature the article is about.</w:t>
            </w:r>
          </w:p>
        </w:tc>
      </w:tr>
    </w:tbl>
    <w:p w14:paraId="6E317898" w14:textId="77777777" w:rsidR="00312A7C" w:rsidRDefault="00312A7C">
      <w:pPr>
        <w:spacing w:after="200"/>
      </w:pPr>
    </w:p>
    <w:p w14:paraId="7AEC4664" w14:textId="77777777" w:rsidR="00312A7C" w:rsidRDefault="00000000">
      <w:pPr>
        <w:pStyle w:val="Heading2"/>
        <w:spacing w:before="300" w:after="140"/>
      </w:pPr>
      <w:r>
        <w:rPr>
          <w:b/>
          <w:bCs/>
          <w:color w:val="1C2B3A"/>
        </w:rPr>
        <w:t>9.1 Body Copy Font Size (New, Aug 2026)</w:t>
      </w:r>
    </w:p>
    <w:p w14:paraId="55556F2D" w14:textId="77777777" w:rsidR="00312A7C" w:rsidRDefault="00000000">
      <w:pPr>
        <w:spacing w:after="160"/>
      </w:pPr>
      <w:r>
        <w:rPr>
          <w:color w:val="000000"/>
        </w:rPr>
        <w:t xml:space="preserve">Body text across all </w:t>
      </w:r>
      <w:proofErr w:type="gramStart"/>
      <w:r>
        <w:rPr>
          <w:color w:val="000000"/>
        </w:rPr>
        <w:t>blog</w:t>
      </w:r>
      <w:proofErr w:type="gramEnd"/>
      <w:r>
        <w:rPr>
          <w:color w:val="000000"/>
        </w:rPr>
        <w:t xml:space="preserve"> and long-form templates is set at 12pt (~16px).</w:t>
      </w:r>
    </w:p>
    <w:sectPr w:rsidR="00312A7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C0BF" w14:textId="77777777" w:rsidR="000A09F3" w:rsidRDefault="000A09F3">
      <w:r>
        <w:separator/>
      </w:r>
    </w:p>
  </w:endnote>
  <w:endnote w:type="continuationSeparator" w:id="0">
    <w:p w14:paraId="63766B95" w14:textId="77777777" w:rsidR="000A09F3" w:rsidRDefault="000A0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2389" w14:textId="77777777" w:rsidR="00312A7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C250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6194" w14:textId="77777777" w:rsidR="000A09F3" w:rsidRDefault="000A09F3">
      <w:r>
        <w:separator/>
      </w:r>
    </w:p>
  </w:footnote>
  <w:footnote w:type="continuationSeparator" w:id="0">
    <w:p w14:paraId="0B15B069" w14:textId="77777777" w:rsidR="000A09F3" w:rsidRDefault="000A0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6F7A" w14:textId="77777777" w:rsidR="00312A7C" w:rsidRDefault="00000000">
    <w:pPr>
      <w:jc w:val="right"/>
    </w:pPr>
    <w:r>
      <w:rPr>
        <w:color w:val="808080"/>
        <w:sz w:val="16"/>
        <w:szCs w:val="16"/>
      </w:rPr>
      <w:t>Jaggaer Blog Content Style Guide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166D5"/>
    <w:multiLevelType w:val="hybridMultilevel"/>
    <w:tmpl w:val="6AD02F10"/>
    <w:lvl w:ilvl="0" w:tplc="BD6EA45C">
      <w:start w:val="1"/>
      <w:numFmt w:val="bullet"/>
      <w:lvlText w:val="•"/>
      <w:lvlJc w:val="left"/>
      <w:pPr>
        <w:ind w:left="504" w:hanging="288"/>
      </w:pPr>
    </w:lvl>
    <w:lvl w:ilvl="1" w:tplc="DB9A5BB6">
      <w:numFmt w:val="decimal"/>
      <w:lvlText w:val=""/>
      <w:lvlJc w:val="left"/>
    </w:lvl>
    <w:lvl w:ilvl="2" w:tplc="EC4E34C4">
      <w:numFmt w:val="decimal"/>
      <w:lvlText w:val=""/>
      <w:lvlJc w:val="left"/>
    </w:lvl>
    <w:lvl w:ilvl="3" w:tplc="A96C3E6A">
      <w:numFmt w:val="decimal"/>
      <w:lvlText w:val=""/>
      <w:lvlJc w:val="left"/>
    </w:lvl>
    <w:lvl w:ilvl="4" w:tplc="CC5C84A4">
      <w:numFmt w:val="decimal"/>
      <w:lvlText w:val=""/>
      <w:lvlJc w:val="left"/>
    </w:lvl>
    <w:lvl w:ilvl="5" w:tplc="E95E7694">
      <w:numFmt w:val="decimal"/>
      <w:lvlText w:val=""/>
      <w:lvlJc w:val="left"/>
    </w:lvl>
    <w:lvl w:ilvl="6" w:tplc="A940AB4E">
      <w:numFmt w:val="decimal"/>
      <w:lvlText w:val=""/>
      <w:lvlJc w:val="left"/>
    </w:lvl>
    <w:lvl w:ilvl="7" w:tplc="427E5EF6">
      <w:numFmt w:val="decimal"/>
      <w:lvlText w:val=""/>
      <w:lvlJc w:val="left"/>
    </w:lvl>
    <w:lvl w:ilvl="8" w:tplc="844A86B6">
      <w:numFmt w:val="decimal"/>
      <w:lvlText w:val=""/>
      <w:lvlJc w:val="left"/>
    </w:lvl>
  </w:abstractNum>
  <w:abstractNum w:abstractNumId="1" w15:restartNumberingAfterBreak="0">
    <w:nsid w:val="4DEF0B6A"/>
    <w:multiLevelType w:val="hybridMultilevel"/>
    <w:tmpl w:val="262233E2"/>
    <w:lvl w:ilvl="0" w:tplc="B9F2EB54">
      <w:start w:val="1"/>
      <w:numFmt w:val="bullet"/>
      <w:lvlText w:val="●"/>
      <w:lvlJc w:val="left"/>
      <w:pPr>
        <w:ind w:left="720" w:hanging="360"/>
      </w:pPr>
    </w:lvl>
    <w:lvl w:ilvl="1" w:tplc="AF246F06">
      <w:start w:val="1"/>
      <w:numFmt w:val="bullet"/>
      <w:lvlText w:val="○"/>
      <w:lvlJc w:val="left"/>
      <w:pPr>
        <w:ind w:left="1440" w:hanging="360"/>
      </w:pPr>
    </w:lvl>
    <w:lvl w:ilvl="2" w:tplc="BDC604B2">
      <w:start w:val="1"/>
      <w:numFmt w:val="bullet"/>
      <w:lvlText w:val="■"/>
      <w:lvlJc w:val="left"/>
      <w:pPr>
        <w:ind w:left="2160" w:hanging="360"/>
      </w:pPr>
    </w:lvl>
    <w:lvl w:ilvl="3" w:tplc="9DCC3800">
      <w:start w:val="1"/>
      <w:numFmt w:val="bullet"/>
      <w:lvlText w:val="●"/>
      <w:lvlJc w:val="left"/>
      <w:pPr>
        <w:ind w:left="2880" w:hanging="360"/>
      </w:pPr>
    </w:lvl>
    <w:lvl w:ilvl="4" w:tplc="AECA01CE">
      <w:start w:val="1"/>
      <w:numFmt w:val="bullet"/>
      <w:lvlText w:val="○"/>
      <w:lvlJc w:val="left"/>
      <w:pPr>
        <w:ind w:left="3600" w:hanging="360"/>
      </w:pPr>
    </w:lvl>
    <w:lvl w:ilvl="5" w:tplc="97A625B2">
      <w:start w:val="1"/>
      <w:numFmt w:val="bullet"/>
      <w:lvlText w:val="■"/>
      <w:lvlJc w:val="left"/>
      <w:pPr>
        <w:ind w:left="4320" w:hanging="360"/>
      </w:pPr>
    </w:lvl>
    <w:lvl w:ilvl="6" w:tplc="A4DC2B40">
      <w:start w:val="1"/>
      <w:numFmt w:val="bullet"/>
      <w:lvlText w:val="●"/>
      <w:lvlJc w:val="left"/>
      <w:pPr>
        <w:ind w:left="5040" w:hanging="360"/>
      </w:pPr>
    </w:lvl>
    <w:lvl w:ilvl="7" w:tplc="BC14D8B2">
      <w:start w:val="1"/>
      <w:numFmt w:val="bullet"/>
      <w:lvlText w:val="●"/>
      <w:lvlJc w:val="left"/>
      <w:pPr>
        <w:ind w:left="5760" w:hanging="360"/>
      </w:pPr>
    </w:lvl>
    <w:lvl w:ilvl="8" w:tplc="B9FA1EF0">
      <w:start w:val="1"/>
      <w:numFmt w:val="bullet"/>
      <w:lvlText w:val="●"/>
      <w:lvlJc w:val="left"/>
      <w:pPr>
        <w:ind w:left="6480" w:hanging="360"/>
      </w:pPr>
    </w:lvl>
  </w:abstractNum>
  <w:num w:numId="1" w16cid:durableId="560600476">
    <w:abstractNumId w:val="1"/>
    <w:lvlOverride w:ilvl="0">
      <w:startOverride w:val="1"/>
    </w:lvlOverride>
  </w:num>
  <w:num w:numId="2" w16cid:durableId="1754234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7C"/>
    <w:rsid w:val="000A09F3"/>
    <w:rsid w:val="0018022E"/>
    <w:rsid w:val="001C250C"/>
    <w:rsid w:val="00312A7C"/>
    <w:rsid w:val="00AB5F72"/>
    <w:rsid w:val="00B713B3"/>
    <w:rsid w:val="00EA6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915AA"/>
  <w15:docId w15:val="{8006379A-DCAA-4358-B4EF-5006326A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2917</Words>
  <Characters>16632</Characters>
  <Application>Microsoft Office Word</Application>
  <DocSecurity>0</DocSecurity>
  <Lines>138</Lines>
  <Paragraphs>39</Paragraphs>
  <ScaleCrop>false</ScaleCrop>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Chahat Khatter</cp:lastModifiedBy>
  <cp:revision>2</cp:revision>
  <dcterms:created xsi:type="dcterms:W3CDTF">2026-08-14T09:41:00Z</dcterms:created>
  <dcterms:modified xsi:type="dcterms:W3CDTF">2026-08-14T09:41:00Z</dcterms:modified>
</cp:coreProperties>
</file>