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E2AD6" w14:textId="77777777" w:rsidR="007333A4" w:rsidRPr="00A66337" w:rsidRDefault="00000000" w:rsidP="00A66337">
      <w:pPr>
        <w:spacing w:after="80"/>
        <w:rPr>
          <w:rFonts w:ascii="Calibri" w:hAnsi="Calibri" w:cs="Calibri"/>
          <w:sz w:val="48"/>
          <w:szCs w:val="48"/>
        </w:rPr>
      </w:pPr>
      <w:r w:rsidRPr="00A66337">
        <w:rPr>
          <w:rFonts w:ascii="Calibri" w:hAnsi="Calibri" w:cs="Calibri"/>
          <w:b/>
          <w:bCs/>
          <w:color w:val="1C2B3A"/>
          <w:sz w:val="48"/>
          <w:szCs w:val="48"/>
        </w:rPr>
        <w:t>Blog Content Style Guide &amp; Rubric</w:t>
      </w:r>
    </w:p>
    <w:p w14:paraId="5A4E2629" w14:textId="1A961000" w:rsidR="007333A4" w:rsidRPr="00146AC3" w:rsidRDefault="00000000">
      <w:pPr>
        <w:pBdr>
          <w:bottom w:val="single" w:sz="6" w:space="4" w:color="C0392B"/>
        </w:pBdr>
        <w:spacing w:after="40"/>
        <w:jc w:val="center"/>
        <w:rPr>
          <w:rFonts w:ascii="Calibri" w:hAnsi="Calibri" w:cs="Calibri"/>
        </w:rPr>
      </w:pPr>
      <w:r w:rsidRPr="00146AC3">
        <w:rPr>
          <w:rFonts w:ascii="Calibri" w:hAnsi="Calibri" w:cs="Calibri"/>
          <w:color w:val="5D6D7E"/>
        </w:rPr>
        <w:t xml:space="preserve">Version 1.0   |   May 2026   </w:t>
      </w:r>
    </w:p>
    <w:p w14:paraId="031AEB9C" w14:textId="77777777" w:rsidR="007333A4" w:rsidRPr="00146AC3" w:rsidRDefault="007333A4">
      <w:pPr>
        <w:spacing w:before="200"/>
        <w:rPr>
          <w:rFonts w:ascii="Calibri" w:hAnsi="Calibri" w:cs="Calibri"/>
        </w:rPr>
      </w:pPr>
    </w:p>
    <w:p w14:paraId="3ACD64B0" w14:textId="77777777" w:rsidR="007333A4" w:rsidRPr="00BD03BD" w:rsidRDefault="00000000" w:rsidP="00BD03BD">
      <w:pPr>
        <w:spacing w:after="60"/>
        <w:rPr>
          <w:rFonts w:ascii="Calibri" w:hAnsi="Calibri" w:cs="Calibri"/>
          <w:i/>
          <w:iCs/>
          <w:sz w:val="24"/>
          <w:szCs w:val="24"/>
        </w:rPr>
      </w:pPr>
      <w:r w:rsidRPr="00BD03BD">
        <w:rPr>
          <w:rFonts w:ascii="Calibri" w:hAnsi="Calibri" w:cs="Calibri"/>
          <w:i/>
          <w:iCs/>
          <w:color w:val="1E293B"/>
          <w:sz w:val="24"/>
          <w:szCs w:val="24"/>
        </w:rPr>
        <w:t xml:space="preserve">This document consolidates all client feedback and </w:t>
      </w:r>
      <w:proofErr w:type="gramStart"/>
      <w:r w:rsidRPr="00BD03BD">
        <w:rPr>
          <w:rFonts w:ascii="Calibri" w:hAnsi="Calibri" w:cs="Calibri"/>
          <w:i/>
          <w:iCs/>
          <w:color w:val="1E293B"/>
          <w:sz w:val="24"/>
          <w:szCs w:val="24"/>
        </w:rPr>
        <w:t>agreed</w:t>
      </w:r>
      <w:proofErr w:type="gramEnd"/>
      <w:r w:rsidRPr="00BD03BD">
        <w:rPr>
          <w:rFonts w:ascii="Calibri" w:hAnsi="Calibri" w:cs="Calibri"/>
          <w:i/>
          <w:iCs/>
          <w:color w:val="1E293B"/>
          <w:sz w:val="24"/>
          <w:szCs w:val="24"/>
        </w:rPr>
        <w:t xml:space="preserve"> standards for every content piece produced for the Jaggaer engagement. All writers and reviewers must reference this guide before submitting any draft.</w:t>
      </w:r>
    </w:p>
    <w:p w14:paraId="749C8370" w14:textId="77777777" w:rsidR="007333A4" w:rsidRPr="00146AC3" w:rsidRDefault="00000000">
      <w:pPr>
        <w:pStyle w:val="Heading1"/>
        <w:pBdr>
          <w:bottom w:val="single" w:sz="8" w:space="4" w:color="C0392B"/>
        </w:pBdr>
        <w:rPr>
          <w:rFonts w:ascii="Calibri" w:hAnsi="Calibri" w:cs="Calibri"/>
        </w:rPr>
      </w:pPr>
      <w:r w:rsidRPr="00146AC3">
        <w:rPr>
          <w:rFonts w:ascii="Calibri" w:hAnsi="Calibri" w:cs="Calibri"/>
        </w:rPr>
        <w:t>1. Purpose &amp; How to Use This Guide</w:t>
      </w:r>
    </w:p>
    <w:p w14:paraId="336B45D1" w14:textId="77777777" w:rsidR="007333A4" w:rsidRPr="00146AC3" w:rsidRDefault="00000000">
      <w:pPr>
        <w:spacing w:before="80" w:after="80"/>
        <w:rPr>
          <w:rFonts w:ascii="Calibri" w:hAnsi="Calibri" w:cs="Calibri"/>
        </w:rPr>
      </w:pPr>
      <w:r w:rsidRPr="00146AC3">
        <w:rPr>
          <w:rFonts w:ascii="Calibri" w:hAnsi="Calibri" w:cs="Calibri"/>
          <w:color w:val="000000"/>
        </w:rPr>
        <w:t>This style guide is the single source of truth for all blog and long-form content produced under the Jaggaer × Netscribes content intelligence engagement. Every article must be checked against this rubric before it is shared with the Jaggaer team.</w:t>
      </w:r>
    </w:p>
    <w:p w14:paraId="35622C95" w14:textId="77777777" w:rsidR="007333A4" w:rsidRPr="00146AC3" w:rsidRDefault="00000000">
      <w:pPr>
        <w:spacing w:before="80" w:after="80"/>
        <w:rPr>
          <w:rFonts w:ascii="Calibri" w:hAnsi="Calibri" w:cs="Calibri"/>
        </w:rPr>
      </w:pPr>
      <w:r w:rsidRPr="00146AC3">
        <w:rPr>
          <w:rFonts w:ascii="Calibri" w:hAnsi="Calibri" w:cs="Calibri"/>
          <w:b/>
          <w:bCs/>
          <w:color w:val="000000"/>
        </w:rPr>
        <w:t>The guide covers three areas:</w:t>
      </w:r>
    </w:p>
    <w:p w14:paraId="125518D0"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Content objectives — what every article must achieve</w:t>
      </w:r>
    </w:p>
    <w:p w14:paraId="65A59E61"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Writing standards — how the content must be written</w:t>
      </w:r>
    </w:p>
    <w:p w14:paraId="1DB9DFA2"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Design and formatting rules — how the content must look</w:t>
      </w:r>
    </w:p>
    <w:p w14:paraId="7EC50F02" w14:textId="77777777" w:rsidR="007333A4" w:rsidRPr="00146AC3" w:rsidRDefault="007333A4">
      <w:pPr>
        <w:spacing w:before="100"/>
        <w:rPr>
          <w:rFonts w:ascii="Calibri" w:hAnsi="Calibri" w:cs="Calibri"/>
        </w:rPr>
      </w:pPr>
    </w:p>
    <w:p w14:paraId="1C1C162D" w14:textId="77777777" w:rsidR="007333A4" w:rsidRPr="00146AC3" w:rsidRDefault="00000000">
      <w:pPr>
        <w:pStyle w:val="Heading1"/>
        <w:pBdr>
          <w:bottom w:val="single" w:sz="8" w:space="4" w:color="C0392B"/>
        </w:pBdr>
        <w:rPr>
          <w:rFonts w:ascii="Calibri" w:hAnsi="Calibri" w:cs="Calibri"/>
        </w:rPr>
      </w:pPr>
      <w:r w:rsidRPr="00146AC3">
        <w:rPr>
          <w:rFonts w:ascii="Calibri" w:hAnsi="Calibri" w:cs="Calibri"/>
        </w:rPr>
        <w:t>2. Content Objectives — Priority Order</w:t>
      </w:r>
    </w:p>
    <w:p w14:paraId="7C8B7DD5" w14:textId="77777777" w:rsidR="007333A4" w:rsidRPr="00146AC3" w:rsidRDefault="00000000">
      <w:pPr>
        <w:spacing w:before="80" w:after="80"/>
        <w:rPr>
          <w:rFonts w:ascii="Calibri" w:hAnsi="Calibri" w:cs="Calibri"/>
        </w:rPr>
      </w:pPr>
      <w:r w:rsidRPr="00146AC3">
        <w:rPr>
          <w:rFonts w:ascii="Calibri" w:hAnsi="Calibri" w:cs="Calibri"/>
          <w:color w:val="000000"/>
        </w:rPr>
        <w:t>Every article must serve the following objectives, in this priority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2388"/>
        <w:gridCol w:w="6113"/>
      </w:tblGrid>
      <w:tr w:rsidR="007333A4" w:rsidRPr="00146AC3" w14:paraId="59CC3ADA" w14:textId="77777777" w:rsidTr="00BD03BD">
        <w:trPr>
          <w:tblHeader/>
        </w:trPr>
        <w:tc>
          <w:tcPr>
            <w:tcW w:w="859"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0E674B25"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Priority</w:t>
            </w:r>
          </w:p>
        </w:tc>
        <w:tc>
          <w:tcPr>
            <w:tcW w:w="2388"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2BBA7A2C"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Objective</w:t>
            </w:r>
          </w:p>
        </w:tc>
        <w:tc>
          <w:tcPr>
            <w:tcW w:w="6113"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2BEDB883"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What It Means</w:t>
            </w:r>
          </w:p>
        </w:tc>
      </w:tr>
      <w:tr w:rsidR="007333A4" w:rsidRPr="00146AC3" w14:paraId="1C61BC79" w14:textId="77777777" w:rsidTr="00BD03BD">
        <w:tc>
          <w:tcPr>
            <w:tcW w:w="859"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AFA9F0E" w14:textId="77777777" w:rsidR="007333A4" w:rsidRPr="00146AC3" w:rsidRDefault="00000000">
            <w:pPr>
              <w:rPr>
                <w:rFonts w:ascii="Calibri" w:hAnsi="Calibri" w:cs="Calibri"/>
              </w:rPr>
            </w:pPr>
            <w:r w:rsidRPr="00146AC3">
              <w:rPr>
                <w:rFonts w:ascii="Calibri" w:hAnsi="Calibri" w:cs="Calibri"/>
                <w:b/>
                <w:bCs/>
                <w:color w:val="1E293B"/>
                <w:sz w:val="20"/>
                <w:szCs w:val="20"/>
              </w:rPr>
              <w:t>01</w:t>
            </w:r>
          </w:p>
        </w:tc>
        <w:tc>
          <w:tcPr>
            <w:tcW w:w="2388"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BB4981A" w14:textId="77777777" w:rsidR="007333A4" w:rsidRPr="00146AC3" w:rsidRDefault="00000000">
            <w:pPr>
              <w:rPr>
                <w:rFonts w:ascii="Calibri" w:hAnsi="Calibri" w:cs="Calibri"/>
              </w:rPr>
            </w:pPr>
            <w:r w:rsidRPr="00146AC3">
              <w:rPr>
                <w:rFonts w:ascii="Calibri" w:hAnsi="Calibri" w:cs="Calibri"/>
                <w:color w:val="1E293B"/>
                <w:sz w:val="20"/>
                <w:szCs w:val="20"/>
              </w:rPr>
              <w:t>MSV Ranking</w:t>
            </w:r>
          </w:p>
        </w:tc>
        <w:tc>
          <w:tcPr>
            <w:tcW w:w="6113"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A3C0A3D" w14:textId="77777777" w:rsidR="007333A4" w:rsidRPr="00146AC3" w:rsidRDefault="00000000">
            <w:pPr>
              <w:rPr>
                <w:rFonts w:ascii="Calibri" w:hAnsi="Calibri" w:cs="Calibri"/>
              </w:rPr>
            </w:pPr>
            <w:r w:rsidRPr="00146AC3">
              <w:rPr>
                <w:rFonts w:ascii="Calibri" w:hAnsi="Calibri" w:cs="Calibri"/>
                <w:color w:val="1E293B"/>
                <w:sz w:val="20"/>
                <w:szCs w:val="20"/>
              </w:rPr>
              <w:t>The article must target a high-search-volume keyword and be structured to rank on Google page 1. Every other objective is secondary to this.</w:t>
            </w:r>
          </w:p>
        </w:tc>
      </w:tr>
      <w:tr w:rsidR="007333A4" w:rsidRPr="00146AC3" w14:paraId="6A2A7EC9" w14:textId="77777777" w:rsidTr="00BD03BD">
        <w:tc>
          <w:tcPr>
            <w:tcW w:w="859"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C884087" w14:textId="77777777" w:rsidR="007333A4" w:rsidRPr="00146AC3" w:rsidRDefault="00000000">
            <w:pPr>
              <w:rPr>
                <w:rFonts w:ascii="Calibri" w:hAnsi="Calibri" w:cs="Calibri"/>
              </w:rPr>
            </w:pPr>
            <w:r w:rsidRPr="00146AC3">
              <w:rPr>
                <w:rFonts w:ascii="Calibri" w:hAnsi="Calibri" w:cs="Calibri"/>
                <w:b/>
                <w:bCs/>
                <w:color w:val="1E293B"/>
                <w:sz w:val="20"/>
                <w:szCs w:val="20"/>
              </w:rPr>
              <w:t>02</w:t>
            </w:r>
          </w:p>
        </w:tc>
        <w:tc>
          <w:tcPr>
            <w:tcW w:w="2388"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2205B53" w14:textId="77777777" w:rsidR="007333A4" w:rsidRPr="00146AC3" w:rsidRDefault="00000000">
            <w:pPr>
              <w:rPr>
                <w:rFonts w:ascii="Calibri" w:hAnsi="Calibri" w:cs="Calibri"/>
              </w:rPr>
            </w:pPr>
            <w:r w:rsidRPr="00146AC3">
              <w:rPr>
                <w:rFonts w:ascii="Calibri" w:hAnsi="Calibri" w:cs="Calibri"/>
                <w:color w:val="1E293B"/>
                <w:sz w:val="20"/>
                <w:szCs w:val="20"/>
              </w:rPr>
              <w:t>Form Fill / Lead Gen</w:t>
            </w:r>
          </w:p>
        </w:tc>
        <w:tc>
          <w:tcPr>
            <w:tcW w:w="6113"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E5C68B9" w14:textId="77777777" w:rsidR="007333A4" w:rsidRPr="00146AC3" w:rsidRDefault="00000000">
            <w:pPr>
              <w:rPr>
                <w:rFonts w:ascii="Calibri" w:hAnsi="Calibri" w:cs="Calibri"/>
              </w:rPr>
            </w:pPr>
            <w:r w:rsidRPr="00146AC3">
              <w:rPr>
                <w:rFonts w:ascii="Calibri" w:hAnsi="Calibri" w:cs="Calibri"/>
                <w:color w:val="1E293B"/>
                <w:sz w:val="20"/>
                <w:szCs w:val="20"/>
              </w:rPr>
              <w:t>The article must drive at least one form fill or demo request via Jaggaer CTAs. First CTA must appear by the end of page 2.</w:t>
            </w:r>
          </w:p>
        </w:tc>
      </w:tr>
      <w:tr w:rsidR="007333A4" w:rsidRPr="00146AC3" w14:paraId="38C1823F" w14:textId="77777777" w:rsidTr="00BD03BD">
        <w:tc>
          <w:tcPr>
            <w:tcW w:w="859"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B4ECF57" w14:textId="77777777" w:rsidR="007333A4" w:rsidRPr="00146AC3" w:rsidRDefault="00000000">
            <w:pPr>
              <w:rPr>
                <w:rFonts w:ascii="Calibri" w:hAnsi="Calibri" w:cs="Calibri"/>
              </w:rPr>
            </w:pPr>
            <w:r w:rsidRPr="00146AC3">
              <w:rPr>
                <w:rFonts w:ascii="Calibri" w:hAnsi="Calibri" w:cs="Calibri"/>
                <w:b/>
                <w:bCs/>
                <w:color w:val="1E293B"/>
                <w:sz w:val="20"/>
                <w:szCs w:val="20"/>
              </w:rPr>
              <w:t>03</w:t>
            </w:r>
          </w:p>
        </w:tc>
        <w:tc>
          <w:tcPr>
            <w:tcW w:w="2388"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9753325" w14:textId="77777777" w:rsidR="007333A4" w:rsidRPr="00146AC3" w:rsidRDefault="00000000">
            <w:pPr>
              <w:rPr>
                <w:rFonts w:ascii="Calibri" w:hAnsi="Calibri" w:cs="Calibri"/>
              </w:rPr>
            </w:pPr>
            <w:r w:rsidRPr="00146AC3">
              <w:rPr>
                <w:rFonts w:ascii="Calibri" w:hAnsi="Calibri" w:cs="Calibri"/>
                <w:color w:val="1E293B"/>
                <w:sz w:val="20"/>
                <w:szCs w:val="20"/>
              </w:rPr>
              <w:t>Currency Signal</w:t>
            </w:r>
          </w:p>
        </w:tc>
        <w:tc>
          <w:tcPr>
            <w:tcW w:w="6113"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037D3B4" w14:textId="669D46AF" w:rsidR="007333A4" w:rsidRPr="00146AC3" w:rsidRDefault="00000000">
            <w:pPr>
              <w:rPr>
                <w:rFonts w:ascii="Calibri" w:hAnsi="Calibri" w:cs="Calibri"/>
              </w:rPr>
            </w:pPr>
            <w:r w:rsidRPr="00146AC3">
              <w:rPr>
                <w:rFonts w:ascii="Calibri" w:hAnsi="Calibri" w:cs="Calibri"/>
                <w:color w:val="1E293B"/>
                <w:sz w:val="20"/>
                <w:szCs w:val="20"/>
              </w:rPr>
              <w:t>The article must signal to both readers and Google that it contains current, up-to-date intelligence via year in the headline, a recency section, and dated citations.</w:t>
            </w:r>
          </w:p>
        </w:tc>
      </w:tr>
      <w:tr w:rsidR="007333A4" w:rsidRPr="00146AC3" w14:paraId="0090DA5A" w14:textId="77777777" w:rsidTr="00BD03BD">
        <w:tc>
          <w:tcPr>
            <w:tcW w:w="859"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2AE8D44" w14:textId="77777777" w:rsidR="007333A4" w:rsidRPr="00146AC3" w:rsidRDefault="00000000">
            <w:pPr>
              <w:rPr>
                <w:rFonts w:ascii="Calibri" w:hAnsi="Calibri" w:cs="Calibri"/>
              </w:rPr>
            </w:pPr>
            <w:r w:rsidRPr="00146AC3">
              <w:rPr>
                <w:rFonts w:ascii="Calibri" w:hAnsi="Calibri" w:cs="Calibri"/>
                <w:b/>
                <w:bCs/>
                <w:color w:val="1E293B"/>
                <w:sz w:val="20"/>
                <w:szCs w:val="20"/>
              </w:rPr>
              <w:t>04</w:t>
            </w:r>
          </w:p>
        </w:tc>
        <w:tc>
          <w:tcPr>
            <w:tcW w:w="2388"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D6E5680" w14:textId="77777777" w:rsidR="007333A4" w:rsidRPr="00146AC3" w:rsidRDefault="00000000">
            <w:pPr>
              <w:rPr>
                <w:rFonts w:ascii="Calibri" w:hAnsi="Calibri" w:cs="Calibri"/>
              </w:rPr>
            </w:pPr>
            <w:r w:rsidRPr="00146AC3">
              <w:rPr>
                <w:rFonts w:ascii="Calibri" w:hAnsi="Calibri" w:cs="Calibri"/>
                <w:color w:val="1E293B"/>
                <w:sz w:val="20"/>
                <w:szCs w:val="20"/>
              </w:rPr>
              <w:t>Expertise Signal</w:t>
            </w:r>
          </w:p>
        </w:tc>
        <w:tc>
          <w:tcPr>
            <w:tcW w:w="6113"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CF93C72" w14:textId="32103A38" w:rsidR="007333A4" w:rsidRPr="00146AC3" w:rsidRDefault="00000000">
            <w:pPr>
              <w:rPr>
                <w:rFonts w:ascii="Calibri" w:hAnsi="Calibri" w:cs="Calibri"/>
              </w:rPr>
            </w:pPr>
            <w:r w:rsidRPr="00146AC3">
              <w:rPr>
                <w:rFonts w:ascii="Calibri" w:hAnsi="Calibri" w:cs="Calibri"/>
                <w:color w:val="1E293B"/>
                <w:sz w:val="20"/>
                <w:szCs w:val="20"/>
              </w:rPr>
              <w:t>The article must demonstrate credibility through named third-party citations grouped in a dedicated Experts section so Google can register it as authoritative.</w:t>
            </w:r>
          </w:p>
        </w:tc>
      </w:tr>
      <w:tr w:rsidR="007333A4" w:rsidRPr="00146AC3" w14:paraId="77EF3970" w14:textId="77777777" w:rsidTr="00BD03BD">
        <w:tc>
          <w:tcPr>
            <w:tcW w:w="859"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7287A5D" w14:textId="77777777" w:rsidR="007333A4" w:rsidRPr="00146AC3" w:rsidRDefault="00000000">
            <w:pPr>
              <w:rPr>
                <w:rFonts w:ascii="Calibri" w:hAnsi="Calibri" w:cs="Calibri"/>
              </w:rPr>
            </w:pPr>
            <w:r w:rsidRPr="00146AC3">
              <w:rPr>
                <w:rFonts w:ascii="Calibri" w:hAnsi="Calibri" w:cs="Calibri"/>
                <w:b/>
                <w:bCs/>
                <w:color w:val="1E293B"/>
                <w:sz w:val="20"/>
                <w:szCs w:val="20"/>
              </w:rPr>
              <w:t>06</w:t>
            </w:r>
          </w:p>
        </w:tc>
        <w:tc>
          <w:tcPr>
            <w:tcW w:w="2388"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6EB2D87" w14:textId="77777777" w:rsidR="007333A4" w:rsidRPr="00146AC3" w:rsidRDefault="00000000">
            <w:pPr>
              <w:rPr>
                <w:rFonts w:ascii="Calibri" w:hAnsi="Calibri" w:cs="Calibri"/>
              </w:rPr>
            </w:pPr>
            <w:r w:rsidRPr="00146AC3">
              <w:rPr>
                <w:rFonts w:ascii="Calibri" w:hAnsi="Calibri" w:cs="Calibri"/>
                <w:color w:val="1E293B"/>
                <w:sz w:val="20"/>
                <w:szCs w:val="20"/>
              </w:rPr>
              <w:t>JAI Promotion</w:t>
            </w:r>
          </w:p>
        </w:tc>
        <w:tc>
          <w:tcPr>
            <w:tcW w:w="6113"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73E9BE4" w14:textId="35C359AC" w:rsidR="007333A4" w:rsidRPr="00146AC3" w:rsidRDefault="00000000">
            <w:pPr>
              <w:rPr>
                <w:rFonts w:ascii="Calibri" w:hAnsi="Calibri" w:cs="Calibri"/>
              </w:rPr>
            </w:pPr>
            <w:r w:rsidRPr="00146AC3">
              <w:rPr>
                <w:rFonts w:ascii="Calibri" w:hAnsi="Calibri" w:cs="Calibri"/>
                <w:color w:val="1E293B"/>
                <w:sz w:val="20"/>
                <w:szCs w:val="20"/>
              </w:rPr>
              <w:t>Jaggaer's platform must be subtly positioned through contextual CTAs not hard sells. The reader should feel informed, not marketed to.</w:t>
            </w:r>
          </w:p>
        </w:tc>
      </w:tr>
    </w:tbl>
    <w:p w14:paraId="2F7B860F" w14:textId="77777777" w:rsidR="007333A4" w:rsidRPr="00146AC3" w:rsidRDefault="00000000">
      <w:pPr>
        <w:pStyle w:val="Heading1"/>
        <w:pBdr>
          <w:bottom w:val="single" w:sz="8" w:space="4" w:color="C0392B"/>
        </w:pBdr>
        <w:rPr>
          <w:rFonts w:ascii="Calibri" w:hAnsi="Calibri" w:cs="Calibri"/>
        </w:rPr>
      </w:pPr>
      <w:r w:rsidRPr="00146AC3">
        <w:rPr>
          <w:rFonts w:ascii="Calibri" w:hAnsi="Calibri" w:cs="Calibri"/>
        </w:rPr>
        <w:t>3. Content Type Split</w:t>
      </w:r>
    </w:p>
    <w:p w14:paraId="30D2B768" w14:textId="77777777" w:rsidR="007333A4" w:rsidRPr="00146AC3" w:rsidRDefault="00000000">
      <w:pPr>
        <w:spacing w:before="80" w:after="80"/>
        <w:rPr>
          <w:rFonts w:ascii="Calibri" w:hAnsi="Calibri" w:cs="Calibri"/>
        </w:rPr>
      </w:pPr>
      <w:r w:rsidRPr="00146AC3">
        <w:rPr>
          <w:rFonts w:ascii="Calibri" w:hAnsi="Calibri" w:cs="Calibri"/>
          <w:color w:val="000000"/>
        </w:rPr>
        <w:lastRenderedPageBreak/>
        <w:t>Every article must be tagged as one of three content types before writing begins. The split for Month 1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400"/>
        <w:gridCol w:w="4960"/>
      </w:tblGrid>
      <w:tr w:rsidR="007333A4" w:rsidRPr="00146AC3" w14:paraId="4BA56DE2" w14:textId="77777777">
        <w:trPr>
          <w:tblHeader/>
        </w:trPr>
        <w:tc>
          <w:tcPr>
            <w:tcW w:w="300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1ED2CEF9"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Content Type</w:t>
            </w:r>
          </w:p>
        </w:tc>
        <w:tc>
          <w:tcPr>
            <w:tcW w:w="140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185AF728"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 of Output</w:t>
            </w:r>
          </w:p>
        </w:tc>
        <w:tc>
          <w:tcPr>
            <w:tcW w:w="496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74C8850E"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Definition</w:t>
            </w:r>
          </w:p>
        </w:tc>
      </w:tr>
      <w:tr w:rsidR="007333A4" w:rsidRPr="00146AC3" w14:paraId="0FD88D08"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475646D" w14:textId="77777777" w:rsidR="007333A4" w:rsidRPr="00146AC3" w:rsidRDefault="00000000">
            <w:pPr>
              <w:rPr>
                <w:rFonts w:ascii="Calibri" w:hAnsi="Calibri" w:cs="Calibri"/>
              </w:rPr>
            </w:pPr>
            <w:r w:rsidRPr="00146AC3">
              <w:rPr>
                <w:rFonts w:ascii="Calibri" w:hAnsi="Calibri" w:cs="Calibri"/>
                <w:b/>
                <w:bCs/>
                <w:color w:val="1E293B"/>
                <w:sz w:val="20"/>
                <w:szCs w:val="20"/>
              </w:rPr>
              <w:t>MSV-Driven (Broad, Horizontal)</w:t>
            </w:r>
          </w:p>
        </w:tc>
        <w:tc>
          <w:tcPr>
            <w:tcW w:w="14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69A5D99" w14:textId="77777777" w:rsidR="007333A4" w:rsidRPr="00146AC3" w:rsidRDefault="00000000">
            <w:pPr>
              <w:rPr>
                <w:rFonts w:ascii="Calibri" w:hAnsi="Calibri" w:cs="Calibri"/>
              </w:rPr>
            </w:pPr>
            <w:r w:rsidRPr="00146AC3">
              <w:rPr>
                <w:rFonts w:ascii="Calibri" w:hAnsi="Calibri" w:cs="Calibri"/>
                <w:color w:val="1E293B"/>
                <w:sz w:val="20"/>
                <w:szCs w:val="20"/>
              </w:rPr>
              <w:t>50%</w:t>
            </w:r>
          </w:p>
        </w:tc>
        <w:tc>
          <w:tcPr>
            <w:tcW w:w="49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B0592AC" w14:textId="77777777" w:rsidR="007333A4" w:rsidRPr="00146AC3" w:rsidRDefault="00000000">
            <w:pPr>
              <w:rPr>
                <w:rFonts w:ascii="Calibri" w:hAnsi="Calibri" w:cs="Calibri"/>
              </w:rPr>
            </w:pPr>
            <w:r w:rsidRPr="00146AC3">
              <w:rPr>
                <w:rFonts w:ascii="Calibri" w:hAnsi="Calibri" w:cs="Calibri"/>
                <w:color w:val="1E293B"/>
                <w:sz w:val="20"/>
                <w:szCs w:val="20"/>
              </w:rPr>
              <w:t>Broad article targeting high-volume generic procurement terms. No industry in the title or URL. Industry-specific For Example callout added within the body.</w:t>
            </w:r>
          </w:p>
        </w:tc>
      </w:tr>
      <w:tr w:rsidR="007333A4" w:rsidRPr="00146AC3" w14:paraId="58F5DBAE" w14:textId="77777777">
        <w:tc>
          <w:tcPr>
            <w:tcW w:w="3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1A71665" w14:textId="77777777" w:rsidR="007333A4" w:rsidRPr="00146AC3" w:rsidRDefault="00000000">
            <w:pPr>
              <w:rPr>
                <w:rFonts w:ascii="Calibri" w:hAnsi="Calibri" w:cs="Calibri"/>
              </w:rPr>
            </w:pPr>
            <w:r w:rsidRPr="00146AC3">
              <w:rPr>
                <w:rFonts w:ascii="Calibri" w:hAnsi="Calibri" w:cs="Calibri"/>
                <w:b/>
                <w:bCs/>
                <w:color w:val="1E293B"/>
                <w:sz w:val="20"/>
                <w:szCs w:val="20"/>
              </w:rPr>
              <w:t>AI in S2P (Claude)</w:t>
            </w:r>
          </w:p>
        </w:tc>
        <w:tc>
          <w:tcPr>
            <w:tcW w:w="14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212D3CC" w14:textId="77777777" w:rsidR="007333A4" w:rsidRPr="00146AC3" w:rsidRDefault="00000000">
            <w:pPr>
              <w:rPr>
                <w:rFonts w:ascii="Calibri" w:hAnsi="Calibri" w:cs="Calibri"/>
              </w:rPr>
            </w:pPr>
            <w:r w:rsidRPr="00146AC3">
              <w:rPr>
                <w:rFonts w:ascii="Calibri" w:hAnsi="Calibri" w:cs="Calibri"/>
                <w:color w:val="1E293B"/>
                <w:sz w:val="20"/>
                <w:szCs w:val="20"/>
              </w:rPr>
              <w:t>25%</w:t>
            </w:r>
          </w:p>
        </w:tc>
        <w:tc>
          <w:tcPr>
            <w:tcW w:w="49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753E7F1" w14:textId="77777777" w:rsidR="007333A4" w:rsidRPr="00146AC3" w:rsidRDefault="00000000">
            <w:pPr>
              <w:rPr>
                <w:rFonts w:ascii="Calibri" w:hAnsi="Calibri" w:cs="Calibri"/>
              </w:rPr>
            </w:pPr>
            <w:r w:rsidRPr="00146AC3">
              <w:rPr>
                <w:rFonts w:ascii="Calibri" w:hAnsi="Calibri" w:cs="Calibri"/>
                <w:color w:val="1E293B"/>
                <w:sz w:val="20"/>
                <w:szCs w:val="20"/>
              </w:rPr>
              <w:t>Claude-focused content for the Build With Claude section. Targets Claude + S2P searches. User journey tagged per piece (Path 1/2/3).</w:t>
            </w:r>
          </w:p>
        </w:tc>
      </w:tr>
      <w:tr w:rsidR="007333A4" w:rsidRPr="00146AC3" w14:paraId="10C5AFA0"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AF98C92" w14:textId="77777777" w:rsidR="007333A4" w:rsidRPr="00146AC3" w:rsidRDefault="00000000">
            <w:pPr>
              <w:rPr>
                <w:rFonts w:ascii="Calibri" w:hAnsi="Calibri" w:cs="Calibri"/>
              </w:rPr>
            </w:pPr>
            <w:r w:rsidRPr="00146AC3">
              <w:rPr>
                <w:rFonts w:ascii="Calibri" w:hAnsi="Calibri" w:cs="Calibri"/>
                <w:b/>
                <w:bCs/>
                <w:color w:val="1E293B"/>
                <w:sz w:val="20"/>
                <w:szCs w:val="20"/>
              </w:rPr>
              <w:t>Industry-Specific (rotating)</w:t>
            </w:r>
          </w:p>
        </w:tc>
        <w:tc>
          <w:tcPr>
            <w:tcW w:w="14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292A3D8" w14:textId="77777777" w:rsidR="007333A4" w:rsidRPr="00146AC3" w:rsidRDefault="00000000">
            <w:pPr>
              <w:rPr>
                <w:rFonts w:ascii="Calibri" w:hAnsi="Calibri" w:cs="Calibri"/>
              </w:rPr>
            </w:pPr>
            <w:r w:rsidRPr="00146AC3">
              <w:rPr>
                <w:rFonts w:ascii="Calibri" w:hAnsi="Calibri" w:cs="Calibri"/>
                <w:color w:val="1E293B"/>
                <w:sz w:val="20"/>
                <w:szCs w:val="20"/>
              </w:rPr>
              <w:t>25%</w:t>
            </w:r>
          </w:p>
        </w:tc>
        <w:tc>
          <w:tcPr>
            <w:tcW w:w="49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EA45109" w14:textId="77777777" w:rsidR="007333A4" w:rsidRPr="00146AC3" w:rsidRDefault="00000000">
            <w:pPr>
              <w:rPr>
                <w:rFonts w:ascii="Calibri" w:hAnsi="Calibri" w:cs="Calibri"/>
              </w:rPr>
            </w:pPr>
            <w:r w:rsidRPr="00146AC3">
              <w:rPr>
                <w:rFonts w:ascii="Calibri" w:hAnsi="Calibri" w:cs="Calibri"/>
                <w:color w:val="1E293B"/>
                <w:sz w:val="20"/>
                <w:szCs w:val="20"/>
              </w:rPr>
              <w:t xml:space="preserve">Vertical content for one named sector. Lower search volume but high SDR enablement value. eBooks and whitepapers are always </w:t>
            </w:r>
            <w:proofErr w:type="gramStart"/>
            <w:r w:rsidRPr="00146AC3">
              <w:rPr>
                <w:rFonts w:ascii="Calibri" w:hAnsi="Calibri" w:cs="Calibri"/>
                <w:color w:val="1E293B"/>
                <w:sz w:val="20"/>
                <w:szCs w:val="20"/>
              </w:rPr>
              <w:t>industry-specific</w:t>
            </w:r>
            <w:proofErr w:type="gramEnd"/>
            <w:r w:rsidRPr="00146AC3">
              <w:rPr>
                <w:rFonts w:ascii="Calibri" w:hAnsi="Calibri" w:cs="Calibri"/>
                <w:color w:val="1E293B"/>
                <w:sz w:val="20"/>
                <w:szCs w:val="20"/>
              </w:rPr>
              <w:t>.</w:t>
            </w:r>
          </w:p>
        </w:tc>
      </w:tr>
    </w:tbl>
    <w:p w14:paraId="0AEF4014" w14:textId="77777777" w:rsidR="007333A4" w:rsidRPr="00146AC3" w:rsidRDefault="00000000">
      <w:pPr>
        <w:pStyle w:val="Heading1"/>
        <w:pBdr>
          <w:bottom w:val="single" w:sz="8" w:space="4" w:color="C0392B"/>
        </w:pBdr>
        <w:rPr>
          <w:rFonts w:ascii="Calibri" w:hAnsi="Calibri" w:cs="Calibri"/>
        </w:rPr>
      </w:pPr>
      <w:r w:rsidRPr="00146AC3">
        <w:rPr>
          <w:rFonts w:ascii="Calibri" w:hAnsi="Calibri" w:cs="Calibri"/>
        </w:rPr>
        <w:t>4. Writing Standards</w:t>
      </w:r>
    </w:p>
    <w:p w14:paraId="177A0686" w14:textId="77777777" w:rsidR="007333A4" w:rsidRPr="00146AC3" w:rsidRDefault="00000000">
      <w:pPr>
        <w:pStyle w:val="Heading2"/>
        <w:rPr>
          <w:rFonts w:ascii="Calibri" w:hAnsi="Calibri" w:cs="Calibri"/>
        </w:rPr>
      </w:pPr>
      <w:r w:rsidRPr="00146AC3">
        <w:rPr>
          <w:rFonts w:ascii="Calibri" w:hAnsi="Calibri" w:cs="Calibri"/>
        </w:rPr>
        <w:t>4.1 Sentence Length</w:t>
      </w:r>
    </w:p>
    <w:p w14:paraId="3F59128E" w14:textId="415EAE2C" w:rsidR="007333A4" w:rsidRPr="00146AC3" w:rsidRDefault="00000000">
      <w:pPr>
        <w:spacing w:before="80" w:after="80"/>
        <w:rPr>
          <w:rFonts w:ascii="Calibri" w:hAnsi="Calibri" w:cs="Calibri"/>
        </w:rPr>
      </w:pPr>
      <w:r w:rsidRPr="00146AC3">
        <w:rPr>
          <w:rFonts w:ascii="Calibri" w:hAnsi="Calibri" w:cs="Calibri"/>
          <w:color w:val="000000"/>
        </w:rPr>
        <w:t>This is the single most important stylistic rule on this engagement.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333A4" w:rsidRPr="00146AC3" w14:paraId="0C1E3648" w14:textId="77777777">
        <w:tc>
          <w:tcPr>
            <w:tcW w:w="4680" w:type="dxa"/>
            <w:tcBorders>
              <w:top w:val="single" w:sz="1" w:space="0" w:color="D5D8DC"/>
              <w:left w:val="single" w:sz="1" w:space="0" w:color="D5D8DC"/>
              <w:bottom w:val="single" w:sz="1" w:space="0" w:color="D5D8DC"/>
              <w:right w:val="single" w:sz="1" w:space="0" w:color="D5D8DC"/>
            </w:tcBorders>
            <w:shd w:val="clear" w:color="auto" w:fill="C0392B"/>
            <w:tcMar>
              <w:top w:w="120" w:type="dxa"/>
              <w:left w:w="160" w:type="dxa"/>
              <w:bottom w:w="120" w:type="dxa"/>
              <w:right w:w="120" w:type="dxa"/>
            </w:tcMar>
          </w:tcPr>
          <w:p w14:paraId="57299D30" w14:textId="77777777" w:rsidR="007333A4" w:rsidRPr="00146AC3" w:rsidRDefault="00000000">
            <w:pPr>
              <w:rPr>
                <w:rFonts w:ascii="Calibri" w:hAnsi="Calibri" w:cs="Calibri"/>
              </w:rPr>
            </w:pPr>
            <w:r w:rsidRPr="00146AC3">
              <w:rPr>
                <w:rFonts w:ascii="Calibri" w:hAnsi="Calibri" w:cs="Calibri"/>
                <w:b/>
                <w:bCs/>
                <w:color w:val="FFFFFF"/>
              </w:rPr>
              <w:t>THE RULE</w:t>
            </w:r>
          </w:p>
          <w:p w14:paraId="72801ED7" w14:textId="77777777" w:rsidR="007333A4" w:rsidRPr="00146AC3" w:rsidRDefault="00000000">
            <w:pPr>
              <w:rPr>
                <w:rFonts w:ascii="Calibri" w:hAnsi="Calibri" w:cs="Calibri"/>
              </w:rPr>
            </w:pPr>
            <w:r w:rsidRPr="00146AC3">
              <w:rPr>
                <w:rFonts w:ascii="Calibri" w:hAnsi="Calibri" w:cs="Calibri"/>
                <w:color w:val="FFFFFF"/>
                <w:sz w:val="20"/>
                <w:szCs w:val="20"/>
              </w:rPr>
              <w:t>If you cannot say it in one breath, rewrite it.</w:t>
            </w:r>
          </w:p>
        </w:tc>
        <w:tc>
          <w:tcPr>
            <w:tcW w:w="4680" w:type="dxa"/>
            <w:tcBorders>
              <w:top w:val="single" w:sz="1" w:space="0" w:color="D5D8DC"/>
              <w:left w:val="single" w:sz="1" w:space="0" w:color="D5D8DC"/>
              <w:bottom w:val="single" w:sz="1" w:space="0" w:color="D5D8DC"/>
              <w:right w:val="single" w:sz="1" w:space="0" w:color="D5D8DC"/>
            </w:tcBorders>
            <w:shd w:val="clear" w:color="auto" w:fill="FEF9E7"/>
            <w:tcMar>
              <w:top w:w="120" w:type="dxa"/>
              <w:left w:w="160" w:type="dxa"/>
              <w:bottom w:w="120" w:type="dxa"/>
              <w:right w:w="120" w:type="dxa"/>
            </w:tcMar>
          </w:tcPr>
          <w:p w14:paraId="382C073B" w14:textId="77777777" w:rsidR="007333A4" w:rsidRPr="00146AC3" w:rsidRDefault="00000000">
            <w:pPr>
              <w:rPr>
                <w:rFonts w:ascii="Calibri" w:hAnsi="Calibri" w:cs="Calibri"/>
              </w:rPr>
            </w:pPr>
            <w:r w:rsidRPr="00146AC3">
              <w:rPr>
                <w:rFonts w:ascii="Calibri" w:hAnsi="Calibri" w:cs="Calibri"/>
                <w:color w:val="1E293B"/>
                <w:sz w:val="20"/>
                <w:szCs w:val="20"/>
              </w:rPr>
              <w:t>How to test: Read every sentence aloud. If you run out of breath, the sentence is too long. Break it into two.</w:t>
            </w:r>
          </w:p>
        </w:tc>
      </w:tr>
    </w:tbl>
    <w:p w14:paraId="7E152572" w14:textId="77777777" w:rsidR="007333A4" w:rsidRPr="00146AC3" w:rsidRDefault="007333A4">
      <w:pPr>
        <w:spacing w:before="80"/>
        <w:rPr>
          <w:rFonts w:ascii="Calibri" w:hAnsi="Calibri" w:cs="Calibri"/>
        </w:rPr>
      </w:pPr>
    </w:p>
    <w:p w14:paraId="0C4A7696" w14:textId="77777777" w:rsidR="007333A4" w:rsidRPr="00146AC3" w:rsidRDefault="00000000">
      <w:pPr>
        <w:spacing w:before="80" w:after="80"/>
        <w:rPr>
          <w:rFonts w:ascii="Calibri" w:hAnsi="Calibri" w:cs="Calibri"/>
        </w:rPr>
      </w:pPr>
      <w:r w:rsidRPr="00146AC3">
        <w:rPr>
          <w:rFonts w:ascii="Calibri" w:hAnsi="Calibri" w:cs="Calibri"/>
          <w:color w:val="000000"/>
        </w:rPr>
        <w:t>Target: Under 25 words per sentence. Maximum: 30 words. Any sentence over 30 words must be rewritten without exception.</w:t>
      </w:r>
    </w:p>
    <w:p w14:paraId="1FB408D3" w14:textId="77777777" w:rsidR="007333A4" w:rsidRPr="00146AC3" w:rsidRDefault="007333A4">
      <w:pPr>
        <w:spacing w:before="80"/>
        <w:rPr>
          <w:rFonts w:ascii="Calibri" w:hAnsi="Calibri" w:cs="Calibri"/>
        </w:rPr>
      </w:pPr>
    </w:p>
    <w:tbl>
      <w:tblPr>
        <w:tblStyle w:val="PlainTable1"/>
        <w:tblW w:w="9360" w:type="dxa"/>
        <w:tblLook w:val="04A0" w:firstRow="1" w:lastRow="0" w:firstColumn="1" w:lastColumn="0" w:noHBand="0" w:noVBand="1"/>
      </w:tblPr>
      <w:tblGrid>
        <w:gridCol w:w="1200"/>
        <w:gridCol w:w="8160"/>
      </w:tblGrid>
      <w:tr w:rsidR="007333A4" w:rsidRPr="00146AC3" w14:paraId="10EE0EEE" w14:textId="77777777" w:rsidTr="00BD03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58C34032" w14:textId="77777777" w:rsidR="007333A4" w:rsidRPr="00146AC3" w:rsidRDefault="00000000">
            <w:pPr>
              <w:jc w:val="center"/>
              <w:rPr>
                <w:rFonts w:ascii="Calibri" w:hAnsi="Calibri" w:cs="Calibri"/>
              </w:rPr>
            </w:pPr>
            <w:r w:rsidRPr="00146AC3">
              <w:rPr>
                <w:rFonts w:ascii="Calibri" w:hAnsi="Calibri" w:cs="Calibri"/>
                <w:color w:val="C0392B"/>
                <w:sz w:val="18"/>
                <w:szCs w:val="18"/>
              </w:rPr>
              <w:t>BEFORE</w:t>
            </w:r>
          </w:p>
        </w:tc>
        <w:tc>
          <w:tcPr>
            <w:tcW w:w="8160" w:type="dxa"/>
          </w:tcPr>
          <w:p w14:paraId="5582AB2F" w14:textId="77777777" w:rsidR="007333A4" w:rsidRPr="00146AC3"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46AC3">
              <w:rPr>
                <w:rFonts w:ascii="Calibri" w:hAnsi="Calibri" w:cs="Calibri"/>
                <w:color w:val="5D6D7E"/>
                <w:sz w:val="20"/>
                <w:szCs w:val="20"/>
              </w:rPr>
              <w:t>Supplier financial risk signals carry measurable procurement consequences and with 30% of supply chain disruptions in 2025 exceeding $5 million in direct costs, delayed responses can quickly escalate to a major operational and financial exposure.</w:t>
            </w:r>
          </w:p>
        </w:tc>
      </w:tr>
      <w:tr w:rsidR="007333A4" w:rsidRPr="00146AC3" w14:paraId="34922CFA" w14:textId="77777777" w:rsidTr="00BD0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17BF86AC" w14:textId="77777777" w:rsidR="007333A4" w:rsidRPr="00146AC3" w:rsidRDefault="00000000">
            <w:pPr>
              <w:jc w:val="center"/>
              <w:rPr>
                <w:rFonts w:ascii="Calibri" w:hAnsi="Calibri" w:cs="Calibri"/>
              </w:rPr>
            </w:pPr>
            <w:r w:rsidRPr="00146AC3">
              <w:rPr>
                <w:rFonts w:ascii="Calibri" w:hAnsi="Calibri" w:cs="Calibri"/>
                <w:color w:val="1E8449"/>
                <w:sz w:val="18"/>
                <w:szCs w:val="18"/>
              </w:rPr>
              <w:t>AFTER</w:t>
            </w:r>
          </w:p>
        </w:tc>
        <w:tc>
          <w:tcPr>
            <w:tcW w:w="8160" w:type="dxa"/>
          </w:tcPr>
          <w:p w14:paraId="299E2F88" w14:textId="77777777" w:rsidR="007333A4" w:rsidRPr="00146AC3"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46AC3">
              <w:rPr>
                <w:rFonts w:ascii="Calibri" w:hAnsi="Calibri" w:cs="Calibri"/>
                <w:b/>
                <w:bCs/>
                <w:color w:val="1E293B"/>
                <w:sz w:val="20"/>
                <w:szCs w:val="20"/>
              </w:rPr>
              <w:t>Supplier financial risk signals have measurable consequences. In 2025, 30% of supply chain disruptions exceeded $5 million in direct costs. Delayed responses compound that exposure fast.</w:t>
            </w:r>
          </w:p>
        </w:tc>
      </w:tr>
      <w:tr w:rsidR="007333A4" w:rsidRPr="00146AC3" w14:paraId="7A59D7E2" w14:textId="77777777" w:rsidTr="00BD03BD">
        <w:tc>
          <w:tcPr>
            <w:cnfStyle w:val="001000000000" w:firstRow="0" w:lastRow="0" w:firstColumn="1" w:lastColumn="0" w:oddVBand="0" w:evenVBand="0" w:oddHBand="0" w:evenHBand="0" w:firstRowFirstColumn="0" w:firstRowLastColumn="0" w:lastRowFirstColumn="0" w:lastRowLastColumn="0"/>
            <w:tcW w:w="9360" w:type="dxa"/>
            <w:gridSpan w:val="2"/>
          </w:tcPr>
          <w:p w14:paraId="66D451FA" w14:textId="77777777" w:rsidR="007333A4" w:rsidRPr="00146AC3" w:rsidRDefault="00000000">
            <w:pPr>
              <w:rPr>
                <w:rFonts w:ascii="Calibri" w:hAnsi="Calibri" w:cs="Calibri"/>
              </w:rPr>
            </w:pPr>
            <w:r w:rsidRPr="00146AC3">
              <w:rPr>
                <w:rFonts w:ascii="Calibri" w:hAnsi="Calibri" w:cs="Calibri"/>
                <w:color w:val="1A5276"/>
                <w:sz w:val="18"/>
                <w:szCs w:val="18"/>
              </w:rPr>
              <w:t>Note: One long sentence becomes three short ones. The information is identical — the readability is transformed.</w:t>
            </w:r>
          </w:p>
        </w:tc>
      </w:tr>
    </w:tbl>
    <w:p w14:paraId="63BBE0CD" w14:textId="77777777" w:rsidR="007333A4" w:rsidRPr="00146AC3" w:rsidRDefault="00000000">
      <w:pPr>
        <w:pStyle w:val="Heading2"/>
        <w:rPr>
          <w:rFonts w:ascii="Calibri" w:hAnsi="Calibri" w:cs="Calibri"/>
        </w:rPr>
      </w:pPr>
      <w:r w:rsidRPr="00146AC3">
        <w:rPr>
          <w:rFonts w:ascii="Calibri" w:hAnsi="Calibri" w:cs="Calibri"/>
        </w:rPr>
        <w:t>4.2 Answer-First Format</w:t>
      </w:r>
    </w:p>
    <w:p w14:paraId="39AC014C" w14:textId="2320BE91" w:rsidR="007333A4" w:rsidRPr="00146AC3" w:rsidRDefault="00000000">
      <w:pPr>
        <w:spacing w:before="80" w:after="80"/>
        <w:rPr>
          <w:rFonts w:ascii="Calibri" w:hAnsi="Calibri" w:cs="Calibri"/>
        </w:rPr>
      </w:pPr>
      <w:r w:rsidRPr="00146AC3">
        <w:rPr>
          <w:rFonts w:ascii="Calibri" w:hAnsi="Calibri" w:cs="Calibri"/>
          <w:color w:val="000000"/>
        </w:rPr>
        <w:t>The most important point of the article goes in sentence one. Do not build up to the conclusion lead with it. Do not set the scene before delivering the point.</w:t>
      </w:r>
    </w:p>
    <w:p w14:paraId="16BA9EDF" w14:textId="77777777" w:rsidR="007333A4" w:rsidRPr="00146AC3" w:rsidRDefault="007333A4">
      <w:pPr>
        <w:spacing w:before="80"/>
        <w:rPr>
          <w:rFonts w:ascii="Calibri" w:hAnsi="Calibri" w:cs="Calibri"/>
        </w:rPr>
      </w:pPr>
    </w:p>
    <w:tbl>
      <w:tblPr>
        <w:tblStyle w:val="PlainTable1"/>
        <w:tblW w:w="9360" w:type="dxa"/>
        <w:tblLook w:val="04A0" w:firstRow="1" w:lastRow="0" w:firstColumn="1" w:lastColumn="0" w:noHBand="0" w:noVBand="1"/>
      </w:tblPr>
      <w:tblGrid>
        <w:gridCol w:w="1200"/>
        <w:gridCol w:w="8160"/>
      </w:tblGrid>
      <w:tr w:rsidR="007333A4" w:rsidRPr="00146AC3" w14:paraId="03DB93D0" w14:textId="77777777" w:rsidTr="00BD03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106D97D2" w14:textId="77777777" w:rsidR="007333A4" w:rsidRPr="00146AC3" w:rsidRDefault="00000000">
            <w:pPr>
              <w:jc w:val="center"/>
              <w:rPr>
                <w:rFonts w:ascii="Calibri" w:hAnsi="Calibri" w:cs="Calibri"/>
              </w:rPr>
            </w:pPr>
            <w:r w:rsidRPr="00146AC3">
              <w:rPr>
                <w:rFonts w:ascii="Calibri" w:hAnsi="Calibri" w:cs="Calibri"/>
                <w:color w:val="C0392B"/>
                <w:sz w:val="18"/>
                <w:szCs w:val="18"/>
              </w:rPr>
              <w:t>BEFORE</w:t>
            </w:r>
          </w:p>
        </w:tc>
        <w:tc>
          <w:tcPr>
            <w:tcW w:w="8160" w:type="dxa"/>
          </w:tcPr>
          <w:p w14:paraId="57661FB7" w14:textId="77777777" w:rsidR="007333A4" w:rsidRPr="00146AC3"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46AC3">
              <w:rPr>
                <w:rFonts w:ascii="Calibri" w:hAnsi="Calibri" w:cs="Calibri"/>
                <w:color w:val="5D6D7E"/>
                <w:sz w:val="20"/>
                <w:szCs w:val="20"/>
              </w:rPr>
              <w:t>Supply chain risk management has evolved significantly over the past decade. As globalisation expanded supplier networks and disruption events became more frequent, procurement teams have had to grapple with increasing complexity at every tier of the supply chain.</w:t>
            </w:r>
          </w:p>
        </w:tc>
      </w:tr>
      <w:tr w:rsidR="007333A4" w:rsidRPr="00146AC3" w14:paraId="4110D697" w14:textId="77777777" w:rsidTr="00BD0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19C24E5C" w14:textId="77777777" w:rsidR="007333A4" w:rsidRPr="00146AC3" w:rsidRDefault="00000000">
            <w:pPr>
              <w:jc w:val="center"/>
              <w:rPr>
                <w:rFonts w:ascii="Calibri" w:hAnsi="Calibri" w:cs="Calibri"/>
              </w:rPr>
            </w:pPr>
            <w:r w:rsidRPr="00146AC3">
              <w:rPr>
                <w:rFonts w:ascii="Calibri" w:hAnsi="Calibri" w:cs="Calibri"/>
                <w:color w:val="1E8449"/>
                <w:sz w:val="18"/>
                <w:szCs w:val="18"/>
              </w:rPr>
              <w:t>AFTER</w:t>
            </w:r>
          </w:p>
        </w:tc>
        <w:tc>
          <w:tcPr>
            <w:tcW w:w="8160" w:type="dxa"/>
          </w:tcPr>
          <w:p w14:paraId="4E44D0F3" w14:textId="3A3B8024" w:rsidR="007333A4" w:rsidRPr="00146AC3"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46AC3">
              <w:rPr>
                <w:rFonts w:ascii="Calibri" w:hAnsi="Calibri" w:cs="Calibri"/>
                <w:b/>
                <w:bCs/>
                <w:color w:val="1E293B"/>
                <w:sz w:val="20"/>
                <w:szCs w:val="20"/>
              </w:rPr>
              <w:t>Most procurement teams can see their Tier 1 suppliers clearly. The problem is that 85% of supply chain risk incidents originate at Tier 2, 3, and 4  where visibility typically drops to zero.</w:t>
            </w:r>
          </w:p>
        </w:tc>
      </w:tr>
      <w:tr w:rsidR="007333A4" w:rsidRPr="00146AC3" w14:paraId="681AE4D1" w14:textId="77777777" w:rsidTr="00BD03BD">
        <w:tc>
          <w:tcPr>
            <w:cnfStyle w:val="001000000000" w:firstRow="0" w:lastRow="0" w:firstColumn="1" w:lastColumn="0" w:oddVBand="0" w:evenVBand="0" w:oddHBand="0" w:evenHBand="0" w:firstRowFirstColumn="0" w:firstRowLastColumn="0" w:lastRowFirstColumn="0" w:lastRowLastColumn="0"/>
            <w:tcW w:w="9360" w:type="dxa"/>
            <w:gridSpan w:val="2"/>
          </w:tcPr>
          <w:p w14:paraId="3E05304E" w14:textId="77777777" w:rsidR="007333A4" w:rsidRPr="00146AC3" w:rsidRDefault="00000000">
            <w:pPr>
              <w:rPr>
                <w:rFonts w:ascii="Calibri" w:hAnsi="Calibri" w:cs="Calibri"/>
              </w:rPr>
            </w:pPr>
            <w:r w:rsidRPr="00146AC3">
              <w:rPr>
                <w:rFonts w:ascii="Calibri" w:hAnsi="Calibri" w:cs="Calibri"/>
                <w:color w:val="1A5276"/>
                <w:sz w:val="18"/>
                <w:szCs w:val="18"/>
              </w:rPr>
              <w:t>Note: The AFTER version leads with the most dramatic, important point in the article. The reader immediately understands what they are getting.</w:t>
            </w:r>
          </w:p>
        </w:tc>
      </w:tr>
    </w:tbl>
    <w:p w14:paraId="6AC926E0" w14:textId="77777777" w:rsidR="007333A4" w:rsidRPr="00146AC3" w:rsidRDefault="00000000">
      <w:pPr>
        <w:pStyle w:val="Heading2"/>
        <w:rPr>
          <w:rFonts w:ascii="Calibri" w:hAnsi="Calibri" w:cs="Calibri"/>
        </w:rPr>
      </w:pPr>
      <w:r w:rsidRPr="00146AC3">
        <w:rPr>
          <w:rFonts w:ascii="Calibri" w:hAnsi="Calibri" w:cs="Calibri"/>
        </w:rPr>
        <w:t>4.3 Keyword Density</w:t>
      </w:r>
    </w:p>
    <w:p w14:paraId="41E5505E" w14:textId="23852172" w:rsidR="007333A4" w:rsidRPr="00146AC3" w:rsidRDefault="00000000">
      <w:pPr>
        <w:spacing w:before="80" w:after="80"/>
        <w:rPr>
          <w:rFonts w:ascii="Calibri" w:hAnsi="Calibri" w:cs="Calibri"/>
        </w:rPr>
      </w:pPr>
      <w:r w:rsidRPr="00146AC3">
        <w:rPr>
          <w:rFonts w:ascii="Calibri" w:hAnsi="Calibri" w:cs="Calibri"/>
          <w:color w:val="000000"/>
        </w:rPr>
        <w:t>Primary keyword density must sit between 1% and 2% of total word count. It must be distributed naturally across the full article not front-loaded into the opening section.</w:t>
      </w:r>
    </w:p>
    <w:p w14:paraId="1548FCB2" w14:textId="77777777" w:rsidR="007333A4" w:rsidRPr="00146AC3" w:rsidRDefault="007333A4">
      <w:pPr>
        <w:spacing w:before="80"/>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333A4" w:rsidRPr="00146AC3" w14:paraId="77513E57" w14:textId="77777777">
        <w:trPr>
          <w:tblHeader/>
        </w:trPr>
        <w:tc>
          <w:tcPr>
            <w:tcW w:w="234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2C12E446"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Article Length</w:t>
            </w:r>
          </w:p>
        </w:tc>
        <w:tc>
          <w:tcPr>
            <w:tcW w:w="234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6BCC2054"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Min Occurrences (1%)</w:t>
            </w:r>
          </w:p>
        </w:tc>
        <w:tc>
          <w:tcPr>
            <w:tcW w:w="234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11011A9F"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Max Occurrences (2%)</w:t>
            </w:r>
          </w:p>
        </w:tc>
        <w:tc>
          <w:tcPr>
            <w:tcW w:w="234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72671303"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Front-Loading Limit</w:t>
            </w:r>
          </w:p>
        </w:tc>
      </w:tr>
      <w:tr w:rsidR="007333A4" w:rsidRPr="00146AC3" w14:paraId="12F69B94" w14:textId="77777777">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2D1914F" w14:textId="77777777" w:rsidR="007333A4" w:rsidRPr="00146AC3" w:rsidRDefault="00000000">
            <w:pPr>
              <w:rPr>
                <w:rFonts w:ascii="Calibri" w:hAnsi="Calibri" w:cs="Calibri"/>
              </w:rPr>
            </w:pPr>
            <w:r w:rsidRPr="00146AC3">
              <w:rPr>
                <w:rFonts w:ascii="Calibri" w:hAnsi="Calibri" w:cs="Calibri"/>
                <w:b/>
                <w:bCs/>
                <w:color w:val="1E293B"/>
                <w:sz w:val="20"/>
                <w:szCs w:val="20"/>
              </w:rPr>
              <w:t>1,000 words</w:t>
            </w:r>
          </w:p>
        </w:tc>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3CC0475C" w14:textId="77777777" w:rsidR="007333A4" w:rsidRPr="00146AC3" w:rsidRDefault="00000000">
            <w:pPr>
              <w:rPr>
                <w:rFonts w:ascii="Calibri" w:hAnsi="Calibri" w:cs="Calibri"/>
              </w:rPr>
            </w:pPr>
            <w:r w:rsidRPr="00146AC3">
              <w:rPr>
                <w:rFonts w:ascii="Calibri" w:hAnsi="Calibri" w:cs="Calibri"/>
                <w:color w:val="1E293B"/>
                <w:sz w:val="20"/>
                <w:szCs w:val="20"/>
              </w:rPr>
              <w:t>10</w:t>
            </w:r>
          </w:p>
        </w:tc>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377E6F17" w14:textId="77777777" w:rsidR="007333A4" w:rsidRPr="00146AC3" w:rsidRDefault="00000000">
            <w:pPr>
              <w:rPr>
                <w:rFonts w:ascii="Calibri" w:hAnsi="Calibri" w:cs="Calibri"/>
              </w:rPr>
            </w:pPr>
            <w:r w:rsidRPr="00146AC3">
              <w:rPr>
                <w:rFonts w:ascii="Calibri" w:hAnsi="Calibri" w:cs="Calibri"/>
                <w:color w:val="1E293B"/>
                <w:sz w:val="20"/>
                <w:szCs w:val="20"/>
              </w:rPr>
              <w:t>20</w:t>
            </w:r>
          </w:p>
        </w:tc>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8788799" w14:textId="77777777" w:rsidR="007333A4" w:rsidRPr="00146AC3" w:rsidRDefault="00000000">
            <w:pPr>
              <w:rPr>
                <w:rFonts w:ascii="Calibri" w:hAnsi="Calibri" w:cs="Calibri"/>
              </w:rPr>
            </w:pPr>
            <w:r w:rsidRPr="00146AC3">
              <w:rPr>
                <w:rFonts w:ascii="Calibri" w:hAnsi="Calibri" w:cs="Calibri"/>
                <w:color w:val="1E293B"/>
                <w:sz w:val="20"/>
                <w:szCs w:val="20"/>
              </w:rPr>
              <w:t>Max 3 in first 200 words</w:t>
            </w:r>
          </w:p>
        </w:tc>
      </w:tr>
      <w:tr w:rsidR="007333A4" w:rsidRPr="00146AC3" w14:paraId="1B64C37A" w14:textId="77777777">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9BB2993" w14:textId="77777777" w:rsidR="007333A4" w:rsidRPr="00146AC3" w:rsidRDefault="00000000">
            <w:pPr>
              <w:rPr>
                <w:rFonts w:ascii="Calibri" w:hAnsi="Calibri" w:cs="Calibri"/>
              </w:rPr>
            </w:pPr>
            <w:r w:rsidRPr="00146AC3">
              <w:rPr>
                <w:rFonts w:ascii="Calibri" w:hAnsi="Calibri" w:cs="Calibri"/>
                <w:b/>
                <w:bCs/>
                <w:color w:val="1E293B"/>
                <w:sz w:val="20"/>
                <w:szCs w:val="20"/>
              </w:rPr>
              <w:t>1,500 words</w:t>
            </w:r>
          </w:p>
        </w:tc>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C36B7B5" w14:textId="77777777" w:rsidR="007333A4" w:rsidRPr="00146AC3" w:rsidRDefault="00000000">
            <w:pPr>
              <w:rPr>
                <w:rFonts w:ascii="Calibri" w:hAnsi="Calibri" w:cs="Calibri"/>
              </w:rPr>
            </w:pPr>
            <w:r w:rsidRPr="00146AC3">
              <w:rPr>
                <w:rFonts w:ascii="Calibri" w:hAnsi="Calibri" w:cs="Calibri"/>
                <w:color w:val="1E293B"/>
                <w:sz w:val="20"/>
                <w:szCs w:val="20"/>
              </w:rPr>
              <w:t>15</w:t>
            </w:r>
          </w:p>
        </w:tc>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A32634A" w14:textId="77777777" w:rsidR="007333A4" w:rsidRPr="00146AC3" w:rsidRDefault="00000000">
            <w:pPr>
              <w:rPr>
                <w:rFonts w:ascii="Calibri" w:hAnsi="Calibri" w:cs="Calibri"/>
              </w:rPr>
            </w:pPr>
            <w:r w:rsidRPr="00146AC3">
              <w:rPr>
                <w:rFonts w:ascii="Calibri" w:hAnsi="Calibri" w:cs="Calibri"/>
                <w:color w:val="1E293B"/>
                <w:sz w:val="20"/>
                <w:szCs w:val="20"/>
              </w:rPr>
              <w:t>30</w:t>
            </w:r>
          </w:p>
        </w:tc>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A17BAC4" w14:textId="77777777" w:rsidR="007333A4" w:rsidRPr="00146AC3" w:rsidRDefault="00000000">
            <w:pPr>
              <w:rPr>
                <w:rFonts w:ascii="Calibri" w:hAnsi="Calibri" w:cs="Calibri"/>
              </w:rPr>
            </w:pPr>
            <w:r w:rsidRPr="00146AC3">
              <w:rPr>
                <w:rFonts w:ascii="Calibri" w:hAnsi="Calibri" w:cs="Calibri"/>
                <w:color w:val="1E293B"/>
                <w:sz w:val="20"/>
                <w:szCs w:val="20"/>
              </w:rPr>
              <w:t>Max 3 in first 200 words</w:t>
            </w:r>
          </w:p>
        </w:tc>
      </w:tr>
      <w:tr w:rsidR="007333A4" w:rsidRPr="00146AC3" w14:paraId="7AEC7C81" w14:textId="77777777">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3ABE3BC" w14:textId="77777777" w:rsidR="007333A4" w:rsidRPr="00146AC3" w:rsidRDefault="00000000">
            <w:pPr>
              <w:rPr>
                <w:rFonts w:ascii="Calibri" w:hAnsi="Calibri" w:cs="Calibri"/>
              </w:rPr>
            </w:pPr>
            <w:r w:rsidRPr="00146AC3">
              <w:rPr>
                <w:rFonts w:ascii="Calibri" w:hAnsi="Calibri" w:cs="Calibri"/>
                <w:b/>
                <w:bCs/>
                <w:color w:val="1E293B"/>
                <w:sz w:val="20"/>
                <w:szCs w:val="20"/>
              </w:rPr>
              <w:t>2,000 words</w:t>
            </w:r>
          </w:p>
        </w:tc>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44C508D" w14:textId="77777777" w:rsidR="007333A4" w:rsidRPr="00146AC3" w:rsidRDefault="00000000">
            <w:pPr>
              <w:rPr>
                <w:rFonts w:ascii="Calibri" w:hAnsi="Calibri" w:cs="Calibri"/>
              </w:rPr>
            </w:pPr>
            <w:r w:rsidRPr="00146AC3">
              <w:rPr>
                <w:rFonts w:ascii="Calibri" w:hAnsi="Calibri" w:cs="Calibri"/>
                <w:color w:val="1E293B"/>
                <w:sz w:val="20"/>
                <w:szCs w:val="20"/>
              </w:rPr>
              <w:t>20</w:t>
            </w:r>
          </w:p>
        </w:tc>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EBB2656" w14:textId="77777777" w:rsidR="007333A4" w:rsidRPr="00146AC3" w:rsidRDefault="00000000">
            <w:pPr>
              <w:rPr>
                <w:rFonts w:ascii="Calibri" w:hAnsi="Calibri" w:cs="Calibri"/>
              </w:rPr>
            </w:pPr>
            <w:r w:rsidRPr="00146AC3">
              <w:rPr>
                <w:rFonts w:ascii="Calibri" w:hAnsi="Calibri" w:cs="Calibri"/>
                <w:color w:val="1E293B"/>
                <w:sz w:val="20"/>
                <w:szCs w:val="20"/>
              </w:rPr>
              <w:t>40</w:t>
            </w:r>
          </w:p>
        </w:tc>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CBA877C" w14:textId="77777777" w:rsidR="007333A4" w:rsidRPr="00146AC3" w:rsidRDefault="00000000">
            <w:pPr>
              <w:rPr>
                <w:rFonts w:ascii="Calibri" w:hAnsi="Calibri" w:cs="Calibri"/>
              </w:rPr>
            </w:pPr>
            <w:r w:rsidRPr="00146AC3">
              <w:rPr>
                <w:rFonts w:ascii="Calibri" w:hAnsi="Calibri" w:cs="Calibri"/>
                <w:color w:val="1E293B"/>
                <w:sz w:val="20"/>
                <w:szCs w:val="20"/>
              </w:rPr>
              <w:t>Max 3 in first 200 words</w:t>
            </w:r>
          </w:p>
        </w:tc>
      </w:tr>
      <w:tr w:rsidR="007333A4" w:rsidRPr="00146AC3" w14:paraId="385CF616" w14:textId="77777777">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D71669C" w14:textId="77777777" w:rsidR="007333A4" w:rsidRPr="00146AC3" w:rsidRDefault="00000000">
            <w:pPr>
              <w:rPr>
                <w:rFonts w:ascii="Calibri" w:hAnsi="Calibri" w:cs="Calibri"/>
              </w:rPr>
            </w:pPr>
            <w:r w:rsidRPr="00146AC3">
              <w:rPr>
                <w:rFonts w:ascii="Calibri" w:hAnsi="Calibri" w:cs="Calibri"/>
                <w:b/>
                <w:bCs/>
                <w:color w:val="1E293B"/>
                <w:sz w:val="20"/>
                <w:szCs w:val="20"/>
              </w:rPr>
              <w:t>2,500 words</w:t>
            </w:r>
          </w:p>
        </w:tc>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27A515A" w14:textId="77777777" w:rsidR="007333A4" w:rsidRPr="00146AC3" w:rsidRDefault="00000000">
            <w:pPr>
              <w:rPr>
                <w:rFonts w:ascii="Calibri" w:hAnsi="Calibri" w:cs="Calibri"/>
              </w:rPr>
            </w:pPr>
            <w:r w:rsidRPr="00146AC3">
              <w:rPr>
                <w:rFonts w:ascii="Calibri" w:hAnsi="Calibri" w:cs="Calibri"/>
                <w:color w:val="1E293B"/>
                <w:sz w:val="20"/>
                <w:szCs w:val="20"/>
              </w:rPr>
              <w:t>25</w:t>
            </w:r>
          </w:p>
        </w:tc>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98FCC01" w14:textId="77777777" w:rsidR="007333A4" w:rsidRPr="00146AC3" w:rsidRDefault="00000000">
            <w:pPr>
              <w:rPr>
                <w:rFonts w:ascii="Calibri" w:hAnsi="Calibri" w:cs="Calibri"/>
              </w:rPr>
            </w:pPr>
            <w:r w:rsidRPr="00146AC3">
              <w:rPr>
                <w:rFonts w:ascii="Calibri" w:hAnsi="Calibri" w:cs="Calibri"/>
                <w:color w:val="1E293B"/>
                <w:sz w:val="20"/>
                <w:szCs w:val="20"/>
              </w:rPr>
              <w:t>50</w:t>
            </w:r>
          </w:p>
        </w:tc>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C9201D3" w14:textId="77777777" w:rsidR="007333A4" w:rsidRPr="00146AC3" w:rsidRDefault="00000000">
            <w:pPr>
              <w:rPr>
                <w:rFonts w:ascii="Calibri" w:hAnsi="Calibri" w:cs="Calibri"/>
              </w:rPr>
            </w:pPr>
            <w:r w:rsidRPr="00146AC3">
              <w:rPr>
                <w:rFonts w:ascii="Calibri" w:hAnsi="Calibri" w:cs="Calibri"/>
                <w:color w:val="1E293B"/>
                <w:sz w:val="20"/>
                <w:szCs w:val="20"/>
              </w:rPr>
              <w:t>Max 3 in first 200 words</w:t>
            </w:r>
          </w:p>
        </w:tc>
      </w:tr>
      <w:tr w:rsidR="007333A4" w:rsidRPr="00146AC3" w14:paraId="64BF81B1" w14:textId="77777777">
        <w:tc>
          <w:tcPr>
            <w:tcW w:w="2340" w:type="dxa"/>
            <w:tcBorders>
              <w:top w:val="single" w:sz="1" w:space="0" w:color="D5D8DC"/>
              <w:left w:val="single" w:sz="1" w:space="0" w:color="D5D8DC"/>
              <w:bottom w:val="single" w:sz="1" w:space="0" w:color="D5D8DC"/>
              <w:right w:val="single" w:sz="1" w:space="0" w:color="D5D8DC"/>
            </w:tcBorders>
            <w:shd w:val="clear" w:color="auto" w:fill="FDEDEC"/>
            <w:tcMar>
              <w:top w:w="80" w:type="dxa"/>
              <w:left w:w="120" w:type="dxa"/>
              <w:bottom w:w="80" w:type="dxa"/>
              <w:right w:w="120" w:type="dxa"/>
            </w:tcMar>
          </w:tcPr>
          <w:p w14:paraId="61597C56" w14:textId="77777777" w:rsidR="007333A4" w:rsidRPr="00146AC3" w:rsidRDefault="00000000">
            <w:pPr>
              <w:rPr>
                <w:rFonts w:ascii="Calibri" w:hAnsi="Calibri" w:cs="Calibri"/>
              </w:rPr>
            </w:pPr>
            <w:r w:rsidRPr="00146AC3">
              <w:rPr>
                <w:rFonts w:ascii="Calibri" w:hAnsi="Calibri" w:cs="Calibri"/>
                <w:b/>
                <w:bCs/>
                <w:color w:val="1E293B"/>
                <w:sz w:val="20"/>
                <w:szCs w:val="20"/>
              </w:rPr>
              <w:t>Warning</w:t>
            </w:r>
          </w:p>
        </w:tc>
        <w:tc>
          <w:tcPr>
            <w:tcW w:w="2340" w:type="dxa"/>
            <w:tcBorders>
              <w:top w:val="single" w:sz="1" w:space="0" w:color="D5D8DC"/>
              <w:left w:val="single" w:sz="1" w:space="0" w:color="D5D8DC"/>
              <w:bottom w:val="single" w:sz="1" w:space="0" w:color="D5D8DC"/>
              <w:right w:val="single" w:sz="1" w:space="0" w:color="D5D8DC"/>
            </w:tcBorders>
            <w:shd w:val="clear" w:color="auto" w:fill="FDEDEC"/>
            <w:tcMar>
              <w:top w:w="80" w:type="dxa"/>
              <w:left w:w="120" w:type="dxa"/>
              <w:bottom w:w="80" w:type="dxa"/>
              <w:right w:w="120" w:type="dxa"/>
            </w:tcMar>
          </w:tcPr>
          <w:p w14:paraId="4103E0FC" w14:textId="77777777" w:rsidR="007333A4" w:rsidRPr="00146AC3" w:rsidRDefault="00000000">
            <w:pPr>
              <w:rPr>
                <w:rFonts w:ascii="Calibri" w:hAnsi="Calibri" w:cs="Calibri"/>
              </w:rPr>
            </w:pPr>
            <w:r w:rsidRPr="00146AC3">
              <w:rPr>
                <w:rFonts w:ascii="Calibri" w:hAnsi="Calibri" w:cs="Calibri"/>
                <w:color w:val="1E293B"/>
                <w:sz w:val="20"/>
                <w:szCs w:val="20"/>
              </w:rPr>
              <w:t>Above 2% = keyword stuffing (Google penalty)</w:t>
            </w:r>
          </w:p>
        </w:tc>
        <w:tc>
          <w:tcPr>
            <w:tcW w:w="2340" w:type="dxa"/>
            <w:tcBorders>
              <w:top w:val="single" w:sz="1" w:space="0" w:color="D5D8DC"/>
              <w:left w:val="single" w:sz="1" w:space="0" w:color="D5D8DC"/>
              <w:bottom w:val="single" w:sz="1" w:space="0" w:color="D5D8DC"/>
              <w:right w:val="single" w:sz="1" w:space="0" w:color="D5D8DC"/>
            </w:tcBorders>
            <w:shd w:val="clear" w:color="auto" w:fill="FDEDEC"/>
            <w:tcMar>
              <w:top w:w="80" w:type="dxa"/>
              <w:left w:w="120" w:type="dxa"/>
              <w:bottom w:w="80" w:type="dxa"/>
              <w:right w:w="120" w:type="dxa"/>
            </w:tcMar>
          </w:tcPr>
          <w:p w14:paraId="4CDAF30C" w14:textId="77777777" w:rsidR="007333A4" w:rsidRPr="00146AC3" w:rsidRDefault="00000000">
            <w:pPr>
              <w:rPr>
                <w:rFonts w:ascii="Calibri" w:hAnsi="Calibri" w:cs="Calibri"/>
              </w:rPr>
            </w:pPr>
            <w:r w:rsidRPr="00146AC3">
              <w:rPr>
                <w:rFonts w:ascii="Calibri" w:hAnsi="Calibri" w:cs="Calibri"/>
                <w:color w:val="1E293B"/>
                <w:sz w:val="20"/>
                <w:szCs w:val="20"/>
              </w:rPr>
              <w:t>Below 1% = under-optimised</w:t>
            </w:r>
          </w:p>
        </w:tc>
        <w:tc>
          <w:tcPr>
            <w:tcW w:w="2340" w:type="dxa"/>
            <w:tcBorders>
              <w:top w:val="single" w:sz="1" w:space="0" w:color="D5D8DC"/>
              <w:left w:val="single" w:sz="1" w:space="0" w:color="D5D8DC"/>
              <w:bottom w:val="single" w:sz="1" w:space="0" w:color="D5D8DC"/>
              <w:right w:val="single" w:sz="1" w:space="0" w:color="D5D8DC"/>
            </w:tcBorders>
            <w:shd w:val="clear" w:color="auto" w:fill="FDEDEC"/>
            <w:tcMar>
              <w:top w:w="80" w:type="dxa"/>
              <w:left w:w="120" w:type="dxa"/>
              <w:bottom w:w="80" w:type="dxa"/>
              <w:right w:w="120" w:type="dxa"/>
            </w:tcMar>
          </w:tcPr>
          <w:p w14:paraId="06AAE27D" w14:textId="77777777" w:rsidR="007333A4" w:rsidRPr="00146AC3" w:rsidRDefault="00000000">
            <w:pPr>
              <w:rPr>
                <w:rFonts w:ascii="Calibri" w:hAnsi="Calibri" w:cs="Calibri"/>
              </w:rPr>
            </w:pPr>
            <w:r w:rsidRPr="00146AC3">
              <w:rPr>
                <w:rFonts w:ascii="Calibri" w:hAnsi="Calibri" w:cs="Calibri"/>
                <w:color w:val="1E293B"/>
                <w:sz w:val="20"/>
                <w:szCs w:val="20"/>
              </w:rPr>
              <w:t>Both are failures</w:t>
            </w:r>
          </w:p>
        </w:tc>
      </w:tr>
    </w:tbl>
    <w:p w14:paraId="21DF4A8E" w14:textId="77777777" w:rsidR="007333A4" w:rsidRPr="00146AC3" w:rsidRDefault="007333A4">
      <w:pPr>
        <w:spacing w:before="80"/>
        <w:rPr>
          <w:rFonts w:ascii="Calibri" w:hAnsi="Calibri" w:cs="Calibri"/>
        </w:rPr>
      </w:pPr>
    </w:p>
    <w:p w14:paraId="0E3BE89B" w14:textId="77777777" w:rsidR="007333A4" w:rsidRPr="00BD03BD" w:rsidRDefault="00000000">
      <w:pPr>
        <w:spacing w:before="80" w:after="80"/>
        <w:rPr>
          <w:rFonts w:ascii="Calibri" w:hAnsi="Calibri" w:cs="Calibri"/>
          <w:i/>
          <w:iCs/>
        </w:rPr>
      </w:pPr>
      <w:r w:rsidRPr="00BD03BD">
        <w:rPr>
          <w:rFonts w:ascii="Calibri" w:hAnsi="Calibri" w:cs="Calibri"/>
          <w:b/>
          <w:bCs/>
          <w:i/>
          <w:iCs/>
        </w:rPr>
        <w:t>Important: Google penalises keyword stuffing above 2%. Do not exceed this threshold under any circumstances.</w:t>
      </w:r>
    </w:p>
    <w:p w14:paraId="2B572C92" w14:textId="09CF223B" w:rsidR="007333A4" w:rsidRPr="00146AC3" w:rsidRDefault="00000000">
      <w:pPr>
        <w:pStyle w:val="Heading2"/>
        <w:rPr>
          <w:rFonts w:ascii="Calibri" w:hAnsi="Calibri" w:cs="Calibri"/>
        </w:rPr>
      </w:pPr>
      <w:r w:rsidRPr="00146AC3">
        <w:rPr>
          <w:rFonts w:ascii="Calibri" w:hAnsi="Calibri" w:cs="Calibri"/>
        </w:rPr>
        <w:t>4.4 CTA Copy  No Business Benefit Language</w:t>
      </w:r>
    </w:p>
    <w:p w14:paraId="4A55A199" w14:textId="303AC378" w:rsidR="007333A4" w:rsidRPr="00146AC3" w:rsidRDefault="00BD03BD">
      <w:pPr>
        <w:spacing w:before="80" w:after="80"/>
        <w:rPr>
          <w:rFonts w:ascii="Calibri" w:hAnsi="Calibri" w:cs="Calibri"/>
        </w:rPr>
      </w:pPr>
      <w:r>
        <w:rPr>
          <w:rFonts w:ascii="Calibri" w:hAnsi="Calibri" w:cs="Calibri"/>
          <w:color w:val="000000"/>
        </w:rPr>
        <w:t>\</w:t>
      </w:r>
      <w:r w:rsidRPr="00146AC3">
        <w:rPr>
          <w:rFonts w:ascii="Calibri" w:hAnsi="Calibri" w:cs="Calibri"/>
          <w:color w:val="000000"/>
        </w:rPr>
        <w:t xml:space="preserve"> CTA copy must state what the product does. It must not tell the reader how to feel, why something is valuable, or what benefit they will experience. Let the reader draw their own conclusion.</w:t>
      </w:r>
    </w:p>
    <w:p w14:paraId="52254C23" w14:textId="77777777" w:rsidR="007333A4" w:rsidRPr="00146AC3" w:rsidRDefault="007333A4">
      <w:pPr>
        <w:spacing w:before="80"/>
        <w:rPr>
          <w:rFonts w:ascii="Calibri" w:hAnsi="Calibri" w:cs="Calibri"/>
        </w:rPr>
      </w:pPr>
    </w:p>
    <w:tbl>
      <w:tblPr>
        <w:tblStyle w:val="PlainTable1"/>
        <w:tblW w:w="9360" w:type="dxa"/>
        <w:tblLook w:val="04A0" w:firstRow="1" w:lastRow="0" w:firstColumn="1" w:lastColumn="0" w:noHBand="0" w:noVBand="1"/>
      </w:tblPr>
      <w:tblGrid>
        <w:gridCol w:w="1200"/>
        <w:gridCol w:w="8160"/>
      </w:tblGrid>
      <w:tr w:rsidR="007333A4" w:rsidRPr="00146AC3" w14:paraId="57143698" w14:textId="77777777" w:rsidTr="00BD03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7BE6C795" w14:textId="77777777" w:rsidR="007333A4" w:rsidRPr="00146AC3" w:rsidRDefault="00000000">
            <w:pPr>
              <w:jc w:val="center"/>
              <w:rPr>
                <w:rFonts w:ascii="Calibri" w:hAnsi="Calibri" w:cs="Calibri"/>
              </w:rPr>
            </w:pPr>
            <w:r w:rsidRPr="00146AC3">
              <w:rPr>
                <w:rFonts w:ascii="Calibri" w:hAnsi="Calibri" w:cs="Calibri"/>
                <w:color w:val="C0392B"/>
                <w:sz w:val="18"/>
                <w:szCs w:val="18"/>
              </w:rPr>
              <w:t>BEFORE</w:t>
            </w:r>
          </w:p>
        </w:tc>
        <w:tc>
          <w:tcPr>
            <w:tcW w:w="8160" w:type="dxa"/>
          </w:tcPr>
          <w:p w14:paraId="5F839C68" w14:textId="77777777" w:rsidR="007333A4" w:rsidRPr="00146AC3"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46AC3">
              <w:rPr>
                <w:rFonts w:ascii="Calibri" w:hAnsi="Calibri" w:cs="Calibri"/>
                <w:color w:val="5D6D7E"/>
                <w:sz w:val="20"/>
                <w:szCs w:val="20"/>
              </w:rPr>
              <w:t>See how Jaggaer helps you make more informed, proactive procurement decisions and reduce supply chain risk across your entire supplier network.</w:t>
            </w:r>
          </w:p>
        </w:tc>
      </w:tr>
      <w:tr w:rsidR="007333A4" w:rsidRPr="00146AC3" w14:paraId="1A83C6B4" w14:textId="77777777" w:rsidTr="00BD0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tcPr>
          <w:p w14:paraId="3D7F45E0" w14:textId="77777777" w:rsidR="007333A4" w:rsidRPr="00146AC3" w:rsidRDefault="00000000">
            <w:pPr>
              <w:jc w:val="center"/>
              <w:rPr>
                <w:rFonts w:ascii="Calibri" w:hAnsi="Calibri" w:cs="Calibri"/>
              </w:rPr>
            </w:pPr>
            <w:r w:rsidRPr="00146AC3">
              <w:rPr>
                <w:rFonts w:ascii="Calibri" w:hAnsi="Calibri" w:cs="Calibri"/>
                <w:color w:val="1E8449"/>
                <w:sz w:val="18"/>
                <w:szCs w:val="18"/>
              </w:rPr>
              <w:t>AFTER</w:t>
            </w:r>
          </w:p>
        </w:tc>
        <w:tc>
          <w:tcPr>
            <w:tcW w:w="8160" w:type="dxa"/>
          </w:tcPr>
          <w:p w14:paraId="56A8885A" w14:textId="77777777" w:rsidR="007333A4" w:rsidRPr="00146AC3"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46AC3">
              <w:rPr>
                <w:rFonts w:ascii="Calibri" w:hAnsi="Calibri" w:cs="Calibri"/>
                <w:b/>
                <w:bCs/>
                <w:color w:val="1E293B"/>
                <w:sz w:val="20"/>
                <w:szCs w:val="20"/>
              </w:rPr>
              <w:t>See how Jaggaer maps sub-tier supplier networks across Tier 2, 3, and 4.</w:t>
            </w:r>
          </w:p>
        </w:tc>
      </w:tr>
      <w:tr w:rsidR="007333A4" w:rsidRPr="00146AC3" w14:paraId="34226186" w14:textId="77777777" w:rsidTr="00BD03BD">
        <w:tc>
          <w:tcPr>
            <w:cnfStyle w:val="001000000000" w:firstRow="0" w:lastRow="0" w:firstColumn="1" w:lastColumn="0" w:oddVBand="0" w:evenVBand="0" w:oddHBand="0" w:evenHBand="0" w:firstRowFirstColumn="0" w:firstRowLastColumn="0" w:lastRowFirstColumn="0" w:lastRowLastColumn="0"/>
            <w:tcW w:w="9360" w:type="dxa"/>
            <w:gridSpan w:val="2"/>
          </w:tcPr>
          <w:p w14:paraId="4C6AB158" w14:textId="77777777" w:rsidR="007333A4" w:rsidRPr="00146AC3" w:rsidRDefault="00000000">
            <w:pPr>
              <w:rPr>
                <w:rFonts w:ascii="Calibri" w:hAnsi="Calibri" w:cs="Calibri"/>
              </w:rPr>
            </w:pPr>
            <w:r w:rsidRPr="00146AC3">
              <w:rPr>
                <w:rFonts w:ascii="Calibri" w:hAnsi="Calibri" w:cs="Calibri"/>
                <w:color w:val="1A5276"/>
                <w:sz w:val="18"/>
                <w:szCs w:val="18"/>
              </w:rPr>
              <w:t>Note: The AFTER version says what it does. The BEFORE version tells the reader how to feel about it. Remove all such language from CTA copy.</w:t>
            </w:r>
          </w:p>
        </w:tc>
      </w:tr>
    </w:tbl>
    <w:p w14:paraId="26042261" w14:textId="77777777" w:rsidR="007333A4" w:rsidRPr="00146AC3" w:rsidRDefault="007333A4">
      <w:pPr>
        <w:spacing w:before="80"/>
        <w:rPr>
          <w:rFonts w:ascii="Calibri" w:hAnsi="Calibri" w:cs="Calibri"/>
        </w:rPr>
      </w:pPr>
    </w:p>
    <w:p w14:paraId="07A7AEC5" w14:textId="77777777" w:rsidR="007333A4" w:rsidRPr="00146AC3" w:rsidRDefault="00000000">
      <w:pPr>
        <w:spacing w:before="80" w:after="80"/>
        <w:rPr>
          <w:rFonts w:ascii="Calibri" w:hAnsi="Calibri" w:cs="Calibri"/>
        </w:rPr>
      </w:pPr>
      <w:r w:rsidRPr="00146AC3">
        <w:rPr>
          <w:rFonts w:ascii="Calibri" w:hAnsi="Calibri" w:cs="Calibri"/>
          <w:color w:val="000000"/>
        </w:rPr>
        <w:t>Words and phrases to remove from all CTA copy:</w:t>
      </w:r>
    </w:p>
    <w:p w14:paraId="46E872A3"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helping you make informed decisions</w:t>
      </w:r>
    </w:p>
    <w:p w14:paraId="5E82C475"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enabling proactive procurement</w:t>
      </w:r>
    </w:p>
    <w:p w14:paraId="59B7B643"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driving better outcomes</w:t>
      </w:r>
    </w:p>
    <w:p w14:paraId="77D8088B"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transforming your supply chain</w:t>
      </w:r>
    </w:p>
    <w:p w14:paraId="35CCC564"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empowering procurement teams</w:t>
      </w:r>
    </w:p>
    <w:p w14:paraId="0BBD61C7"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unlocking value</w:t>
      </w:r>
    </w:p>
    <w:p w14:paraId="7B5CB79A" w14:textId="77777777" w:rsidR="007333A4" w:rsidRPr="00146AC3" w:rsidRDefault="00000000">
      <w:pPr>
        <w:spacing w:before="80" w:after="80"/>
        <w:rPr>
          <w:rFonts w:ascii="Calibri" w:hAnsi="Calibri" w:cs="Calibri"/>
        </w:rPr>
      </w:pPr>
      <w:r w:rsidRPr="00146AC3">
        <w:rPr>
          <w:rFonts w:ascii="Calibri" w:hAnsi="Calibri" w:cs="Calibri"/>
          <w:b/>
          <w:bCs/>
          <w:color w:val="1A5276"/>
        </w:rPr>
        <w:t>If a phrase tells the reader how to feel rather than what the product does — remove it.</w:t>
      </w:r>
    </w:p>
    <w:p w14:paraId="2EFC8482" w14:textId="77777777" w:rsidR="007333A4" w:rsidRPr="00146AC3" w:rsidRDefault="00000000">
      <w:pPr>
        <w:pStyle w:val="Heading2"/>
        <w:rPr>
          <w:rFonts w:ascii="Calibri" w:hAnsi="Calibri" w:cs="Calibri"/>
        </w:rPr>
      </w:pPr>
      <w:r w:rsidRPr="00146AC3">
        <w:rPr>
          <w:rFonts w:ascii="Calibri" w:hAnsi="Calibri" w:cs="Calibri"/>
        </w:rPr>
        <w:t>4.5 Heading Structure (H1 / H2 / H3)</w:t>
      </w:r>
    </w:p>
    <w:p w14:paraId="287448EB" w14:textId="0D1914DB" w:rsidR="007333A4" w:rsidRPr="00146AC3" w:rsidRDefault="00000000">
      <w:pPr>
        <w:spacing w:before="80" w:after="80"/>
        <w:rPr>
          <w:rFonts w:ascii="Calibri" w:hAnsi="Calibri" w:cs="Calibri"/>
        </w:rPr>
      </w:pPr>
      <w:r w:rsidRPr="00146AC3">
        <w:rPr>
          <w:rFonts w:ascii="Calibri" w:hAnsi="Calibri" w:cs="Calibri"/>
          <w:color w:val="000000"/>
        </w:rPr>
        <w:t>Headings must match Orlagh's SEO brief exactly. Do not add, remove, or reword any heading without flagging it to Orlagh first. The heading structure is a core part of the SEO brief.</w:t>
      </w:r>
    </w:p>
    <w:p w14:paraId="101E231C"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H1 must contain the primary keyword exactly or in very close natural form</w:t>
      </w:r>
    </w:p>
    <w:p w14:paraId="6F35A470"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H2s map to the main content sections defined in Orlagh's brief</w:t>
      </w:r>
    </w:p>
    <w:p w14:paraId="77F25086" w14:textId="0BDC4428"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H3s are sub-sections within H2s</w:t>
      </w:r>
      <w:r w:rsidR="00BD03BD">
        <w:rPr>
          <w:rFonts w:ascii="Calibri" w:hAnsi="Calibri" w:cs="Calibri"/>
          <w:color w:val="1E293B"/>
        </w:rPr>
        <w:t>;</w:t>
      </w:r>
      <w:r w:rsidRPr="00146AC3">
        <w:rPr>
          <w:rFonts w:ascii="Calibri" w:hAnsi="Calibri" w:cs="Calibri"/>
          <w:color w:val="1E293B"/>
        </w:rPr>
        <w:t xml:space="preserve"> use sparingly</w:t>
      </w:r>
    </w:p>
    <w:p w14:paraId="26081DFE" w14:textId="63E18FF2"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 xml:space="preserve">Never create a heading for decoration </w:t>
      </w:r>
      <w:r w:rsidR="00BD03BD">
        <w:rPr>
          <w:rFonts w:ascii="Calibri" w:hAnsi="Calibri" w:cs="Calibri"/>
          <w:color w:val="1E293B"/>
        </w:rPr>
        <w:t>;</w:t>
      </w:r>
      <w:r w:rsidRPr="00146AC3">
        <w:rPr>
          <w:rFonts w:ascii="Calibri" w:hAnsi="Calibri" w:cs="Calibri"/>
          <w:color w:val="1E293B"/>
        </w:rPr>
        <w:t xml:space="preserve"> every heading must be a genuine content marker</w:t>
      </w:r>
    </w:p>
    <w:p w14:paraId="20734FC0" w14:textId="77777777" w:rsidR="007333A4" w:rsidRPr="00146AC3" w:rsidRDefault="00000000">
      <w:pPr>
        <w:pStyle w:val="Heading1"/>
        <w:pBdr>
          <w:bottom w:val="single" w:sz="8" w:space="4" w:color="C0392B"/>
        </w:pBdr>
        <w:rPr>
          <w:rFonts w:ascii="Calibri" w:hAnsi="Calibri" w:cs="Calibri"/>
        </w:rPr>
      </w:pPr>
      <w:r w:rsidRPr="00146AC3">
        <w:rPr>
          <w:rFonts w:ascii="Calibri" w:hAnsi="Calibri" w:cs="Calibri"/>
        </w:rPr>
        <w:t>5. Currency &amp; Expertise Signals</w:t>
      </w:r>
    </w:p>
    <w:p w14:paraId="02C72E41" w14:textId="77777777" w:rsidR="007333A4" w:rsidRPr="00146AC3" w:rsidRDefault="00000000">
      <w:pPr>
        <w:spacing w:before="80" w:after="80"/>
        <w:rPr>
          <w:rFonts w:ascii="Calibri" w:hAnsi="Calibri" w:cs="Calibri"/>
        </w:rPr>
      </w:pPr>
      <w:r w:rsidRPr="00146AC3">
        <w:rPr>
          <w:rFonts w:ascii="Calibri" w:hAnsi="Calibri" w:cs="Calibri"/>
          <w:color w:val="000000"/>
        </w:rPr>
        <w:t>Every article must actively signal to Google (and the reader) that it is current and credible. These signals must be explicit — not just implied by the content itself.</w:t>
      </w:r>
    </w:p>
    <w:p w14:paraId="2E461B40" w14:textId="77777777" w:rsidR="007333A4" w:rsidRPr="00146AC3" w:rsidRDefault="00000000">
      <w:pPr>
        <w:pStyle w:val="Heading2"/>
        <w:rPr>
          <w:rFonts w:ascii="Calibri" w:hAnsi="Calibri" w:cs="Calibri"/>
        </w:rPr>
      </w:pPr>
      <w:r w:rsidRPr="00146AC3">
        <w:rPr>
          <w:rFonts w:ascii="Calibri" w:hAnsi="Calibri" w:cs="Calibri"/>
          <w:color w:val="1E8449"/>
        </w:rPr>
        <w:t>5.1 Currency Indicators</w:t>
      </w:r>
    </w:p>
    <w:p w14:paraId="52904376" w14:textId="77777777" w:rsidR="007333A4" w:rsidRPr="00146AC3" w:rsidRDefault="00000000">
      <w:pPr>
        <w:spacing w:before="80" w:after="80"/>
        <w:rPr>
          <w:rFonts w:ascii="Calibri" w:hAnsi="Calibri" w:cs="Calibri"/>
        </w:rPr>
      </w:pPr>
      <w:r w:rsidRPr="00146AC3">
        <w:rPr>
          <w:rFonts w:ascii="Calibri" w:hAnsi="Calibri" w:cs="Calibri"/>
          <w:color w:val="000000"/>
        </w:rPr>
        <w:t>Currency tells Google the content is fresh and therefore more likely to be relevant to a current search query.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333A4" w:rsidRPr="00146AC3" w14:paraId="5EE0899B" w14:textId="77777777">
        <w:trPr>
          <w:tblHeader/>
        </w:trPr>
        <w:tc>
          <w:tcPr>
            <w:tcW w:w="300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0378F537"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Currency Signal</w:t>
            </w:r>
          </w:p>
        </w:tc>
        <w:tc>
          <w:tcPr>
            <w:tcW w:w="636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5263EF4F"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How to Apply It</w:t>
            </w:r>
          </w:p>
        </w:tc>
      </w:tr>
      <w:tr w:rsidR="007333A4" w:rsidRPr="00146AC3" w14:paraId="0536FDB9"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70BEC54" w14:textId="77777777" w:rsidR="007333A4" w:rsidRPr="00146AC3" w:rsidRDefault="00000000">
            <w:pPr>
              <w:rPr>
                <w:rFonts w:ascii="Calibri" w:hAnsi="Calibri" w:cs="Calibri"/>
              </w:rPr>
            </w:pPr>
            <w:r w:rsidRPr="00146AC3">
              <w:rPr>
                <w:rFonts w:ascii="Calibri" w:hAnsi="Calibri" w:cs="Calibri"/>
                <w:b/>
                <w:bCs/>
                <w:color w:val="1E293B"/>
                <w:sz w:val="20"/>
                <w:szCs w:val="20"/>
              </w:rPr>
              <w:t>Year in Headline</w:t>
            </w:r>
          </w:p>
        </w:tc>
        <w:tc>
          <w:tcPr>
            <w:tcW w:w="63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F76375E" w14:textId="77777777" w:rsidR="007333A4" w:rsidRPr="00146AC3" w:rsidRDefault="00000000">
            <w:pPr>
              <w:rPr>
                <w:rFonts w:ascii="Calibri" w:hAnsi="Calibri" w:cs="Calibri"/>
              </w:rPr>
            </w:pPr>
            <w:r w:rsidRPr="00146AC3">
              <w:rPr>
                <w:rFonts w:ascii="Calibri" w:hAnsi="Calibri" w:cs="Calibri"/>
                <w:color w:val="1E293B"/>
                <w:sz w:val="20"/>
                <w:szCs w:val="20"/>
              </w:rPr>
              <w:t>Add 2026 to the H1 where possible. Example: 'Supplier Financial Risk Signals Procurement Should Monitor in 2026'</w:t>
            </w:r>
          </w:p>
        </w:tc>
      </w:tr>
      <w:tr w:rsidR="007333A4" w:rsidRPr="00146AC3" w14:paraId="1AE2CD3C" w14:textId="77777777">
        <w:tc>
          <w:tcPr>
            <w:tcW w:w="3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9B05D41" w14:textId="77777777" w:rsidR="007333A4" w:rsidRPr="00146AC3" w:rsidRDefault="00000000">
            <w:pPr>
              <w:rPr>
                <w:rFonts w:ascii="Calibri" w:hAnsi="Calibri" w:cs="Calibri"/>
              </w:rPr>
            </w:pPr>
            <w:r w:rsidRPr="00146AC3">
              <w:rPr>
                <w:rFonts w:ascii="Calibri" w:hAnsi="Calibri" w:cs="Calibri"/>
                <w:b/>
                <w:bCs/>
                <w:color w:val="1E293B"/>
                <w:sz w:val="20"/>
                <w:szCs w:val="20"/>
              </w:rPr>
              <w:t>Year in H2s</w:t>
            </w:r>
          </w:p>
        </w:tc>
        <w:tc>
          <w:tcPr>
            <w:tcW w:w="63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DF63F2F" w14:textId="77777777" w:rsidR="007333A4" w:rsidRPr="00146AC3" w:rsidRDefault="00000000">
            <w:pPr>
              <w:rPr>
                <w:rFonts w:ascii="Calibri" w:hAnsi="Calibri" w:cs="Calibri"/>
              </w:rPr>
            </w:pPr>
            <w:r w:rsidRPr="00146AC3">
              <w:rPr>
                <w:rFonts w:ascii="Calibri" w:hAnsi="Calibri" w:cs="Calibri"/>
                <w:color w:val="1E293B"/>
                <w:sz w:val="20"/>
                <w:szCs w:val="20"/>
              </w:rPr>
              <w:t>Include Mid-2026, H2 2026, or 2026 in at least one H2 per article</w:t>
            </w:r>
          </w:p>
        </w:tc>
      </w:tr>
      <w:tr w:rsidR="007333A4" w:rsidRPr="00146AC3" w14:paraId="0D5F055A"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9E844A7" w14:textId="77777777" w:rsidR="007333A4" w:rsidRPr="00146AC3" w:rsidRDefault="00000000">
            <w:pPr>
              <w:rPr>
                <w:rFonts w:ascii="Calibri" w:hAnsi="Calibri" w:cs="Calibri"/>
              </w:rPr>
            </w:pPr>
            <w:r w:rsidRPr="00146AC3">
              <w:rPr>
                <w:rFonts w:ascii="Calibri" w:hAnsi="Calibri" w:cs="Calibri"/>
                <w:b/>
                <w:bCs/>
                <w:color w:val="1E293B"/>
                <w:sz w:val="20"/>
                <w:szCs w:val="20"/>
              </w:rPr>
              <w:t>Publish date timestamp</w:t>
            </w:r>
          </w:p>
        </w:tc>
        <w:tc>
          <w:tcPr>
            <w:tcW w:w="63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E9E6395" w14:textId="53645C59" w:rsidR="007333A4" w:rsidRPr="00146AC3" w:rsidRDefault="00000000">
            <w:pPr>
              <w:rPr>
                <w:rFonts w:ascii="Calibri" w:hAnsi="Calibri" w:cs="Calibri"/>
              </w:rPr>
            </w:pPr>
            <w:r w:rsidRPr="00146AC3">
              <w:rPr>
                <w:rFonts w:ascii="Calibri" w:hAnsi="Calibri" w:cs="Calibri"/>
                <w:color w:val="1E293B"/>
                <w:sz w:val="20"/>
                <w:szCs w:val="20"/>
              </w:rPr>
              <w:t>Ensure the published date is visible on the page Google uses this as a freshness signal</w:t>
            </w:r>
          </w:p>
        </w:tc>
      </w:tr>
      <w:tr w:rsidR="007333A4" w:rsidRPr="00146AC3" w14:paraId="16867EE1" w14:textId="77777777">
        <w:tc>
          <w:tcPr>
            <w:tcW w:w="3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15D0658" w14:textId="77777777" w:rsidR="007333A4" w:rsidRPr="00146AC3" w:rsidRDefault="00000000">
            <w:pPr>
              <w:rPr>
                <w:rFonts w:ascii="Calibri" w:hAnsi="Calibri" w:cs="Calibri"/>
              </w:rPr>
            </w:pPr>
            <w:r w:rsidRPr="00146AC3">
              <w:rPr>
                <w:rFonts w:ascii="Calibri" w:hAnsi="Calibri" w:cs="Calibri"/>
                <w:b/>
                <w:bCs/>
                <w:color w:val="1E293B"/>
                <w:sz w:val="20"/>
                <w:szCs w:val="20"/>
              </w:rPr>
              <w:t>Dated citations</w:t>
            </w:r>
          </w:p>
        </w:tc>
        <w:tc>
          <w:tcPr>
            <w:tcW w:w="63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8C91DBC" w14:textId="6C06B63F" w:rsidR="007333A4" w:rsidRPr="00146AC3" w:rsidRDefault="00000000">
            <w:pPr>
              <w:rPr>
                <w:rFonts w:ascii="Calibri" w:hAnsi="Calibri" w:cs="Calibri"/>
              </w:rPr>
            </w:pPr>
            <w:r w:rsidRPr="00146AC3">
              <w:rPr>
                <w:rFonts w:ascii="Calibri" w:hAnsi="Calibri" w:cs="Calibri"/>
                <w:color w:val="1E293B"/>
                <w:sz w:val="20"/>
                <w:szCs w:val="20"/>
              </w:rPr>
              <w:t>All statistics must reference the year of the study e.g. McKinsey, 2026 or Gartner, Q1 2026</w:t>
            </w:r>
          </w:p>
        </w:tc>
      </w:tr>
      <w:tr w:rsidR="007333A4" w:rsidRPr="00146AC3" w14:paraId="38CA6349"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0BE3F73" w14:textId="77777777" w:rsidR="007333A4" w:rsidRPr="00146AC3" w:rsidRDefault="00000000">
            <w:pPr>
              <w:rPr>
                <w:rFonts w:ascii="Calibri" w:hAnsi="Calibri" w:cs="Calibri"/>
              </w:rPr>
            </w:pPr>
            <w:r w:rsidRPr="00146AC3">
              <w:rPr>
                <w:rFonts w:ascii="Calibri" w:hAnsi="Calibri" w:cs="Calibri"/>
                <w:b/>
                <w:bCs/>
                <w:color w:val="1E293B"/>
                <w:sz w:val="20"/>
                <w:szCs w:val="20"/>
              </w:rPr>
              <w:t>Recent Articles section</w:t>
            </w:r>
          </w:p>
        </w:tc>
        <w:tc>
          <w:tcPr>
            <w:tcW w:w="63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D950414" w14:textId="77777777" w:rsidR="007333A4" w:rsidRPr="00146AC3" w:rsidRDefault="00000000">
            <w:pPr>
              <w:rPr>
                <w:rFonts w:ascii="Calibri" w:hAnsi="Calibri" w:cs="Calibri"/>
              </w:rPr>
            </w:pPr>
            <w:r w:rsidRPr="00146AC3">
              <w:rPr>
                <w:rFonts w:ascii="Calibri" w:hAnsi="Calibri" w:cs="Calibri"/>
                <w:color w:val="1E293B"/>
                <w:sz w:val="20"/>
                <w:szCs w:val="20"/>
              </w:rPr>
              <w:t>Include a subsection titled 'Recent Developments' or 'What Changed in 2026' where the topic has evolved</w:t>
            </w:r>
          </w:p>
        </w:tc>
      </w:tr>
    </w:tbl>
    <w:p w14:paraId="474FB033" w14:textId="77777777" w:rsidR="007333A4" w:rsidRPr="00146AC3" w:rsidRDefault="007333A4">
      <w:pPr>
        <w:spacing w:before="120"/>
        <w:rPr>
          <w:rFonts w:ascii="Calibri" w:hAnsi="Calibri" w:cs="Calibri"/>
        </w:rPr>
      </w:pPr>
    </w:p>
    <w:p w14:paraId="572775B5" w14:textId="77777777" w:rsidR="007333A4" w:rsidRPr="00146AC3" w:rsidRDefault="00000000">
      <w:pPr>
        <w:pStyle w:val="Heading2"/>
        <w:rPr>
          <w:rFonts w:ascii="Calibri" w:hAnsi="Calibri" w:cs="Calibri"/>
        </w:rPr>
      </w:pPr>
      <w:r w:rsidRPr="00146AC3">
        <w:rPr>
          <w:rFonts w:ascii="Calibri" w:hAnsi="Calibri" w:cs="Calibri"/>
          <w:color w:val="1A5276"/>
        </w:rPr>
        <w:t>5.2 Expertise Indicators</w:t>
      </w:r>
    </w:p>
    <w:p w14:paraId="1FDB9126" w14:textId="77777777" w:rsidR="007333A4" w:rsidRPr="00146AC3" w:rsidRDefault="00000000">
      <w:pPr>
        <w:spacing w:before="80" w:after="80"/>
        <w:rPr>
          <w:rFonts w:ascii="Calibri" w:hAnsi="Calibri" w:cs="Calibri"/>
        </w:rPr>
      </w:pPr>
      <w:r w:rsidRPr="00146AC3">
        <w:rPr>
          <w:rFonts w:ascii="Calibri" w:hAnsi="Calibri" w:cs="Calibri"/>
          <w:color w:val="000000"/>
        </w:rPr>
        <w:t>Expertise signals tell Google that the content is backed by authoritative, credible sources — not just opinion.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333A4" w:rsidRPr="00146AC3" w14:paraId="793FAD99" w14:textId="77777777">
        <w:trPr>
          <w:tblHeader/>
        </w:trPr>
        <w:tc>
          <w:tcPr>
            <w:tcW w:w="300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455C23F7"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Expertise Signal</w:t>
            </w:r>
          </w:p>
        </w:tc>
        <w:tc>
          <w:tcPr>
            <w:tcW w:w="636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7ADC874E"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How to Apply It</w:t>
            </w:r>
          </w:p>
        </w:tc>
      </w:tr>
      <w:tr w:rsidR="007333A4" w:rsidRPr="00146AC3" w14:paraId="1284B958"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AF3C6F0" w14:textId="77777777" w:rsidR="007333A4" w:rsidRPr="00146AC3" w:rsidRDefault="00000000">
            <w:pPr>
              <w:rPr>
                <w:rFonts w:ascii="Calibri" w:hAnsi="Calibri" w:cs="Calibri"/>
              </w:rPr>
            </w:pPr>
            <w:r w:rsidRPr="00146AC3">
              <w:rPr>
                <w:rFonts w:ascii="Calibri" w:hAnsi="Calibri" w:cs="Calibri"/>
                <w:b/>
                <w:bCs/>
                <w:color w:val="1E293B"/>
                <w:sz w:val="20"/>
                <w:szCs w:val="20"/>
              </w:rPr>
              <w:t>What the Experts Are Saying section</w:t>
            </w:r>
          </w:p>
        </w:tc>
        <w:tc>
          <w:tcPr>
            <w:tcW w:w="63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5239E83" w14:textId="77777777" w:rsidR="007333A4" w:rsidRPr="00146AC3" w:rsidRDefault="00000000">
            <w:pPr>
              <w:rPr>
                <w:rFonts w:ascii="Calibri" w:hAnsi="Calibri" w:cs="Calibri"/>
              </w:rPr>
            </w:pPr>
            <w:r w:rsidRPr="00146AC3">
              <w:rPr>
                <w:rFonts w:ascii="Calibri" w:hAnsi="Calibri" w:cs="Calibri"/>
                <w:color w:val="1E293B"/>
                <w:sz w:val="20"/>
                <w:szCs w:val="20"/>
              </w:rPr>
              <w:t>Include a dedicated summary table in every article listing all third-party citations in one place. Label it 'What the Experts Are Saying.' Include: source name, key finding, year.</w:t>
            </w:r>
          </w:p>
        </w:tc>
      </w:tr>
      <w:tr w:rsidR="007333A4" w:rsidRPr="00146AC3" w14:paraId="1411F646" w14:textId="77777777">
        <w:tc>
          <w:tcPr>
            <w:tcW w:w="3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8C72FD3" w14:textId="77777777" w:rsidR="007333A4" w:rsidRPr="00146AC3" w:rsidRDefault="00000000">
            <w:pPr>
              <w:rPr>
                <w:rFonts w:ascii="Calibri" w:hAnsi="Calibri" w:cs="Calibri"/>
              </w:rPr>
            </w:pPr>
            <w:r w:rsidRPr="00146AC3">
              <w:rPr>
                <w:rFonts w:ascii="Calibri" w:hAnsi="Calibri" w:cs="Calibri"/>
                <w:b/>
                <w:bCs/>
                <w:color w:val="1E293B"/>
                <w:sz w:val="20"/>
                <w:szCs w:val="20"/>
              </w:rPr>
              <w:t>Named sources only</w:t>
            </w:r>
          </w:p>
        </w:tc>
        <w:tc>
          <w:tcPr>
            <w:tcW w:w="63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C8276BC" w14:textId="77777777" w:rsidR="007333A4" w:rsidRPr="00146AC3" w:rsidRDefault="00000000">
            <w:pPr>
              <w:rPr>
                <w:rFonts w:ascii="Calibri" w:hAnsi="Calibri" w:cs="Calibri"/>
              </w:rPr>
            </w:pPr>
            <w:r w:rsidRPr="00146AC3">
              <w:rPr>
                <w:rFonts w:ascii="Calibri" w:hAnsi="Calibri" w:cs="Calibri"/>
                <w:color w:val="1E293B"/>
                <w:sz w:val="20"/>
                <w:szCs w:val="20"/>
              </w:rPr>
              <w:t>Every statistic must have a named source. Never write 'studies show' or 'research indicates.' Name the institution, the report, and the year.</w:t>
            </w:r>
          </w:p>
        </w:tc>
      </w:tr>
      <w:tr w:rsidR="007333A4" w:rsidRPr="00146AC3" w14:paraId="7FBED95A"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0218518" w14:textId="77777777" w:rsidR="007333A4" w:rsidRPr="00146AC3" w:rsidRDefault="00000000">
            <w:pPr>
              <w:rPr>
                <w:rFonts w:ascii="Calibri" w:hAnsi="Calibri" w:cs="Calibri"/>
              </w:rPr>
            </w:pPr>
            <w:r w:rsidRPr="00146AC3">
              <w:rPr>
                <w:rFonts w:ascii="Calibri" w:hAnsi="Calibri" w:cs="Calibri"/>
                <w:b/>
                <w:bCs/>
                <w:color w:val="1E293B"/>
                <w:sz w:val="20"/>
                <w:szCs w:val="20"/>
              </w:rPr>
              <w:t>Hyperlinked citations</w:t>
            </w:r>
          </w:p>
        </w:tc>
        <w:tc>
          <w:tcPr>
            <w:tcW w:w="63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0FB9CE4" w14:textId="77777777" w:rsidR="007333A4" w:rsidRPr="00146AC3" w:rsidRDefault="00000000">
            <w:pPr>
              <w:rPr>
                <w:rFonts w:ascii="Calibri" w:hAnsi="Calibri" w:cs="Calibri"/>
              </w:rPr>
            </w:pPr>
            <w:r w:rsidRPr="00146AC3">
              <w:rPr>
                <w:rFonts w:ascii="Calibri" w:hAnsi="Calibri" w:cs="Calibri"/>
                <w:color w:val="1E293B"/>
                <w:sz w:val="20"/>
                <w:szCs w:val="20"/>
              </w:rPr>
              <w:t>All third-party data points must be hyperlinked to the primary source where publicly available.</w:t>
            </w:r>
          </w:p>
        </w:tc>
      </w:tr>
      <w:tr w:rsidR="007333A4" w:rsidRPr="00146AC3" w14:paraId="4B4B18B2" w14:textId="77777777">
        <w:tc>
          <w:tcPr>
            <w:tcW w:w="3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7A53BB8" w14:textId="77777777" w:rsidR="007333A4" w:rsidRPr="00146AC3" w:rsidRDefault="00000000">
            <w:pPr>
              <w:rPr>
                <w:rFonts w:ascii="Calibri" w:hAnsi="Calibri" w:cs="Calibri"/>
              </w:rPr>
            </w:pPr>
            <w:r w:rsidRPr="00146AC3">
              <w:rPr>
                <w:rFonts w:ascii="Calibri" w:hAnsi="Calibri" w:cs="Calibri"/>
                <w:b/>
                <w:bCs/>
                <w:color w:val="1E293B"/>
                <w:sz w:val="20"/>
                <w:szCs w:val="20"/>
              </w:rPr>
              <w:t>Minimum citation count</w:t>
            </w:r>
          </w:p>
        </w:tc>
        <w:tc>
          <w:tcPr>
            <w:tcW w:w="63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8F0DC94" w14:textId="77777777" w:rsidR="007333A4" w:rsidRPr="00146AC3" w:rsidRDefault="00000000">
            <w:pPr>
              <w:rPr>
                <w:rFonts w:ascii="Calibri" w:hAnsi="Calibri" w:cs="Calibri"/>
              </w:rPr>
            </w:pPr>
            <w:r w:rsidRPr="00146AC3">
              <w:rPr>
                <w:rFonts w:ascii="Calibri" w:hAnsi="Calibri" w:cs="Calibri"/>
                <w:color w:val="1E293B"/>
                <w:sz w:val="20"/>
                <w:szCs w:val="20"/>
              </w:rPr>
              <w:t>Every article must include at least 4 named, cited external data points.</w:t>
            </w:r>
          </w:p>
        </w:tc>
      </w:tr>
    </w:tbl>
    <w:p w14:paraId="1AFF331E" w14:textId="77777777" w:rsidR="007333A4" w:rsidRPr="00146AC3" w:rsidRDefault="00000000">
      <w:pPr>
        <w:pStyle w:val="Heading1"/>
        <w:pBdr>
          <w:bottom w:val="single" w:sz="8" w:space="4" w:color="C0392B"/>
        </w:pBdr>
        <w:rPr>
          <w:rFonts w:ascii="Calibri" w:hAnsi="Calibri" w:cs="Calibri"/>
        </w:rPr>
      </w:pPr>
      <w:r w:rsidRPr="00146AC3">
        <w:rPr>
          <w:rFonts w:ascii="Calibri" w:hAnsi="Calibri" w:cs="Calibri"/>
        </w:rPr>
        <w:t>6. Jaggaer CTA Rules</w:t>
      </w:r>
    </w:p>
    <w:p w14:paraId="4B58C031" w14:textId="77777777" w:rsidR="007333A4" w:rsidRPr="00146AC3" w:rsidRDefault="00000000">
      <w:pPr>
        <w:spacing w:before="80" w:after="80"/>
        <w:rPr>
          <w:rFonts w:ascii="Calibri" w:hAnsi="Calibri" w:cs="Calibri"/>
        </w:rPr>
      </w:pPr>
      <w:r w:rsidRPr="00146AC3">
        <w:rPr>
          <w:rFonts w:ascii="Calibri" w:hAnsi="Calibri" w:cs="Calibri"/>
          <w:color w:val="000000"/>
        </w:rPr>
        <w:t>Every article must include Jaggaer product CTAs (interstitial ads) built into the body. These are HTML blocks — not images — and must be text-coded to be indexable by Google.</w:t>
      </w:r>
    </w:p>
    <w:p w14:paraId="26D1FDC8" w14:textId="77777777" w:rsidR="007333A4" w:rsidRPr="00146AC3" w:rsidRDefault="00000000">
      <w:pPr>
        <w:pStyle w:val="Heading2"/>
        <w:rPr>
          <w:rFonts w:ascii="Calibri" w:hAnsi="Calibri" w:cs="Calibri"/>
        </w:rPr>
      </w:pPr>
      <w:r w:rsidRPr="00146AC3">
        <w:rPr>
          <w:rFonts w:ascii="Calibri" w:hAnsi="Calibri" w:cs="Calibri"/>
        </w:rPr>
        <w:t>6.1 CTA Placement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333A4" w:rsidRPr="00146AC3" w14:paraId="0D85D4A8" w14:textId="77777777">
        <w:trPr>
          <w:tblHeader/>
        </w:trPr>
        <w:tc>
          <w:tcPr>
            <w:tcW w:w="300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61019D4C"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Rule</w:t>
            </w:r>
          </w:p>
        </w:tc>
        <w:tc>
          <w:tcPr>
            <w:tcW w:w="636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15FC5CEE"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Requirement</w:t>
            </w:r>
          </w:p>
        </w:tc>
      </w:tr>
      <w:tr w:rsidR="007333A4" w:rsidRPr="00146AC3" w14:paraId="27FE7A49"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23BDB5D" w14:textId="77777777" w:rsidR="007333A4" w:rsidRPr="00146AC3" w:rsidRDefault="00000000">
            <w:pPr>
              <w:rPr>
                <w:rFonts w:ascii="Calibri" w:hAnsi="Calibri" w:cs="Calibri"/>
              </w:rPr>
            </w:pPr>
            <w:r w:rsidRPr="00146AC3">
              <w:rPr>
                <w:rFonts w:ascii="Calibri" w:hAnsi="Calibri" w:cs="Calibri"/>
                <w:b/>
                <w:bCs/>
                <w:color w:val="1E293B"/>
                <w:sz w:val="20"/>
                <w:szCs w:val="20"/>
              </w:rPr>
              <w:t>First CTA placement</w:t>
            </w:r>
          </w:p>
        </w:tc>
        <w:tc>
          <w:tcPr>
            <w:tcW w:w="63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D5B70AD" w14:textId="77777777" w:rsidR="007333A4" w:rsidRPr="00146AC3" w:rsidRDefault="00000000">
            <w:pPr>
              <w:rPr>
                <w:rFonts w:ascii="Calibri" w:hAnsi="Calibri" w:cs="Calibri"/>
              </w:rPr>
            </w:pPr>
            <w:r w:rsidRPr="00146AC3">
              <w:rPr>
                <w:rFonts w:ascii="Calibri" w:hAnsi="Calibri" w:cs="Calibri"/>
                <w:color w:val="1E293B"/>
                <w:sz w:val="20"/>
                <w:szCs w:val="20"/>
              </w:rPr>
              <w:t>Must appear by the end of the first two scrollable pages — no later. Fewer people scroll down. The first CTA must be early.</w:t>
            </w:r>
          </w:p>
        </w:tc>
      </w:tr>
      <w:tr w:rsidR="007333A4" w:rsidRPr="00146AC3" w14:paraId="1C3E16C6" w14:textId="77777777">
        <w:tc>
          <w:tcPr>
            <w:tcW w:w="3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8A60966" w14:textId="77777777" w:rsidR="007333A4" w:rsidRPr="00146AC3" w:rsidRDefault="00000000">
            <w:pPr>
              <w:rPr>
                <w:rFonts w:ascii="Calibri" w:hAnsi="Calibri" w:cs="Calibri"/>
              </w:rPr>
            </w:pPr>
            <w:r w:rsidRPr="00146AC3">
              <w:rPr>
                <w:rFonts w:ascii="Calibri" w:hAnsi="Calibri" w:cs="Calibri"/>
                <w:b/>
                <w:bCs/>
                <w:color w:val="1E293B"/>
                <w:sz w:val="20"/>
                <w:szCs w:val="20"/>
              </w:rPr>
              <w:t>Subsequent CTAs</w:t>
            </w:r>
          </w:p>
        </w:tc>
        <w:tc>
          <w:tcPr>
            <w:tcW w:w="63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4C387D0" w14:textId="77777777" w:rsidR="007333A4" w:rsidRPr="00146AC3" w:rsidRDefault="00000000">
            <w:pPr>
              <w:rPr>
                <w:rFonts w:ascii="Calibri" w:hAnsi="Calibri" w:cs="Calibri"/>
              </w:rPr>
            </w:pPr>
            <w:r w:rsidRPr="00146AC3">
              <w:rPr>
                <w:rFonts w:ascii="Calibri" w:hAnsi="Calibri" w:cs="Calibri"/>
                <w:color w:val="1E293B"/>
                <w:sz w:val="20"/>
                <w:szCs w:val="20"/>
              </w:rPr>
              <w:t>Roughly one CTA every three scrollable pages — but always driven by relevance to the surrounding content, not just scroll count.</w:t>
            </w:r>
          </w:p>
        </w:tc>
      </w:tr>
      <w:tr w:rsidR="007333A4" w:rsidRPr="00146AC3" w14:paraId="516FA6D9"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4FC661A" w14:textId="77777777" w:rsidR="007333A4" w:rsidRPr="00146AC3" w:rsidRDefault="00000000">
            <w:pPr>
              <w:rPr>
                <w:rFonts w:ascii="Calibri" w:hAnsi="Calibri" w:cs="Calibri"/>
              </w:rPr>
            </w:pPr>
            <w:r w:rsidRPr="00146AC3">
              <w:rPr>
                <w:rFonts w:ascii="Calibri" w:hAnsi="Calibri" w:cs="Calibri"/>
                <w:b/>
                <w:bCs/>
                <w:color w:val="1E293B"/>
                <w:sz w:val="20"/>
                <w:szCs w:val="20"/>
              </w:rPr>
              <w:t>Minimum CTAs per article</w:t>
            </w:r>
          </w:p>
        </w:tc>
        <w:tc>
          <w:tcPr>
            <w:tcW w:w="63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31E5A174" w14:textId="77777777" w:rsidR="007333A4" w:rsidRPr="00146AC3" w:rsidRDefault="00000000">
            <w:pPr>
              <w:rPr>
                <w:rFonts w:ascii="Calibri" w:hAnsi="Calibri" w:cs="Calibri"/>
              </w:rPr>
            </w:pPr>
            <w:r w:rsidRPr="00146AC3">
              <w:rPr>
                <w:rFonts w:ascii="Calibri" w:hAnsi="Calibri" w:cs="Calibri"/>
                <w:color w:val="1E293B"/>
                <w:sz w:val="20"/>
                <w:szCs w:val="20"/>
              </w:rPr>
              <w:t>3 CTAs minimum for a 2,000+ word article. 2 for a 1,000–1,500 word article.</w:t>
            </w:r>
          </w:p>
        </w:tc>
      </w:tr>
      <w:tr w:rsidR="007333A4" w:rsidRPr="00146AC3" w14:paraId="529D1F6F" w14:textId="77777777">
        <w:tc>
          <w:tcPr>
            <w:tcW w:w="3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360A627" w14:textId="77777777" w:rsidR="007333A4" w:rsidRPr="00146AC3" w:rsidRDefault="00000000">
            <w:pPr>
              <w:rPr>
                <w:rFonts w:ascii="Calibri" w:hAnsi="Calibri" w:cs="Calibri"/>
              </w:rPr>
            </w:pPr>
            <w:r w:rsidRPr="00146AC3">
              <w:rPr>
                <w:rFonts w:ascii="Calibri" w:hAnsi="Calibri" w:cs="Calibri"/>
                <w:b/>
                <w:bCs/>
                <w:color w:val="1E293B"/>
                <w:sz w:val="20"/>
                <w:szCs w:val="20"/>
              </w:rPr>
              <w:t>CTA format</w:t>
            </w:r>
          </w:p>
        </w:tc>
        <w:tc>
          <w:tcPr>
            <w:tcW w:w="63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DD2FF68" w14:textId="77777777" w:rsidR="007333A4" w:rsidRPr="00146AC3" w:rsidRDefault="00000000">
            <w:pPr>
              <w:rPr>
                <w:rFonts w:ascii="Calibri" w:hAnsi="Calibri" w:cs="Calibri"/>
              </w:rPr>
            </w:pPr>
            <w:r w:rsidRPr="00146AC3">
              <w:rPr>
                <w:rFonts w:ascii="Calibri" w:hAnsi="Calibri" w:cs="Calibri"/>
                <w:color w:val="1E293B"/>
                <w:sz w:val="20"/>
                <w:szCs w:val="20"/>
              </w:rPr>
              <w:t>HTML text block — not an image. Must be text-coded so Google can read it.</w:t>
            </w:r>
          </w:p>
        </w:tc>
      </w:tr>
    </w:tbl>
    <w:p w14:paraId="70CBB977" w14:textId="77777777" w:rsidR="007333A4" w:rsidRPr="00146AC3" w:rsidRDefault="007333A4">
      <w:pPr>
        <w:spacing w:before="120"/>
        <w:rPr>
          <w:rFonts w:ascii="Calibri" w:hAnsi="Calibri" w:cs="Calibri"/>
        </w:rPr>
      </w:pPr>
    </w:p>
    <w:p w14:paraId="529709C2" w14:textId="77777777" w:rsidR="007333A4" w:rsidRPr="00146AC3" w:rsidRDefault="00000000">
      <w:pPr>
        <w:pStyle w:val="Heading2"/>
        <w:rPr>
          <w:rFonts w:ascii="Calibri" w:hAnsi="Calibri" w:cs="Calibri"/>
        </w:rPr>
      </w:pPr>
      <w:r w:rsidRPr="00146AC3">
        <w:rPr>
          <w:rFonts w:ascii="Calibri" w:hAnsi="Calibri" w:cs="Calibri"/>
        </w:rPr>
        <w:t>6.2 CTA Copy Rules</w:t>
      </w:r>
    </w:p>
    <w:p w14:paraId="075E3750"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State what Jaggaer does — not why it matters</w:t>
      </w:r>
    </w:p>
    <w:p w14:paraId="447CB7C0"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Each CTA must be contextually tied to the section it follows — not generic</w:t>
      </w:r>
    </w:p>
    <w:p w14:paraId="7FA229B9"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No business benefit language (see Section 4.4)</w:t>
      </w:r>
    </w:p>
    <w:p w14:paraId="11CA0183" w14:textId="77777777" w:rsidR="007333A4" w:rsidRPr="00146AC3" w:rsidRDefault="00000000">
      <w:pPr>
        <w:spacing w:before="80" w:after="80"/>
        <w:rPr>
          <w:rFonts w:ascii="Calibri" w:hAnsi="Calibri" w:cs="Calibri"/>
        </w:rPr>
      </w:pPr>
      <w:r w:rsidRPr="00146AC3">
        <w:rPr>
          <w:rFonts w:ascii="Calibri" w:hAnsi="Calibri" w:cs="Calibri"/>
          <w:color w:val="000000"/>
        </w:rPr>
        <w:t>Example CTA copy by article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333A4" w:rsidRPr="00146AC3" w14:paraId="1B14F032" w14:textId="77777777">
        <w:trPr>
          <w:tblHeader/>
        </w:trPr>
        <w:tc>
          <w:tcPr>
            <w:tcW w:w="300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0DA8B584"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Section Context</w:t>
            </w:r>
          </w:p>
        </w:tc>
        <w:tc>
          <w:tcPr>
            <w:tcW w:w="6360" w:type="dxa"/>
            <w:tcBorders>
              <w:top w:val="single" w:sz="4" w:space="0" w:color="1C2B3A"/>
              <w:left w:val="single" w:sz="4" w:space="0" w:color="1C2B3A"/>
              <w:bottom w:val="single" w:sz="4" w:space="0" w:color="1C2B3A"/>
              <w:right w:val="single" w:sz="4" w:space="0" w:color="1C2B3A"/>
            </w:tcBorders>
            <w:shd w:val="clear" w:color="auto" w:fill="1C2B3A"/>
            <w:tcMar>
              <w:top w:w="100" w:type="dxa"/>
              <w:left w:w="120" w:type="dxa"/>
              <w:bottom w:w="100" w:type="dxa"/>
              <w:right w:w="120" w:type="dxa"/>
            </w:tcMar>
            <w:vAlign w:val="center"/>
          </w:tcPr>
          <w:p w14:paraId="1C4841E7" w14:textId="77777777" w:rsidR="007333A4" w:rsidRPr="00146AC3" w:rsidRDefault="00000000">
            <w:pPr>
              <w:jc w:val="center"/>
              <w:rPr>
                <w:rFonts w:ascii="Calibri" w:hAnsi="Calibri" w:cs="Calibri"/>
              </w:rPr>
            </w:pPr>
            <w:r w:rsidRPr="00146AC3">
              <w:rPr>
                <w:rFonts w:ascii="Calibri" w:hAnsi="Calibri" w:cs="Calibri"/>
                <w:b/>
                <w:bCs/>
                <w:color w:val="FFFFFF"/>
                <w:sz w:val="20"/>
                <w:szCs w:val="20"/>
              </w:rPr>
              <w:t>CTA Copy Example</w:t>
            </w:r>
          </w:p>
        </w:tc>
      </w:tr>
      <w:tr w:rsidR="007333A4" w:rsidRPr="00146AC3" w14:paraId="403B5071"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D4F6743" w14:textId="77777777" w:rsidR="007333A4" w:rsidRPr="00146AC3" w:rsidRDefault="00000000">
            <w:pPr>
              <w:rPr>
                <w:rFonts w:ascii="Calibri" w:hAnsi="Calibri" w:cs="Calibri"/>
              </w:rPr>
            </w:pPr>
            <w:r w:rsidRPr="00146AC3">
              <w:rPr>
                <w:rFonts w:ascii="Calibri" w:hAnsi="Calibri" w:cs="Calibri"/>
                <w:b/>
                <w:bCs/>
                <w:color w:val="1E293B"/>
                <w:sz w:val="20"/>
                <w:szCs w:val="20"/>
              </w:rPr>
              <w:t>After sub-tier risk data</w:t>
            </w:r>
          </w:p>
        </w:tc>
        <w:tc>
          <w:tcPr>
            <w:tcW w:w="63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3A39388D" w14:textId="77777777" w:rsidR="007333A4" w:rsidRPr="00146AC3" w:rsidRDefault="00000000">
            <w:pPr>
              <w:rPr>
                <w:rFonts w:ascii="Calibri" w:hAnsi="Calibri" w:cs="Calibri"/>
              </w:rPr>
            </w:pPr>
            <w:r w:rsidRPr="00146AC3">
              <w:rPr>
                <w:rFonts w:ascii="Calibri" w:hAnsi="Calibri" w:cs="Calibri"/>
                <w:color w:val="1E293B"/>
                <w:sz w:val="20"/>
                <w:szCs w:val="20"/>
              </w:rPr>
              <w:t>See how Jaggaer maps Tier 2–4 supplier networks →</w:t>
            </w:r>
          </w:p>
        </w:tc>
      </w:tr>
      <w:tr w:rsidR="007333A4" w:rsidRPr="00146AC3" w14:paraId="32FB63D1" w14:textId="77777777">
        <w:tc>
          <w:tcPr>
            <w:tcW w:w="3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E89C303" w14:textId="77777777" w:rsidR="007333A4" w:rsidRPr="00146AC3" w:rsidRDefault="00000000">
            <w:pPr>
              <w:rPr>
                <w:rFonts w:ascii="Calibri" w:hAnsi="Calibri" w:cs="Calibri"/>
              </w:rPr>
            </w:pPr>
            <w:r w:rsidRPr="00146AC3">
              <w:rPr>
                <w:rFonts w:ascii="Calibri" w:hAnsi="Calibri" w:cs="Calibri"/>
                <w:b/>
                <w:bCs/>
                <w:color w:val="1E293B"/>
                <w:sz w:val="20"/>
                <w:szCs w:val="20"/>
              </w:rPr>
              <w:t>After SRM limitations section</w:t>
            </w:r>
          </w:p>
        </w:tc>
        <w:tc>
          <w:tcPr>
            <w:tcW w:w="63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60B1A43" w14:textId="77777777" w:rsidR="007333A4" w:rsidRPr="00146AC3" w:rsidRDefault="00000000">
            <w:pPr>
              <w:rPr>
                <w:rFonts w:ascii="Calibri" w:hAnsi="Calibri" w:cs="Calibri"/>
              </w:rPr>
            </w:pPr>
            <w:r w:rsidRPr="00146AC3">
              <w:rPr>
                <w:rFonts w:ascii="Calibri" w:hAnsi="Calibri" w:cs="Calibri"/>
                <w:color w:val="1E293B"/>
                <w:sz w:val="20"/>
                <w:szCs w:val="20"/>
              </w:rPr>
              <w:t>Compare what your current platform sees vs. what Jaggaer sees →</w:t>
            </w:r>
          </w:p>
        </w:tc>
      </w:tr>
      <w:tr w:rsidR="007333A4" w:rsidRPr="00146AC3" w14:paraId="3894DF7A" w14:textId="77777777">
        <w:tc>
          <w:tcPr>
            <w:tcW w:w="3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1311CD8" w14:textId="77777777" w:rsidR="007333A4" w:rsidRPr="00146AC3" w:rsidRDefault="00000000">
            <w:pPr>
              <w:rPr>
                <w:rFonts w:ascii="Calibri" w:hAnsi="Calibri" w:cs="Calibri"/>
              </w:rPr>
            </w:pPr>
            <w:r w:rsidRPr="00146AC3">
              <w:rPr>
                <w:rFonts w:ascii="Calibri" w:hAnsi="Calibri" w:cs="Calibri"/>
                <w:b/>
                <w:bCs/>
                <w:color w:val="1E293B"/>
                <w:sz w:val="20"/>
                <w:szCs w:val="20"/>
              </w:rPr>
              <w:t>Near article close</w:t>
            </w:r>
          </w:p>
        </w:tc>
        <w:tc>
          <w:tcPr>
            <w:tcW w:w="63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42C7518" w14:textId="77777777" w:rsidR="007333A4" w:rsidRPr="00146AC3" w:rsidRDefault="00000000">
            <w:pPr>
              <w:rPr>
                <w:rFonts w:ascii="Calibri" w:hAnsi="Calibri" w:cs="Calibri"/>
              </w:rPr>
            </w:pPr>
            <w:r w:rsidRPr="00146AC3">
              <w:rPr>
                <w:rFonts w:ascii="Calibri" w:hAnsi="Calibri" w:cs="Calibri"/>
                <w:color w:val="1E293B"/>
                <w:sz w:val="20"/>
                <w:szCs w:val="20"/>
              </w:rPr>
              <w:t>Download the Jaggaer Supplier Visibility Brochure →</w:t>
            </w:r>
          </w:p>
        </w:tc>
      </w:tr>
      <w:tr w:rsidR="007333A4" w:rsidRPr="00146AC3" w14:paraId="4E56BF0D" w14:textId="77777777">
        <w:tc>
          <w:tcPr>
            <w:tcW w:w="3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24E2948" w14:textId="77777777" w:rsidR="007333A4" w:rsidRPr="00146AC3" w:rsidRDefault="00000000">
            <w:pPr>
              <w:rPr>
                <w:rFonts w:ascii="Calibri" w:hAnsi="Calibri" w:cs="Calibri"/>
              </w:rPr>
            </w:pPr>
            <w:r w:rsidRPr="00146AC3">
              <w:rPr>
                <w:rFonts w:ascii="Calibri" w:hAnsi="Calibri" w:cs="Calibri"/>
                <w:b/>
                <w:bCs/>
                <w:color w:val="1E293B"/>
                <w:sz w:val="20"/>
                <w:szCs w:val="20"/>
              </w:rPr>
              <w:t>After financial risk signals section</w:t>
            </w:r>
          </w:p>
        </w:tc>
        <w:tc>
          <w:tcPr>
            <w:tcW w:w="63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B928074" w14:textId="77777777" w:rsidR="007333A4" w:rsidRPr="00146AC3" w:rsidRDefault="00000000">
            <w:pPr>
              <w:rPr>
                <w:rFonts w:ascii="Calibri" w:hAnsi="Calibri" w:cs="Calibri"/>
              </w:rPr>
            </w:pPr>
            <w:r w:rsidRPr="00146AC3">
              <w:rPr>
                <w:rFonts w:ascii="Calibri" w:hAnsi="Calibri" w:cs="Calibri"/>
                <w:color w:val="1E293B"/>
                <w:sz w:val="20"/>
                <w:szCs w:val="20"/>
              </w:rPr>
              <w:t>See how Jaggaer monitors supplier financial health in real time →</w:t>
            </w:r>
          </w:p>
        </w:tc>
      </w:tr>
    </w:tbl>
    <w:p w14:paraId="70EC388D" w14:textId="77777777" w:rsidR="007333A4" w:rsidRPr="00146AC3" w:rsidRDefault="00000000">
      <w:pPr>
        <w:pStyle w:val="Heading1"/>
        <w:pBdr>
          <w:bottom w:val="single" w:sz="8" w:space="4" w:color="C0392B"/>
        </w:pBdr>
        <w:rPr>
          <w:rFonts w:ascii="Calibri" w:hAnsi="Calibri" w:cs="Calibri"/>
        </w:rPr>
      </w:pPr>
      <w:r w:rsidRPr="00146AC3">
        <w:rPr>
          <w:rFonts w:ascii="Calibri" w:hAnsi="Calibri" w:cs="Calibri"/>
        </w:rPr>
        <w:t>7. Interlinking Rules</w:t>
      </w:r>
    </w:p>
    <w:p w14:paraId="31426977" w14:textId="77777777" w:rsidR="007333A4" w:rsidRPr="00146AC3" w:rsidRDefault="00000000">
      <w:pPr>
        <w:spacing w:before="80" w:after="80"/>
        <w:rPr>
          <w:rFonts w:ascii="Calibri" w:hAnsi="Calibri" w:cs="Calibri"/>
        </w:rPr>
      </w:pPr>
      <w:r w:rsidRPr="00146AC3">
        <w:rPr>
          <w:rFonts w:ascii="Calibri" w:hAnsi="Calibri" w:cs="Calibri"/>
          <w:color w:val="000000"/>
        </w:rPr>
        <w:t>There are two types of interlinking on this engagement. Both are required — but SEO interlinking is the priority.</w:t>
      </w:r>
    </w:p>
    <w:p w14:paraId="5BD4D7F7" w14:textId="77777777" w:rsidR="007333A4" w:rsidRPr="00146AC3" w:rsidRDefault="00000000">
      <w:pPr>
        <w:pStyle w:val="Heading2"/>
        <w:rPr>
          <w:rFonts w:ascii="Calibri" w:hAnsi="Calibri" w:cs="Calibri"/>
        </w:rPr>
      </w:pPr>
      <w:r w:rsidRPr="00146AC3">
        <w:rPr>
          <w:rFonts w:ascii="Calibri" w:hAnsi="Calibri" w:cs="Calibri"/>
        </w:rPr>
        <w:t>7.1 SEO Interlinking</w:t>
      </w:r>
    </w:p>
    <w:p w14:paraId="0F6E017D" w14:textId="77777777" w:rsidR="007333A4" w:rsidRPr="00146AC3" w:rsidRDefault="00000000">
      <w:pPr>
        <w:spacing w:before="80" w:after="80"/>
        <w:rPr>
          <w:rFonts w:ascii="Calibri" w:hAnsi="Calibri" w:cs="Calibri"/>
        </w:rPr>
      </w:pPr>
      <w:r w:rsidRPr="00146AC3">
        <w:rPr>
          <w:rFonts w:ascii="Calibri" w:hAnsi="Calibri" w:cs="Calibri"/>
          <w:color w:val="000000"/>
        </w:rPr>
        <w:t>Inline text anchor links within the body copy, connecting sub-topic articles to the pillar page and to each other. These tell Google that the articles form a structured content cluster.</w:t>
      </w:r>
    </w:p>
    <w:p w14:paraId="0A3BDB53"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Every sub-topic article must link back to the pillar page at least once — in the introduction or first main section</w:t>
      </w:r>
    </w:p>
    <w:p w14:paraId="3559BA7F"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Sub-topic articles must cross-link to each other where the content is naturally related — minimum 2 cross-links per article</w:t>
      </w:r>
    </w:p>
    <w:p w14:paraId="4E546E95"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Links must be embedded within natural sentences — not listed separately or added at the end</w:t>
      </w:r>
    </w:p>
    <w:p w14:paraId="182318CE"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Anchor text must be 3–6 words extracted naturally from the sentence — not 'click here' or 'read more'</w:t>
      </w:r>
    </w:p>
    <w:p w14:paraId="157B660A"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All cluster articles must be published on the same day to avoid broken links at launch</w:t>
      </w:r>
    </w:p>
    <w:p w14:paraId="3A0640E2" w14:textId="77777777" w:rsidR="007333A4" w:rsidRPr="00146AC3" w:rsidRDefault="007333A4">
      <w:pPr>
        <w:spacing w:before="80"/>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7333A4" w:rsidRPr="00146AC3" w14:paraId="4B59708A" w14:textId="77777777">
        <w:tc>
          <w:tcPr>
            <w:tcW w:w="1200" w:type="dxa"/>
            <w:tcBorders>
              <w:top w:val="single" w:sz="1" w:space="0" w:color="D5D8DC"/>
              <w:left w:val="single" w:sz="1" w:space="0" w:color="D5D8DC"/>
              <w:bottom w:val="single" w:sz="1" w:space="0" w:color="D5D8DC"/>
              <w:right w:val="single" w:sz="1" w:space="0" w:color="D5D8DC"/>
            </w:tcBorders>
            <w:shd w:val="clear" w:color="auto" w:fill="FDEDEC"/>
            <w:tcMar>
              <w:top w:w="100" w:type="dxa"/>
              <w:left w:w="120" w:type="dxa"/>
              <w:bottom w:w="100" w:type="dxa"/>
              <w:right w:w="120" w:type="dxa"/>
            </w:tcMar>
            <w:vAlign w:val="center"/>
          </w:tcPr>
          <w:p w14:paraId="1CF4013C" w14:textId="77777777" w:rsidR="007333A4" w:rsidRPr="00146AC3" w:rsidRDefault="00000000">
            <w:pPr>
              <w:jc w:val="center"/>
              <w:rPr>
                <w:rFonts w:ascii="Calibri" w:hAnsi="Calibri" w:cs="Calibri"/>
              </w:rPr>
            </w:pPr>
            <w:r w:rsidRPr="00146AC3">
              <w:rPr>
                <w:rFonts w:ascii="Calibri" w:hAnsi="Calibri" w:cs="Calibri"/>
                <w:b/>
                <w:bCs/>
                <w:color w:val="C0392B"/>
                <w:sz w:val="18"/>
                <w:szCs w:val="18"/>
              </w:rPr>
              <w:t>BEFORE</w:t>
            </w:r>
          </w:p>
        </w:tc>
        <w:tc>
          <w:tcPr>
            <w:tcW w:w="8160" w:type="dxa"/>
            <w:tcBorders>
              <w:top w:val="single" w:sz="1" w:space="0" w:color="D5D8DC"/>
              <w:left w:val="single" w:sz="1" w:space="0" w:color="D5D8DC"/>
              <w:bottom w:val="single" w:sz="1" w:space="0" w:color="D5D8DC"/>
              <w:right w:val="single" w:sz="1" w:space="0" w:color="D5D8DC"/>
            </w:tcBorders>
            <w:shd w:val="clear" w:color="auto" w:fill="FEF9E7"/>
            <w:tcMar>
              <w:top w:w="100" w:type="dxa"/>
              <w:left w:w="160" w:type="dxa"/>
              <w:bottom w:w="100" w:type="dxa"/>
              <w:right w:w="120" w:type="dxa"/>
            </w:tcMar>
          </w:tcPr>
          <w:p w14:paraId="57E01A2F" w14:textId="77777777" w:rsidR="007333A4" w:rsidRPr="00146AC3" w:rsidRDefault="00000000">
            <w:pPr>
              <w:rPr>
                <w:rFonts w:ascii="Calibri" w:hAnsi="Calibri" w:cs="Calibri"/>
              </w:rPr>
            </w:pPr>
            <w:r w:rsidRPr="00146AC3">
              <w:rPr>
                <w:rFonts w:ascii="Calibri" w:hAnsi="Calibri" w:cs="Calibri"/>
                <w:color w:val="5D6D7E"/>
                <w:sz w:val="20"/>
                <w:szCs w:val="20"/>
              </w:rPr>
              <w:t>The financial consequences of sub-tier blind spots are significant.</w:t>
            </w:r>
          </w:p>
        </w:tc>
      </w:tr>
      <w:tr w:rsidR="007333A4" w:rsidRPr="00146AC3" w14:paraId="1DA3E385" w14:textId="77777777">
        <w:tc>
          <w:tcPr>
            <w:tcW w:w="1200" w:type="dxa"/>
            <w:tcBorders>
              <w:top w:val="single" w:sz="1" w:space="0" w:color="D5D8DC"/>
              <w:left w:val="single" w:sz="1" w:space="0" w:color="D5D8DC"/>
              <w:bottom w:val="single" w:sz="1" w:space="0" w:color="D5D8DC"/>
              <w:right w:val="single" w:sz="1" w:space="0" w:color="D5D8DC"/>
            </w:tcBorders>
            <w:shd w:val="clear" w:color="auto" w:fill="D5F5E3"/>
            <w:tcMar>
              <w:top w:w="100" w:type="dxa"/>
              <w:left w:w="120" w:type="dxa"/>
              <w:bottom w:w="100" w:type="dxa"/>
              <w:right w:w="120" w:type="dxa"/>
            </w:tcMar>
            <w:vAlign w:val="center"/>
          </w:tcPr>
          <w:p w14:paraId="413F3473" w14:textId="77777777" w:rsidR="007333A4" w:rsidRPr="00146AC3" w:rsidRDefault="00000000">
            <w:pPr>
              <w:jc w:val="center"/>
              <w:rPr>
                <w:rFonts w:ascii="Calibri" w:hAnsi="Calibri" w:cs="Calibri"/>
              </w:rPr>
            </w:pPr>
            <w:r w:rsidRPr="00146AC3">
              <w:rPr>
                <w:rFonts w:ascii="Calibri" w:hAnsi="Calibri" w:cs="Calibri"/>
                <w:b/>
                <w:bCs/>
                <w:color w:val="1E8449"/>
                <w:sz w:val="18"/>
                <w:szCs w:val="18"/>
              </w:rPr>
              <w:t>AFTER</w:t>
            </w:r>
          </w:p>
        </w:tc>
        <w:tc>
          <w:tcPr>
            <w:tcW w:w="8160" w:type="dxa"/>
            <w:tcBorders>
              <w:top w:val="single" w:sz="1" w:space="0" w:color="D5D8DC"/>
              <w:left w:val="single" w:sz="1" w:space="0" w:color="D5D8DC"/>
              <w:bottom w:val="single" w:sz="1" w:space="0" w:color="D5D8DC"/>
              <w:right w:val="single" w:sz="1" w:space="0" w:color="D5D8DC"/>
            </w:tcBorders>
            <w:shd w:val="clear" w:color="auto" w:fill="EAFAF1"/>
            <w:tcMar>
              <w:top w:w="100" w:type="dxa"/>
              <w:left w:w="160" w:type="dxa"/>
              <w:bottom w:w="100" w:type="dxa"/>
              <w:right w:w="120" w:type="dxa"/>
            </w:tcMar>
          </w:tcPr>
          <w:p w14:paraId="30CC0335" w14:textId="77777777" w:rsidR="007333A4" w:rsidRPr="00146AC3" w:rsidRDefault="00000000">
            <w:pPr>
              <w:rPr>
                <w:rFonts w:ascii="Calibri" w:hAnsi="Calibri" w:cs="Calibri"/>
              </w:rPr>
            </w:pPr>
            <w:r w:rsidRPr="00146AC3">
              <w:rPr>
                <w:rFonts w:ascii="Calibri" w:hAnsi="Calibri" w:cs="Calibri"/>
                <w:b/>
                <w:bCs/>
                <w:color w:val="1E293B"/>
                <w:sz w:val="20"/>
                <w:szCs w:val="20"/>
              </w:rPr>
              <w:t>The financial consequences of sub-tier blind spots are significant — and in many cases, supplier financial risk signals were present well before any operational alert fired.</w:t>
            </w:r>
          </w:p>
        </w:tc>
      </w:tr>
      <w:tr w:rsidR="007333A4" w:rsidRPr="00146AC3" w14:paraId="708EA5A3" w14:textId="77777777">
        <w:tc>
          <w:tcPr>
            <w:tcW w:w="9360" w:type="dxa"/>
            <w:gridSpan w:val="2"/>
            <w:tcBorders>
              <w:top w:val="single" w:sz="1" w:space="0" w:color="D5D8DC"/>
              <w:left w:val="single" w:sz="1" w:space="0" w:color="D5D8DC"/>
              <w:bottom w:val="single" w:sz="1" w:space="0" w:color="D5D8DC"/>
              <w:right w:val="single" w:sz="1" w:space="0" w:color="D5D8DC"/>
            </w:tcBorders>
            <w:shd w:val="clear" w:color="auto" w:fill="EAF2F8"/>
            <w:tcMar>
              <w:top w:w="80" w:type="dxa"/>
              <w:left w:w="120" w:type="dxa"/>
              <w:bottom w:w="80" w:type="dxa"/>
              <w:right w:w="120" w:type="dxa"/>
            </w:tcMar>
          </w:tcPr>
          <w:p w14:paraId="335C21EF" w14:textId="77777777" w:rsidR="007333A4" w:rsidRPr="00146AC3" w:rsidRDefault="00000000">
            <w:pPr>
              <w:rPr>
                <w:rFonts w:ascii="Calibri" w:hAnsi="Calibri" w:cs="Calibri"/>
              </w:rPr>
            </w:pPr>
            <w:r w:rsidRPr="00146AC3">
              <w:rPr>
                <w:rFonts w:ascii="Calibri" w:hAnsi="Calibri" w:cs="Calibri"/>
                <w:color w:val="1A5276"/>
                <w:sz w:val="18"/>
                <w:szCs w:val="18"/>
              </w:rPr>
              <w:t>Note: The anchor text 'supplier financial risk signals' links to the Supplier Financial Risk Signals article. It reads as a natural part of the sentence.</w:t>
            </w:r>
          </w:p>
        </w:tc>
      </w:tr>
    </w:tbl>
    <w:p w14:paraId="2B7559EC" w14:textId="77777777" w:rsidR="007333A4" w:rsidRPr="00146AC3" w:rsidRDefault="007333A4">
      <w:pPr>
        <w:spacing w:before="80"/>
        <w:rPr>
          <w:rFonts w:ascii="Calibri" w:hAnsi="Calibri" w:cs="Calibri"/>
        </w:rPr>
      </w:pPr>
    </w:p>
    <w:p w14:paraId="50078860" w14:textId="77777777" w:rsidR="007333A4" w:rsidRPr="00146AC3" w:rsidRDefault="00000000">
      <w:pPr>
        <w:pStyle w:val="Heading2"/>
        <w:rPr>
          <w:rFonts w:ascii="Calibri" w:hAnsi="Calibri" w:cs="Calibri"/>
        </w:rPr>
      </w:pPr>
      <w:r w:rsidRPr="00146AC3">
        <w:rPr>
          <w:rFonts w:ascii="Calibri" w:hAnsi="Calibri" w:cs="Calibri"/>
        </w:rPr>
        <w:t>7.2 Monetisation Interlinking (Funnel Movement)</w:t>
      </w:r>
    </w:p>
    <w:p w14:paraId="4C07BC51" w14:textId="77777777" w:rsidR="007333A4" w:rsidRPr="00146AC3" w:rsidRDefault="00000000">
      <w:pPr>
        <w:spacing w:before="80" w:after="80"/>
        <w:rPr>
          <w:rFonts w:ascii="Calibri" w:hAnsi="Calibri" w:cs="Calibri"/>
        </w:rPr>
      </w:pPr>
      <w:r w:rsidRPr="00146AC3">
        <w:rPr>
          <w:rFonts w:ascii="Calibri" w:hAnsi="Calibri" w:cs="Calibri"/>
          <w:color w:val="000000"/>
        </w:rPr>
        <w:t>Visually prominent CTAs and section links designed to move the reader up or down the funnel — from awareness (TOFU) to consideration (MOFU) to conversion (BOFU). These are more visible than SEO text links.</w:t>
      </w:r>
    </w:p>
    <w:p w14:paraId="5FD0496A"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Not just text anchors — designed as visible, clickable section elements</w:t>
      </w:r>
    </w:p>
    <w:p w14:paraId="549D471E"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Goal: allow the reader to choose their own journey between TOFU, MOFU, and BOFU content</w:t>
      </w:r>
    </w:p>
    <w:p w14:paraId="30BE1B0C" w14:textId="77777777" w:rsidR="007333A4" w:rsidRPr="00146AC3" w:rsidRDefault="00000000">
      <w:pPr>
        <w:pStyle w:val="ListParagraph"/>
        <w:numPr>
          <w:ilvl w:val="0"/>
          <w:numId w:val="2"/>
        </w:numPr>
        <w:spacing w:before="60" w:after="60"/>
        <w:rPr>
          <w:rFonts w:ascii="Calibri" w:hAnsi="Calibri" w:cs="Calibri"/>
        </w:rPr>
      </w:pPr>
      <w:r w:rsidRPr="00146AC3">
        <w:rPr>
          <w:rFonts w:ascii="Calibri" w:hAnsi="Calibri" w:cs="Calibri"/>
          <w:color w:val="1E293B"/>
        </w:rPr>
        <w:t>Track whether users move between funnel levels to map which asset types work best at each stage</w:t>
      </w:r>
    </w:p>
    <w:p w14:paraId="5B9985A3" w14:textId="0C39F03F" w:rsidR="00BD03BD" w:rsidRPr="00BD03BD" w:rsidRDefault="00000000" w:rsidP="00BD03BD">
      <w:pPr>
        <w:pStyle w:val="ListParagraph"/>
        <w:numPr>
          <w:ilvl w:val="0"/>
          <w:numId w:val="2"/>
        </w:numPr>
        <w:spacing w:before="60" w:after="60"/>
        <w:rPr>
          <w:rFonts w:ascii="Calibri" w:hAnsi="Calibri" w:cs="Calibri"/>
        </w:rPr>
      </w:pPr>
      <w:r w:rsidRPr="00146AC3">
        <w:rPr>
          <w:rFonts w:ascii="Calibri" w:hAnsi="Calibri" w:cs="Calibri"/>
          <w:color w:val="1E293B"/>
        </w:rPr>
        <w:t>Priority: SEO interlinking first. Monetisation interlinking is a secondary objective built out as the asset library grows.</w:t>
      </w:r>
    </w:p>
    <w:p w14:paraId="0A66A2A9" w14:textId="25C2696B" w:rsidR="007333A4" w:rsidRPr="00146AC3" w:rsidRDefault="007333A4">
      <w:pPr>
        <w:spacing w:before="80" w:after="80"/>
        <w:rPr>
          <w:rFonts w:ascii="Calibri" w:hAnsi="Calibri" w:cs="Calibri"/>
        </w:rPr>
      </w:pPr>
    </w:p>
    <w:sectPr w:rsidR="007333A4" w:rsidRPr="00146AC3">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A4F13" w14:textId="77777777" w:rsidR="00EA3B1A" w:rsidRDefault="00EA3B1A">
      <w:r>
        <w:separator/>
      </w:r>
    </w:p>
  </w:endnote>
  <w:endnote w:type="continuationSeparator" w:id="0">
    <w:p w14:paraId="2D4CC6D2" w14:textId="77777777" w:rsidR="00EA3B1A" w:rsidRDefault="00EA3B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A603B" w14:textId="77777777" w:rsidR="007333A4" w:rsidRDefault="00000000">
    <w:pPr>
      <w:pBdr>
        <w:top w:val="single" w:sz="4" w:space="4" w:color="BDC3C7"/>
      </w:pBdr>
      <w:tabs>
        <w:tab w:val="right" w:pos="9026"/>
      </w:tabs>
      <w:spacing w:before="80"/>
    </w:pPr>
    <w:r>
      <w:rPr>
        <w:color w:val="5D6D7E"/>
        <w:sz w:val="16"/>
        <w:szCs w:val="16"/>
      </w:rPr>
      <w:t>Netscribes  |  For internal use and client review only</w:t>
    </w:r>
    <w:r>
      <w:rPr>
        <w:color w:val="5D6D7E"/>
        <w:sz w:val="16"/>
        <w:szCs w:val="16"/>
      </w:rPr>
      <w:tab/>
      <w:t xml:space="preserve">Page </w:t>
    </w:r>
    <w:r>
      <w:rPr>
        <w:color w:val="5D6D7E"/>
        <w:sz w:val="16"/>
        <w:szCs w:val="16"/>
      </w:rPr>
      <w:fldChar w:fldCharType="begin"/>
    </w:r>
    <w:r>
      <w:rPr>
        <w:color w:val="5D6D7E"/>
        <w:sz w:val="16"/>
        <w:szCs w:val="16"/>
      </w:rPr>
      <w:instrText>PAGE</w:instrText>
    </w:r>
    <w:r>
      <w:rPr>
        <w:color w:val="5D6D7E"/>
        <w:sz w:val="16"/>
        <w:szCs w:val="16"/>
      </w:rPr>
      <w:fldChar w:fldCharType="separate"/>
    </w:r>
    <w:r w:rsidR="00146AC3">
      <w:rPr>
        <w:noProof/>
        <w:color w:val="5D6D7E"/>
        <w:sz w:val="16"/>
        <w:szCs w:val="16"/>
      </w:rPr>
      <w:t>1</w:t>
    </w:r>
    <w:r>
      <w:rPr>
        <w:color w:val="5D6D7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69694" w14:textId="77777777" w:rsidR="00EA3B1A" w:rsidRDefault="00EA3B1A">
      <w:r>
        <w:separator/>
      </w:r>
    </w:p>
  </w:footnote>
  <w:footnote w:type="continuationSeparator" w:id="0">
    <w:p w14:paraId="3302EEF9" w14:textId="77777777" w:rsidR="00EA3B1A" w:rsidRDefault="00EA3B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7F71E" w14:textId="0B81C51F" w:rsidR="007333A4" w:rsidRDefault="00000000">
    <w:pPr>
      <w:pBdr>
        <w:bottom w:val="single" w:sz="6" w:space="4" w:color="1C2B3A"/>
      </w:pBdr>
      <w:tabs>
        <w:tab w:val="right" w:pos="9026"/>
      </w:tabs>
      <w:spacing w:after="80"/>
    </w:pPr>
    <w:r>
      <w:rPr>
        <w:b/>
        <w:bCs/>
        <w:color w:val="1C2B3A"/>
        <w:sz w:val="16"/>
        <w:szCs w:val="16"/>
      </w:rPr>
      <w:t>Blog Style Guide &amp; Content Rubric</w:t>
    </w:r>
    <w:r>
      <w:rPr>
        <w:color w:val="5D6D7E"/>
        <w:sz w:val="16"/>
        <w:szCs w:val="16"/>
      </w:rPr>
      <w:tab/>
      <w:t>May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41DD"/>
    <w:multiLevelType w:val="hybridMultilevel"/>
    <w:tmpl w:val="1880514C"/>
    <w:lvl w:ilvl="0" w:tplc="2C4E2018">
      <w:start w:val="1"/>
      <w:numFmt w:val="bullet"/>
      <w:lvlText w:val="●"/>
      <w:lvlJc w:val="left"/>
      <w:pPr>
        <w:ind w:left="720" w:hanging="360"/>
      </w:pPr>
    </w:lvl>
    <w:lvl w:ilvl="1" w:tplc="A74EFDC2">
      <w:start w:val="1"/>
      <w:numFmt w:val="bullet"/>
      <w:lvlText w:val="○"/>
      <w:lvlJc w:val="left"/>
      <w:pPr>
        <w:ind w:left="1440" w:hanging="360"/>
      </w:pPr>
    </w:lvl>
    <w:lvl w:ilvl="2" w:tplc="C976683E">
      <w:start w:val="1"/>
      <w:numFmt w:val="bullet"/>
      <w:lvlText w:val="■"/>
      <w:lvlJc w:val="left"/>
      <w:pPr>
        <w:ind w:left="2160" w:hanging="360"/>
      </w:pPr>
    </w:lvl>
    <w:lvl w:ilvl="3" w:tplc="A47E0E5E">
      <w:start w:val="1"/>
      <w:numFmt w:val="bullet"/>
      <w:lvlText w:val="●"/>
      <w:lvlJc w:val="left"/>
      <w:pPr>
        <w:ind w:left="2880" w:hanging="360"/>
      </w:pPr>
    </w:lvl>
    <w:lvl w:ilvl="4" w:tplc="B248F254">
      <w:start w:val="1"/>
      <w:numFmt w:val="bullet"/>
      <w:lvlText w:val="○"/>
      <w:lvlJc w:val="left"/>
      <w:pPr>
        <w:ind w:left="3600" w:hanging="360"/>
      </w:pPr>
    </w:lvl>
    <w:lvl w:ilvl="5" w:tplc="18166926">
      <w:start w:val="1"/>
      <w:numFmt w:val="bullet"/>
      <w:lvlText w:val="■"/>
      <w:lvlJc w:val="left"/>
      <w:pPr>
        <w:ind w:left="4320" w:hanging="360"/>
      </w:pPr>
    </w:lvl>
    <w:lvl w:ilvl="6" w:tplc="66123E8A">
      <w:start w:val="1"/>
      <w:numFmt w:val="bullet"/>
      <w:lvlText w:val="●"/>
      <w:lvlJc w:val="left"/>
      <w:pPr>
        <w:ind w:left="5040" w:hanging="360"/>
      </w:pPr>
    </w:lvl>
    <w:lvl w:ilvl="7" w:tplc="AA5AEE6E">
      <w:start w:val="1"/>
      <w:numFmt w:val="bullet"/>
      <w:lvlText w:val="●"/>
      <w:lvlJc w:val="left"/>
      <w:pPr>
        <w:ind w:left="5760" w:hanging="360"/>
      </w:pPr>
    </w:lvl>
    <w:lvl w:ilvl="8" w:tplc="75641B2A">
      <w:start w:val="1"/>
      <w:numFmt w:val="bullet"/>
      <w:lvlText w:val="●"/>
      <w:lvlJc w:val="left"/>
      <w:pPr>
        <w:ind w:left="6480" w:hanging="360"/>
      </w:pPr>
    </w:lvl>
  </w:abstractNum>
  <w:abstractNum w:abstractNumId="1" w15:restartNumberingAfterBreak="0">
    <w:nsid w:val="0E0E6AA1"/>
    <w:multiLevelType w:val="hybridMultilevel"/>
    <w:tmpl w:val="C6740014"/>
    <w:lvl w:ilvl="0" w:tplc="62F4A8E2">
      <w:start w:val="1"/>
      <w:numFmt w:val="bullet"/>
      <w:lvlText w:val="•"/>
      <w:lvlJc w:val="left"/>
      <w:pPr>
        <w:ind w:left="720" w:hanging="360"/>
      </w:pPr>
    </w:lvl>
    <w:lvl w:ilvl="1" w:tplc="508C72A8">
      <w:numFmt w:val="decimal"/>
      <w:lvlText w:val=""/>
      <w:lvlJc w:val="left"/>
    </w:lvl>
    <w:lvl w:ilvl="2" w:tplc="294A5714">
      <w:numFmt w:val="decimal"/>
      <w:lvlText w:val=""/>
      <w:lvlJc w:val="left"/>
    </w:lvl>
    <w:lvl w:ilvl="3" w:tplc="FB86E296">
      <w:numFmt w:val="decimal"/>
      <w:lvlText w:val=""/>
      <w:lvlJc w:val="left"/>
    </w:lvl>
    <w:lvl w:ilvl="4" w:tplc="291C878E">
      <w:numFmt w:val="decimal"/>
      <w:lvlText w:val=""/>
      <w:lvlJc w:val="left"/>
    </w:lvl>
    <w:lvl w:ilvl="5" w:tplc="E5904FAE">
      <w:numFmt w:val="decimal"/>
      <w:lvlText w:val=""/>
      <w:lvlJc w:val="left"/>
    </w:lvl>
    <w:lvl w:ilvl="6" w:tplc="5920B1FE">
      <w:numFmt w:val="decimal"/>
      <w:lvlText w:val=""/>
      <w:lvlJc w:val="left"/>
    </w:lvl>
    <w:lvl w:ilvl="7" w:tplc="0554B83E">
      <w:numFmt w:val="decimal"/>
      <w:lvlText w:val=""/>
      <w:lvlJc w:val="left"/>
    </w:lvl>
    <w:lvl w:ilvl="8" w:tplc="B08C993E">
      <w:numFmt w:val="decimal"/>
      <w:lvlText w:val=""/>
      <w:lvlJc w:val="left"/>
    </w:lvl>
  </w:abstractNum>
  <w:abstractNum w:abstractNumId="2" w15:restartNumberingAfterBreak="0">
    <w:nsid w:val="74BD484B"/>
    <w:multiLevelType w:val="hybridMultilevel"/>
    <w:tmpl w:val="454E42FE"/>
    <w:lvl w:ilvl="0" w:tplc="695EBB46">
      <w:start w:val="1"/>
      <w:numFmt w:val="decimal"/>
      <w:lvlText w:val="%1."/>
      <w:lvlJc w:val="left"/>
      <w:pPr>
        <w:ind w:left="720" w:hanging="360"/>
      </w:pPr>
    </w:lvl>
    <w:lvl w:ilvl="1" w:tplc="FAC2AFFA">
      <w:numFmt w:val="decimal"/>
      <w:lvlText w:val=""/>
      <w:lvlJc w:val="left"/>
    </w:lvl>
    <w:lvl w:ilvl="2" w:tplc="8020C1CA">
      <w:numFmt w:val="decimal"/>
      <w:lvlText w:val=""/>
      <w:lvlJc w:val="left"/>
    </w:lvl>
    <w:lvl w:ilvl="3" w:tplc="E0C217D8">
      <w:numFmt w:val="decimal"/>
      <w:lvlText w:val=""/>
      <w:lvlJc w:val="left"/>
    </w:lvl>
    <w:lvl w:ilvl="4" w:tplc="238610A6">
      <w:numFmt w:val="decimal"/>
      <w:lvlText w:val=""/>
      <w:lvlJc w:val="left"/>
    </w:lvl>
    <w:lvl w:ilvl="5" w:tplc="2C2E44C6">
      <w:numFmt w:val="decimal"/>
      <w:lvlText w:val=""/>
      <w:lvlJc w:val="left"/>
    </w:lvl>
    <w:lvl w:ilvl="6" w:tplc="E0085288">
      <w:numFmt w:val="decimal"/>
      <w:lvlText w:val=""/>
      <w:lvlJc w:val="left"/>
    </w:lvl>
    <w:lvl w:ilvl="7" w:tplc="A5E6EBB4">
      <w:numFmt w:val="decimal"/>
      <w:lvlText w:val=""/>
      <w:lvlJc w:val="left"/>
    </w:lvl>
    <w:lvl w:ilvl="8" w:tplc="DC7AC7D6">
      <w:numFmt w:val="decimal"/>
      <w:lvlText w:val=""/>
      <w:lvlJc w:val="left"/>
    </w:lvl>
  </w:abstractNum>
  <w:abstractNum w:abstractNumId="3" w15:restartNumberingAfterBreak="0">
    <w:nsid w:val="798B282F"/>
    <w:multiLevelType w:val="hybridMultilevel"/>
    <w:tmpl w:val="7DA6DF84"/>
    <w:lvl w:ilvl="0" w:tplc="666007F6">
      <w:start w:val="1"/>
      <w:numFmt w:val="bullet"/>
      <w:lvlText w:val="◦"/>
      <w:lvlJc w:val="left"/>
      <w:pPr>
        <w:ind w:left="1080" w:hanging="360"/>
      </w:pPr>
    </w:lvl>
    <w:lvl w:ilvl="1" w:tplc="B1801F36">
      <w:numFmt w:val="decimal"/>
      <w:lvlText w:val=""/>
      <w:lvlJc w:val="left"/>
    </w:lvl>
    <w:lvl w:ilvl="2" w:tplc="DD3CFD90">
      <w:numFmt w:val="decimal"/>
      <w:lvlText w:val=""/>
      <w:lvlJc w:val="left"/>
    </w:lvl>
    <w:lvl w:ilvl="3" w:tplc="224AF004">
      <w:numFmt w:val="decimal"/>
      <w:lvlText w:val=""/>
      <w:lvlJc w:val="left"/>
    </w:lvl>
    <w:lvl w:ilvl="4" w:tplc="6A8CF44C">
      <w:numFmt w:val="decimal"/>
      <w:lvlText w:val=""/>
      <w:lvlJc w:val="left"/>
    </w:lvl>
    <w:lvl w:ilvl="5" w:tplc="B1B63CA2">
      <w:numFmt w:val="decimal"/>
      <w:lvlText w:val=""/>
      <w:lvlJc w:val="left"/>
    </w:lvl>
    <w:lvl w:ilvl="6" w:tplc="9A8C7B10">
      <w:numFmt w:val="decimal"/>
      <w:lvlText w:val=""/>
      <w:lvlJc w:val="left"/>
    </w:lvl>
    <w:lvl w:ilvl="7" w:tplc="BAFAA216">
      <w:numFmt w:val="decimal"/>
      <w:lvlText w:val=""/>
      <w:lvlJc w:val="left"/>
    </w:lvl>
    <w:lvl w:ilvl="8" w:tplc="D550205A">
      <w:numFmt w:val="decimal"/>
      <w:lvlText w:val=""/>
      <w:lvlJc w:val="left"/>
    </w:lvl>
  </w:abstractNum>
  <w:num w:numId="1" w16cid:durableId="1307592712">
    <w:abstractNumId w:val="0"/>
    <w:lvlOverride w:ilvl="0">
      <w:startOverride w:val="1"/>
    </w:lvlOverride>
  </w:num>
  <w:num w:numId="2" w16cid:durableId="1364288956">
    <w:abstractNumId w:val="1"/>
    <w:lvlOverride w:ilvl="0">
      <w:startOverride w:val="1"/>
    </w:lvlOverride>
  </w:num>
  <w:num w:numId="3" w16cid:durableId="19543713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33A4"/>
    <w:rsid w:val="00146AC3"/>
    <w:rsid w:val="004C4E1E"/>
    <w:rsid w:val="007333A4"/>
    <w:rsid w:val="009E46D7"/>
    <w:rsid w:val="00A66337"/>
    <w:rsid w:val="00BD03BD"/>
    <w:rsid w:val="00EA3B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F2223F"/>
  <w15:docId w15:val="{3081A999-D2A9-42CA-8BC9-E868D12C6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20"/>
      <w:outlineLvl w:val="0"/>
    </w:pPr>
    <w:rPr>
      <w:b/>
      <w:bCs/>
      <w:color w:val="1C2B3A"/>
      <w:sz w:val="32"/>
      <w:szCs w:val="32"/>
    </w:rPr>
  </w:style>
  <w:style w:type="paragraph" w:styleId="Heading2">
    <w:name w:val="heading 2"/>
    <w:uiPriority w:val="9"/>
    <w:unhideWhenUsed/>
    <w:qFormat/>
    <w:pPr>
      <w:spacing w:before="280" w:after="100"/>
      <w:outlineLvl w:val="1"/>
    </w:pPr>
    <w:rPr>
      <w:b/>
      <w:bCs/>
      <w:color w:val="1C2B3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46AC3"/>
    <w:pPr>
      <w:tabs>
        <w:tab w:val="center" w:pos="4513"/>
        <w:tab w:val="right" w:pos="9026"/>
      </w:tabs>
    </w:pPr>
  </w:style>
  <w:style w:type="character" w:customStyle="1" w:styleId="HeaderChar">
    <w:name w:val="Header Char"/>
    <w:basedOn w:val="DefaultParagraphFont"/>
    <w:link w:val="Header"/>
    <w:uiPriority w:val="99"/>
    <w:rsid w:val="00146AC3"/>
  </w:style>
  <w:style w:type="paragraph" w:styleId="Footer">
    <w:name w:val="footer"/>
    <w:basedOn w:val="Normal"/>
    <w:link w:val="FooterChar"/>
    <w:uiPriority w:val="99"/>
    <w:unhideWhenUsed/>
    <w:rsid w:val="00146AC3"/>
    <w:pPr>
      <w:tabs>
        <w:tab w:val="center" w:pos="4513"/>
        <w:tab w:val="right" w:pos="9026"/>
      </w:tabs>
    </w:pPr>
  </w:style>
  <w:style w:type="character" w:customStyle="1" w:styleId="FooterChar">
    <w:name w:val="Footer Char"/>
    <w:basedOn w:val="DefaultParagraphFont"/>
    <w:link w:val="Footer"/>
    <w:uiPriority w:val="99"/>
    <w:rsid w:val="00146AC3"/>
  </w:style>
  <w:style w:type="table" w:styleId="PlainTable1">
    <w:name w:val="Plain Table 1"/>
    <w:basedOn w:val="TableNormal"/>
    <w:uiPriority w:val="41"/>
    <w:rsid w:val="00BD03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6</Pages>
  <Words>1667</Words>
  <Characters>9506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Chahat Khatter</cp:lastModifiedBy>
  <cp:revision>3</cp:revision>
  <dcterms:created xsi:type="dcterms:W3CDTF">2026-05-29T05:00:00Z</dcterms:created>
  <dcterms:modified xsi:type="dcterms:W3CDTF">2026-05-29T11:23:00Z</dcterms:modified>
</cp:coreProperties>
</file>