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7.png" ContentType="image/png"/>
  <Override PartName="/word/media/rId174.png" ContentType="image/png"/>
  <Override PartName="/word/media/rId126.png" ContentType="image/png"/>
  <Override PartName="/word/media/rId162.png" ContentType="image/png"/>
  <Override PartName="/word/media/rId156.png" ContentType="image/png"/>
  <Override PartName="/word/media/rId144.png" ContentType="image/png"/>
  <Override PartName="/word/media/rId150.png" ContentType="image/png"/>
  <Override PartName="/word/media/rId132.png" ContentType="image/png"/>
  <Override PartName="/word/media/rId108.png" ContentType="image/png"/>
  <Override PartName="/word/media/rId89.png" ContentType="image/png"/>
  <Override PartName="/word/media/rId83.png" ContentType="image/png"/>
  <Override PartName="/word/media/rId114.png" ContentType="image/png"/>
  <Override PartName="/word/media/rId180.png" ContentType="image/png"/>
  <Override PartName="/word/media/rId120.png" ContentType="image/png"/>
  <Override PartName="/word/media/rId101.png" ContentType="image/png"/>
  <Override PartName="/word/media/rId168.png" ContentType="image/png"/>
  <Override PartName="/word/media/rId95.png" ContentType="image/png"/>
  <Override PartName="/word/media/rId138.png" ContentType="image/png"/>
  <Override PartName="/word/media/rId70.png" ContentType="image/png"/>
  <Override PartName="/word/media/rId58.png" ContentType="image/png"/>
  <Override PartName="/word/media/rId52.png" ContentType="image/png"/>
  <Override PartName="/word/media/rId64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 investigation of the predictors of thyroid cancer in patients with thyroid nodules</w:t>
      </w:r>
    </w:p>
    <w:p>
      <w:pPr>
        <w:pStyle w:val="Author"/>
      </w:pPr>
      <w:r>
        <w:t xml:space="preserve">Ovie Edafe</w:t>
      </w:r>
    </w:p>
    <w:p>
      <w:pPr>
        <w:pStyle w:val="Author"/>
      </w:pPr>
      <w:r>
        <w:t xml:space="preserve">Neil Shephard</w:t>
      </w:r>
    </w:p>
    <w:p>
      <w:pPr>
        <w:pStyle w:val="Author"/>
      </w:pPr>
      <w:r>
        <w:t xml:space="preserve">Karen Sisley</w:t>
      </w:r>
    </w:p>
    <w:p>
      <w:pPr>
        <w:pStyle w:val="Author"/>
      </w:pPr>
      <w:r>
        <w:t xml:space="preserve">Sabapathy P Balasubramanian</w:t>
      </w:r>
    </w:p>
    <w:p>
      <w:pPr>
        <w:pStyle w:val="Date"/>
      </w:pPr>
      <w:r>
        <w:t xml:space="preserve">2024-04-26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An abstract summarising the work undertaken and the overall conclusions can be placed here. Sub-headings are currently</w:t>
      </w:r>
      <w:r>
        <w:t xml:space="preserve"> </w:t>
      </w:r>
      <w:r>
        <w:t xml:space="preserve">removed because they conflict with those in the body of the text and mess up the links in the Table of Contents.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1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Thyroid nodules are common. The challenge in the management of thyroid nodules is differentiating between benign and</w:t>
      </w:r>
      <w:r>
        <w:t xml:space="preserve"> </w:t>
      </w:r>
      <w:r>
        <w:t xml:space="preserve">malignant nodule thyroid nodules.The use fine needle aspiration and cytology (FNAC) still leaves around 20% of</w:t>
      </w:r>
      <w:r>
        <w:t xml:space="preserve"> </w:t>
      </w:r>
      <w:r>
        <w:t xml:space="preserve">patients that cannot be clearly classified as either benign or malignant. This scenario traditionally leads to</w:t>
      </w:r>
      <w:r>
        <w:t xml:space="preserve"> </w:t>
      </w:r>
      <w:r>
        <w:t xml:space="preserve">diagnostic hemithyroidectomy for definitive histology. Other clinical variables such as patients’ demographics, clinical</w:t>
      </w:r>
      <w:r>
        <w:t xml:space="preserve"> </w:t>
      </w:r>
      <w:r>
        <w:t xml:space="preserve">and biochemical factors have been shown to be</w:t>
      </w:r>
      <w:r>
        <w:t xml:space="preserve"> </w:t>
      </w:r>
      <w:r>
        <w:t xml:space="preserve">associated with thyroid cancer in patients with thyroid nodules. This has been utilised in studies evaluating</w:t>
      </w:r>
      <w:r>
        <w:t xml:space="preserve"> </w:t>
      </w:r>
      <w:r>
        <w:t xml:space="preserve">predictors of thyroid cancer with a view of creating a model to aid prediction.</w:t>
      </w:r>
      <w:r>
        <w:t xml:space="preserve"> </w:t>
      </w:r>
      <w:r>
        <w:t xml:space="preserve">Standard practice on the management of thyroid nodules does not utilise these non ultrasound and non cytological</w:t>
      </w:r>
      <w:r>
        <w:t xml:space="preserve"> </w:t>
      </w:r>
      <w:r>
        <w:t xml:space="preserve">factors. Combination of these variables considered to be significant with ultrasound and cytological characteristics may</w:t>
      </w:r>
      <w:r>
        <w:t xml:space="preserve"> </w:t>
      </w:r>
      <w:r>
        <w:t xml:space="preserve">improve management of patients with thyroid nodules.</w:t>
      </w:r>
      <w:r>
        <w:t xml:space="preserve"> </w:t>
      </w:r>
      <w:r>
        <w:t xml:space="preserve">Thyroid nodules are increasingly being incidentally detected with increased use of imaging in the evaluation of non</w:t>
      </w:r>
      <w:r>
        <w:t xml:space="preserve"> </w:t>
      </w:r>
      <w:r>
        <w:t xml:space="preserve">thyroid related pathologies. Thus, leading to increase investigation of thyroid nodules and subsequent increased number</w:t>
      </w:r>
      <w:r>
        <w:t xml:space="preserve"> </w:t>
      </w:r>
      <w:r>
        <w:t xml:space="preserve">of thyroid operations in non diagnostic cases.</w:t>
      </w:r>
      <w:r>
        <w:t xml:space="preserve"> </w:t>
      </w:r>
      <w:r>
        <w:t xml:space="preserve">There are morbidities associated with thyroid surgery including scar, recurrent laryngeal nerve injury,</w:t>
      </w:r>
      <w:r>
        <w:t xml:space="preserve"> </w:t>
      </w:r>
      <w:r>
        <w:t xml:space="preserve">hypothyroidism and hypoparathyroidism.</w:t>
      </w:r>
      <w:r>
        <w:t xml:space="preserve"> </w:t>
      </w:r>
      <w:r>
        <w:t xml:space="preserve">We performed a systematic review to evaluate for predictors of thyroid cancer specifically in patients presenting</w:t>
      </w:r>
      <w:r>
        <w:t xml:space="preserve"> </w:t>
      </w:r>
      <w:r>
        <w:t xml:space="preserve">with thyroid nodules.</w:t>
      </w:r>
      <w:r>
        <w:t xml:space="preserve"> </w:t>
      </w:r>
      <w:r>
        <w:t xml:space="preserve">The systematic review a number of potential important variables that may be useful in the prediction of thyroid cancer</w:t>
      </w:r>
      <w:r>
        <w:t xml:space="preserve"> </w:t>
      </w:r>
      <w:r>
        <w:t xml:space="preserve">in patients with thyroid nodules. The aim of this study was to evaluate the predictors of thyroid cancer with a view of</w:t>
      </w:r>
      <w:r>
        <w:t xml:space="preserve"> </w:t>
      </w:r>
      <w:r>
        <w:t xml:space="preserve">improving prediction of thyroid cancer using computer age statistical inference techniques (</w:t>
      </w:r>
      <w:r>
        <w:t xml:space="preserve">Efron and Hastie (2016)</w:t>
      </w:r>
      <w:r>
        <w:t xml:space="preserve">).</w:t>
      </w:r>
    </w:p>
    <w:bookmarkEnd w:id="21"/>
    <w:bookmarkStart w:id="38" w:name="methods"/>
    <w:p>
      <w:pPr>
        <w:pStyle w:val="Heading2"/>
      </w:pPr>
      <w:r>
        <w:t xml:space="preserve">2 Methods</w:t>
      </w:r>
    </w:p>
    <w:p>
      <w:pPr>
        <w:pStyle w:val="FirstParagraph"/>
      </w:pPr>
      <w:r>
        <w:t xml:space="preserve">This study was reported as per the Strengthening the Reporting of Observational Studies in Epidemiology (STROBE) guidelines</w:t>
      </w:r>
    </w:p>
    <w:bookmarkStart w:id="22" w:name="study-design"/>
    <w:p>
      <w:pPr>
        <w:pStyle w:val="Heading3"/>
      </w:pPr>
      <w:r>
        <w:t xml:space="preserve">2.1 Study design</w:t>
      </w:r>
    </w:p>
    <w:p>
      <w:pPr>
        <w:pStyle w:val="FirstParagraph"/>
      </w:pPr>
      <w:r>
        <w:t xml:space="preserve">This was a retrospective cohort study.</w:t>
      </w:r>
    </w:p>
    <w:bookmarkEnd w:id="22"/>
    <w:bookmarkStart w:id="23" w:name="setting"/>
    <w:p>
      <w:pPr>
        <w:pStyle w:val="Heading3"/>
      </w:pPr>
      <w:r>
        <w:t xml:space="preserve">2.2 Setting</w:t>
      </w:r>
    </w:p>
    <w:p>
      <w:pPr>
        <w:pStyle w:val="FirstParagraph"/>
      </w:pPr>
      <w:r>
        <w:t xml:space="preserve">The study was conducted at the Sheffield Teaching hospitals NHS Foundation Trusts. This is a tertiary referral centre</w:t>
      </w:r>
      <w:r>
        <w:t xml:space="preserve"> </w:t>
      </w:r>
      <w:r>
        <w:t xml:space="preserve">for the management of thyroid cancer</w:t>
      </w:r>
    </w:p>
    <w:bookmarkEnd w:id="23"/>
    <w:bookmarkStart w:id="24" w:name="participants"/>
    <w:p>
      <w:pPr>
        <w:pStyle w:val="Heading3"/>
      </w:pPr>
      <w:r>
        <w:t xml:space="preserve">2.3 Participants</w:t>
      </w:r>
    </w:p>
    <w:p>
      <w:pPr>
        <w:pStyle w:val="FirstParagraph"/>
      </w:pPr>
      <w:r>
        <w:t xml:space="preserve">We included all consecutive patients who presented with thyroid nodule(s) or that were found to have thyroid nodule(s)</w:t>
      </w:r>
      <w:r>
        <w:t xml:space="preserve"> </w:t>
      </w:r>
      <w:r>
        <w:t xml:space="preserve">on ultrasound done for thyroid pathology or for other non thyroid related pathologies</w:t>
      </w:r>
    </w:p>
    <w:bookmarkEnd w:id="24"/>
    <w:bookmarkStart w:id="26" w:name="variables"/>
    <w:p>
      <w:pPr>
        <w:pStyle w:val="Heading3"/>
      </w:pPr>
      <w:r>
        <w:t xml:space="preserve">2.4 Variables</w:t>
      </w:r>
    </w:p>
    <w:p>
      <w:pPr>
        <w:pStyle w:val="FirstParagraph"/>
      </w:pPr>
      <w:r>
        <w:t xml:space="preserve">Variable evaluated was based on findings from a systematic review evaluating predictors of thyroid cancer in patients</w:t>
      </w:r>
      <w:r>
        <w:t xml:space="preserve"> </w:t>
      </w:r>
      <w:r>
        <w:t xml:space="preserve">with thyroid nodules. Data on the following variables were collected: patient demographics (age, gender, ethnicity),</w:t>
      </w:r>
      <w:r>
        <w:t xml:space="preserve"> </w:t>
      </w:r>
      <w:r>
        <w:t xml:space="preserve">nodule presentation (incidental nodule, palpable nodule, rapid enlargement, compressive symptoms, vocal paresis), past</w:t>
      </w:r>
      <w:r>
        <w:t xml:space="preserve"> </w:t>
      </w:r>
      <w:r>
        <w:t xml:space="preserve">medical history (hypertension, Graves’ disease, Hashimotos’ thyroiditis, family history of thyroid cancer, exposure to</w:t>
      </w:r>
      <w:r>
        <w:t xml:space="preserve"> </w:t>
      </w:r>
      <w:r>
        <w:t xml:space="preserve">neck radiation), biochemistry (thyroid stimulating hormone, lymphocytes, monocytes), ultrasound characteristics (</w:t>
      </w:r>
      <w:hyperlink r:id="rId25">
        <w:r>
          <w:rPr>
            <w:rStyle w:val="Hyperlink"/>
          </w:rPr>
          <w:t xml:space="preserve">British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Thyroid Association ultrasound (BTA U)</w:t>
        </w:r>
      </w:hyperlink>
      <w:r>
        <w:t xml:space="preserve">), nodule size, solitary nodule, nodule consistency, cervical lymphadenopathy),</w:t>
      </w:r>
      <w:r>
        <w:t xml:space="preserve"> </w:t>
      </w:r>
      <w:r>
        <w:t xml:space="preserve">Royal College of Pathology (RCP) FNAC classification, type of thyroid surgery, and histological diagnosis.</w:t>
      </w:r>
    </w:p>
    <w:bookmarkEnd w:id="26"/>
    <w:bookmarkStart w:id="27" w:name="data-source"/>
    <w:p>
      <w:pPr>
        <w:pStyle w:val="Heading3"/>
      </w:pPr>
      <w:r>
        <w:t xml:space="preserve">2.5 Data source</w:t>
      </w:r>
    </w:p>
    <w:p>
      <w:pPr>
        <w:pStyle w:val="FirstParagraph"/>
      </w:pPr>
      <w:r>
        <w:t xml:space="preserve">Data was collected from patients’ case notes and electronic patients’ database using a standardised</w:t>
      </w:r>
      <w:r>
        <w:t xml:space="preserve"> </w:t>
      </w:r>
      <w:r>
        <w:t xml:space="preserve">data collection proforma. This was initially piloted on 30 patients and revised to improve data entry. In addition a</w:t>
      </w:r>
      <w:r>
        <w:t xml:space="preserve"> </w:t>
      </w:r>
      <w:r>
        <w:t xml:space="preserve">number of variables that were not standard collected during workout of patients were not further checked; these include</w:t>
      </w:r>
      <w:r>
        <w:t xml:space="preserve"> </w:t>
      </w:r>
      <w:r>
        <w:t xml:space="preserve">body mass index (BMI), serum thyroglobulin, serum triiodothyronine (T3), thyroxine (T4), thyroglobulin antibody (TgAb),</w:t>
      </w:r>
      <w:r>
        <w:t xml:space="preserve"> </w:t>
      </w:r>
      <w:r>
        <w:t xml:space="preserve">thyroid peroxidase antibody (TP0Ab), and urinary iodine.</w:t>
      </w:r>
    </w:p>
    <w:bookmarkEnd w:id="27"/>
    <w:bookmarkStart w:id="28" w:name="study-size"/>
    <w:p>
      <w:pPr>
        <w:pStyle w:val="Heading3"/>
      </w:pPr>
      <w:r>
        <w:t xml:space="preserve">2.6 Study size</w:t>
      </w:r>
    </w:p>
    <w:p>
      <w:pPr>
        <w:pStyle w:val="FirstParagraph"/>
      </w:pPr>
      <w:r>
        <w:t xml:space="preserve">We sought to have a large data set of at least 100 thyroid nodules with a cancer diagnosis using consecutive sampling</w:t>
      </w:r>
      <w:r>
        <w:t xml:space="preserve"> </w:t>
      </w:r>
      <w:r>
        <w:t xml:space="preserve">technique.</w:t>
      </w:r>
      <w:r>
        <w:t xml:space="preserve"> </w:t>
      </w:r>
      <w:r>
        <w:t xml:space="preserve">We aimed for a total of 1500 patients with thyroid nodules to achieve our target sample size. With the use</w:t>
      </w:r>
      <w:r>
        <w:t xml:space="preserve"> </w:t>
      </w:r>
      <w:r>
        <w:t xml:space="preserve">of modern statistical techniques, we proposed such number will be appropriate to detect important variables if it</w:t>
      </w:r>
      <w:r>
        <w:t xml:space="preserve"> </w:t>
      </w:r>
      <w:r>
        <w:t xml:space="preserve">exists.</w:t>
      </w:r>
    </w:p>
    <w:bookmarkEnd w:id="28"/>
    <w:bookmarkStart w:id="29" w:name="data-analysis"/>
    <w:p>
      <w:pPr>
        <w:pStyle w:val="Heading3"/>
      </w:pPr>
      <w:r>
        <w:t xml:space="preserve">2.7 Data analysis</w:t>
      </w:r>
    </w:p>
    <w:p>
      <w:pPr>
        <w:pStyle w:val="FirstParagraph"/>
      </w:pPr>
      <w:r>
        <w:t xml:space="preserve">Data was cleaned and analysed using the R Statistical Software</w:t>
      </w:r>
      <w:r>
        <w:t xml:space="preserve"> </w:t>
      </w:r>
      <w:r>
        <w:t xml:space="preserve">R Core Team (2023)</w:t>
      </w:r>
      <w:r>
        <w:t xml:space="preserve"> </w:t>
      </w:r>
      <w:r>
        <w:t xml:space="preserve">and the Tidyverse (</w:t>
      </w:r>
      <w:r>
        <w:t xml:space="preserve">Wickham et al. (2019)</w:t>
      </w:r>
      <w:r>
        <w:t xml:space="preserve">), Tidymodels</w:t>
      </w:r>
      <w:r>
        <w:t xml:space="preserve"> </w:t>
      </w:r>
      <w:r>
        <w:t xml:space="preserve">(</w:t>
      </w:r>
      <w:r>
        <w:t xml:space="preserve">Kuhn and Wickham (2020)</w:t>
      </w:r>
      <w:r>
        <w:t xml:space="preserve">) collection of packages.</w:t>
      </w:r>
    </w:p>
    <w:bookmarkEnd w:id="29"/>
    <w:bookmarkStart w:id="31" w:name="imputation"/>
    <w:p>
      <w:pPr>
        <w:pStyle w:val="Heading3"/>
      </w:pPr>
      <w:r>
        <w:t xml:space="preserve">2.8 Imputation</w:t>
      </w:r>
    </w:p>
    <w:p>
      <w:pPr>
        <w:pStyle w:val="FirstParagraph"/>
      </w:pPr>
      <w:r>
        <w:t xml:space="preserve">The dataset is incomplete and there are missing observations across all variables to varying degrees. In order to</w:t>
      </w:r>
      <w:r>
        <w:t xml:space="preserve"> </w:t>
      </w:r>
      <w:r>
        <w:t xml:space="preserve">maximise the sample available for analysis imputation was used to infer missing values. The Multivariat Imputation via</w:t>
      </w:r>
      <w:r>
        <w:t xml:space="preserve"> </w:t>
      </w:r>
      <w:r>
        <w:t xml:space="preserve">Chained Equations (</w:t>
      </w:r>
      <w:hyperlink r:id="rId30">
        <w:r>
          <w:rPr>
            <w:rStyle w:val="Hyperlink"/>
          </w:rPr>
          <w:t xml:space="preserve">MICE</w:t>
        </w:r>
      </w:hyperlink>
      <w:r>
        <w:t xml:space="preserve"> </w:t>
      </w:r>
      <w:r>
        <w:t xml:space="preserve">and implemented in the eponymous R package</w:t>
      </w:r>
      <w:r>
        <w:t xml:space="preserve"> </w:t>
      </w:r>
      <w:r>
        <w:t xml:space="preserve">Buuren and Groothuis-Oudshoorn (2011)</w:t>
      </w:r>
      <w:r>
        <w:t xml:space="preserve">) was employed which assumes data is</w:t>
      </w:r>
      <w:r>
        <w:t xml:space="preserve"> </w:t>
      </w:r>
      <w:r>
        <w:t xml:space="preserve">missing at random (a difficult assumption to formally test). The approach takes each variable with missing data and</w:t>
      </w:r>
      <w:r>
        <w:t xml:space="preserve"> </w:t>
      </w:r>
      <w:r>
        <w:t xml:space="preserve">attempts to predict it using statistical modelling based on the observed values. In essence it is the same approach as</w:t>
      </w:r>
      <w:r>
        <w:t xml:space="preserve"> </w:t>
      </w:r>
      <w:r>
        <w:t xml:space="preserve">the statistical methods being employed to try and predict Thyroid Cancer and there are a range of statistical techniques</w:t>
      </w:r>
      <w:r>
        <w:t xml:space="preserve"> </w:t>
      </w:r>
      <w:r>
        <w:t xml:space="preserve">available which include</w:t>
      </w:r>
    </w:p>
    <w:bookmarkEnd w:id="31"/>
    <w:bookmarkStart w:id="37" w:name="modelling"/>
    <w:p>
      <w:pPr>
        <w:pStyle w:val="Heading3"/>
      </w:pPr>
      <w:r>
        <w:t xml:space="preserve">2.9 Modelling</w:t>
      </w:r>
    </w:p>
    <w:p>
      <w:pPr>
        <w:pStyle w:val="FirstParagraph"/>
      </w:pPr>
      <w:r>
        <w:t xml:space="preserve">We used a selection of statistic modelling techniques to evaluate association between variables and thyroid cancer in</w:t>
      </w:r>
      <w:r>
        <w:t xml:space="preserve"> </w:t>
      </w:r>
      <w:r>
        <w:t xml:space="preserve">patients with thyroid nodules. The patient population was split into training and testing cohorts in a ratio</w:t>
      </w:r>
      <w:r>
        <w:t xml:space="preserve"> </w:t>
      </w:r>
      <w:r>
        <w:t xml:space="preserve">of 0.75:0.25 and each model is fitted using the training cohort.</w:t>
      </w:r>
      <w:r>
        <w:t xml:space="preserve"> </w:t>
      </w:r>
      <w:r>
        <w:t xml:space="preserve">This split ratio is generally used in traditional machine learning techniques. The training set of the</w:t>
      </w:r>
      <w:r>
        <w:t xml:space="preserve"> </w:t>
      </w:r>
      <w:r>
        <w:t xml:space="preserve">data was used to estimate the relation between variables and thyroid cancer. The larger the training data, the better</w:t>
      </w:r>
      <w:r>
        <w:t xml:space="preserve"> </w:t>
      </w:r>
      <w:r>
        <w:t xml:space="preserve">it is for the model to learn the trends. The test set was used to determine the accuracy of the model in predicting</w:t>
      </w:r>
      <w:r>
        <w:t xml:space="preserve"> </w:t>
      </w:r>
      <w:r>
        <w:t xml:space="preserve">thyroid cancer; the bigger the test data the more confidence we have in the model prognostic values. We used simple</w:t>
      </w:r>
      <w:r>
        <w:t xml:space="preserve"> </w:t>
      </w:r>
      <w:r>
        <w:t xml:space="preserve">randomisation technique for the split to prevent bias in the data split. We ensured that there was no duplicate in the</w:t>
      </w:r>
      <w:r>
        <w:t xml:space="preserve"> </w:t>
      </w:r>
      <w:r>
        <w:t xml:space="preserve">data sets so any test data was not accidentally trained.</w:t>
      </w:r>
      <w:r>
        <w:t xml:space="preserve"> </w:t>
      </w:r>
      <w:r>
        <w:t xml:space="preserve">Furthermore, cross validation was used to estimate the accuracy of the various machine learning models.</w:t>
      </w:r>
      <w:r>
        <w:t xml:space="preserve"> </w:t>
      </w:r>
      <w:r>
        <w:t xml:space="preserve">The k-fold techniques splits the data in ?10 folds, and the data was trained on all but one of the the fold, and the</w:t>
      </w:r>
      <w:r>
        <w:t xml:space="preserve"> </w:t>
      </w:r>
      <w:r>
        <w:t xml:space="preserve">one fold not trained is used to test the data. This was repeated multiple times using a different fold for test and</w:t>
      </w:r>
      <w:r>
        <w:t xml:space="preserve"> </w:t>
      </w:r>
      <w:r>
        <w:t xml:space="preserve">the others for training until all the folds is utilised for training and testing. Following multiple training process</w:t>
      </w:r>
      <w:r>
        <w:t xml:space="preserve"> </w:t>
      </w:r>
      <w:r>
        <w:t xml:space="preserve">with k-fold, we selected the model that has the best predictive value for thyroid cancer in the test cohort.</w:t>
      </w:r>
      <w:r>
        <w:t xml:space="preserve"> </w:t>
      </w:r>
      <w:r>
        <w:t xml:space="preserve">We also used the leave one out (loo) cross-validation to train and test the data set.In this technique, all but one</w:t>
      </w:r>
      <w:r>
        <w:t xml:space="preserve"> </w:t>
      </w:r>
      <w:r>
        <w:t xml:space="preserve">observation is use to train the data set and one observation is use to test the data; this is repeated until all the</w:t>
      </w:r>
      <w:r>
        <w:t xml:space="preserve"> </w:t>
      </w:r>
      <w:r>
        <w:t xml:space="preserve">data test is used for testing and training. The model with the best predictive value was selected.</w:t>
      </w:r>
    </w:p>
    <w:bookmarkStart w:id="32" w:name="lasso-elastic-net"/>
    <w:p>
      <w:pPr>
        <w:pStyle w:val="Heading4"/>
      </w:pPr>
      <w:r>
        <w:t xml:space="preserve">2.9.1 LASSO / Elastic Net</w:t>
      </w:r>
    </w:p>
    <w:p>
      <w:pPr>
        <w:pStyle w:val="FirstParagraph"/>
      </w:pPr>
      <w:r>
        <w:t xml:space="preserve">LASSO (Least Absolute Shrinkage and Selection Operatror) and Elastic Net</w:t>
      </w:r>
      <w:r>
        <w:t xml:space="preserve"> </w:t>
      </w:r>
      <w:r>
        <w:t xml:space="preserve">Zou and Hastie (2005)</w:t>
      </w:r>
      <w:r>
        <w:t xml:space="preserve"> </w:t>
      </w:r>
      <w:r>
        <w:t xml:space="preserve">are regression methods that perform variable</w:t>
      </w:r>
      <w:r>
        <w:t xml:space="preserve"> </w:t>
      </w:r>
      <w:r>
        <w:t xml:space="preserve">selection. The original LASSO method proposed by</w:t>
      </w:r>
      <w:r>
        <w:t xml:space="preserve"> </w:t>
      </w:r>
      <w:r>
        <w:t xml:space="preserve">“</w:t>
      </w:r>
      <w:r>
        <w:t xml:space="preserve">Regression Shrinkage and Selection via the Lasso</w:t>
      </w:r>
      <w:r>
        <w:t xml:space="preserve">”</w:t>
      </w:r>
      <w:r>
        <w:t xml:space="preserve"> </w:t>
      </w:r>
      <w:r>
        <w:t xml:space="preserve">(1996)</w:t>
      </w:r>
      <w:r>
        <w:t xml:space="preserve"> </w:t>
      </w:r>
      <w:r>
        <w:t xml:space="preserve">allows the coefficients for independent/predictor</w:t>
      </w:r>
      <w:r>
        <w:t xml:space="preserve"> </w:t>
      </w:r>
      <w:r>
        <w:t xml:space="preserve">variables to</w:t>
      </w:r>
      <w:r>
        <w:t xml:space="preserve"> </w:t>
      </w:r>
      <w:r>
        <w:t xml:space="preserve">“shrink”</w:t>
      </w:r>
      <w:r>
        <w:t xml:space="preserve"> </w:t>
      </w:r>
      <w:r>
        <w:t xml:space="preserve">down towards zero, effectively eliminating them from influencing the model, this is often referred</w:t>
      </w:r>
      <w:r>
        <w:t xml:space="preserve"> </w:t>
      </w:r>
      <w:r>
        <w:t xml:space="preserve">to as L</w:t>
      </w:r>
      <w:r>
        <w:t xml:space="preserve">1</w:t>
      </w:r>
      <w:r>
        <w:t xml:space="preserve"> </w:t>
      </w:r>
      <w:r>
        <w:t xml:space="preserve">regularisation. The Elastic Net</w:t>
      </w:r>
      <w:r>
        <w:t xml:space="preserve"> </w:t>
      </w:r>
      <w:r>
        <w:t xml:space="preserve">Zou and Hastie (2005)</w:t>
      </w:r>
      <w:r>
        <w:t xml:space="preserve"> </w:t>
      </w:r>
      <w:r>
        <w:t xml:space="preserve">improves on the LASSO by balancing L</w:t>
      </w:r>
      <w:r>
        <w:t xml:space="preserve">1</w:t>
      </w:r>
      <w:r>
        <w:t xml:space="preserve"> </w:t>
      </w:r>
      <w:r>
        <w:t xml:space="preserve">regularisation with ridge-regression or L</w:t>
      </w:r>
      <w:r>
        <w:t xml:space="preserve">2</w:t>
      </w:r>
      <w:r>
        <w:t xml:space="preserve"> </w:t>
      </w:r>
      <w:r>
        <w:t xml:space="preserve">regularisation which helps avoid over-fitting.</w:t>
      </w:r>
    </w:p>
    <w:p>
      <w:pPr>
        <w:pStyle w:val="BodyText"/>
      </w:pPr>
      <w:r>
        <w:t xml:space="preserve">Both methods avoid many of the shortcomings/pitfalls of stepwise variable selection</w:t>
      </w:r>
      <w:r>
        <w:t xml:space="preserve"> </w:t>
      </w:r>
      <w:r>
        <w:t xml:space="preserve">Thompson (1995)</w:t>
      </w:r>
      <w:r>
        <w:t xml:space="preserve"> </w:t>
      </w:r>
      <w:r>
        <w:t xml:space="preserve">Smith (2018)</w:t>
      </w:r>
      <w:r>
        <w:t xml:space="preserve"> </w:t>
      </w:r>
      <w:r>
        <w:t xml:space="preserve">and have</w:t>
      </w:r>
      <w:r>
        <w:t xml:space="preserve"> </w:t>
      </w:r>
      <w:r>
        <w:t xml:space="preserve">been shown to be more accurate in clinical decision making in small datasets with well code, externally selected</w:t>
      </w:r>
      <w:r>
        <w:t xml:space="preserve"> </w:t>
      </w:r>
      <w:r>
        <w:t xml:space="preserve">variables</w:t>
      </w:r>
      <w:r>
        <w:t xml:space="preserve"> </w:t>
      </w:r>
      <w:r>
        <w:t xml:space="preserve">Steyerberg et al. (2001)</w:t>
      </w:r>
    </w:p>
    <w:bookmarkEnd w:id="32"/>
    <w:bookmarkStart w:id="33" w:name="random-forest"/>
    <w:p>
      <w:pPr>
        <w:pStyle w:val="Heading4"/>
      </w:pPr>
      <w:r>
        <w:t xml:space="preserve">2.9.2 Random Forest</w:t>
      </w:r>
    </w:p>
    <w:p>
      <w:pPr>
        <w:pStyle w:val="FirstParagraph"/>
      </w:pPr>
      <w:r>
        <w:t xml:space="preserve">To add reference</w:t>
      </w:r>
      <w:r>
        <w:t xml:space="preserve"> </w:t>
      </w:r>
      <w:r>
        <w:t xml:space="preserve">The random forest plot is an extension of the decision tree methodology to reduce variance. Decision trees are very</w:t>
      </w:r>
      <w:r>
        <w:t xml:space="preserve"> </w:t>
      </w:r>
      <w:r>
        <w:t xml:space="preserve">sensitive to the training data set and can lead to high variance; thus potential issues with generalisation of the</w:t>
      </w:r>
      <w:r>
        <w:t xml:space="preserve"> </w:t>
      </w:r>
      <w:r>
        <w:t xml:space="preserve">model. The random forest plot selects random observation of the dataset to create multiple decision trees. Random</w:t>
      </w:r>
      <w:r>
        <w:t xml:space="preserve"> </w:t>
      </w:r>
      <w:r>
        <w:t xml:space="preserve">variables are selected for each tree in the training of the data set. The aggregated output of the generated decision</w:t>
      </w:r>
      <w:r>
        <w:t xml:space="preserve"> </w:t>
      </w:r>
      <w:r>
        <w:t xml:space="preserve">trees is then used to create an estimate.</w:t>
      </w:r>
    </w:p>
    <w:bookmarkEnd w:id="33"/>
    <w:bookmarkStart w:id="34" w:name="gradient-boosting"/>
    <w:p>
      <w:pPr>
        <w:pStyle w:val="Heading4"/>
      </w:pPr>
      <w:r>
        <w:t xml:space="preserve">2.9.3 Gradient Boosting</w:t>
      </w:r>
    </w:p>
    <w:p>
      <w:pPr>
        <w:pStyle w:val="FirstParagraph"/>
      </w:pPr>
      <w:r>
        <w:t xml:space="preserve">Gradient boosting is a machine learning algorithm that uses decision tree as a base model. The data is initially trained</w:t>
      </w:r>
      <w:r>
        <w:t xml:space="preserve"> </w:t>
      </w:r>
      <w:r>
        <w:t xml:space="preserve">on this decision tree, but the initial prediction is weak, thus termed a weak based model. In gradient boosting the process</w:t>
      </w:r>
      <w:r>
        <w:t xml:space="preserve"> </w:t>
      </w:r>
      <w:r>
        <w:t xml:space="preserve">is iterative; a sequence of decision trees is added to the initial tree. Each tree learns from the prior tree(s) to</w:t>
      </w:r>
      <w:r>
        <w:t xml:space="preserve"> </w:t>
      </w:r>
      <w:r>
        <w:t xml:space="preserve">improve the model, increasing strength and minimising error.</w:t>
      </w:r>
    </w:p>
    <w:bookmarkEnd w:id="34"/>
    <w:bookmarkStart w:id="35" w:name="svm"/>
    <w:p>
      <w:pPr>
        <w:pStyle w:val="Heading4"/>
      </w:pPr>
      <w:r>
        <w:t xml:space="preserve">2.9.4 SVM</w:t>
      </w:r>
    </w:p>
    <w:p>
      <w:pPr>
        <w:pStyle w:val="FirstParagraph"/>
      </w:pPr>
      <w:r>
        <w:t xml:space="preserve">Support Vector Machines is an approach that allows observation with a binary classifications to be separated using a</w:t>
      </w:r>
      <w:r>
        <w:t xml:space="preserve"> </w:t>
      </w:r>
      <w:r>
        <w:t xml:space="preserve">hyperplane. It finds a hyperplane that best stratify the two classes i.e benign versus malignant nodules. SVM finds the</w:t>
      </w:r>
      <w:r>
        <w:t xml:space="preserve"> </w:t>
      </w:r>
      <w:r>
        <w:t xml:space="preserve">hyperplane with the maximum margin of separation between the two classes. The support vectors are the data point that</w:t>
      </w:r>
      <w:r>
        <w:t xml:space="preserve"> </w:t>
      </w:r>
      <w:r>
        <w:t xml:space="preserve">are positioned close to the margin of the hyperplane and these used to select the most appropraite hyperplane. The</w:t>
      </w:r>
      <w:r>
        <w:t xml:space="preserve"> </w:t>
      </w:r>
      <w:r>
        <w:t xml:space="preserve">support vectors are the only data points that have an influence on the maximum margin in SVM.</w:t>
      </w:r>
    </w:p>
    <w:bookmarkEnd w:id="35"/>
    <w:bookmarkStart w:id="36" w:name="comparision"/>
    <w:p>
      <w:pPr>
        <w:pStyle w:val="Heading4"/>
      </w:pPr>
      <w:r>
        <w:t xml:space="preserve">2.9.5 Comparision</w:t>
      </w:r>
    </w:p>
    <w:bookmarkEnd w:id="36"/>
    <w:bookmarkEnd w:id="37"/>
    <w:bookmarkEnd w:id="38"/>
    <w:bookmarkStart w:id="40" w:name="results"/>
    <w:p>
      <w:pPr>
        <w:pStyle w:val="Heading2"/>
      </w:pPr>
      <w:r>
        <w:t xml:space="preserve">3 Results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39" w:name="data-description"/>
    <w:p>
      <w:pPr>
        <w:pStyle w:val="Heading3"/>
      </w:pPr>
      <w:r>
        <w:t xml:space="preserve">3.1 Data Description</w:t>
      </w:r>
    </w:p>
    <w:p>
      <w:pPr>
        <w:pStyle w:val="FirstParagraph"/>
      </w:pPr>
      <w:r>
        <w:t xml:space="preserve">A summary of the variables that are available in this data set can be found in</w:t>
      </w:r>
      <w:r>
        <w:t xml:space="preserve"> </w:t>
      </w:r>
      <w:hyperlink w:anchor="tbl-variables">
        <w:r>
          <w:rPr>
            <w:rStyle w:val="Hyperlink"/>
          </w:rPr>
          <w:t xml:space="preserve">Table 15</w:t>
        </w:r>
      </w:hyperlink>
      <w:r>
        <w:t xml:space="preserve">.</w:t>
      </w:r>
    </w:p>
    <w:bookmarkEnd w:id="39"/>
    <w:bookmarkEnd w:id="40"/>
    <w:p>
      <w:pPr>
        <w:pStyle w:val="Heading2"/>
      </w:pPr>
      <w:r>
        <w:t xml:space="preserve">Demographics</w:t>
      </w:r>
    </w:p>
    <w:p>
      <w:pPr>
        <w:pStyle w:val="Heading2"/>
      </w:pPr>
      <w:r>
        <w:t xml:space="preserve">Clinical Characteristics</w:t>
      </w:r>
    </w:p>
    <w:p>
      <w:pPr>
        <w:pStyle w:val="Heading2"/>
      </w:pPr>
      <w:r>
        <w:t xml:space="preserve">Biomarkers</w:t>
      </w:r>
    </w:p>
    <w:p>
      <w:pPr>
        <w:pStyle w:val="Heading2"/>
      </w:pPr>
      <w:r>
        <w:t xml:space="preserve">Ultrasound</w:t>
      </w:r>
    </w:p>
    <w:p>
      <w:pPr>
        <w:pStyle w:val="Heading2"/>
      </w:pPr>
      <w:r>
        <w:t xml:space="preserve">BTA U</w:t>
      </w:r>
    </w:p>
    <w:p>
      <w:pPr>
        <w:pStyle w:val="Heading2"/>
      </w:pPr>
      <w:r>
        <w:t xml:space="preserve">Thyroid Classification</w:t>
      </w:r>
    </w:p>
    <w:p>
      <w:pPr>
        <w:pStyle w:val="Heading2"/>
      </w:pPr>
      <w:r>
        <w:t xml:space="preserve">Cytology</w:t>
      </w:r>
    </w:p>
    <w:p>
      <w:pPr>
        <w:pStyle w:val="FirstParagraph"/>
      </w:pPr>
      <w:hyperlink w:anchor="tbl-patient-demographic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the demographics of patients included in this study. A total of 1364 patients were</w:t>
      </w:r>
      <w:r>
        <w:t xml:space="preserve"> </w:t>
      </w:r>
      <w:r>
        <w:t xml:space="preserve">included in this study with a median (IQR) age of 55 (</w:t>
      </w:r>
      <w:r>
        <w:t xml:space="preserve"> </w:t>
      </w:r>
      <w:r>
        <w:t xml:space="preserve">41-69).</w:t>
      </w:r>
      <w:r>
        <w:t xml:space="preserve"> </w:t>
      </w:r>
      <w:hyperlink w:anchor="tbl-clinical-characteristics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shows the distribution of clinical variables evaluated between benign and malignant</w:t>
      </w:r>
      <w:r>
        <w:t xml:space="preserve"> </w:t>
      </w:r>
      <w:r>
        <w:t xml:space="preserve">thyroid nodules.</w:t>
      </w:r>
    </w:p>
    <w:bookmarkStart w:id="43" w:name="missing-data"/>
    <w:p>
      <w:pPr>
        <w:pStyle w:val="Heading4"/>
      </w:pPr>
      <w:r>
        <w:t xml:space="preserve">3.1.1 Missing Data</w:t>
      </w:r>
    </w:p>
    <w:p>
      <w:pPr>
        <w:pStyle w:val="FirstParagraph"/>
      </w:pPr>
      <w:r>
        <w:t xml:space="preserve">The completeness of the original data is shown in tables</w:t>
      </w:r>
      <w:r>
        <w:t xml:space="preserve"> </w:t>
      </w:r>
      <w:hyperlink w:anchor="tbl-imputation-summary-pmm">
        <w:r>
          <w:rPr>
            <w:rStyle w:val="Hyperlink"/>
          </w:rPr>
          <w:t xml:space="preserve">Table 11</w:t>
        </w:r>
      </w:hyperlink>
      <w:r>
        <w:t xml:space="preserve">,</w:t>
      </w:r>
      <w:r>
        <w:t xml:space="preserve"> </w:t>
      </w:r>
      <w:hyperlink w:anchor="tbl-imputation-summary-cart">
        <w:r>
          <w:rPr>
            <w:rStyle w:val="Hyperlink"/>
          </w:rPr>
          <w:t xml:space="preserve">Table 12</w:t>
        </w:r>
      </w:hyperlink>
      <w:r>
        <w:t xml:space="preserve">,</w:t>
      </w:r>
      <w:r>
        <w:t xml:space="preserve"> </w:t>
      </w:r>
      <w:hyperlink w:anchor="tbl-imputation-summary-rf">
        <w:r>
          <w:rPr>
            <w:rStyle w:val="Hyperlink"/>
          </w:rPr>
          <w:t xml:space="preserve">Table 13</w:t>
        </w:r>
      </w:hyperlink>
      <w:r>
        <w:t xml:space="preserve">, along with summaries from four rounds of imputation for each of three imputation methods.</w:t>
      </w:r>
      <w:r>
        <w:t xml:space="preserve"> </w:t>
      </w:r>
      <w:r>
        <w:t xml:space="preserve">Where variables continuous (e.g. </w:t>
      </w:r>
      <w:r>
        <w:rPr>
          <w:rStyle w:val="VerbatimChar"/>
        </w:rPr>
        <w:t xml:space="preserve">age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size_nodule_mm</w:t>
      </w:r>
      <w:r>
        <w:t xml:space="preserve">) basic summary statistics in the form of mean, standard</w:t>
      </w:r>
      <w:r>
        <w:t xml:space="preserve"> </w:t>
      </w:r>
      <w:r>
        <w:t xml:space="preserve">deviation, median and inter-quartile range are given. For categorical variables that are logical</w:t>
      </w:r>
      <w:r>
        <w:t xml:space="preserve"> </w:t>
      </w:r>
      <w:r>
        <w:rPr>
          <w:rStyle w:val="VerbatimChar"/>
        </w:rPr>
        <w:t xml:space="preserve">TRUE</w:t>
      </w:r>
      <w:r>
        <w:t xml:space="preserve">/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palpable_nodule</w:t>
      </w:r>
      <w:r>
        <w:t xml:space="preserve">) the number of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observations and the percentage (of those with observed data for that</w:t>
      </w:r>
      <w:r>
        <w:t xml:space="preserve"> </w:t>
      </w:r>
      <w:r>
        <w:t xml:space="preserve">variable) are shown along with the number that are</w:t>
      </w:r>
      <w:r>
        <w:t xml:space="preserve"> </w:t>
      </w:r>
      <w:r>
        <w:rPr>
          <w:i/>
          <w:iCs/>
        </w:rPr>
        <w:t xml:space="preserve">Unknown</w:t>
      </w:r>
      <w:r>
        <w:t xml:space="preserve">. For categorical variables such as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percentages</w:t>
      </w:r>
      <w:r>
        <w:t xml:space="preserve"> </w:t>
      </w:r>
      <w:r>
        <w:t xml:space="preserve">in each category are reported. For all variables an indication of the number of missing observations is also given and</w:t>
      </w:r>
      <w:r>
        <w:t xml:space="preserve"> </w:t>
      </w:r>
      <w:r>
        <w:t xml:space="preserve">it is worth noting that there are 214</w:t>
      </w:r>
      <w:r>
        <w:t xml:space="preserve"> </w:t>
      </w:r>
      <w:r>
        <w:t xml:space="preserve">instances where the</w:t>
      </w:r>
      <w:r>
        <w:t xml:space="preserve"> </w:t>
      </w:r>
      <w:r>
        <w:rPr>
          <w:rStyle w:val="VerbatimChar"/>
        </w:rPr>
        <w:t xml:space="preserve">final_pathology</w:t>
      </w:r>
      <w:r>
        <w:t xml:space="preserve"> </w:t>
      </w:r>
      <w:r>
        <w:t xml:space="preserve">is not known which reduces the sample size to</w:t>
      </w:r>
      <w:r>
        <w:t xml:space="preserve"> </w:t>
      </w:r>
      <w:r>
        <w:t xml:space="preserve">1150.</w:t>
      </w:r>
    </w:p>
    <w:p>
      <w:pPr>
        <w:pStyle w:val="BodyText"/>
      </w:pPr>
      <w:r>
        <w:t xml:space="preserve">More detailed tabulations of missing data by variable are shown in</w:t>
      </w:r>
      <w:r>
        <w:t xml:space="preserve"> </w:t>
      </w:r>
      <w:hyperlink w:anchor="tbl-naniar-miss-var-summary">
        <w:r>
          <w:rPr>
            <w:rStyle w:val="Hyperlink"/>
          </w:rPr>
          <w:t xml:space="preserve">Table 9</w:t>
        </w:r>
      </w:hyperlink>
      <w:r>
        <w:t xml:space="preserve"> </w:t>
      </w:r>
      <w:r>
        <w:t xml:space="preserve">which shows the number</w:t>
      </w:r>
      <w:r>
        <w:t xml:space="preserve"> </w:t>
      </w:r>
      <w:r>
        <w:t xml:space="preserve">and percentage of missing data for each variable and by case in</w:t>
      </w:r>
      <w:r>
        <w:t xml:space="preserve"> </w:t>
      </w:r>
      <w:hyperlink w:anchor="tbl-naniar-miss-case-table">
        <w:r>
          <w:rPr>
            <w:rStyle w:val="Hyperlink"/>
          </w:rPr>
          <w:t xml:space="preserve">Table 10</w:t>
        </w:r>
      </w:hyperlink>
      <w:r>
        <w:t xml:space="preserve"> </w:t>
      </w:r>
      <w:r>
        <w:t xml:space="preserve">which shows how much missing</w:t>
      </w:r>
      <w:r>
        <w:t xml:space="preserve"> </w:t>
      </w:r>
      <w:r>
        <w:t xml:space="preserve">data each case has. A visualisation of this is shown in</w:t>
      </w:r>
      <w:r>
        <w:t xml:space="preserve"> </w:t>
      </w:r>
      <w:hyperlink w:anchor="fig-visdat-vis-missing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NB</w:t>
      </w:r>
      <w:r>
        <w:t xml:space="preserve"> </w:t>
      </w:r>
      <w:r>
        <w:t xml:space="preserve">- Currently there is a</w:t>
      </w:r>
      <w:r>
        <w:t xml:space="preserve"> </w:t>
      </w:r>
      <w:hyperlink r:id="rId41">
        <w:r>
          <w:rPr>
            <w:rStyle w:val="Hyperlink"/>
          </w:rPr>
          <w:t xml:space="preserve">bug in the stable release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Quarto</w:t>
        </w:r>
      </w:hyperlink>
      <w:r>
        <w:t xml:space="preserve"> </w:t>
      </w:r>
      <w:r>
        <w:t xml:space="preserve">which prevents rendering of the missing data figures. It</w:t>
      </w:r>
      <w:r>
        <w:t xml:space="preserve"> </w:t>
      </w:r>
      <w:r>
        <w:t xml:space="preserve">is fixed in development version</w:t>
      </w:r>
      <w:r>
        <w:t xml:space="preserve"> </w:t>
      </w:r>
      <w:hyperlink r:id="rId42">
        <w:r>
          <w:rPr>
            <w:rStyle w:val="VerbatimChar"/>
          </w:rPr>
          <w:t xml:space="preserve">v1.6.1</w:t>
        </w:r>
      </w:hyperlink>
      <w:r>
        <w:t xml:space="preserve"> </w:t>
      </w:r>
      <w:r>
        <w:t xml:space="preserve">(currently</w:t>
      </w:r>
      <w:r>
        <w:t xml:space="preserve"> </w:t>
      </w:r>
      <w:r>
        <w:t xml:space="preserve">available as pre-release, so if things don’t render upgrade).</w:t>
      </w:r>
    </w:p>
    <w:bookmarkEnd w:id="43"/>
    <w:p>
      <w:pPr>
        <w:pStyle w:val="Heading2"/>
      </w:pPr>
      <w:r>
        <w:t xml:space="preserve">Variables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tbl-naniar-miss-var-summa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9: Summary of missing data by variable.</w:t>
            </w:r>
          </w:p>
          <w:p>
            <w:pPr>
              <w:pStyle w:val="Compact"/>
              <w:jc w:val="center"/>
            </w:pPr>
            <w:r>
              <w:t xml:space="preserve">Summary of missing data by variable.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tblCaption w:val="Summary of missing data by variable."/>
            </w:tblPr>
            <w:tblGrid>
              <w:gridCol w:w="2640"/>
              <w:gridCol w:w="2640"/>
              <w:gridCol w:w="264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Variable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N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albumin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515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44.8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tsh_value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413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35.9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monocyte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363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31.6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lymphocytes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359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31.2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size_nodule_mm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319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27.7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family_history_thyroid_cancer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281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24.4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hypertension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126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11.0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compressive_symptoms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106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9.22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vocal_cord_paresis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76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6.61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hashimotos_thyroiditis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73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6.35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graves_disease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67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5.83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palpable_nodule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58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5.04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bta_u_classification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50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4.35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ethnicity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4.17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rapid_enlargement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3.74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cervical_lymphadenopathy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0.783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solitary_nodule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0.696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incidental_nodule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0.435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age_at_scan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gender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exposure_radiation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thy_classification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final_pathology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</w:tr>
          </w:tbl>
          <w:bookmarkEnd w:id="44"/>
          <w:p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Heading2"/>
      </w:pPr>
      <w:r>
        <w:t xml:space="preserve">Observations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tbl-naniar-miss-case-tab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10: Summary of missing data by case, how much missing data is there per person?</w:t>
            </w:r>
          </w:p>
          <w:p>
            <w:pPr>
              <w:pStyle w:val="Compact"/>
              <w:jc w:val="center"/>
            </w:pPr>
            <w:r>
              <w:t xml:space="preserve">Summary of missing data by case, how much missing data is there per person?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tblCaption w:val="Summary of missing data by case, how much missing data is there per person?"/>
            </w:tblPr>
            <w:tblGrid>
              <w:gridCol w:w="2640"/>
              <w:gridCol w:w="2640"/>
              <w:gridCol w:w="264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Missing Variables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N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236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20.522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262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22.783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171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14.870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155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13.478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121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10.522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84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7.304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3.739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7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1.565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1.913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1.304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1.043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0.435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0.261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0.174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0.087</w:t>
                  </w:r>
                </w:p>
              </w:tc>
            </w:tr>
          </w:tbl>
          <w:bookmarkEnd w:id="45"/>
          <w:p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51" w:name="cell-fig-visdat-vis-missing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0" w:name="fig-visdat-vis-missing"/>
          <w:p>
            <w:pPr>
              <w:pStyle w:val="Compact"/>
              <w:jc w:val="center"/>
            </w:pPr>
            <w:bookmarkStart w:id="49" w:name="fig-visdat-vis-missing"/>
            <w:r>
              <w:drawing>
                <wp:inline>
                  <wp:extent cx="4267200" cy="341376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visdat-vis-missing-1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3413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9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50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51"/>
    <w:p>
      <w:pPr>
        <w:pStyle w:val="BodyText"/>
      </w:pPr>
      <w:r>
        <w:t xml:space="preserve">The</w:t>
      </w:r>
      <w:r>
        <w:t xml:space="preserve"> </w:t>
      </w:r>
      <w:hyperlink r:id="rId30">
        <w:r>
          <w:rPr>
            <w:rStyle w:val="Hyperlink"/>
          </w:rPr>
          <w:t xml:space="preserve">MICE</w:t>
        </w:r>
      </w:hyperlink>
      <w:r>
        <w:t xml:space="preserve"> </w:t>
      </w:r>
      <w:r>
        <w:t xml:space="preserve">package also provides tools for visualising missing data and these are shown in figures</w:t>
      </w:r>
      <w:r>
        <w:t xml:space="preserve"> </w:t>
      </w:r>
      <w:hyperlink w:anchor="fig-mice-vis-missing-clinical">
        <w:r>
          <w:rPr>
            <w:rStyle w:val="Hyperlink"/>
          </w:rPr>
          <w:t xml:space="preserve">Figure 2</w:t>
        </w:r>
      </w:hyperlink>
      <w:r>
        <w:t xml:space="preserve">,</w:t>
      </w:r>
      <w:r>
        <w:t xml:space="preserve"> </w:t>
      </w:r>
      <w:r>
        <w:rPr>
          <w:b/>
          <w:bCs/>
        </w:rPr>
        <w:t xml:space="preserve">?@fig-mice-vis-missing-biomarker</w:t>
      </w:r>
      <w:r>
        <w:t xml:space="preserve"> </w:t>
      </w:r>
      <w:r>
        <w:t xml:space="preserve">and</w:t>
      </w:r>
      <w:r>
        <w:t xml:space="preserve"> </w:t>
      </w:r>
      <w:hyperlink w:anchor="fig-mice-vis-missing-ultrasound">
        <w:r>
          <w:rPr>
            <w:rStyle w:val="Hyperlink"/>
          </w:rPr>
          <w:t xml:space="preserve">Figure 4</w:t>
        </w:r>
      </w:hyperlink>
      <w:r>
        <w:t xml:space="preserve">.</w:t>
      </w:r>
    </w:p>
    <w:p>
      <w:pPr>
        <w:pStyle w:val="BodyText"/>
      </w:pPr>
      <w:r>
        <w:t xml:space="preserve">The columns of these plots, labelled along the top, show the variable, if a cell is blue it indicates data is present,</w:t>
      </w:r>
      <w:r>
        <w:t xml:space="preserve"> </w:t>
      </w:r>
      <w:r>
        <w:t xml:space="preserve">if it is red it indicates there is missing data. The left-hand side shows the total number of observations for that rows</w:t>
      </w:r>
      <w:r>
        <w:t xml:space="preserve"> </w:t>
      </w:r>
      <w:r>
        <w:t xml:space="preserve">particular combination of variables with number of missing variables indicated on the right. The first row shows that</w:t>
      </w:r>
      <w:r>
        <w:t xml:space="preserve"> </w:t>
      </w:r>
      <w:r>
        <w:t xml:space="preserve">for these variables there are 604 observations with zero missing data across the listed variables, the second row</w:t>
      </w:r>
      <w:r>
        <w:t xml:space="preserve"> </w:t>
      </w:r>
      <w:r>
        <w:t xml:space="preserve">indicates there are 166 observations with</w:t>
      </w:r>
      <w:r>
        <w:t xml:space="preserve"> </w:t>
      </w:r>
      <w:r>
        <w:rPr>
          <w:i/>
          <w:iCs/>
        </w:rPr>
        <w:t xml:space="preserve">just</w:t>
      </w:r>
      <w:r>
        <w:t xml:space="preserve"> </w:t>
      </w:r>
      <w:r>
        <w:rPr>
          <w:rStyle w:val="VerbatimChar"/>
        </w:rPr>
        <w:t xml:space="preserve">family_history_thyroid_cancer</w:t>
      </w:r>
      <w:r>
        <w:t xml:space="preserve"> </w:t>
      </w:r>
      <w:r>
        <w:t xml:space="preserve">but there are some with this missing</w:t>
      </w:r>
      <w:r>
        <w:t xml:space="preserve"> </w:t>
      </w:r>
      <w:r>
        <w:rPr>
          <w:i/>
          <w:iCs/>
        </w:rPr>
        <w:t xml:space="preserve">and other variables</w:t>
      </w:r>
      <w:r>
        <w:t xml:space="preserve">. The numbers on the bottom of the figure indicate the total number of missing observations for</w:t>
      </w:r>
      <w:r>
        <w:t xml:space="preserve"> </w:t>
      </w:r>
      <w:r>
        <w:t xml:space="preserve">that variable (e.g. for</w:t>
      </w:r>
      <w:r>
        <w:t xml:space="preserve"> </w:t>
      </w:r>
      <w:r>
        <w:rPr>
          <w:rStyle w:val="VerbatimChar"/>
        </w:rPr>
        <w:t xml:space="preserve">family_history_thyroid_cancer</w:t>
      </w:r>
      <w:r>
        <w:t xml:space="preserve"> </w:t>
      </w:r>
      <w:r>
        <w:t xml:space="preserve">there is a total of</w:t>
      </w:r>
      <w:r>
        <w:t xml:space="preserve"> </w:t>
      </w:r>
      <w:r>
        <w:t xml:space="preserve">281 missing observations).</w:t>
      </w:r>
    </w:p>
    <w:p>
      <w:pPr>
        <w:pStyle w:val="BodyText"/>
      </w:pPr>
      <w:r>
        <w:rPr>
          <w:b/>
          <w:bCs/>
        </w:rPr>
        <w:t xml:space="preserve">TODO</w:t>
      </w:r>
      <w:r>
        <w:t xml:space="preserve"> </w:t>
      </w:r>
      <w:r>
        <w:t xml:space="preserve">- Workout why</w:t>
      </w:r>
      <w:r>
        <w:t xml:space="preserve"> </w:t>
      </w:r>
      <w:r>
        <w:rPr>
          <w:rStyle w:val="VerbatimChar"/>
        </w:rPr>
        <w:t xml:space="preserve">out-width: "80%"</w:t>
      </w:r>
      <w:r>
        <w:t xml:space="preserve"> </w:t>
      </w:r>
      <w:r>
        <w:t xml:space="preserve">isn’t applied to these figures and/or how to make the</w:t>
      </w:r>
      <w:r>
        <w:t xml:space="preserve"> </w:t>
      </w:r>
      <w:r>
        <w:rPr>
          <w:rStyle w:val="VerbatimChar"/>
        </w:rPr>
        <w:t xml:space="preserve">All</w:t>
      </w:r>
      <w:r>
        <w:t xml:space="preserve"> </w:t>
      </w:r>
      <w:r>
        <w:t xml:space="preserve">figure readable.</w:t>
      </w:r>
    </w:p>
    <w:p>
      <w:pPr>
        <w:pStyle w:val="Heading2"/>
      </w:pPr>
      <w:r>
        <w:t xml:space="preserve">Clinical</w:t>
      </w:r>
    </w:p>
    <w:bookmarkStart w:id="57" w:name="cell-fig-mice-vis-missing-clinical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6" w:name="fig-mice-vis-missing-clinical"/>
          <w:p>
            <w:pPr>
              <w:pStyle w:val="Compact"/>
              <w:jc w:val="center"/>
            </w:pPr>
            <w:bookmarkStart w:id="55" w:name="fig-mice-vis-missing-clinical"/>
            <w:r>
              <w:drawing>
                <wp:inline>
                  <wp:extent cx="4267200" cy="341376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ice-vis-missing-clinical-1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3413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5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56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57"/>
    <w:p>
      <w:pPr>
        <w:pStyle w:val="Heading2"/>
      </w:pPr>
      <w:r>
        <w:t xml:space="preserve">Biomarkers</w:t>
      </w:r>
    </w:p>
    <w:bookmarkStart w:id="63" w:name="cell-fig-mice-vis-missing-biomarkers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2" w:name="fig-mice-vis-missing-biomarkers"/>
          <w:p>
            <w:pPr>
              <w:pStyle w:val="Compact"/>
              <w:jc w:val="center"/>
            </w:pPr>
            <w:bookmarkStart w:id="61" w:name="fig-mice-vis-missing-biomarkers"/>
            <w:r>
              <w:drawing>
                <wp:inline>
                  <wp:extent cx="4267200" cy="341376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ice-vis-missing-biomarkers-1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3413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1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</w:t>
            </w:r>
          </w:p>
          <w:bookmarkEnd w:id="62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63"/>
    <w:p>
      <w:pPr>
        <w:pStyle w:val="Heading2"/>
      </w:pPr>
      <w:r>
        <w:t xml:space="preserve">Ultrasound</w:t>
      </w:r>
    </w:p>
    <w:bookmarkStart w:id="69" w:name="cell-fig-mice-vis-missing-ultrasound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8" w:name="fig-mice-vis-missing-ultrasound"/>
          <w:p>
            <w:pPr>
              <w:pStyle w:val="Compact"/>
              <w:jc w:val="center"/>
            </w:pPr>
            <w:bookmarkStart w:id="67" w:name="fig-mice-vis-missing-ultrasound"/>
            <w:r>
              <w:drawing>
                <wp:inline>
                  <wp:extent cx="4267200" cy="341376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ice-vis-missing-ultrasound-1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3413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7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</w:t>
            </w:r>
          </w:p>
          <w:bookmarkEnd w:id="68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69"/>
    <w:p>
      <w:pPr>
        <w:pStyle w:val="Heading2"/>
      </w:pPr>
      <w:r>
        <w:t xml:space="preserve">All</w:t>
      </w:r>
    </w:p>
    <w:bookmarkStart w:id="75" w:name="cell-fig-mice-vis-missing-all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4" w:name="fig-mice-vis-missing-all"/>
          <w:p>
            <w:pPr>
              <w:pStyle w:val="Compact"/>
              <w:jc w:val="center"/>
            </w:pPr>
            <w:bookmarkStart w:id="73" w:name="fig-mice-vis-missing-all"/>
            <w:r>
              <w:drawing>
                <wp:inline>
                  <wp:extent cx="4267200" cy="341376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ice-vis-missing-all-1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3413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5</w:t>
            </w:r>
          </w:p>
          <w:bookmarkEnd w:id="7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75"/>
    <w:bookmarkStart w:id="76" w:name="imputation-1"/>
    <w:p>
      <w:pPr>
        <w:pStyle w:val="Heading4"/>
      </w:pPr>
      <w:r>
        <w:t xml:space="preserve">3.1.2 Imputation</w:t>
      </w:r>
    </w:p>
    <w:p>
      <w:pPr>
        <w:pStyle w:val="FirstParagraph"/>
      </w:pPr>
      <w:r>
        <w:t xml:space="preserve">The</w:t>
      </w:r>
      <w:r>
        <w:t xml:space="preserve"> </w:t>
      </w:r>
      <w:hyperlink r:id="rId30">
        <w:r>
          <w:rPr>
            <w:rStyle w:val="Hyperlink"/>
          </w:rPr>
          <w:t xml:space="preserve">MICE</w:t>
        </w:r>
      </w:hyperlink>
      <w:r>
        <w:t xml:space="preserve"> </w:t>
      </w:r>
      <w:r>
        <w:t xml:space="preserve">package</w:t>
      </w:r>
      <w:r>
        <w:t xml:space="preserve"> </w:t>
      </w:r>
      <w:r>
        <w:t xml:space="preserve">van Buuren and Groothuis-Oudshoorn (2011)</w:t>
      </w:r>
      <w:r>
        <w:t xml:space="preserve"> </w:t>
      </w:r>
      <w:r>
        <w:t xml:space="preserve">offers a number of different methods for imputing variables (see</w:t>
      </w:r>
      <w:r>
        <w:t xml:space="preserve"> </w:t>
      </w:r>
      <w:r>
        <w:t xml:space="preserve">[documentation][mice_details]) we have investigated Predictive Mean Matching (PMM), Classification and Regression Trees</w:t>
      </w:r>
      <w:r>
        <w:t xml:space="preserve"> </w:t>
      </w:r>
      <w:r>
        <w:t xml:space="preserve">(CART) and Random Forests (RF). Four rounds of imputation using each method were made.</w:t>
      </w:r>
    </w:p>
    <w:p>
      <w:pPr>
        <w:pStyle w:val="BodyText"/>
      </w:pPr>
      <w:r>
        <w:t xml:space="preserve">A comparison of distributions/proportions before and after imputation are presented below to allow assessment of the</w:t>
      </w:r>
      <w:r>
        <w:t xml:space="preserve"> </w:t>
      </w:r>
      <w:r>
        <w:t xml:space="preserve">utility of each method.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The distribution of observed (blue) and imputed values for continous variables are shown in the Tab set immediately</w:t>
      </w:r>
      <w:r>
        <w:t xml:space="preserve"> </w:t>
      </w:r>
      <w:r>
        <w:t xml:space="preserve">below and across all variables the imputed distrubtions follow closely that of the observed indicating that the</w:t>
      </w:r>
      <w:r>
        <w:t xml:space="preserve"> </w:t>
      </w:r>
      <w:r>
        <w:t xml:space="preserve">imputation methods have worked well for all three methods tested.</w:t>
      </w:r>
    </w:p>
    <w:bookmarkEnd w:id="76"/>
    <w:p>
      <w:pPr>
        <w:pStyle w:val="Heading2"/>
      </w:pPr>
      <w:r>
        <w:t xml:space="preserve">Albumin</w:t>
      </w:r>
    </w:p>
    <w:bookmarkStart w:id="82" w:name="cell-fig-mice-imputation-albumin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1" w:name="fig-mice-imputation-albumin"/>
          <w:p>
            <w:pPr>
              <w:pStyle w:val="Compact"/>
              <w:jc w:val="center"/>
            </w:pPr>
            <w:bookmarkStart w:id="80" w:name="fig-mice-imputation-albumin"/>
            <w:r>
              <w:drawing>
                <wp:inline>
                  <wp:extent cx="4267200" cy="3413760"/>
                  <wp:effectExtent b="0" l="0" r="0" t="0"/>
                  <wp:docPr descr="" title="" id="78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ice-imputation-albumin-1.png" id="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3413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0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6</w:t>
            </w:r>
          </w:p>
          <w:bookmarkEnd w:id="81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82"/>
    <w:p>
      <w:pPr>
        <w:pStyle w:val="Heading2"/>
      </w:pPr>
      <w:r>
        <w:t xml:space="preserve">Monocyte</w:t>
      </w:r>
    </w:p>
    <w:bookmarkStart w:id="88" w:name="cell-fig-mice-imputation-monocyt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7" w:name="fig-mice-imputation-monocyte"/>
          <w:p>
            <w:pPr>
              <w:pStyle w:val="Compact"/>
              <w:jc w:val="center"/>
            </w:pPr>
            <w:bookmarkStart w:id="86" w:name="fig-mice-imputation-monocyte"/>
            <w:r>
              <w:drawing>
                <wp:inline>
                  <wp:extent cx="4267200" cy="341376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ice-imputation-monocyte-1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3413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6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7</w:t>
            </w:r>
          </w:p>
          <w:bookmarkEnd w:id="8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88"/>
    <w:p>
      <w:pPr>
        <w:pStyle w:val="Heading2"/>
      </w:pPr>
      <w:r>
        <w:t xml:space="preserve">Lymphocytes</w:t>
      </w:r>
    </w:p>
    <w:bookmarkStart w:id="94" w:name="cell-fig-mice-imputation-lymphocytes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3" w:name="fig-mice-imputation-lymphocytes"/>
          <w:p>
            <w:pPr>
              <w:pStyle w:val="Compact"/>
              <w:jc w:val="center"/>
            </w:pPr>
            <w:bookmarkStart w:id="92" w:name="fig-mice-imputation-lymphocytes"/>
            <w:r>
              <w:drawing>
                <wp:inline>
                  <wp:extent cx="4267200" cy="3413760"/>
                  <wp:effectExtent b="0" l="0" r="0" t="0"/>
                  <wp:docPr descr="" title="" id="90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ice-imputation-lymphocytes-1.png" id="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3413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2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8</w:t>
            </w:r>
          </w:p>
          <w:bookmarkEnd w:id="93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94"/>
    <w:p>
      <w:pPr>
        <w:pStyle w:val="Heading2"/>
      </w:pPr>
      <w:r>
        <w:t xml:space="preserve">TSH Value</w:t>
      </w:r>
    </w:p>
    <w:bookmarkStart w:id="100" w:name="cell-fig-mice-imputation-tsh-valu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9" w:name="fig-mice-imputation-tsh-value"/>
          <w:p>
            <w:pPr>
              <w:pStyle w:val="Compact"/>
              <w:jc w:val="center"/>
            </w:pPr>
            <w:bookmarkStart w:id="98" w:name="fig-mice-imputation-tsh-value"/>
            <w:r>
              <w:drawing>
                <wp:inline>
                  <wp:extent cx="4267200" cy="3413760"/>
                  <wp:effectExtent b="0" l="0" r="0" t="0"/>
                  <wp:docPr descr="" title="" id="9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ice-imputation-tsh-value-1.png" id="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3413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9</w:t>
            </w:r>
          </w:p>
          <w:bookmarkEnd w:id="99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100"/>
    <w:p>
      <w:pPr>
        <w:pStyle w:val="Heading2"/>
      </w:pPr>
      <w:r>
        <w:t xml:space="preserve">Nodule Size</w:t>
      </w:r>
    </w:p>
    <w:bookmarkStart w:id="106" w:name="cell-fig-mice-imputation-size-nodule-mm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05" w:name="fig-mice-imputation-size-nodule-mm"/>
          <w:p>
            <w:pPr>
              <w:pStyle w:val="Compact"/>
              <w:jc w:val="center"/>
            </w:pPr>
            <w:bookmarkStart w:id="104" w:name="fig-mice-imputation-size-nodule-mm"/>
            <w:r>
              <w:drawing>
                <wp:inline>
                  <wp:extent cx="4267200" cy="3413760"/>
                  <wp:effectExtent b="0" l="0" r="0" t="0"/>
                  <wp:docPr descr="" title="" id="10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ice-imputation-size-nodule-mm-1.png" id="1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3413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4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10</w:t>
            </w:r>
          </w:p>
          <w:bookmarkEnd w:id="10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106"/>
    <w:p>
      <w:pPr>
        <w:pStyle w:val="BodyText"/>
      </w:pPr>
      <w:r>
        <w:t xml:space="preserve">Similarly for the discrete variables the distribution of proportions in the original and each imputed dataset are shown</w:t>
      </w:r>
      <w:r>
        <w:t xml:space="preserve"> </w:t>
      </w:r>
      <w:r>
        <w:t xml:space="preserve">below. The observed (in pink/peach) always have slightly lower proportions of the observed values because of the</w:t>
      </w:r>
      <w:r>
        <w:t xml:space="preserve"> </w:t>
      </w:r>
      <w:r>
        <w:t xml:space="preserve">presence of missing (evidences by only one group being present in the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column) but as with the continuous variables</w:t>
      </w:r>
      <w:r>
        <w:t xml:space="preserve"> </w:t>
      </w:r>
      <w:r>
        <w:t xml:space="preserve">across all imputation methods the proportions are roughly as expected again indicating that imputation has worked well.</w:t>
      </w:r>
    </w:p>
    <w:p>
      <w:pPr>
        <w:pStyle w:val="BodyText"/>
      </w:pPr>
      <w:r>
        <w:rPr>
          <w:b/>
          <w:bCs/>
        </w:rPr>
        <w:t xml:space="preserve">TODO</w:t>
      </w:r>
      <w:r>
        <w:t xml:space="preserve"> </w:t>
      </w:r>
      <w:r>
        <w:t xml:space="preserve">- Extract the legends from individual plots and add them to the end of each row, see the</w:t>
      </w:r>
      <w:r>
        <w:t xml:space="preserve"> </w:t>
      </w:r>
      <w:hyperlink r:id="rId107">
        <w:r>
          <w:rPr>
            <w:rStyle w:val="Hyperlink"/>
          </w:rPr>
          <w:t xml:space="preserve">cowplot shared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legends article</w:t>
        </w:r>
      </w:hyperlink>
      <w:r>
        <w:t xml:space="preserve"> </w:t>
      </w:r>
      <w:r>
        <w:t xml:space="preserve">for pointers on how to do this. Should</w:t>
      </w:r>
      <w:r>
        <w:t xml:space="preserve"> </w:t>
      </w:r>
      <w:r>
        <w:t xml:space="preserve">ideally also get the</w:t>
      </w:r>
      <w:r>
        <w:t xml:space="preserve"> </w:t>
      </w:r>
      <w:r>
        <w:rPr>
          <w:rStyle w:val="VerbatimChar"/>
        </w:rPr>
        <w:t xml:space="preserve">fill</w:t>
      </w:r>
      <w:r>
        <w:t xml:space="preserve"> </w:t>
      </w:r>
      <w:r>
        <w:t xml:space="preserve">colours to align with those used by</w:t>
      </w:r>
      <w:r>
        <w:t xml:space="preserve"> </w:t>
      </w:r>
      <w:r>
        <w:rPr>
          <w:rStyle w:val="VerbatimChar"/>
        </w:rPr>
        <w:t xml:space="preserve">ggmice</w:t>
      </w:r>
      <w:r>
        <w:t xml:space="preserve">.</w:t>
      </w:r>
    </w:p>
    <w:p>
      <w:pPr>
        <w:pStyle w:val="Heading2"/>
      </w:pPr>
      <w:r>
        <w:t xml:space="preserve">Incidental Nodule</w:t>
      </w:r>
    </w:p>
    <w:bookmarkStart w:id="113" w:name="X454b66e528ff726fc0c07c2665e66c9da917b0d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12" w:name="fig-mice-imputation-incidental-nodule"/>
          <w:p>
            <w:pPr>
              <w:pStyle w:val="Compact"/>
              <w:jc w:val="center"/>
            </w:pPr>
            <w:bookmarkStart w:id="111" w:name="fig-mice-imputation-incidental-nodule"/>
            <w:r>
              <w:drawing>
                <wp:inline>
                  <wp:extent cx="4267200" cy="3413760"/>
                  <wp:effectExtent b="0" l="0" r="0" t="0"/>
                  <wp:docPr descr="" title="" id="109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ice-imputation-incidental-nodule-1.png" id="1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3413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1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11</w:t>
            </w:r>
          </w:p>
          <w:bookmarkEnd w:id="112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113"/>
    <w:p>
      <w:pPr>
        <w:pStyle w:val="Heading2"/>
      </w:pPr>
      <w:r>
        <w:t xml:space="preserve">Palpable Nodule</w:t>
      </w:r>
    </w:p>
    <w:bookmarkStart w:id="119" w:name="cell-fig-mice-imputation-palpable-nodul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18" w:name="fig-mice-imputation-palpable-nodule"/>
          <w:p>
            <w:pPr>
              <w:pStyle w:val="Compact"/>
              <w:jc w:val="center"/>
            </w:pPr>
            <w:bookmarkStart w:id="117" w:name="fig-mice-imputation-palpable-nodule"/>
            <w:r>
              <w:drawing>
                <wp:inline>
                  <wp:extent cx="4267200" cy="3413760"/>
                  <wp:effectExtent b="0" l="0" r="0" t="0"/>
                  <wp:docPr descr="" title="" id="11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ice-imputation-palpable-nodule-1.png" id="1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3413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7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12</w:t>
            </w:r>
          </w:p>
          <w:bookmarkEnd w:id="118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119"/>
    <w:p>
      <w:pPr>
        <w:pStyle w:val="Heading2"/>
      </w:pPr>
      <w:r>
        <w:t xml:space="preserve">Rapid Enlargement</w:t>
      </w:r>
    </w:p>
    <w:bookmarkStart w:id="125" w:name="X2431e4e05cf660462d4d8d1f180d94c02fc7de0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24" w:name="fig-mice-imputation-rapid-enlargement"/>
          <w:p>
            <w:pPr>
              <w:pStyle w:val="Compact"/>
              <w:jc w:val="center"/>
            </w:pPr>
            <w:bookmarkStart w:id="123" w:name="fig-mice-imputation-rapid-enlargement"/>
            <w:r>
              <w:drawing>
                <wp:inline>
                  <wp:extent cx="4267200" cy="3413760"/>
                  <wp:effectExtent b="0" l="0" r="0" t="0"/>
                  <wp:docPr descr="" title="" id="1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ice-imputation-rapid-enlargement-1.png" id="1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3413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13</w:t>
            </w:r>
          </w:p>
          <w:bookmarkEnd w:id="1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125"/>
    <w:p>
      <w:pPr>
        <w:pStyle w:val="Heading2"/>
      </w:pPr>
      <w:r>
        <w:t xml:space="preserve">Compressive Symptoms</w:t>
      </w:r>
    </w:p>
    <w:bookmarkStart w:id="131" w:name="X76a5c3d71bb096bdf8d7d0130dd27712eb1869c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30" w:name="fig-mice-imputation-compressive-symptoms"/>
          <w:p>
            <w:pPr>
              <w:pStyle w:val="Compact"/>
              <w:jc w:val="center"/>
            </w:pPr>
            <w:bookmarkStart w:id="129" w:name="fig-mice-imputation-compressive-symptoms"/>
            <w:r>
              <w:drawing>
                <wp:inline>
                  <wp:extent cx="4267200" cy="3413760"/>
                  <wp:effectExtent b="0" l="0" r="0" t="0"/>
                  <wp:docPr descr="" title="" id="127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ice-imputation-compressive-symptoms-1.png" id="1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3413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9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14</w:t>
            </w:r>
          </w:p>
          <w:bookmarkEnd w:id="130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131"/>
    <w:p>
      <w:pPr>
        <w:pStyle w:val="Heading2"/>
      </w:pPr>
      <w:r>
        <w:t xml:space="preserve">Hypertension</w:t>
      </w:r>
    </w:p>
    <w:bookmarkStart w:id="137" w:name="cell-fig-mice-imputation-hypertension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36" w:name="fig-mice-imputation-hypertension"/>
          <w:p>
            <w:pPr>
              <w:pStyle w:val="Compact"/>
              <w:jc w:val="center"/>
            </w:pPr>
            <w:bookmarkStart w:id="135" w:name="fig-mice-imputation-hypertension"/>
            <w:r>
              <w:drawing>
                <wp:inline>
                  <wp:extent cx="4267200" cy="3413760"/>
                  <wp:effectExtent b="0" l="0" r="0" t="0"/>
                  <wp:docPr descr="" title="" id="1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ice-imputation-hypertension-1.png" id="1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3413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5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15</w:t>
            </w:r>
          </w:p>
          <w:bookmarkEnd w:id="136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137"/>
    <w:p>
      <w:pPr>
        <w:pStyle w:val="Heading2"/>
      </w:pPr>
      <w:r>
        <w:t xml:space="preserve">Vocal Cord Paresis</w:t>
      </w:r>
    </w:p>
    <w:bookmarkStart w:id="143" w:name="Xbf529f5b008dc52112ffb7bf488a43ec3d84638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42" w:name="fig-mice-imputation-vocal-cord-paresis"/>
          <w:p>
            <w:pPr>
              <w:pStyle w:val="Compact"/>
              <w:jc w:val="center"/>
            </w:pPr>
            <w:bookmarkStart w:id="141" w:name="fig-mice-imputation-vocal-cord-paresis"/>
            <w:r>
              <w:drawing>
                <wp:inline>
                  <wp:extent cx="4267200" cy="3413760"/>
                  <wp:effectExtent b="0" l="0" r="0" t="0"/>
                  <wp:docPr descr="" title="" id="139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ice-imputation-vocal-cord-paresis-1.png" id="1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3413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1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16</w:t>
            </w:r>
          </w:p>
          <w:bookmarkEnd w:id="142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143"/>
    <w:p>
      <w:pPr>
        <w:pStyle w:val="Heading2"/>
      </w:pPr>
      <w:r>
        <w:t xml:space="preserve">Graves Disease</w:t>
      </w:r>
    </w:p>
    <w:bookmarkStart w:id="149" w:name="cell-fig-mice-imputation-graves-diseas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48" w:name="fig-mice-imputation-graves-disease"/>
          <w:p>
            <w:pPr>
              <w:pStyle w:val="Compact"/>
              <w:jc w:val="center"/>
            </w:pPr>
            <w:bookmarkStart w:id="147" w:name="fig-mice-imputation-graves-disease"/>
            <w:r>
              <w:drawing>
                <wp:inline>
                  <wp:extent cx="4267200" cy="3413760"/>
                  <wp:effectExtent b="0" l="0" r="0" t="0"/>
                  <wp:docPr descr="" title="" id="14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ice-imputation-graves-disease-1.png" id="1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3413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7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17</w:t>
            </w:r>
          </w:p>
          <w:bookmarkEnd w:id="148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149"/>
    <w:p>
      <w:pPr>
        <w:pStyle w:val="Heading2"/>
      </w:pPr>
      <w:r>
        <w:t xml:space="preserve">Hashimotos Thyroiditis</w:t>
      </w:r>
    </w:p>
    <w:bookmarkStart w:id="155" w:name="X565e76a2b6af5ff0addf3a884883dbd941a1674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54" w:name="X8aceb917264cf89cedc572d0a749f56f839f18f"/>
          <w:p>
            <w:pPr>
              <w:pStyle w:val="Compact"/>
              <w:jc w:val="center"/>
            </w:pPr>
            <w:bookmarkStart w:id="153" w:name="X8aceb917264cf89cedc572d0a749f56f839f18f"/>
            <w:r>
              <w:drawing>
                <wp:inline>
                  <wp:extent cx="4267200" cy="3413760"/>
                  <wp:effectExtent b="0" l="0" r="0" t="0"/>
                  <wp:docPr descr="" title="" id="15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ice-imputation-hashimotos-thyroiditis-1.png" id="1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3413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18</w:t>
            </w:r>
          </w:p>
          <w:bookmarkEnd w:id="15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155"/>
    <w:p>
      <w:pPr>
        <w:pStyle w:val="Heading2"/>
      </w:pPr>
      <w:r>
        <w:t xml:space="preserve">Family History</w:t>
      </w:r>
    </w:p>
    <w:bookmarkStart w:id="161" w:name="Xf66da0c42983fdb9308a34073148dfcd007b9ac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60" w:name="Xabdcfae421668ac2c4c0401b88a7df6981baee7"/>
          <w:p>
            <w:pPr>
              <w:pStyle w:val="Compact"/>
              <w:jc w:val="center"/>
            </w:pPr>
            <w:bookmarkStart w:id="159" w:name="Xabdcfae421668ac2c4c0401b88a7df6981baee7"/>
            <w:r>
              <w:drawing>
                <wp:inline>
                  <wp:extent cx="4267200" cy="3413760"/>
                  <wp:effectExtent b="0" l="0" r="0" t="0"/>
                  <wp:docPr descr="" title="" id="157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ice-imputation-family-history-thyroid-cancer-1.png" id="1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3413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9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19</w:t>
            </w:r>
          </w:p>
          <w:bookmarkEnd w:id="160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161"/>
    <w:p>
      <w:pPr>
        <w:pStyle w:val="Heading2"/>
      </w:pPr>
      <w:r>
        <w:t xml:space="preserve">Exposure Radiation</w:t>
      </w:r>
    </w:p>
    <w:bookmarkStart w:id="167" w:name="X7505a2249b4b5851b4c39b41a4a146e11d3ffb1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66" w:name="fig-mice-imputation-exposure-radiation"/>
          <w:p>
            <w:pPr>
              <w:pStyle w:val="Compact"/>
              <w:jc w:val="center"/>
            </w:pPr>
            <w:bookmarkStart w:id="165" w:name="fig-mice-imputation-exposure-radiation"/>
            <w:r>
              <w:drawing>
                <wp:inline>
                  <wp:extent cx="4267200" cy="3413760"/>
                  <wp:effectExtent b="0" l="0" r="0" t="0"/>
                  <wp:docPr descr="" title="" id="16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ice-imputation-exposure-radiation-1.png" id="1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3413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5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20</w:t>
            </w:r>
          </w:p>
          <w:bookmarkEnd w:id="166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167"/>
    <w:p>
      <w:pPr>
        <w:pStyle w:val="Heading2"/>
      </w:pPr>
      <w:r>
        <w:t xml:space="preserve">Solitary Nodule</w:t>
      </w:r>
    </w:p>
    <w:bookmarkStart w:id="173" w:name="cell-fig-mice-imputation-solitary-nodul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72" w:name="fig-mice-imputation-solitary-nodule"/>
          <w:p>
            <w:pPr>
              <w:pStyle w:val="Compact"/>
              <w:jc w:val="center"/>
            </w:pPr>
            <w:bookmarkStart w:id="171" w:name="fig-mice-imputation-solitary-nodule"/>
            <w:r>
              <w:drawing>
                <wp:inline>
                  <wp:extent cx="4267200" cy="3413760"/>
                  <wp:effectExtent b="0" l="0" r="0" t="0"/>
                  <wp:docPr descr="" title="" id="169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ice-imputation-solitary-nodule-1.png" id="1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3413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71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21</w:t>
            </w:r>
          </w:p>
          <w:bookmarkEnd w:id="172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173"/>
    <w:p>
      <w:pPr>
        <w:pStyle w:val="Heading2"/>
      </w:pPr>
      <w:r>
        <w:t xml:space="preserve">BTA U-Classification</w:t>
      </w:r>
    </w:p>
    <w:bookmarkStart w:id="179" w:name="X69dd422f6cac7f3296bf7df52dd1bcb4d6ab032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78" w:name="fig-mice-imputation-bta-u-classification"/>
          <w:p>
            <w:pPr>
              <w:pStyle w:val="Compact"/>
              <w:jc w:val="center"/>
            </w:pPr>
            <w:bookmarkStart w:id="177" w:name="fig-mice-imputation-bta-u-classification"/>
            <w:r>
              <w:drawing>
                <wp:inline>
                  <wp:extent cx="4267200" cy="3413760"/>
                  <wp:effectExtent b="0" l="0" r="0" t="0"/>
                  <wp:docPr descr="" title="" id="17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ice-imputation-bta-u-classification-1.png" id="1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3413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77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22</w:t>
            </w:r>
          </w:p>
          <w:bookmarkEnd w:id="178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179"/>
    <w:p>
      <w:pPr>
        <w:pStyle w:val="Heading2"/>
      </w:pPr>
      <w:r>
        <w:t xml:space="preserve">Cervical Lymphadenopathy</w:t>
      </w:r>
    </w:p>
    <w:bookmarkStart w:id="185" w:name="X0ee93d6a1f2d60873821e1f04922550f68867e2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84" w:name="Xf850b5b8ffcf90563ad7ec15f4c03f3d1901976"/>
          <w:p>
            <w:pPr>
              <w:pStyle w:val="Compact"/>
              <w:jc w:val="center"/>
            </w:pPr>
            <w:bookmarkStart w:id="183" w:name="Xf850b5b8ffcf90563ad7ec15f4c03f3d1901976"/>
            <w:r>
              <w:drawing>
                <wp:inline>
                  <wp:extent cx="4267200" cy="3413760"/>
                  <wp:effectExtent b="0" l="0" r="0" t="0"/>
                  <wp:docPr descr="" title="" id="18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ice-imputation-rapid-cervical-lymphadenopathy-1.png" id="1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3413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8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23</w:t>
            </w:r>
          </w:p>
          <w:bookmarkEnd w:id="18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185"/>
    <w:p>
      <w:pPr>
        <w:pStyle w:val="Heading2"/>
      </w:pPr>
      <w:r>
        <w:t xml:space="preserve">PMM</w:t>
      </w:r>
    </w:p>
    <w:p>
      <w:pPr>
        <w:pStyle w:val="Heading2"/>
      </w:pPr>
      <w:r>
        <w:t xml:space="preserve">CART</w:t>
      </w:r>
    </w:p>
    <w:p>
      <w:pPr>
        <w:pStyle w:val="Heading2"/>
      </w:pPr>
      <w:r>
        <w:t xml:space="preserve">RF</w:t>
      </w:r>
    </w:p>
    <w:bookmarkStart w:id="188" w:name="modelling-1"/>
    <w:p>
      <w:pPr>
        <w:pStyle w:val="Heading3"/>
      </w:pPr>
      <w:r>
        <w:t xml:space="preserve">3.2 Modelling</w:t>
      </w:r>
    </w:p>
    <w:p>
      <w:pPr>
        <w:pStyle w:val="FirstParagraph"/>
      </w:pPr>
      <w:r>
        <w:rPr>
          <w:b/>
          <w:bCs/>
        </w:rPr>
        <w:t xml:space="preserve">TODO</w:t>
      </w:r>
      <w:r>
        <w:t xml:space="preserve"> </w:t>
      </w:r>
      <w:r>
        <w:t xml:space="preserve">- And in light of having removed</w:t>
      </w:r>
      <w:r>
        <w:t xml:space="preserve"> </w:t>
      </w:r>
      <w:r>
        <w:rPr>
          <w:b/>
          <w:bCs/>
        </w:rPr>
        <w:t xml:space="preserve">?@tbl-data-completness</w:t>
      </w:r>
      <w:r>
        <w:t xml:space="preserve"> </w:t>
      </w:r>
      <w:r>
        <w:t xml:space="preserve">in favour of the imputed datesets this too has been removed? (</w:t>
      </w:r>
      <w:r>
        <w:rPr>
          <w:rStyle w:val="VerbatimChar"/>
        </w:rPr>
        <w:t xml:space="preserve">@ns-rse</w:t>
      </w:r>
      <w:r>
        <w:t xml:space="preserve"> </w:t>
      </w:r>
      <w:r>
        <w:t xml:space="preserve">2024-07-11).</w:t>
      </w:r>
      <w:r>
        <w:t xml:space="preserve"> </w:t>
      </w:r>
      <w:r>
        <w:rPr>
          <w:b/>
          <w:bCs/>
        </w:rPr>
        <w:t xml:space="preserve">TODO</w:t>
      </w:r>
      <w:r>
        <w:t xml:space="preserve"> </w:t>
      </w:r>
      <w:r>
        <w:t xml:space="preserve">- This table feels like duplication of</w:t>
      </w:r>
      <w:r>
        <w:t xml:space="preserve"> </w:t>
      </w:r>
      <w:hyperlink w:anchor="tbl-data-completeness">
        <w:r>
          <w:rPr>
            <w:rStyle w:val="Hyperlink"/>
          </w:rPr>
          <w:t xml:space="preserve">Table 8</w:t>
        </w:r>
      </w:hyperlink>
      <w:r>
        <w:t xml:space="preserve">, perhaps have just one? (</w:t>
      </w:r>
      <w:r>
        <w:rPr>
          <w:rStyle w:val="VerbatimChar"/>
        </w:rPr>
        <w:t xml:space="preserve">@ns-rse</w:t>
      </w:r>
      <w:r>
        <w:t xml:space="preserve"> </w:t>
      </w:r>
      <w:r>
        <w:t xml:space="preserve">2024-07-11).</w:t>
      </w:r>
    </w:p>
    <w:p>
      <w:pPr>
        <w:pStyle w:val="BodyText"/>
      </w:pPr>
      <w:r>
        <w:t xml:space="preserve">The predictor variables selected to predict</w:t>
      </w:r>
      <w:r>
        <w:t xml:space="preserve"> </w:t>
      </w:r>
      <w:r>
        <w:rPr>
          <w:rStyle w:val="VerbatimChar"/>
        </w:rPr>
        <w:t xml:space="preserve">final_pathology</w:t>
      </w:r>
      <w:r>
        <w:t xml:space="preserve"> </w:t>
      </w:r>
      <w:r>
        <w:t xml:space="preserve">are shown in</w:t>
      </w:r>
      <w:r>
        <w:t xml:space="preserve"> </w:t>
      </w:r>
      <w:hyperlink w:anchor="tbl-predictors">
        <w:r>
          <w:rPr>
            <w:rStyle w:val="Hyperlink"/>
          </w:rPr>
          <w:t xml:space="preserve">Table 14</w:t>
        </w:r>
      </w:hyperlink>
    </w:p>
    <w:p>
      <w:pPr>
        <w:pStyle w:val="BodyText"/>
      </w:pPr>
      <w:r>
        <w:t xml:space="preserve">Section that sets up the modelling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The following section is output from a Tidymodel approach to logistic regression to try and work out why variables are</w:t>
      </w:r>
      <w:r>
        <w:t xml:space="preserve"> </w:t>
      </w:r>
      <w:r>
        <w:t xml:space="preserve">not being included.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A total of 1150 patients had complete data for the selected predictor variables (see</w:t>
      </w:r>
      <w:r>
        <w:t xml:space="preserve"> </w:t>
      </w:r>
      <w:hyperlink w:anchor="tbl-predictors">
        <w:r>
          <w:rPr>
            <w:rStyle w:val="Hyperlink"/>
          </w:rPr>
          <w:t xml:space="preserve">Table 14</w:t>
        </w:r>
      </w:hyperlink>
      <w:r>
        <w:t xml:space="preserve">).</w:t>
      </w:r>
      <w:r>
        <w:t xml:space="preserve"> </w:t>
      </w:r>
      <w:r>
        <w:t xml:space="preserve">Because of the volume of missing data which if a saturated model were used would include only ~350 people with complete</w:t>
      </w:r>
      <w:r>
        <w:t xml:space="preserve"> </w:t>
      </w:r>
      <w:r>
        <w:t xml:space="preserve">data across all co-variates imputed datasets were analysed instead.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186" w:name="logistic-regression"/>
    <w:p>
      <w:pPr>
        <w:pStyle w:val="Heading4"/>
      </w:pPr>
      <w:r>
        <w:t xml:space="preserve">3.2.1 Logistic Regression</w:t>
      </w:r>
    </w:p>
    <w:bookmarkEnd w:id="186"/>
    <w:bookmarkStart w:id="187" w:name="lasso"/>
    <w:p>
      <w:pPr>
        <w:pStyle w:val="Heading4"/>
      </w:pPr>
      <w:r>
        <w:t xml:space="preserve">3.2.2 LASSO</w:t>
      </w:r>
    </w:p>
    <w:p>
      <w:pPr>
        <w:pStyle w:val="SourceCode"/>
      </w:pPr>
      <w:r>
        <w:rPr>
          <w:rStyle w:val="CommentTok"/>
        </w:rPr>
        <w:t xml:space="preserve">#| label: fig-imputed-pmm-lasso</w:t>
      </w:r>
      <w:r>
        <w:br/>
      </w:r>
      <w:r>
        <w:rPr>
          <w:rStyle w:val="CommentTok"/>
        </w:rPr>
        <w:t xml:space="preserve">#| purl: true</w:t>
      </w:r>
      <w:r>
        <w:br/>
      </w:r>
      <w:r>
        <w:rPr>
          <w:rStyle w:val="CommentTok"/>
        </w:rPr>
        <w:t xml:space="preserve">#| eval: true</w:t>
      </w:r>
      <w:r>
        <w:br/>
      </w:r>
      <w:r>
        <w:rPr>
          <w:rStyle w:val="CommentTok"/>
        </w:rPr>
        <w:t xml:space="preserve">#| echo: false</w:t>
      </w:r>
      <w:r>
        <w:br/>
      </w:r>
      <w:r>
        <w:rPr>
          <w:rStyle w:val="CommentTok"/>
        </w:rPr>
        <w:t xml:space="preserve">#| output: false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(r_dir, </w:t>
      </w:r>
      <w:r>
        <w:rPr>
          <w:rStyle w:val="StringTok"/>
        </w:rPr>
        <w:t xml:space="preserve">"imputed_cart_model_lasso.rds"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(r_dir, </w:t>
      </w:r>
      <w:r>
        <w:rPr>
          <w:rStyle w:val="StringTok"/>
        </w:rPr>
        <w:t xml:space="preserve">"imputed_pmm_model_lasso.rds"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(r_dir, </w:t>
      </w:r>
      <w:r>
        <w:rPr>
          <w:rStyle w:val="StringTok"/>
        </w:rPr>
        <w:t xml:space="preserve">"imputed_forest_model_lasso.rds"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))</w:t>
      </w:r>
    </w:p>
    <w:bookmarkEnd w:id="187"/>
    <w:bookmarkEnd w:id="188"/>
    <w:p>
      <w:pPr>
        <w:pStyle w:val="Heading2"/>
      </w:pPr>
      <w:r>
        <w:t xml:space="preserve">PMM</w:t>
      </w:r>
    </w:p>
    <w:p>
      <w:pPr>
        <w:pStyle w:val="SourceCode"/>
      </w:pPr>
      <w:r>
        <w:rPr>
          <w:rStyle w:val="CommentTok"/>
        </w:rPr>
        <w:t xml:space="preserve">#| label: fig-imputed-pmm-lasso</w:t>
      </w:r>
      <w:r>
        <w:br/>
      </w:r>
      <w:r>
        <w:rPr>
          <w:rStyle w:val="CommentTok"/>
        </w:rPr>
        <w:t xml:space="preserve">#| purl: true</w:t>
      </w:r>
      <w:r>
        <w:br/>
      </w:r>
      <w:r>
        <w:rPr>
          <w:rStyle w:val="CommentTok"/>
        </w:rPr>
        <w:t xml:space="preserve">#| eval: true</w:t>
      </w:r>
      <w:r>
        <w:br/>
      </w:r>
      <w:r>
        <w:rPr>
          <w:rStyle w:val="CommentTok"/>
        </w:rPr>
        <w:t xml:space="preserve">#| echo: false</w:t>
      </w:r>
      <w:r>
        <w:br/>
      </w:r>
      <w:r>
        <w:rPr>
          <w:rStyle w:val="CommentTok"/>
        </w:rPr>
        <w:t xml:space="preserve">#| output: true</w:t>
      </w:r>
      <w:r>
        <w:br/>
      </w:r>
      <w:r>
        <w:rPr>
          <w:rStyle w:val="CommentTok"/>
        </w:rPr>
        <w:t xml:space="preserve">#| out-width: "80%"</w:t>
      </w:r>
      <w:r>
        <w:br/>
      </w:r>
      <w:r>
        <w:rPr>
          <w:rStyle w:val="NormalTok"/>
        </w:rPr>
        <w:t xml:space="preserve">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(imputed_pmm_model_lasso[[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importance_plot,</w:t>
      </w:r>
      <w:r>
        <w:br/>
      </w:r>
      <w:r>
        <w:rPr>
          <w:rStyle w:val="NormalTok"/>
        </w:rPr>
        <w:t xml:space="preserve">                   imputed_pmm_model_lasso[[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train_roc_curve_plot,</w:t>
      </w:r>
      <w:r>
        <w:br/>
      </w:r>
      <w:r>
        <w:rPr>
          <w:rStyle w:val="NormalTok"/>
        </w:rPr>
        <w:t xml:space="preserve">                   imputed_pmm_model_lasso[[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test_roc_curve_plot,</w:t>
      </w:r>
      <w:r>
        <w:br/>
      </w:r>
      <w:r>
        <w:rPr>
          <w:rStyle w:val="NormalTok"/>
        </w:rPr>
        <w:t xml:space="preserve">                   imputed_pmm_model_lasso[[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importance_plot,</w:t>
      </w:r>
      <w:r>
        <w:br/>
      </w:r>
      <w:r>
        <w:rPr>
          <w:rStyle w:val="NormalTok"/>
        </w:rPr>
        <w:t xml:space="preserve">                   imputed_pmm_model_lasso[[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train_roc_curve_plot,</w:t>
      </w:r>
      <w:r>
        <w:br/>
      </w:r>
      <w:r>
        <w:rPr>
          <w:rStyle w:val="NormalTok"/>
        </w:rPr>
        <w:t xml:space="preserve">                   imputed_pmm_model_lasso[[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test_roc_curve_plot,</w:t>
      </w:r>
      <w:r>
        <w:br/>
      </w:r>
      <w:r>
        <w:rPr>
          <w:rStyle w:val="NormalTok"/>
        </w:rPr>
        <w:t xml:space="preserve">                   imputed_pmm_model_lasso[[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importance_plot,</w:t>
      </w:r>
      <w:r>
        <w:br/>
      </w:r>
      <w:r>
        <w:rPr>
          <w:rStyle w:val="NormalTok"/>
        </w:rPr>
        <w:t xml:space="preserve">                   imputed_pmm_model_lasso[[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train_roc_curve_plot,</w:t>
      </w:r>
      <w:r>
        <w:br/>
      </w:r>
      <w:r>
        <w:rPr>
          <w:rStyle w:val="NormalTok"/>
        </w:rPr>
        <w:t xml:space="preserve">                   imputed_pmm_model_lasso[[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test_roc_curve_plot,</w:t>
      </w:r>
      <w:r>
        <w:br/>
      </w:r>
      <w:r>
        <w:rPr>
          <w:rStyle w:val="NormalTok"/>
        </w:rPr>
        <w:t xml:space="preserve">                   imputed_pmm_model_lasso[[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importance_plot,</w:t>
      </w:r>
      <w:r>
        <w:br/>
      </w:r>
      <w:r>
        <w:rPr>
          <w:rStyle w:val="NormalTok"/>
        </w:rPr>
        <w:t xml:space="preserve">                   imputed_pmm_model_lasso[[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train_roc_curve_plot,</w:t>
      </w:r>
      <w:r>
        <w:br/>
      </w:r>
      <w:r>
        <w:rPr>
          <w:rStyle w:val="NormalTok"/>
        </w:rPr>
        <w:t xml:space="preserve">                   imputed_pmm_model_lasso[[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test_roc_curve_plot,</w:t>
      </w:r>
      <w:r>
        <w:br/>
      </w:r>
      <w:r>
        <w:rPr>
          <w:rStyle w:val="NormalTok"/>
        </w:rPr>
        <w:t xml:space="preserve">                   imputed_pmm_model_lasso[[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importance_plot,</w:t>
      </w:r>
      <w:r>
        <w:br/>
      </w:r>
      <w:r>
        <w:rPr>
          <w:rStyle w:val="NormalTok"/>
        </w:rPr>
        <w:t xml:space="preserve">                   imputed_pmm_model_lasso[[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train_roc_curve_plot,</w:t>
      </w:r>
      <w:r>
        <w:br/>
      </w:r>
      <w:r>
        <w:rPr>
          <w:rStyle w:val="NormalTok"/>
        </w:rPr>
        <w:t xml:space="preserve">                   imputed_pmm_model_lasso[[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test_roc_curve_plot,</w:t>
      </w:r>
      <w:r>
        <w:br/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# labels = c("PMM", "Cart", "Random Forest"),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#| label: tab-imputed-pmm-lasso-importance</w:t>
      </w:r>
      <w:r>
        <w:br/>
      </w:r>
      <w:r>
        <w:rPr>
          <w:rStyle w:val="CommentTok"/>
        </w:rPr>
        <w:t xml:space="preserve">#| purl: true</w:t>
      </w:r>
      <w:r>
        <w:br/>
      </w:r>
      <w:r>
        <w:rPr>
          <w:rStyle w:val="CommentTok"/>
        </w:rPr>
        <w:t xml:space="preserve">#| eval: true</w:t>
      </w:r>
      <w:r>
        <w:br/>
      </w:r>
      <w:r>
        <w:rPr>
          <w:rStyle w:val="CommentTok"/>
        </w:rPr>
        <w:t xml:space="preserve">#| echo: false</w:t>
      </w:r>
      <w:r>
        <w:br/>
      </w:r>
      <w:r>
        <w:rPr>
          <w:rStyle w:val="CommentTok"/>
        </w:rPr>
        <w:t xml:space="preserve">#| output: true</w:t>
      </w:r>
      <w:r>
        <w:br/>
      </w:r>
      <w:r>
        <w:rPr>
          <w:rStyle w:val="CommentTok"/>
        </w:rPr>
        <w:t xml:space="preserve">#| tbl-caption: "Importance of features from LASSO model of five PMM imputed datasets."</w:t>
      </w:r>
      <w:r>
        <w:br/>
      </w:r>
      <w:r>
        <w:rPr>
          <w:rStyle w:val="NormalTok"/>
        </w:rPr>
        <w:t xml:space="preserve">tidy_pmm_lasso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"Importance of features from LASSO model of five PMM imputed datasets."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#| label: tab-imputed-pmm-lasso-train-metrics</w:t>
      </w:r>
      <w:r>
        <w:br/>
      </w:r>
      <w:r>
        <w:rPr>
          <w:rStyle w:val="CommentTok"/>
        </w:rPr>
        <w:t xml:space="preserve">#| purl: true</w:t>
      </w:r>
      <w:r>
        <w:br/>
      </w:r>
      <w:r>
        <w:rPr>
          <w:rStyle w:val="CommentTok"/>
        </w:rPr>
        <w:t xml:space="preserve">#| eval: true</w:t>
      </w:r>
      <w:r>
        <w:br/>
      </w:r>
      <w:r>
        <w:rPr>
          <w:rStyle w:val="CommentTok"/>
        </w:rPr>
        <w:t xml:space="preserve">#| echo: false</w:t>
      </w:r>
      <w:r>
        <w:br/>
      </w:r>
      <w:r>
        <w:rPr>
          <w:rStyle w:val="CommentTok"/>
        </w:rPr>
        <w:t xml:space="preserve">#| output: true</w:t>
      </w:r>
      <w:r>
        <w:br/>
      </w:r>
      <w:r>
        <w:rPr>
          <w:rStyle w:val="CommentTok"/>
        </w:rPr>
        <w:t xml:space="preserve">#| tbl-caption: "Classification metrics from LASSO model of five PMM imputed datasets (Training Data)."</w:t>
      </w:r>
      <w:r>
        <w:br/>
      </w:r>
      <w:r>
        <w:rPr>
          <w:rStyle w:val="NormalTok"/>
        </w:rPr>
        <w:t xml:space="preserve">tidy_pmm_lasso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train_metrics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"Classification metrics from LASSO model of five PMM imputed datasets (Training Data)."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#| label: tab-imputed-pmm-lasso-test-metrics</w:t>
      </w:r>
      <w:r>
        <w:br/>
      </w:r>
      <w:r>
        <w:rPr>
          <w:rStyle w:val="CommentTok"/>
        </w:rPr>
        <w:t xml:space="preserve">#| purl: true</w:t>
      </w:r>
      <w:r>
        <w:br/>
      </w:r>
      <w:r>
        <w:rPr>
          <w:rStyle w:val="CommentTok"/>
        </w:rPr>
        <w:t xml:space="preserve">#| eval: true</w:t>
      </w:r>
      <w:r>
        <w:br/>
      </w:r>
      <w:r>
        <w:rPr>
          <w:rStyle w:val="CommentTok"/>
        </w:rPr>
        <w:t xml:space="preserve">#| echo: false</w:t>
      </w:r>
      <w:r>
        <w:br/>
      </w:r>
      <w:r>
        <w:rPr>
          <w:rStyle w:val="CommentTok"/>
        </w:rPr>
        <w:t xml:space="preserve">#| output: true</w:t>
      </w:r>
      <w:r>
        <w:br/>
      </w:r>
      <w:r>
        <w:rPr>
          <w:rStyle w:val="CommentTok"/>
        </w:rPr>
        <w:t xml:space="preserve">#| tbl-caption: "Classification metrics from LASSO model of five PMM imputed datasets (Testing Data)."</w:t>
      </w:r>
      <w:r>
        <w:br/>
      </w:r>
      <w:r>
        <w:rPr>
          <w:rStyle w:val="NormalTok"/>
        </w:rPr>
        <w:t xml:space="preserve">tidy_pmm_lasso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test_metrics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"Classification metrics from LASSO model of five PMM imputed datasets (Testing Data)."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Heading2"/>
      </w:pPr>
      <w:r>
        <w:t xml:space="preserve">CART</w:t>
      </w:r>
    </w:p>
    <w:p>
      <w:pPr>
        <w:pStyle w:val="SourceCode"/>
      </w:pPr>
      <w:r>
        <w:rPr>
          <w:rStyle w:val="CommentTok"/>
        </w:rPr>
        <w:t xml:space="preserve">#| label: fig-imputed-cart-lasso</w:t>
      </w:r>
      <w:r>
        <w:br/>
      </w:r>
      <w:r>
        <w:rPr>
          <w:rStyle w:val="CommentTok"/>
        </w:rPr>
        <w:t xml:space="preserve">#| purl: true</w:t>
      </w:r>
      <w:r>
        <w:br/>
      </w:r>
      <w:r>
        <w:rPr>
          <w:rStyle w:val="CommentTok"/>
        </w:rPr>
        <w:t xml:space="preserve">#| eval: true</w:t>
      </w:r>
      <w:r>
        <w:br/>
      </w:r>
      <w:r>
        <w:rPr>
          <w:rStyle w:val="CommentTok"/>
        </w:rPr>
        <w:t xml:space="preserve">#| echo: false</w:t>
      </w:r>
      <w:r>
        <w:br/>
      </w:r>
      <w:r>
        <w:rPr>
          <w:rStyle w:val="CommentTok"/>
        </w:rPr>
        <w:t xml:space="preserve">#| output: true</w:t>
      </w:r>
      <w:r>
        <w:br/>
      </w:r>
      <w:r>
        <w:rPr>
          <w:rStyle w:val="CommentTok"/>
        </w:rPr>
        <w:t xml:space="preserve">#| out-width: "80%"</w:t>
      </w:r>
      <w:r>
        <w:br/>
      </w:r>
      <w:r>
        <w:rPr>
          <w:rStyle w:val="NormalTok"/>
        </w:rPr>
        <w:t xml:space="preserve">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(imputed_cart_model_lasso[[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importance_plot,</w:t>
      </w:r>
      <w:r>
        <w:br/>
      </w:r>
      <w:r>
        <w:rPr>
          <w:rStyle w:val="NormalTok"/>
        </w:rPr>
        <w:t xml:space="preserve">                   imputed_cart_model_lasso[[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train_roc_curve_plot,</w:t>
      </w:r>
      <w:r>
        <w:br/>
      </w:r>
      <w:r>
        <w:rPr>
          <w:rStyle w:val="NormalTok"/>
        </w:rPr>
        <w:t xml:space="preserve">                   imputed_cart_model_lasso[[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test_roc_curve_plot,</w:t>
      </w:r>
      <w:r>
        <w:br/>
      </w:r>
      <w:r>
        <w:rPr>
          <w:rStyle w:val="NormalTok"/>
        </w:rPr>
        <w:t xml:space="preserve">                   imputed_cart_model_lasso[[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importance_plot,</w:t>
      </w:r>
      <w:r>
        <w:br/>
      </w:r>
      <w:r>
        <w:rPr>
          <w:rStyle w:val="NormalTok"/>
        </w:rPr>
        <w:t xml:space="preserve">                   imputed_cart_model_lasso[[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train_roc_curve_plot,</w:t>
      </w:r>
      <w:r>
        <w:br/>
      </w:r>
      <w:r>
        <w:rPr>
          <w:rStyle w:val="NormalTok"/>
        </w:rPr>
        <w:t xml:space="preserve">                   imputed_cart_model_lasso[[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test_roc_curve_plot,</w:t>
      </w:r>
      <w:r>
        <w:br/>
      </w:r>
      <w:r>
        <w:rPr>
          <w:rStyle w:val="NormalTok"/>
        </w:rPr>
        <w:t xml:space="preserve">                   imputed_cart_model_lasso[[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importance_plot,</w:t>
      </w:r>
      <w:r>
        <w:br/>
      </w:r>
      <w:r>
        <w:rPr>
          <w:rStyle w:val="NormalTok"/>
        </w:rPr>
        <w:t xml:space="preserve">                   imputed_cart_model_lasso[[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train_roc_curve_plot,</w:t>
      </w:r>
      <w:r>
        <w:br/>
      </w:r>
      <w:r>
        <w:rPr>
          <w:rStyle w:val="NormalTok"/>
        </w:rPr>
        <w:t xml:space="preserve">                   imputed_cart_model_lasso[[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test_roc_curve_plot,</w:t>
      </w:r>
      <w:r>
        <w:br/>
      </w:r>
      <w:r>
        <w:rPr>
          <w:rStyle w:val="NormalTok"/>
        </w:rPr>
        <w:t xml:space="preserve">                   imputed_cart_model_lasso[[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importance_plot,</w:t>
      </w:r>
      <w:r>
        <w:br/>
      </w:r>
      <w:r>
        <w:rPr>
          <w:rStyle w:val="NormalTok"/>
        </w:rPr>
        <w:t xml:space="preserve">                   imputed_cart_model_lasso[[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train_roc_curve_plot,</w:t>
      </w:r>
      <w:r>
        <w:br/>
      </w:r>
      <w:r>
        <w:rPr>
          <w:rStyle w:val="NormalTok"/>
        </w:rPr>
        <w:t xml:space="preserve">                   imputed_cart_model_lasso[[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test_roc_curve_plot,</w:t>
      </w:r>
      <w:r>
        <w:br/>
      </w:r>
      <w:r>
        <w:rPr>
          <w:rStyle w:val="NormalTok"/>
        </w:rPr>
        <w:t xml:space="preserve">                   imputed_cart_model_lasso[[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importance_plot,</w:t>
      </w:r>
      <w:r>
        <w:br/>
      </w:r>
      <w:r>
        <w:rPr>
          <w:rStyle w:val="NormalTok"/>
        </w:rPr>
        <w:t xml:space="preserve">                   imputed_cart_model_lasso[[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train_roc_curve_plot,</w:t>
      </w:r>
      <w:r>
        <w:br/>
      </w:r>
      <w:r>
        <w:rPr>
          <w:rStyle w:val="NormalTok"/>
        </w:rPr>
        <w:t xml:space="preserve">                   imputed_cart_model_lasso[[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test_roc_curve_plot,</w:t>
      </w:r>
      <w:r>
        <w:br/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# labels = c("PMM", "Cart", "Random Forest"),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Heading2"/>
      </w:pPr>
      <w:r>
        <w:t xml:space="preserve">Random Forest</w:t>
      </w:r>
    </w:p>
    <w:p>
      <w:pPr>
        <w:pStyle w:val="SourceCode"/>
      </w:pPr>
      <w:r>
        <w:rPr>
          <w:rStyle w:val="CommentTok"/>
        </w:rPr>
        <w:t xml:space="preserve">#| label: fig-imputed-rf-lasso</w:t>
      </w:r>
      <w:r>
        <w:br/>
      </w:r>
      <w:r>
        <w:rPr>
          <w:rStyle w:val="CommentTok"/>
        </w:rPr>
        <w:t xml:space="preserve">#| purl: true</w:t>
      </w:r>
      <w:r>
        <w:br/>
      </w:r>
      <w:r>
        <w:rPr>
          <w:rStyle w:val="CommentTok"/>
        </w:rPr>
        <w:t xml:space="preserve">#| eval: true</w:t>
      </w:r>
      <w:r>
        <w:br/>
      </w:r>
      <w:r>
        <w:rPr>
          <w:rStyle w:val="CommentTok"/>
        </w:rPr>
        <w:t xml:space="preserve">#| echo: false</w:t>
      </w:r>
      <w:r>
        <w:br/>
      </w:r>
      <w:r>
        <w:rPr>
          <w:rStyle w:val="CommentTok"/>
        </w:rPr>
        <w:t xml:space="preserve">#| output: true</w:t>
      </w:r>
      <w:r>
        <w:br/>
      </w:r>
      <w:r>
        <w:rPr>
          <w:rStyle w:val="CommentTok"/>
        </w:rPr>
        <w:t xml:space="preserve">#| out-width: "80%"</w:t>
      </w:r>
      <w:r>
        <w:br/>
      </w:r>
      <w:r>
        <w:rPr>
          <w:rStyle w:val="NormalTok"/>
        </w:rPr>
        <w:t xml:space="preserve">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(imputed_rf_model_lasso[[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importance_plot,</w:t>
      </w:r>
      <w:r>
        <w:br/>
      </w:r>
      <w:r>
        <w:rPr>
          <w:rStyle w:val="NormalTok"/>
        </w:rPr>
        <w:t xml:space="preserve">                   imputed_rf_model_lasso[[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train_roc_curve_plot,</w:t>
      </w:r>
      <w:r>
        <w:br/>
      </w:r>
      <w:r>
        <w:rPr>
          <w:rStyle w:val="NormalTok"/>
        </w:rPr>
        <w:t xml:space="preserve">                   imputed_rf_model_lasso[[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test_roc_curve_plot,</w:t>
      </w:r>
      <w:r>
        <w:br/>
      </w:r>
      <w:r>
        <w:rPr>
          <w:rStyle w:val="NormalTok"/>
        </w:rPr>
        <w:t xml:space="preserve">                   imputed_rf_model_lasso[[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importance_plot,</w:t>
      </w:r>
      <w:r>
        <w:br/>
      </w:r>
      <w:r>
        <w:rPr>
          <w:rStyle w:val="NormalTok"/>
        </w:rPr>
        <w:t xml:space="preserve">                   imputed_rf_model_lasso[[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train_roc_curve_plot,</w:t>
      </w:r>
      <w:r>
        <w:br/>
      </w:r>
      <w:r>
        <w:rPr>
          <w:rStyle w:val="NormalTok"/>
        </w:rPr>
        <w:t xml:space="preserve">                   imputed_rf_model_lasso[[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test_roc_curve_plot,</w:t>
      </w:r>
      <w:r>
        <w:br/>
      </w:r>
      <w:r>
        <w:rPr>
          <w:rStyle w:val="NormalTok"/>
        </w:rPr>
        <w:t xml:space="preserve">                   imputed_rf_model_lasso[[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importance_plot,</w:t>
      </w:r>
      <w:r>
        <w:br/>
      </w:r>
      <w:r>
        <w:rPr>
          <w:rStyle w:val="NormalTok"/>
        </w:rPr>
        <w:t xml:space="preserve">                   imputed_rf_model_lasso[[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train_roc_curve_plot,</w:t>
      </w:r>
      <w:r>
        <w:br/>
      </w:r>
      <w:r>
        <w:rPr>
          <w:rStyle w:val="NormalTok"/>
        </w:rPr>
        <w:t xml:space="preserve">                   imputed_rf_model_lasso[[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test_roc_curve_plot,</w:t>
      </w:r>
      <w:r>
        <w:br/>
      </w:r>
      <w:r>
        <w:rPr>
          <w:rStyle w:val="NormalTok"/>
        </w:rPr>
        <w:t xml:space="preserve">                   imputed_rf_model_lasso[[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importance_plot,</w:t>
      </w:r>
      <w:r>
        <w:br/>
      </w:r>
      <w:r>
        <w:rPr>
          <w:rStyle w:val="NormalTok"/>
        </w:rPr>
        <w:t xml:space="preserve">                   imputed_rf_model_lasso[[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train_roc_curve_plot,</w:t>
      </w:r>
      <w:r>
        <w:br/>
      </w:r>
      <w:r>
        <w:rPr>
          <w:rStyle w:val="NormalTok"/>
        </w:rPr>
        <w:t xml:space="preserve">                   imputed_rf_model_lasso[[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test_roc_curve_plot,</w:t>
      </w:r>
      <w:r>
        <w:br/>
      </w:r>
      <w:r>
        <w:rPr>
          <w:rStyle w:val="NormalTok"/>
        </w:rPr>
        <w:t xml:space="preserve">                   imputed_rf_model_lasso[[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importance_plot,</w:t>
      </w:r>
      <w:r>
        <w:br/>
      </w:r>
      <w:r>
        <w:rPr>
          <w:rStyle w:val="NormalTok"/>
        </w:rPr>
        <w:t xml:space="preserve">                   imputed_rf_model_lasso[[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train_roc_curve_plot,</w:t>
      </w:r>
      <w:r>
        <w:br/>
      </w:r>
      <w:r>
        <w:rPr>
          <w:rStyle w:val="NormalTok"/>
        </w:rPr>
        <w:t xml:space="preserve">                   imputed_rf_model_lasso[[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test_roc_curve_plot,</w:t>
      </w:r>
      <w:r>
        <w:br/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# labels = c("PMM", "Rf", "Random Forest"),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Start w:id="189" w:name="elastic-net"/>
    <w:p>
      <w:pPr>
        <w:pStyle w:val="Heading4"/>
      </w:pPr>
      <w:r>
        <w:t xml:space="preserve">3.2.3 Elastic Net</w:t>
      </w:r>
    </w:p>
    <w:bookmarkEnd w:id="189"/>
    <w:bookmarkStart w:id="190" w:name="random-forest-2"/>
    <w:p>
      <w:pPr>
        <w:pStyle w:val="Heading4"/>
      </w:pPr>
      <w:r>
        <w:t xml:space="preserve">3.2.4 Random Forest</w:t>
      </w:r>
    </w:p>
    <w:bookmarkEnd w:id="190"/>
    <w:bookmarkStart w:id="191" w:name="gradient-boosting-1"/>
    <w:p>
      <w:pPr>
        <w:pStyle w:val="Heading4"/>
      </w:pPr>
      <w:r>
        <w:t xml:space="preserve">3.2.5 Gradient Boosting</w:t>
      </w:r>
    </w:p>
    <w:bookmarkEnd w:id="191"/>
    <w:bookmarkStart w:id="194" w:name="explainability"/>
    <w:p>
      <w:pPr>
        <w:pStyle w:val="Heading4"/>
      </w:pPr>
      <w:r>
        <w:t xml:space="preserve">3.2.6 Explainability</w:t>
      </w:r>
    </w:p>
    <w:p>
      <w:pPr>
        <w:pStyle w:val="FirstParagraph"/>
      </w:pPr>
      <w:r>
        <w:t xml:space="preserve">Which factors are important to classification can be assessed not just by the</w:t>
      </w:r>
      <w:r>
        <w:t xml:space="preserve"> </w:t>
      </w:r>
      <w:r>
        <w:t xml:space="preserve">“importance”</w:t>
      </w:r>
      <w:r>
        <w:t xml:space="preserve"> </w:t>
      </w:r>
      <w:r>
        <w:t xml:space="preserve">but by methods know as</w:t>
      </w:r>
      <w:r>
        <w:t xml:space="preserve"> </w:t>
      </w:r>
      <w:hyperlink r:id="rId192">
        <w:r>
          <w:rPr>
            <w:rStyle w:val="Hyperlink"/>
          </w:rPr>
          <w:t xml:space="preserve">LIME</w:t>
        </w:r>
      </w:hyperlink>
      <w:r>
        <w:t xml:space="preserve"> </w:t>
      </w:r>
      <w:r>
        <w:t xml:space="preserve">(Local Interpretable Model-Agnostic</w:t>
      </w:r>
      <w:r>
        <w:t xml:space="preserve"> </w:t>
      </w:r>
      <w:r>
        <w:t xml:space="preserve">Explanations)</w:t>
      </w:r>
      <w:r>
        <w:t xml:space="preserve"> </w:t>
      </w:r>
      <w:r>
        <w:t xml:space="preserve">Ribeiro, Singh, and Guestrin (2016)</w:t>
      </w:r>
      <w:r>
        <w:t xml:space="preserve"> </w:t>
      </w:r>
      <w:r>
        <w:t xml:space="preserve">and</w:t>
      </w:r>
      <w:r>
        <w:t xml:space="preserve"> </w:t>
      </w:r>
      <w:hyperlink r:id="rId193">
        <w:r>
          <w:rPr>
            <w:rStyle w:val="Hyperlink"/>
          </w:rPr>
          <w:t xml:space="preserve">Shapley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values</w:t>
        </w:r>
      </w:hyperlink>
      <w:r>
        <w:t xml:space="preserve"> </w:t>
      </w:r>
      <w:r>
        <w:t xml:space="preserve">Lundberg and Lee (2017)</w:t>
      </w:r>
    </w:p>
    <w:bookmarkEnd w:id="194"/>
    <w:bookmarkStart w:id="195" w:name="comparision-1"/>
    <w:p>
      <w:pPr>
        <w:pStyle w:val="Heading4"/>
      </w:pPr>
      <w:r>
        <w:t xml:space="preserve">3.2.7 Comparision</w:t>
      </w:r>
    </w:p>
    <w:p>
      <w:pPr>
        <w:pStyle w:val="FirstParagraph"/>
      </w:pPr>
      <w:r>
        <w:t xml:space="preserve">Comparing the sensitivity of the different models goes here.</w:t>
      </w:r>
    </w:p>
    <w:p>
      <w:pPr>
        <w:pStyle w:val="Compact"/>
        <w:numPr>
          <w:ilvl w:val="0"/>
          <w:numId w:val="1001"/>
        </w:numPr>
      </w:pPr>
      <w:r>
        <w:t xml:space="preserve">Table of sensitivity/specificity/other metrics.</w:t>
      </w:r>
    </w:p>
    <w:p>
      <w:pPr>
        <w:pStyle w:val="Compact"/>
        <w:numPr>
          <w:ilvl w:val="0"/>
          <w:numId w:val="1001"/>
        </w:numPr>
      </w:pPr>
      <w:r>
        <w:t xml:space="preserve">ROC curves</w:t>
      </w:r>
    </w:p>
    <w:bookmarkEnd w:id="195"/>
    <w:bookmarkStart w:id="196" w:name="conclusion"/>
    <w:p>
      <w:pPr>
        <w:pStyle w:val="Heading2"/>
      </w:pPr>
      <w:r>
        <w:t xml:space="preserve">4 Conclusion</w:t>
      </w:r>
    </w:p>
    <w:p>
      <w:pPr>
        <w:pStyle w:val="FirstParagraph"/>
      </w:pPr>
      <w:r>
        <w:t xml:space="preserve">The take-away message is….these things are hard!</w:t>
      </w:r>
    </w:p>
    <w:bookmarkEnd w:id="196"/>
    <w:bookmarkStart w:id="224" w:name="appendix"/>
    <w:p>
      <w:pPr>
        <w:pStyle w:val="Heading2"/>
      </w:pPr>
      <w:r>
        <w:t xml:space="preserve">5 Appendix</w:t>
      </w:r>
    </w:p>
    <w:bookmarkStart w:id="223" w:name="data-dictionary"/>
    <w:p>
      <w:pPr>
        <w:pStyle w:val="Heading3"/>
      </w:pPr>
      <w:r>
        <w:t xml:space="preserve">5.1 Data Dictionary</w:t>
      </w:r>
    </w:p>
    <w:bookmarkStart w:id="222" w:name="refs"/>
    <w:bookmarkStart w:id="198" w:name="ref-vanBuuren2011Dec"/>
    <w:p>
      <w:pPr>
        <w:pStyle w:val="Bibliography"/>
      </w:pPr>
      <w:r>
        <w:t xml:space="preserve">Buuren, Stef van, and Karin Groothuis-Oudshoorn. 2011.</w:t>
      </w:r>
      <w:r>
        <w:t xml:space="preserve"> </w:t>
      </w:r>
      <w:r>
        <w:t xml:space="preserve">“</w:t>
      </w:r>
      <w:r>
        <w:t xml:space="preserve">mice: Multivariate Imputation by Chained Equations in R</w:t>
      </w:r>
      <w:r>
        <w:t xml:space="preserve">.”</w:t>
      </w:r>
      <w:r>
        <w:t xml:space="preserve"> </w:t>
      </w:r>
      <w:r>
        <w:rPr>
          <w:i/>
          <w:iCs/>
        </w:rPr>
        <w:t xml:space="preserve">J. Stat. Soft.</w:t>
      </w:r>
      <w:r>
        <w:t xml:space="preserve"> </w:t>
      </w:r>
      <w:r>
        <w:t xml:space="preserve">45 (December): 1–67.</w:t>
      </w:r>
      <w:r>
        <w:t xml:space="preserve"> </w:t>
      </w:r>
      <w:hyperlink r:id="rId197">
        <w:r>
          <w:rPr>
            <w:rStyle w:val="Hyperlink"/>
          </w:rPr>
          <w:t xml:space="preserve">https://doi.org/10.18637/jss.v045.i03</w:t>
        </w:r>
      </w:hyperlink>
      <w:r>
        <w:t xml:space="preserve">.</w:t>
      </w:r>
    </w:p>
    <w:bookmarkEnd w:id="198"/>
    <w:bookmarkStart w:id="200" w:name="ref-Efron2016Jul"/>
    <w:p>
      <w:pPr>
        <w:pStyle w:val="Bibliography"/>
      </w:pPr>
      <w:r>
        <w:t xml:space="preserve">Efron, Bradley, and Trevor Hastie. 2016.</w:t>
      </w:r>
      <w:r>
        <w:t xml:space="preserve"> </w:t>
      </w:r>
      <w:r>
        <w:rPr>
          <w:i/>
          <w:iCs/>
        </w:rPr>
        <w:t xml:space="preserve">Computer Age Statistical Inference: Algorithms, Evidence, and Data Science</w:t>
      </w:r>
      <w:r>
        <w:t xml:space="preserve">.</w:t>
      </w:r>
      <w:r>
        <w:t xml:space="preserve"> </w:t>
      </w:r>
      <w:r>
        <w:rPr>
          <w:i/>
          <w:iCs/>
        </w:rPr>
        <w:t xml:space="preserve">Cambridge Core</w:t>
      </w:r>
      <w:r>
        <w:t xml:space="preserve">. Cambridge, England, UK: Cambridge University Press.</w:t>
      </w:r>
      <w:r>
        <w:t xml:space="preserve"> </w:t>
      </w:r>
      <w:hyperlink r:id="rId199">
        <w:r>
          <w:rPr>
            <w:rStyle w:val="Hyperlink"/>
          </w:rPr>
          <w:t xml:space="preserve">https://doi.org/10.1017/CBO9781316576533</w:t>
        </w:r>
      </w:hyperlink>
      <w:r>
        <w:t xml:space="preserve">.</w:t>
      </w:r>
    </w:p>
    <w:bookmarkEnd w:id="200"/>
    <w:bookmarkStart w:id="202" w:name="ref-tidymodels"/>
    <w:p>
      <w:pPr>
        <w:pStyle w:val="Bibliography"/>
      </w:pPr>
      <w:r>
        <w:t xml:space="preserve">Kuhn, Max, and Hadley Wickham. 2020.</w:t>
      </w:r>
      <w:r>
        <w:t xml:space="preserve"> </w:t>
      </w:r>
      <w:r>
        <w:rPr>
          <w:i/>
          <w:iCs/>
        </w:rPr>
        <w:t xml:space="preserve">Tidymodels: A Collection of Packages for Modeling and Machine Learning Using Tidyverse Principles.</w:t>
      </w:r>
      <w:r>
        <w:t xml:space="preserve"> </w:t>
      </w:r>
      <w:hyperlink r:id="rId201">
        <w:r>
          <w:rPr>
            <w:rStyle w:val="Hyperlink"/>
          </w:rPr>
          <w:t xml:space="preserve">https://www.tidymodels.org</w:t>
        </w:r>
      </w:hyperlink>
      <w:r>
        <w:t xml:space="preserve">.</w:t>
      </w:r>
    </w:p>
    <w:bookmarkEnd w:id="202"/>
    <w:bookmarkStart w:id="204" w:name="ref-lundberg2017"/>
    <w:p>
      <w:pPr>
        <w:pStyle w:val="Bibliography"/>
      </w:pPr>
      <w:r>
        <w:t xml:space="preserve">Lundberg, Scott M, and Su-In Lee. 2017.</w:t>
      </w:r>
      <w:r>
        <w:t xml:space="preserve"> </w:t>
      </w:r>
      <w:r>
        <w:t xml:space="preserve">“A Unified Approach to Interpreting Model Predictions.”</w:t>
      </w:r>
      <w:r>
        <w:t xml:space="preserve"> </w:t>
      </w:r>
      <w:r>
        <w:t xml:space="preserve">Edited by I. Guyon, U. V. Luxburg, S. Bengio, H. Wallach, R. Fergus, S. Vishwanathan, and R. Garnett, 4765–74.</w:t>
      </w:r>
      <w:r>
        <w:t xml:space="preserve"> </w:t>
      </w:r>
      <w:hyperlink r:id="rId203">
        <w:r>
          <w:rPr>
            <w:rStyle w:val="Hyperlink"/>
          </w:rPr>
          <w:t xml:space="preserve">http://papers.nips.cc/paper/7062-a-unified-approach-to-interpreting-model-predictions.pdf</w:t>
        </w:r>
      </w:hyperlink>
      <w:r>
        <w:t xml:space="preserve">.</w:t>
      </w:r>
    </w:p>
    <w:bookmarkEnd w:id="204"/>
    <w:bookmarkStart w:id="206" w:name="ref-r_citation"/>
    <w:p>
      <w:pPr>
        <w:pStyle w:val="Bibliography"/>
      </w:pPr>
      <w:r>
        <w:t xml:space="preserve">R Core Team. 2023.</w:t>
      </w:r>
      <w:r>
        <w:t xml:space="preserve"> </w:t>
      </w:r>
      <w:r>
        <w:rPr>
          <w:i/>
          <w:iCs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205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206"/>
    <w:bookmarkStart w:id="208" w:name="ref-tibshirani1996"/>
    <w:p>
      <w:pPr>
        <w:pStyle w:val="Bibliography"/>
      </w:pPr>
      <w:r>
        <w:t xml:space="preserve">“</w:t>
      </w:r>
      <w:r>
        <w:t xml:space="preserve">Regression Shrinkage and Selection via the Lasso</w:t>
      </w:r>
      <w:r>
        <w:t xml:space="preserve">.”</w:t>
      </w:r>
      <w:r>
        <w:t xml:space="preserve"> </w:t>
      </w:r>
      <w:r>
        <w:t xml:space="preserve">1996.</w:t>
      </w:r>
      <w:r>
        <w:t xml:space="preserve"> </w:t>
      </w:r>
      <w:r>
        <w:rPr>
          <w:i/>
          <w:iCs/>
        </w:rPr>
        <w:t xml:space="preserve">Journal of the Royal Statistical Society. Series B (Methodological)</w:t>
      </w:r>
      <w:r>
        <w:t xml:space="preserve">.</w:t>
      </w:r>
      <w:r>
        <w:t xml:space="preserve"> </w:t>
      </w:r>
      <w:hyperlink r:id="rId207">
        <w:r>
          <w:rPr>
            <w:rStyle w:val="Hyperlink"/>
          </w:rPr>
          <w:t xml:space="preserve">https://www.jstor.org/stable/2346178</w:t>
        </w:r>
      </w:hyperlink>
      <w:r>
        <w:t xml:space="preserve">.</w:t>
      </w:r>
    </w:p>
    <w:bookmarkEnd w:id="208"/>
    <w:bookmarkStart w:id="210" w:name="ref-ribeiro2016"/>
    <w:p>
      <w:pPr>
        <w:pStyle w:val="Bibliography"/>
      </w:pPr>
      <w:r>
        <w:t xml:space="preserve">Ribeiro, Marco Tulio, Sameer Singh, and Carlos Guestrin. 2016.</w:t>
      </w:r>
      <w:r>
        <w:t xml:space="preserve"> </w:t>
      </w:r>
      <w:r>
        <w:t xml:space="preserve">“</w:t>
      </w:r>
      <w:r>
        <w:t xml:space="preserve">"Why Should I Trust You?": Explaining the Predictions of Any Classifier</w:t>
      </w:r>
      <w:r>
        <w:t xml:space="preserve">.”</w:t>
      </w:r>
      <w:r>
        <w:t xml:space="preserve"> </w:t>
      </w:r>
      <w:r>
        <w:rPr>
          <w:i/>
          <w:iCs/>
        </w:rPr>
        <w:t xml:space="preserve">arXiv</w:t>
      </w:r>
      <w:r>
        <w:t xml:space="preserve">, February.</w:t>
      </w:r>
      <w:r>
        <w:t xml:space="preserve"> </w:t>
      </w:r>
      <w:hyperlink r:id="rId209">
        <w:r>
          <w:rPr>
            <w:rStyle w:val="Hyperlink"/>
          </w:rPr>
          <w:t xml:space="preserve">https://doi.org/10.48550/arXiv.1602.04938</w:t>
        </w:r>
      </w:hyperlink>
      <w:r>
        <w:t xml:space="preserve">.</w:t>
      </w:r>
    </w:p>
    <w:bookmarkEnd w:id="210"/>
    <w:bookmarkStart w:id="212" w:name="ref-smith2018"/>
    <w:p>
      <w:pPr>
        <w:pStyle w:val="Bibliography"/>
      </w:pPr>
      <w:r>
        <w:t xml:space="preserve">Smith, Gary. 2018.</w:t>
      </w:r>
      <w:r>
        <w:t xml:space="preserve"> </w:t>
      </w:r>
      <w:r>
        <w:t xml:space="preserve">“</w:t>
      </w:r>
      <w:r>
        <w:t xml:space="preserve">Step away from stepwise</w:t>
      </w:r>
      <w:r>
        <w:t xml:space="preserve">.”</w:t>
      </w:r>
      <w:r>
        <w:t xml:space="preserve"> </w:t>
      </w:r>
      <w:r>
        <w:rPr>
          <w:i/>
          <w:iCs/>
        </w:rPr>
        <w:t xml:space="preserve">J. Big Data</w:t>
      </w:r>
      <w:r>
        <w:t xml:space="preserve"> </w:t>
      </w:r>
      <w:r>
        <w:t xml:space="preserve">5 (1): 1–12.</w:t>
      </w:r>
      <w:r>
        <w:t xml:space="preserve"> </w:t>
      </w:r>
      <w:hyperlink r:id="rId211">
        <w:r>
          <w:rPr>
            <w:rStyle w:val="Hyperlink"/>
          </w:rPr>
          <w:t xml:space="preserve">https://doi.org/10.1186/s40537-018-0143-6</w:t>
        </w:r>
      </w:hyperlink>
      <w:r>
        <w:t xml:space="preserve">.</w:t>
      </w:r>
    </w:p>
    <w:bookmarkEnd w:id="212"/>
    <w:bookmarkStart w:id="214" w:name="ref-steyerberg2001"/>
    <w:p>
      <w:pPr>
        <w:pStyle w:val="Bibliography"/>
      </w:pPr>
      <w:r>
        <w:t xml:space="preserve">Steyerberg, Ewout W., Marinus J. C. Eijkemans, Frank E. Harrell, and Dik. 2001.</w:t>
      </w:r>
      <w:r>
        <w:t xml:space="preserve"> </w:t>
      </w:r>
      <w:r>
        <w:t xml:space="preserve">“Prognostic Modeling with Logistic Regression Analysis.”</w:t>
      </w:r>
      <w:r>
        <w:t xml:space="preserve"> </w:t>
      </w:r>
      <w:r>
        <w:rPr>
          <w:i/>
          <w:iCs/>
        </w:rPr>
        <w:t xml:space="preserve">Medical Decision Making</w:t>
      </w:r>
      <w:r>
        <w:t xml:space="preserve"> </w:t>
      </w:r>
      <w:r>
        <w:t xml:space="preserve">21 (1): 45–56.</w:t>
      </w:r>
      <w:r>
        <w:t xml:space="preserve"> </w:t>
      </w:r>
      <w:hyperlink r:id="rId213">
        <w:r>
          <w:rPr>
            <w:rStyle w:val="Hyperlink"/>
          </w:rPr>
          <w:t xml:space="preserve">https://doi.org/10.1177/0272989x0102100106</w:t>
        </w:r>
      </w:hyperlink>
      <w:r>
        <w:t xml:space="preserve">.</w:t>
      </w:r>
    </w:p>
    <w:bookmarkEnd w:id="214"/>
    <w:bookmarkStart w:id="216" w:name="ref-thompson1995"/>
    <w:p>
      <w:pPr>
        <w:pStyle w:val="Bibliography"/>
      </w:pPr>
      <w:r>
        <w:t xml:space="preserve">Thompson, Bruce. 1995.</w:t>
      </w:r>
      <w:r>
        <w:t xml:space="preserve"> </w:t>
      </w:r>
      <w:r>
        <w:t xml:space="preserve">“Stepwise Regression and Stepwise Discriminant Analysis Need Not Apply Here: A Guidelines Editorial.”</w:t>
      </w:r>
      <w:r>
        <w:t xml:space="preserve"> </w:t>
      </w:r>
      <w:r>
        <w:rPr>
          <w:i/>
          <w:iCs/>
        </w:rPr>
        <w:t xml:space="preserve">Educational and Psychological Measurement</w:t>
      </w:r>
      <w:r>
        <w:t xml:space="preserve"> </w:t>
      </w:r>
      <w:r>
        <w:t xml:space="preserve">55 (4): 525–34.</w:t>
      </w:r>
      <w:r>
        <w:t xml:space="preserve"> </w:t>
      </w:r>
      <w:hyperlink r:id="rId215">
        <w:r>
          <w:rPr>
            <w:rStyle w:val="Hyperlink"/>
          </w:rPr>
          <w:t xml:space="preserve">https://doi.org/10.1177/0013164495055004001</w:t>
        </w:r>
      </w:hyperlink>
      <w:r>
        <w:t xml:space="preserve">.</w:t>
      </w:r>
    </w:p>
    <w:bookmarkEnd w:id="216"/>
    <w:bookmarkStart w:id="217" w:name="ref-mice"/>
    <w:p>
      <w:pPr>
        <w:pStyle w:val="Bibliography"/>
      </w:pPr>
      <w:r>
        <w:t xml:space="preserve">van Buuren, Stef, and Karin Groothuis-Oudshoorn. 2011.</w:t>
      </w:r>
      <w:r>
        <w:t xml:space="preserve"> </w:t>
      </w:r>
      <w:r>
        <w:t xml:space="preserve">“</w:t>
      </w:r>
      <w:r>
        <w:t xml:space="preserve">mice</w:t>
      </w:r>
      <w:r>
        <w:t xml:space="preserve">: Multivariate Imputation by Chained Equations in r.”</w:t>
      </w:r>
      <w:r>
        <w:t xml:space="preserve"> </w:t>
      </w:r>
      <w:r>
        <w:rPr>
          <w:i/>
          <w:iCs/>
        </w:rPr>
        <w:t xml:space="preserve">Journal of Statistical Software</w:t>
      </w:r>
      <w:r>
        <w:t xml:space="preserve"> </w:t>
      </w:r>
      <w:r>
        <w:t xml:space="preserve">45 (3): 1–67.</w:t>
      </w:r>
      <w:r>
        <w:t xml:space="preserve"> </w:t>
      </w:r>
      <w:hyperlink r:id="rId197">
        <w:r>
          <w:rPr>
            <w:rStyle w:val="Hyperlink"/>
          </w:rPr>
          <w:t xml:space="preserve">https://doi.org/10.18637/jss.v045.i03</w:t>
        </w:r>
      </w:hyperlink>
      <w:r>
        <w:t xml:space="preserve">.</w:t>
      </w:r>
    </w:p>
    <w:bookmarkEnd w:id="217"/>
    <w:bookmarkStart w:id="219" w:name="ref-tidyverse"/>
    <w:p>
      <w:pPr>
        <w:pStyle w:val="Bibliography"/>
      </w:pPr>
      <w:r>
        <w:t xml:space="preserve">Wickham, Hadley, Mara Averick, Jennifer Bryan, Winston Chang, Lucy D’Agostino McGowan, Romain François, Garrett Grolemund, et al. 2019.</w:t>
      </w:r>
      <w:r>
        <w:t xml:space="preserve"> </w:t>
      </w:r>
      <w:r>
        <w:t xml:space="preserve">“Welcome to the</w:t>
      </w:r>
      <w:r>
        <w:t xml:space="preserve"> </w:t>
      </w:r>
      <w:r>
        <w:t xml:space="preserve">tidyverse</w:t>
      </w:r>
      <w:r>
        <w:t xml:space="preserve">.”</w:t>
      </w:r>
      <w:r>
        <w:t xml:space="preserve"> </w:t>
      </w:r>
      <w:r>
        <w:rPr>
          <w:i/>
          <w:iCs/>
        </w:rPr>
        <w:t xml:space="preserve">Journal of Open Source Software</w:t>
      </w:r>
      <w:r>
        <w:t xml:space="preserve"> </w:t>
      </w:r>
      <w:r>
        <w:t xml:space="preserve">4 (43): 1686.</w:t>
      </w:r>
      <w:r>
        <w:t xml:space="preserve"> </w:t>
      </w:r>
      <w:hyperlink r:id="rId218">
        <w:r>
          <w:rPr>
            <w:rStyle w:val="Hyperlink"/>
          </w:rPr>
          <w:t xml:space="preserve">https://doi.org/10.21105/joss.01686</w:t>
        </w:r>
      </w:hyperlink>
      <w:r>
        <w:t xml:space="preserve">.</w:t>
      </w:r>
    </w:p>
    <w:bookmarkEnd w:id="219"/>
    <w:bookmarkStart w:id="221" w:name="ref-zou2005"/>
    <w:p>
      <w:pPr>
        <w:pStyle w:val="Bibliography"/>
      </w:pPr>
      <w:r>
        <w:t xml:space="preserve">Zou, Hui, and Trevor Hastie. 2005.</w:t>
      </w:r>
      <w:r>
        <w:t xml:space="preserve"> </w:t>
      </w:r>
      <w:r>
        <w:t xml:space="preserve">“</w:t>
      </w:r>
      <w:r>
        <w:t xml:space="preserve">Regularization and Variable Selection Via the Elastic Net</w:t>
      </w:r>
      <w:r>
        <w:t xml:space="preserve">.”</w:t>
      </w:r>
      <w:r>
        <w:t xml:space="preserve"> </w:t>
      </w:r>
      <w:r>
        <w:rPr>
          <w:i/>
          <w:iCs/>
        </w:rPr>
        <w:t xml:space="preserve">J. R. Stat. Soc. Ser. B. Stat. Methodol.</w:t>
      </w:r>
      <w:r>
        <w:t xml:space="preserve"> </w:t>
      </w:r>
      <w:r>
        <w:t xml:space="preserve">67 (2): 301–20.</w:t>
      </w:r>
      <w:r>
        <w:t xml:space="preserve"> </w:t>
      </w:r>
      <w:hyperlink r:id="rId220">
        <w:r>
          <w:rPr>
            <w:rStyle w:val="Hyperlink"/>
          </w:rPr>
          <w:t xml:space="preserve">https://doi.org/10.1111/j.1467-9868.2005.00503.x</w:t>
        </w:r>
      </w:hyperlink>
      <w:r>
        <w:t xml:space="preserve">.</w:t>
      </w:r>
    </w:p>
    <w:bookmarkEnd w:id="221"/>
    <w:bookmarkEnd w:id="222"/>
    <w:bookmarkEnd w:id="223"/>
    <w:bookmarkEnd w:id="2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7" Target="media/rId77.png" /><Relationship Type="http://schemas.openxmlformats.org/officeDocument/2006/relationships/image" Id="rId174" Target="media/rId174.png" /><Relationship Type="http://schemas.openxmlformats.org/officeDocument/2006/relationships/image" Id="rId126" Target="media/rId126.png" /><Relationship Type="http://schemas.openxmlformats.org/officeDocument/2006/relationships/image" Id="rId162" Target="media/rId162.png" /><Relationship Type="http://schemas.openxmlformats.org/officeDocument/2006/relationships/image" Id="rId156" Target="media/rId156.png" /><Relationship Type="http://schemas.openxmlformats.org/officeDocument/2006/relationships/image" Id="rId144" Target="media/rId144.png" /><Relationship Type="http://schemas.openxmlformats.org/officeDocument/2006/relationships/image" Id="rId150" Target="media/rId150.png" /><Relationship Type="http://schemas.openxmlformats.org/officeDocument/2006/relationships/image" Id="rId132" Target="media/rId132.png" /><Relationship Type="http://schemas.openxmlformats.org/officeDocument/2006/relationships/image" Id="rId108" Target="media/rId108.png" /><Relationship Type="http://schemas.openxmlformats.org/officeDocument/2006/relationships/image" Id="rId89" Target="media/rId89.png" /><Relationship Type="http://schemas.openxmlformats.org/officeDocument/2006/relationships/image" Id="rId83" Target="media/rId83.png" /><Relationship Type="http://schemas.openxmlformats.org/officeDocument/2006/relationships/image" Id="rId114" Target="media/rId114.png" /><Relationship Type="http://schemas.openxmlformats.org/officeDocument/2006/relationships/image" Id="rId180" Target="media/rId180.png" /><Relationship Type="http://schemas.openxmlformats.org/officeDocument/2006/relationships/image" Id="rId120" Target="media/rId120.png" /><Relationship Type="http://schemas.openxmlformats.org/officeDocument/2006/relationships/image" Id="rId101" Target="media/rId101.png" /><Relationship Type="http://schemas.openxmlformats.org/officeDocument/2006/relationships/image" Id="rId168" Target="media/rId168.png" /><Relationship Type="http://schemas.openxmlformats.org/officeDocument/2006/relationships/image" Id="rId95" Target="media/rId95.png" /><Relationship Type="http://schemas.openxmlformats.org/officeDocument/2006/relationships/image" Id="rId138" Target="media/rId138.png" /><Relationship Type="http://schemas.openxmlformats.org/officeDocument/2006/relationships/image" Id="rId70" Target="media/rId70.png" /><Relationship Type="http://schemas.openxmlformats.org/officeDocument/2006/relationships/image" Id="rId58" Target="media/rId58.png" /><Relationship Type="http://schemas.openxmlformats.org/officeDocument/2006/relationships/image" Id="rId52" Target="media/rId52.png" /><Relationship Type="http://schemas.openxmlformats.org/officeDocument/2006/relationships/image" Id="rId64" Target="media/rId64.png" /><Relationship Type="http://schemas.openxmlformats.org/officeDocument/2006/relationships/image" Id="rId46" Target="media/rId46.png" /><Relationship Type="http://schemas.openxmlformats.org/officeDocument/2006/relationships/hyperlink" Id="rId203" Target="http://papers.nips.cc/paper/7062-a-unified-approach-to-interpreting-model-predictions.pdf" TargetMode="External" /><Relationship Type="http://schemas.openxmlformats.org/officeDocument/2006/relationships/hyperlink" Id="rId30" Target="https://amices.org/mice/" TargetMode="External" /><Relationship Type="http://schemas.openxmlformats.org/officeDocument/2006/relationships/hyperlink" Id="rId199" Target="https://doi.org/10.1017/CBO9781316576533" TargetMode="External" /><Relationship Type="http://schemas.openxmlformats.org/officeDocument/2006/relationships/hyperlink" Id="rId220" Target="https://doi.org/10.1111/j.1467-9868.2005.00503.x" TargetMode="External" /><Relationship Type="http://schemas.openxmlformats.org/officeDocument/2006/relationships/hyperlink" Id="rId215" Target="https://doi.org/10.1177/0013164495055004001" TargetMode="External" /><Relationship Type="http://schemas.openxmlformats.org/officeDocument/2006/relationships/hyperlink" Id="rId213" Target="https://doi.org/10.1177/0272989x0102100106" TargetMode="External" /><Relationship Type="http://schemas.openxmlformats.org/officeDocument/2006/relationships/hyperlink" Id="rId211" Target="https://doi.org/10.1186/s40537-018-0143-6" TargetMode="External" /><Relationship Type="http://schemas.openxmlformats.org/officeDocument/2006/relationships/hyperlink" Id="rId197" Target="https://doi.org/10.18637/jss.v045.i03" TargetMode="External" /><Relationship Type="http://schemas.openxmlformats.org/officeDocument/2006/relationships/hyperlink" Id="rId218" Target="https://doi.org/10.21105/joss.01686" TargetMode="External" /><Relationship Type="http://schemas.openxmlformats.org/officeDocument/2006/relationships/hyperlink" Id="rId209" Target="https://doi.org/10.48550/arXiv.1602.04938" TargetMode="External" /><Relationship Type="http://schemas.openxmlformats.org/officeDocument/2006/relationships/hyperlink" Id="rId41" Target="https://github.com/quarto-dev/quarto-cli/issues/10196" TargetMode="External" /><Relationship Type="http://schemas.openxmlformats.org/officeDocument/2006/relationships/hyperlink" Id="rId42" Target="https://github.com/quarto-dev/quarto-cli/releases/tag/v1.6.1" TargetMode="External" /><Relationship Type="http://schemas.openxmlformats.org/officeDocument/2006/relationships/hyperlink" Id="rId20" Target="https://ns-rse.github.io/sheffield-thyroid/index-preview.html" TargetMode="External" /><Relationship Type="http://schemas.openxmlformats.org/officeDocument/2006/relationships/hyperlink" Id="rId25" Target="https://radiopaedia.org/articles/bta-ultrasound-u-classification-of-thyroid-nodules" TargetMode="External" /><Relationship Type="http://schemas.openxmlformats.org/officeDocument/2006/relationships/hyperlink" Id="rId192" Target="https://search.r-project.org/CRAN/refmans/lime/html/lime-package.html" TargetMode="External" /><Relationship Type="http://schemas.openxmlformats.org/officeDocument/2006/relationships/hyperlink" Id="rId193" Target="https://shap.readthedocs.io/en/latest/example_notebooks/overviews/An%20introduction%20to%20explainable%20AI%20with%20Shapley%20values.html" TargetMode="External" /><Relationship Type="http://schemas.openxmlformats.org/officeDocument/2006/relationships/hyperlink" Id="rId107" Target="https://wilkelab.org/cowplot/articles/shared_legends.html" TargetMode="External" /><Relationship Type="http://schemas.openxmlformats.org/officeDocument/2006/relationships/hyperlink" Id="rId205" Target="https://www.R-project.org/" TargetMode="External" /><Relationship Type="http://schemas.openxmlformats.org/officeDocument/2006/relationships/hyperlink" Id="rId207" Target="https://www.jstor.org/stable/2346178" TargetMode="External" /><Relationship Type="http://schemas.openxmlformats.org/officeDocument/2006/relationships/hyperlink" Id="rId201" Target="https://www.tidymodels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3" Target="http://papers.nips.cc/paper/7062-a-unified-approach-to-interpreting-model-predictions.pdf" TargetMode="External" /><Relationship Type="http://schemas.openxmlformats.org/officeDocument/2006/relationships/hyperlink" Id="rId30" Target="https://amices.org/mice/" TargetMode="External" /><Relationship Type="http://schemas.openxmlformats.org/officeDocument/2006/relationships/hyperlink" Id="rId199" Target="https://doi.org/10.1017/CBO9781316576533" TargetMode="External" /><Relationship Type="http://schemas.openxmlformats.org/officeDocument/2006/relationships/hyperlink" Id="rId220" Target="https://doi.org/10.1111/j.1467-9868.2005.00503.x" TargetMode="External" /><Relationship Type="http://schemas.openxmlformats.org/officeDocument/2006/relationships/hyperlink" Id="rId215" Target="https://doi.org/10.1177/0013164495055004001" TargetMode="External" /><Relationship Type="http://schemas.openxmlformats.org/officeDocument/2006/relationships/hyperlink" Id="rId213" Target="https://doi.org/10.1177/0272989x0102100106" TargetMode="External" /><Relationship Type="http://schemas.openxmlformats.org/officeDocument/2006/relationships/hyperlink" Id="rId211" Target="https://doi.org/10.1186/s40537-018-0143-6" TargetMode="External" /><Relationship Type="http://schemas.openxmlformats.org/officeDocument/2006/relationships/hyperlink" Id="rId197" Target="https://doi.org/10.18637/jss.v045.i03" TargetMode="External" /><Relationship Type="http://schemas.openxmlformats.org/officeDocument/2006/relationships/hyperlink" Id="rId218" Target="https://doi.org/10.21105/joss.01686" TargetMode="External" /><Relationship Type="http://schemas.openxmlformats.org/officeDocument/2006/relationships/hyperlink" Id="rId209" Target="https://doi.org/10.48550/arXiv.1602.04938" TargetMode="External" /><Relationship Type="http://schemas.openxmlformats.org/officeDocument/2006/relationships/hyperlink" Id="rId41" Target="https://github.com/quarto-dev/quarto-cli/issues/10196" TargetMode="External" /><Relationship Type="http://schemas.openxmlformats.org/officeDocument/2006/relationships/hyperlink" Id="rId42" Target="https://github.com/quarto-dev/quarto-cli/releases/tag/v1.6.1" TargetMode="External" /><Relationship Type="http://schemas.openxmlformats.org/officeDocument/2006/relationships/hyperlink" Id="rId20" Target="https://ns-rse.github.io/sheffield-thyroid/index-preview.html" TargetMode="External" /><Relationship Type="http://schemas.openxmlformats.org/officeDocument/2006/relationships/hyperlink" Id="rId25" Target="https://radiopaedia.org/articles/bta-ultrasound-u-classification-of-thyroid-nodules" TargetMode="External" /><Relationship Type="http://schemas.openxmlformats.org/officeDocument/2006/relationships/hyperlink" Id="rId192" Target="https://search.r-project.org/CRAN/refmans/lime/html/lime-package.html" TargetMode="External" /><Relationship Type="http://schemas.openxmlformats.org/officeDocument/2006/relationships/hyperlink" Id="rId193" Target="https://shap.readthedocs.io/en/latest/example_notebooks/overviews/An%20introduction%20to%20explainable%20AI%20with%20Shapley%20values.html" TargetMode="External" /><Relationship Type="http://schemas.openxmlformats.org/officeDocument/2006/relationships/hyperlink" Id="rId107" Target="https://wilkelab.org/cowplot/articles/shared_legends.html" TargetMode="External" /><Relationship Type="http://schemas.openxmlformats.org/officeDocument/2006/relationships/hyperlink" Id="rId205" Target="https://www.R-project.org/" TargetMode="External" /><Relationship Type="http://schemas.openxmlformats.org/officeDocument/2006/relationships/hyperlink" Id="rId207" Target="https://www.jstor.org/stable/2346178" TargetMode="External" /><Relationship Type="http://schemas.openxmlformats.org/officeDocument/2006/relationships/hyperlink" Id="rId201" Target="https://www.tidymodels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investigation of the predictors of thyroid cancer in patients with thyroid nodules</dc:title>
  <dc:creator>Ovie Edafe; Neil Shephard; Karen Sisley; Sabapathy P Balasubramanian</dc:creator>
  <cp:keywords>Thyroid nodules, Thyroid cancer</cp:keywords>
  <dcterms:created xsi:type="dcterms:W3CDTF">2025-02-07T11:01:55Z</dcterms:created>
  <dcterms:modified xsi:type="dcterms:W3CDTF">2025-02-07T11:01:55Z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abstract summarising the work undertaken and the overall conclusions can be placed here. Sub-headings are currently removed because they conflict with those in the body of the text and mess up the links in the Table of Contents.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2024-04-26</vt:lpwstr>
  </property>
  <property fmtid="{D5CDD505-2E9C-101B-9397-08002B2CF9AE}" pid="12" name="execute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Plain language summary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