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40" w:before="0"/>
        <w:jc w:val="left"/>
      </w:pPr>
      <w:r>
        <w:rPr>
          <w:rFonts w:ascii="Georgia" w:cs="Georgia" w:eastAsia="Georgia" w:hAnsi="Georgia"/>
          <w:b/>
          <w:bCs/>
          <w:color w:val="16213E"/>
          <w:sz w:val="88"/>
          <w:szCs w:val="88"/>
        </w:rPr>
        <w:t xml:space="preserve">PUZZLES</w:t>
      </w:r>
    </w:p>
    <w:p>
      <w:pPr>
        <w:pBdr>
          <w:bottom w:val="single" w:color="D81B60" w:sz="20" w:space="8"/>
        </w:pBdr>
        <w:spacing w:after="100" w:before="0"/>
        <w:jc w:val="left"/>
      </w:pPr>
      <w:r>
        <w:rPr>
          <w:rFonts w:ascii="Georgia" w:cs="Georgia" w:eastAsia="Georgia" w:hAnsi="Georgia"/>
          <w:i/>
          <w:iCs/>
          <w:color w:val="512DA8"/>
          <w:sz w:val="30"/>
          <w:szCs w:val="30"/>
        </w:rPr>
        <w:t xml:space="preserve">An AI-Powered Platform for Residential College Life</w:t>
      </w:r>
    </w:p>
    <w:p>
      <w:pPr>
        <w:spacing w:after="60" w:before="60"/>
      </w:pPr>
      <w:r>
        <w:t xml:space="preserve"/>
      </w:r>
    </w:p>
    <w:p>
      <w:pPr>
        <w:spacing w:after="0" w:before="80"/>
        <w:jc w:val="left"/>
      </w:pPr>
      <w:r>
        <w:rPr>
          <w:rFonts w:ascii="Georgia" w:cs="Georgia" w:eastAsia="Georgia" w:hAnsi="Georgia"/>
          <w:i/>
          <w:iCs/>
          <w:color w:val="5C6070"/>
          <w:sz w:val="24"/>
          <w:szCs w:val="24"/>
        </w:rPr>
        <w:t xml:space="preserve">“Every student is a piece. PUZZLES brings them together.”</w:t>
      </w:r>
    </w:p>
    <w:p>
      <w:pPr>
        <w:spacing w:after="60" w:before="60"/>
      </w:pPr>
      <w:r>
        <w:t xml:space="preserve"/>
      </w:r>
    </w:p>
    <w:p>
      <w:pPr>
        <w:spacing w:after="60" w:before="60"/>
      </w:pPr>
      <w:r>
        <w:t xml:space="preserve"/>
      </w:r>
    </w:p>
    <w:p>
      <w:pPr>
        <w:spacing w:after="60" w:before="60"/>
      </w:pPr>
      <w:r>
        <w:t xml:space="preserve"/>
      </w:r>
    </w:p>
    <w:tbl>
      <w:tblPr>
        <w:tblW w:type="dxa" w:w="6116"/>
        <w:tblBorders>
          <w:top w:val="none" w:color="FFFFFF" w:sz="0"/>
          <w:left w:val="none" w:color="FFFFFF" w:sz="0"/>
          <w:bottom w:val="none" w:color="FFFFFF" w:sz="0"/>
          <w:right w:val="none" w:color="FFFFFF" w:sz="0"/>
          <w:insideH w:val="single" w:color="auto" w:sz="4"/>
          <w:insideV w:val="single" w:color="auto" w:sz="4"/>
        </w:tblBorders>
      </w:tblPr>
      <w:tblGrid>
        <w:gridCol w:w="6116"/>
      </w:tblGrid>
      <w:tr>
        <w:tc>
          <w:tcPr>
            <w:tcW w:type="dxa" w:w="6116"/>
            <w:tcBorders>
              <w:top w:val="single" w:color="512DA8" w:sz="8"/>
              <w:left w:val="none" w:color="FFFFFF" w:sz="0"/>
              <w:bottom w:val="single" w:color="DEDEDE" w:sz="4"/>
              <w:right w:val="none" w:color="FFFFFF" w:sz="0"/>
            </w:tcBorders>
            <w:shd w:fill="F3EFF9" w:val="clear"/>
            <w:tcMar>
              <w:top w:type="dxa" w:w="180"/>
              <w:left w:type="dxa" w:w="0"/>
              <w:bottom w:type="dxa" w:w="180"/>
              <w:right w:type="dxa" w:w="0"/>
            </w:tcMar>
          </w:tcPr>
          <w:p>
            <w:pPr>
              <w:spacing w:after="80" w:before="0"/>
            </w:pPr>
            <w:r>
              <w:rPr>
                <w:rFonts w:ascii="Arial" w:cs="Arial" w:eastAsia="Arial" w:hAnsi="Arial"/>
                <w:b/>
                <w:bCs/>
                <w:color w:val="512DA8"/>
                <w:spacing w:val="60"/>
                <w:sz w:val="22"/>
                <w:szCs w:val="22"/>
              </w:rPr>
              <w:t xml:space="preserve">PROJECT PITCH DOCUMENT</w:t>
            </w:r>
          </w:p>
          <w:p>
            <w:pPr>
              <w:spacing w:after="60" w:before="0"/>
            </w:pPr>
            <w:r>
              <w:rPr>
                <w:rFonts w:ascii="Arial" w:cs="Arial" w:eastAsia="Arial" w:hAnsi="Arial"/>
                <w:color w:val="1A1A2E"/>
                <w:sz w:val="20"/>
                <w:szCs w:val="20"/>
              </w:rPr>
              <w:t xml:space="preserve">01  Problem Statement</w:t>
            </w:r>
          </w:p>
          <w:p>
            <w:pPr>
              <w:spacing w:after="60" w:before="0"/>
            </w:pPr>
            <w:r>
              <w:rPr>
                <w:rFonts w:ascii="Arial" w:cs="Arial" w:eastAsia="Arial" w:hAnsi="Arial"/>
                <w:color w:val="1A1A2E"/>
                <w:sz w:val="20"/>
                <w:szCs w:val="20"/>
              </w:rPr>
              <w:t xml:space="preserve">02  Our Solution</w:t>
            </w:r>
          </w:p>
          <w:p>
            <w:pPr>
              <w:spacing w:after="60" w:before="0"/>
            </w:pPr>
            <w:r>
              <w:rPr>
                <w:rFonts w:ascii="Arial" w:cs="Arial" w:eastAsia="Arial" w:hAnsi="Arial"/>
                <w:color w:val="1A1A2E"/>
                <w:sz w:val="20"/>
                <w:szCs w:val="20"/>
              </w:rPr>
              <w:t xml:space="preserve">03  How It Works</w:t>
            </w:r>
          </w:p>
          <w:p>
            <w:pPr>
              <w:spacing w:after="0" w:before="0"/>
            </w:pPr>
            <w:r>
              <w:rPr>
                <w:rFonts w:ascii="Arial" w:cs="Arial" w:eastAsia="Arial" w:hAnsi="Arial"/>
                <w:color w:val="1A1A2E"/>
                <w:sz w:val="20"/>
                <w:szCs w:val="20"/>
              </w:rPr>
              <w:t xml:space="preserve">04  Impact &amp; Feasibility</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Bdr>
          <w:bottom w:val="single" w:color="D81B60" w:sz="16" w:space="6"/>
        </w:pBdr>
        <w:spacing w:after="120" w:before="440"/>
      </w:pPr>
      <w:r>
        <w:rPr>
          <w:rFonts w:ascii="Georgia" w:cs="Georgia" w:eastAsia="Georgia" w:hAnsi="Georgia"/>
          <w:b/>
          <w:bCs/>
          <w:color w:val="16213E"/>
          <w:sz w:val="34"/>
          <w:szCs w:val="34"/>
        </w:rPr>
        <w:t xml:space="preserve">01  |  Problem Statement</w:t>
      </w:r>
    </w:p>
    <w:p>
      <w:pPr>
        <w:spacing w:after="0" w:before="100"/>
      </w:pPr>
      <w:r>
        <w:t xml:space="preserve"/>
      </w:r>
    </w:p>
    <w:p>
      <w:pPr>
        <w:spacing w:after="120" w:before="60"/>
        <w:jc w:val="both"/>
      </w:pPr>
      <w:r>
        <w:rPr>
          <w:rFonts w:ascii="Arial" w:cs="Arial" w:eastAsia="Arial" w:hAnsi="Arial"/>
          <w:color w:val="1A1A2E"/>
          <w:sz w:val="22"/>
          <w:szCs w:val="22"/>
        </w:rPr>
        <w:t xml:space="preserve">Moving into a university residence hall is one of the most socially disorienting transitions a young person can face. Despite living metres apart, students frequently feel isolated, uninformed, and unsupported. The tools available to them — noticeboards, mass emails, informal WhatsApp groups — are scattered, passive, and easily ignored.</w:t>
      </w:r>
    </w:p>
    <w:p>
      <w:pPr>
        <w:spacing w:after="120" w:before="60"/>
        <w:jc w:val="both"/>
      </w:pPr>
      <w:r>
        <w:rPr>
          <w:rFonts w:ascii="Arial" w:cs="Arial" w:eastAsia="Arial" w:hAnsi="Arial"/>
          <w:color w:val="1A1A2E"/>
          <w:sz w:val="22"/>
          <w:szCs w:val="22"/>
        </w:rPr>
        <w:t xml:space="preserve">The result is a fragmented residential experience that harms wellbeing, reduces engagement with campus life, and — at its most severe — contributes to dropout. PUZZLES was conceived to address this directly.</w:t>
      </w:r>
    </w:p>
    <w:p>
      <w:pPr>
        <w:spacing w:after="60" w:before="60"/>
      </w:pPr>
      <w:r>
        <w:t xml:space="preserve"/>
      </w:r>
    </w:p>
    <w:p>
      <w:pPr>
        <w:spacing w:after="60" w:before="200"/>
      </w:pPr>
      <w:r>
        <w:rPr>
          <w:rFonts w:ascii="Arial" w:cs="Arial" w:eastAsia="Arial" w:hAnsi="Arial"/>
          <w:b/>
          <w:bCs/>
          <w:color w:val="5C6070"/>
          <w:spacing w:val="30"/>
          <w:sz w:val="18"/>
          <w:szCs w:val="18"/>
        </w:rPr>
        <w:t xml:space="preserve">KEY STATISTICS</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2912"/>
        <w:gridCol w:w="2912"/>
        <w:gridCol w:w="2914"/>
      </w:tblGrid>
      <w:tr>
        <w:tc>
          <w:tcPr>
            <w:tcW w:type="dxa" w:w="2912"/>
            <w:tcBorders>
              <w:top w:val="single" w:color="E91E8C" w:sz="6"/>
              <w:left w:val="single" w:color="E91E8C" w:sz="6"/>
              <w:bottom w:val="single" w:color="E91E8C" w:sz="6"/>
              <w:right w:val="single" w:color="E91E8C" w:sz="6"/>
            </w:tcBorders>
            <w:shd w:fill="FFF0F5" w:val="clear"/>
            <w:tcMar>
              <w:top w:type="dxa" w:w="160"/>
              <w:left w:type="dxa" w:w="160"/>
              <w:bottom w:type="dxa" w:w="160"/>
              <w:right w:type="dxa" w:w="160"/>
            </w:tcMar>
            <w:vAlign w:val="center"/>
          </w:tcPr>
          <w:p>
            <w:pPr>
              <w:spacing w:after="60" w:before="0"/>
              <w:jc w:val="center"/>
            </w:pPr>
            <w:r>
              <w:rPr>
                <w:rFonts w:ascii="Georgia" w:cs="Georgia" w:eastAsia="Georgia" w:hAnsi="Georgia"/>
                <w:b/>
                <w:bCs/>
                <w:color w:val="C2185B"/>
                <w:sz w:val="48"/>
                <w:szCs w:val="48"/>
              </w:rPr>
              <w:t xml:space="preserve">67%</w:t>
            </w:r>
          </w:p>
          <w:p>
            <w:pPr>
              <w:spacing w:after="0" w:before="0"/>
              <w:jc w:val="center"/>
            </w:pPr>
            <w:r>
              <w:rPr>
                <w:rFonts w:ascii="Arial" w:cs="Arial" w:eastAsia="Arial" w:hAnsi="Arial"/>
                <w:color w:val="5C6070"/>
                <w:sz w:val="18"/>
                <w:szCs w:val="18"/>
              </w:rPr>
              <w:t xml:space="preserve">of first-year students report loneliness in their first term</w:t>
            </w:r>
          </w:p>
        </w:tc>
        <w:tc>
          <w:tcPr>
            <w:tcW w:type="dxa" w:w="2912"/>
            <w:tcBorders>
              <w:top w:val="single" w:color="7B1FA2" w:sz="6"/>
              <w:left w:val="single" w:color="7B1FA2" w:sz="6"/>
              <w:bottom w:val="single" w:color="7B1FA2" w:sz="6"/>
              <w:right w:val="single" w:color="7B1FA2" w:sz="6"/>
            </w:tcBorders>
            <w:shd w:fill="F3EFF9" w:val="clear"/>
            <w:tcMar>
              <w:top w:type="dxa" w:w="160"/>
              <w:left w:type="dxa" w:w="160"/>
              <w:bottom w:type="dxa" w:w="160"/>
              <w:right w:type="dxa" w:w="160"/>
            </w:tcMar>
            <w:vAlign w:val="center"/>
          </w:tcPr>
          <w:p>
            <w:pPr>
              <w:spacing w:after="60" w:before="0"/>
              <w:jc w:val="center"/>
            </w:pPr>
            <w:r>
              <w:rPr>
                <w:rFonts w:ascii="Georgia" w:cs="Georgia" w:eastAsia="Georgia" w:hAnsi="Georgia"/>
                <w:b/>
                <w:bCs/>
                <w:color w:val="512DA8"/>
                <w:sz w:val="48"/>
                <w:szCs w:val="48"/>
              </w:rPr>
              <w:t xml:space="preserve">3 in 5</w:t>
            </w:r>
          </w:p>
          <w:p>
            <w:pPr>
              <w:spacing w:after="0" w:before="0"/>
              <w:jc w:val="center"/>
            </w:pPr>
            <w:r>
              <w:rPr>
                <w:rFonts w:ascii="Arial" w:cs="Arial" w:eastAsia="Arial" w:hAnsi="Arial"/>
                <w:color w:val="5C6070"/>
                <w:sz w:val="18"/>
                <w:szCs w:val="18"/>
              </w:rPr>
              <w:t xml:space="preserve">students miss events simply because they didn't know about them</w:t>
            </w:r>
          </w:p>
        </w:tc>
        <w:tc>
          <w:tcPr>
            <w:tcW w:type="dxa" w:w="2914"/>
            <w:tcBorders>
              <w:top w:val="single" w:color="E91E8C" w:sz="6"/>
              <w:left w:val="single" w:color="E91E8C" w:sz="6"/>
              <w:bottom w:val="single" w:color="E91E8C" w:sz="6"/>
              <w:right w:val="single" w:color="E91E8C" w:sz="6"/>
            </w:tcBorders>
            <w:shd w:fill="FFF0F5" w:val="clear"/>
            <w:tcMar>
              <w:top w:type="dxa" w:w="160"/>
              <w:left w:type="dxa" w:w="160"/>
              <w:bottom w:type="dxa" w:w="160"/>
              <w:right w:type="dxa" w:w="160"/>
            </w:tcMar>
            <w:vAlign w:val="center"/>
          </w:tcPr>
          <w:p>
            <w:pPr>
              <w:spacing w:after="60" w:before="0"/>
              <w:jc w:val="center"/>
            </w:pPr>
            <w:r>
              <w:rPr>
                <w:rFonts w:ascii="Georgia" w:cs="Georgia" w:eastAsia="Georgia" w:hAnsi="Georgia"/>
                <w:b/>
                <w:bCs/>
                <w:color w:val="C2185B"/>
                <w:sz w:val="48"/>
                <w:szCs w:val="48"/>
              </w:rPr>
              <w:t xml:space="preserve">40%</w:t>
            </w:r>
          </w:p>
          <w:p>
            <w:pPr>
              <w:spacing w:after="0" w:before="0"/>
              <w:jc w:val="center"/>
            </w:pPr>
            <w:r>
              <w:rPr>
                <w:rFonts w:ascii="Arial" w:cs="Arial" w:eastAsia="Arial" w:hAnsi="Arial"/>
                <w:color w:val="5C6070"/>
                <w:sz w:val="18"/>
                <w:szCs w:val="18"/>
              </w:rPr>
              <w:t xml:space="preserve">of dropouts cite social disconnection as a contributing factor</w:t>
            </w:r>
          </w:p>
        </w:tc>
      </w:tr>
    </w:tbl>
    <w:p>
      <w:pPr>
        <w:spacing w:after="60" w:before="60"/>
      </w:pPr>
      <w:r>
        <w:t xml:space="preserve"/>
      </w:r>
    </w:p>
    <w:p>
      <w:pPr>
        <w:spacing w:after="80" w:before="280"/>
      </w:pPr>
      <w:r>
        <w:rPr>
          <w:rFonts w:ascii="Georgia" w:cs="Georgia" w:eastAsia="Georgia" w:hAnsi="Georgia"/>
          <w:b/>
          <w:bCs/>
          <w:color w:val="512DA8"/>
          <w:sz w:val="26"/>
          <w:szCs w:val="26"/>
        </w:rPr>
        <w:t xml:space="preserve">Core Pain Points</w:t>
      </w:r>
    </w:p>
    <w:p>
      <w:pPr>
        <w:spacing w:after="120" w:before="60"/>
        <w:jc w:val="both"/>
      </w:pPr>
      <w:r>
        <w:rPr>
          <w:rFonts w:ascii="Arial" w:cs="Arial" w:eastAsia="Arial" w:hAnsi="Arial"/>
          <w:color w:val="1A1A2E"/>
          <w:sz w:val="22"/>
          <w:szCs w:val="22"/>
        </w:rPr>
        <w:t xml:space="preserve">The following four issues consistently emerge from student welfare research and residential life surveys:</w:t>
      </w:r>
    </w:p>
    <w:p>
      <w:pPr>
        <w:spacing w:after="60" w:before="60"/>
      </w:pPr>
      <w:r>
        <w:t xml:space="preserve"/>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600"/>
        <w:gridCol w:w="6138"/>
      </w:tblGrid>
      <w:tr>
        <w:tc>
          <w:tcPr>
            <w:tcW w:type="dxa" w:w="2600"/>
            <w:tcBorders>
              <w:top w:val="single" w:color="C2185B" w:sz="1"/>
              <w:left w:val="single" w:color="C2185B" w:sz="1"/>
              <w:bottom w:val="single" w:color="C2185B" w:sz="1"/>
              <w:right w:val="single" w:color="C2185B" w:sz="1"/>
            </w:tcBorders>
            <w:shd w:fill="C2185B" w:val="clear"/>
            <w:tcMar>
              <w:top w:type="dxa" w:w="120"/>
              <w:left w:type="dxa" w:w="140"/>
              <w:bottom w:type="dxa" w:w="120"/>
              <w:right w:type="dxa" w:w="140"/>
            </w:tcMar>
          </w:tcPr>
          <w:p>
            <w:r>
              <w:rPr>
                <w:rFonts w:ascii="Arial" w:cs="Arial" w:eastAsia="Arial" w:hAnsi="Arial"/>
                <w:b/>
                <w:bCs/>
                <w:color w:val="FFFFFF"/>
                <w:sz w:val="21"/>
                <w:szCs w:val="21"/>
              </w:rPr>
              <w:t xml:space="preserve">Pain Point</w:t>
            </w:r>
          </w:p>
        </w:tc>
        <w:tc>
          <w:tcPr>
            <w:tcW w:type="dxa" w:w="6138"/>
            <w:tcBorders>
              <w:top w:val="single" w:color="C2185B" w:sz="1"/>
              <w:left w:val="single" w:color="C2185B" w:sz="1"/>
              <w:bottom w:val="single" w:color="C2185B" w:sz="1"/>
              <w:right w:val="single" w:color="C2185B" w:sz="1"/>
            </w:tcBorders>
            <w:shd w:fill="C2185B" w:val="clear"/>
            <w:tcMar>
              <w:top w:type="dxa" w:w="120"/>
              <w:left w:type="dxa" w:w="140"/>
              <w:bottom w:type="dxa" w:w="120"/>
              <w:right w:type="dxa" w:w="140"/>
            </w:tcMar>
          </w:tcPr>
          <w:p>
            <w:r>
              <w:rPr>
                <w:rFonts w:ascii="Arial" w:cs="Arial" w:eastAsia="Arial" w:hAnsi="Arial"/>
                <w:b/>
                <w:bCs/>
                <w:color w:val="FFFFFF"/>
                <w:sz w:val="21"/>
                <w:szCs w:val="21"/>
              </w:rPr>
              <w:t xml:space="preserve">What Students Experience</w:t>
            </w:r>
          </w:p>
        </w:tc>
      </w:tr>
      <w:tr>
        <w:tc>
          <w:tcPr>
            <w:tcW w:type="dxa" w:w="2600"/>
            <w:tcBorders>
              <w:top w:val="single" w:color="DEDEDE" w:sz="4"/>
              <w:left w:val="single" w:color="DEDEDE" w:sz="4"/>
              <w:bottom w:val="single" w:color="DEDEDE" w:sz="4"/>
              <w:right w:val="single" w:color="DEDEDE" w:sz="4"/>
            </w:tcBorders>
            <w:shd w:fill="FFF0F5" w:val="clear"/>
            <w:tcMar>
              <w:top w:type="dxa" w:w="110"/>
              <w:left w:type="dxa" w:w="140"/>
              <w:bottom w:type="dxa" w:w="110"/>
              <w:right w:type="dxa" w:w="140"/>
            </w:tcMar>
          </w:tcPr>
          <w:p>
            <w:r>
              <w:rPr>
                <w:rFonts w:ascii="Arial" w:cs="Arial" w:eastAsia="Arial" w:hAnsi="Arial"/>
                <w:b/>
                <w:bCs/>
                <w:color w:val="C2185B"/>
                <w:sz w:val="20"/>
                <w:szCs w:val="20"/>
              </w:rPr>
              <w:t xml:space="preserve">No Discovery Layer</w:t>
            </w:r>
          </w:p>
        </w:tc>
        <w:tc>
          <w:tcPr>
            <w:tcW w:type="dxa" w:w="61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There is no easy way to find peers who share your interests, gaming preferences, or study schedule. Organic connection is left entirely to chance.</w:t>
            </w:r>
          </w:p>
        </w:tc>
      </w:tr>
      <w:tr>
        <w:tc>
          <w:tcPr>
            <w:tcW w:type="dxa" w:w="2600"/>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r>
              <w:rPr>
                <w:rFonts w:ascii="Arial" w:cs="Arial" w:eastAsia="Arial" w:hAnsi="Arial"/>
                <w:b/>
                <w:bCs/>
                <w:color w:val="C2185B"/>
                <w:sz w:val="20"/>
                <w:szCs w:val="20"/>
              </w:rPr>
              <w:t xml:space="preserve">Fragmented Information</w:t>
            </w:r>
          </w:p>
        </w:tc>
        <w:tc>
          <w:tcPr>
            <w:tcW w:type="dxa" w:w="61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Campus information — events, laundry machines, quiet study spots — lives across a dozen disconnected portals, apps, and physical noticeboards.</w:t>
            </w:r>
          </w:p>
        </w:tc>
      </w:tr>
      <w:tr>
        <w:tc>
          <w:tcPr>
            <w:tcW w:type="dxa" w:w="2600"/>
            <w:tcBorders>
              <w:top w:val="single" w:color="DEDEDE" w:sz="4"/>
              <w:left w:val="single" w:color="DEDEDE" w:sz="4"/>
              <w:bottom w:val="single" w:color="DEDEDE" w:sz="4"/>
              <w:right w:val="single" w:color="DEDEDE" w:sz="4"/>
            </w:tcBorders>
            <w:shd w:fill="FFF0F5" w:val="clear"/>
            <w:tcMar>
              <w:top w:type="dxa" w:w="110"/>
              <w:left w:type="dxa" w:w="140"/>
              <w:bottom w:type="dxa" w:w="110"/>
              <w:right w:type="dxa" w:w="140"/>
            </w:tcMar>
          </w:tcPr>
          <w:p>
            <w:r>
              <w:rPr>
                <w:rFonts w:ascii="Arial" w:cs="Arial" w:eastAsia="Arial" w:hAnsi="Arial"/>
                <w:b/>
                <w:bCs/>
                <w:color w:val="C2185B"/>
                <w:sz w:val="20"/>
                <w:szCs w:val="20"/>
              </w:rPr>
              <w:t xml:space="preserve">Invisible Wellbeing</w:t>
            </w:r>
          </w:p>
        </w:tc>
        <w:tc>
          <w:tcPr>
            <w:tcW w:type="dxa" w:w="61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Welfare teams lack real-time signals about how residents are feeling. Problems go undetected until they escalate into crises.</w:t>
            </w:r>
          </w:p>
        </w:tc>
      </w:tr>
      <w:tr>
        <w:tc>
          <w:tcPr>
            <w:tcW w:type="dxa" w:w="2600"/>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r>
              <w:rPr>
                <w:rFonts w:ascii="Arial" w:cs="Arial" w:eastAsia="Arial" w:hAnsi="Arial"/>
                <w:b/>
                <w:bCs/>
                <w:color w:val="C2185B"/>
                <w:sz w:val="20"/>
                <w:szCs w:val="20"/>
              </w:rPr>
              <w:t xml:space="preserve">No Shared Social Space</w:t>
            </w:r>
          </w:p>
        </w:tc>
        <w:tc>
          <w:tcPr>
            <w:tcW w:type="dxa" w:w="61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Students default to generic tools like Discord or WhatsApp, which have no campus awareness, no community structure, and no institutional support.</w:t>
            </w:r>
          </w:p>
        </w:tc>
      </w:tr>
    </w:tbl>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120"/>
        <w:gridCol w:w="8618"/>
      </w:tblGrid>
      <w:tr>
        <w:tc>
          <w:tcPr>
            <w:tcW w:type="dxa" w:w="120"/>
            <w:tcBorders>
              <w:top w:val="none" w:color="FFFFFF" w:sz="0"/>
              <w:left w:val="none" w:color="FFFFFF" w:sz="0"/>
              <w:bottom w:val="none" w:color="FFFFFF" w:sz="0"/>
              <w:right w:val="none" w:color="FFFFFF" w:sz="0"/>
            </w:tcBorders>
            <w:shd w:fill="C2185B" w:val="clear"/>
            <w:tcMar>
              <w:top w:type="dxa" w:w="0"/>
              <w:left w:type="dxa" w:w="0"/>
              <w:bottom w:type="dxa" w:w="0"/>
              <w:right w:type="dxa" w:w="0"/>
            </w:tcMar>
          </w:tcPr>
          <w:p>
            <w:r>
              <w:t xml:space="preserve"/>
            </w:r>
          </w:p>
        </w:tc>
        <w:tc>
          <w:tcPr>
            <w:tcW w:type="dxa" w:w="8618"/>
            <w:tcBorders>
              <w:top w:val="none" w:color="FFFFFF" w:sz="0"/>
              <w:left w:val="none" w:color="FFFFFF" w:sz="0"/>
              <w:bottom w:val="none" w:color="FFFFFF" w:sz="0"/>
              <w:right w:val="single" w:color="DEDEDE" w:sz="4"/>
            </w:tcBorders>
            <w:shd w:fill="FFF0F5" w:val="clear"/>
            <w:tcMar>
              <w:top w:type="dxa" w:w="140"/>
              <w:left w:type="dxa" w:w="200"/>
              <w:bottom w:type="dxa" w:w="140"/>
              <w:right w:type="dxa" w:w="200"/>
            </w:tcMar>
          </w:tcPr>
          <w:p>
            <w:pPr>
              <w:spacing w:after="60" w:before="0"/>
            </w:pPr>
            <w:r>
              <w:rPr>
                <w:rFonts w:ascii="Arial" w:cs="Arial" w:eastAsia="Arial" w:hAnsi="Arial"/>
                <w:b/>
                <w:bCs/>
                <w:color w:val="C2185B"/>
                <w:sz w:val="20"/>
                <w:szCs w:val="20"/>
              </w:rPr>
              <w:t xml:space="preserve">Why This Matters Now</w:t>
            </w:r>
          </w:p>
          <w:p>
            <w:pPr>
              <w:spacing w:after="0" w:before="0"/>
              <w:jc w:val="both"/>
            </w:pPr>
            <w:r>
              <w:rPr>
                <w:rFonts w:ascii="Arial" w:cs="Arial" w:eastAsia="Arial" w:hAnsi="Arial"/>
                <w:color w:val="1A1A2E"/>
                <w:sz w:val="21"/>
                <w:szCs w:val="21"/>
              </w:rPr>
              <w:t xml:space="preserve">Post-pandemic cohorts are entering university with higher baseline rates of anxiety and lower social confidence than pre-2020 cohorts. Universities face a clear duty of care — and a genuine opportunity to use technology proactively to bridge the gap between a student moving in and a student feeling at home.</w:t>
            </w:r>
          </w:p>
        </w:tc>
      </w:tr>
    </w:tbl>
    <w:p>
      <w:pPr>
        <w:spacing w:after="60" w:before="60"/>
      </w:pPr>
      <w:r>
        <w:t xml:space="preserve"/>
      </w:r>
    </w:p>
    <w:p>
      <w:r>
        <w:br w:type="page"/>
      </w:r>
    </w:p>
    <w:p>
      <w:pPr>
        <w:pBdr>
          <w:bottom w:val="single" w:color="D81B60" w:sz="16" w:space="6"/>
        </w:pBdr>
        <w:spacing w:after="120" w:before="440"/>
      </w:pPr>
      <w:r>
        <w:rPr>
          <w:rFonts w:ascii="Georgia" w:cs="Georgia" w:eastAsia="Georgia" w:hAnsi="Georgia"/>
          <w:b/>
          <w:bCs/>
          <w:color w:val="16213E"/>
          <w:sz w:val="34"/>
          <w:szCs w:val="34"/>
        </w:rPr>
        <w:t xml:space="preserve">02  |  Our Solution</w:t>
      </w:r>
    </w:p>
    <w:p>
      <w:pPr>
        <w:spacing w:after="0" w:before="100"/>
      </w:pPr>
      <w:r>
        <w:t xml:space="preserve"/>
      </w:r>
    </w:p>
    <w:p>
      <w:pPr>
        <w:spacing w:after="120" w:before="60"/>
        <w:jc w:val="both"/>
      </w:pPr>
      <w:r>
        <w:rPr>
          <w:rFonts w:ascii="Arial" w:cs="Arial" w:eastAsia="Arial" w:hAnsi="Arial"/>
          <w:color w:val="1A1A2E"/>
          <w:sz w:val="22"/>
          <w:szCs w:val="22"/>
        </w:rPr>
        <w:t xml:space="preserve">PUZZLES is a unified, AI-powered residential platform that consolidates social discovery, campus utilities, wellbeing tracking, and community-building into a single, coherent experience. Rather than replacing the tools students already use, it adds intelligent, campus-aware context on top of them.</w:t>
      </w:r>
    </w:p>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120"/>
        <w:gridCol w:w="8618"/>
      </w:tblGrid>
      <w:tr>
        <w:tc>
          <w:tcPr>
            <w:tcW w:type="dxa" w:w="120"/>
            <w:tcBorders>
              <w:top w:val="none" w:color="FFFFFF" w:sz="0"/>
              <w:left w:val="none" w:color="FFFFFF" w:sz="0"/>
              <w:bottom w:val="none" w:color="FFFFFF" w:sz="0"/>
              <w:right w:val="none" w:color="FFFFFF" w:sz="0"/>
            </w:tcBorders>
            <w:shd w:fill="512DA8" w:val="clear"/>
            <w:tcMar>
              <w:top w:type="dxa" w:w="0"/>
              <w:left w:type="dxa" w:w="0"/>
              <w:bottom w:type="dxa" w:w="0"/>
              <w:right w:type="dxa" w:w="0"/>
            </w:tcMar>
          </w:tcPr>
          <w:p>
            <w:r>
              <w:t xml:space="preserve"/>
            </w:r>
          </w:p>
        </w:tc>
        <w:tc>
          <w:tcPr>
            <w:tcW w:type="dxa" w:w="8618"/>
            <w:tcBorders>
              <w:top w:val="none" w:color="FFFFFF" w:sz="0"/>
              <w:left w:val="none" w:color="FFFFFF" w:sz="0"/>
              <w:bottom w:val="none" w:color="FFFFFF" w:sz="0"/>
              <w:right w:val="single" w:color="DEDEDE" w:sz="4"/>
            </w:tcBorders>
            <w:shd w:fill="F3EFF9" w:val="clear"/>
            <w:tcMar>
              <w:top w:type="dxa" w:w="140"/>
              <w:left w:type="dxa" w:w="200"/>
              <w:bottom w:type="dxa" w:w="140"/>
              <w:right w:type="dxa" w:w="200"/>
            </w:tcMar>
          </w:tcPr>
          <w:p>
            <w:pPr>
              <w:spacing w:after="60" w:before="0"/>
            </w:pPr>
            <w:r>
              <w:rPr>
                <w:rFonts w:ascii="Arial" w:cs="Arial" w:eastAsia="Arial" w:hAnsi="Arial"/>
                <w:b/>
                <w:bCs/>
                <w:color w:val="512DA8"/>
                <w:sz w:val="20"/>
                <w:szCs w:val="20"/>
              </w:rPr>
              <w:t xml:space="preserve">Platform Vision</w:t>
            </w:r>
          </w:p>
          <w:p>
            <w:pPr>
              <w:spacing w:after="0" w:before="0"/>
              <w:jc w:val="both"/>
            </w:pPr>
            <w:r>
              <w:rPr>
                <w:rFonts w:ascii="Arial" w:cs="Arial" w:eastAsia="Arial" w:hAnsi="Arial"/>
                <w:color w:val="1A1A2E"/>
                <w:sz w:val="21"/>
                <w:szCs w:val="21"/>
              </w:rPr>
              <w:t xml:space="preserve">Think of PUZZLES as Discord × Spotify × a smart campus assistant — purpose-built for the residential environment. One application that understands who you are, who your people are, and what is happening around you right now.</w:t>
            </w:r>
          </w:p>
        </w:tc>
      </w:tr>
    </w:tbl>
    <w:p>
      <w:pPr>
        <w:spacing w:after="60" w:before="60"/>
      </w:pPr>
      <w:r>
        <w:t xml:space="preserve"/>
      </w:r>
    </w:p>
    <w:p>
      <w:pPr>
        <w:spacing w:after="80" w:before="280"/>
      </w:pPr>
      <w:r>
        <w:rPr>
          <w:rFonts w:ascii="Georgia" w:cs="Georgia" w:eastAsia="Georgia" w:hAnsi="Georgia"/>
          <w:b/>
          <w:bCs/>
          <w:color w:val="512DA8"/>
          <w:sz w:val="26"/>
          <w:szCs w:val="26"/>
        </w:rPr>
        <w:t xml:space="preserve">Core Feature Set</w:t>
      </w:r>
    </w:p>
    <w:p>
      <w:pPr>
        <w:spacing w:after="120" w:before="60"/>
        <w:jc w:val="both"/>
      </w:pPr>
      <w:r>
        <w:rPr>
          <w:rFonts w:ascii="Arial" w:cs="Arial" w:eastAsia="Arial" w:hAnsi="Arial"/>
          <w:color w:val="1A1A2E"/>
          <w:sz w:val="22"/>
          <w:szCs w:val="22"/>
        </w:rPr>
        <w:t xml:space="preserve">The following table summarises each major feature, what it does for the student, and the technology underpinning it.</w:t>
      </w:r>
    </w:p>
    <w:p>
      <w:pPr>
        <w:spacing w:after="60" w:before="60"/>
      </w:pPr>
      <w:r>
        <w:t xml:space="preserve"/>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2100"/>
      </w:tblGrid>
      <w:tr>
        <w:tc>
          <w:tcPr>
            <w:tcW w:type="dxa" w:w="2400"/>
            <w:tcBorders>
              <w:top w:val="single" w:color="512DA8" w:sz="1"/>
              <w:left w:val="single" w:color="512DA8" w:sz="1"/>
              <w:bottom w:val="single" w:color="512DA8" w:sz="1"/>
              <w:right w:val="single" w:color="512DA8" w:sz="1"/>
            </w:tcBorders>
            <w:shd w:fill="512DA8" w:val="clear"/>
            <w:tcMar>
              <w:top w:type="dxa" w:w="120"/>
              <w:left w:type="dxa" w:w="140"/>
              <w:bottom w:type="dxa" w:w="120"/>
              <w:right w:type="dxa" w:w="140"/>
            </w:tcMar>
          </w:tcPr>
          <w:p>
            <w:r>
              <w:rPr>
                <w:rFonts w:ascii="Arial" w:cs="Arial" w:eastAsia="Arial" w:hAnsi="Arial"/>
                <w:b/>
                <w:bCs/>
                <w:color w:val="FFFFFF"/>
                <w:sz w:val="20"/>
                <w:szCs w:val="20"/>
              </w:rPr>
              <w:t xml:space="preserve">Feature</w:t>
            </w:r>
          </w:p>
        </w:tc>
        <w:tc>
          <w:tcPr>
            <w:tcW w:type="dxa" w:w="4238"/>
            <w:tcBorders>
              <w:top w:val="single" w:color="512DA8" w:sz="1"/>
              <w:left w:val="single" w:color="512DA8" w:sz="1"/>
              <w:bottom w:val="single" w:color="512DA8" w:sz="1"/>
              <w:right w:val="single" w:color="512DA8" w:sz="1"/>
            </w:tcBorders>
            <w:shd w:fill="512DA8" w:val="clear"/>
            <w:tcMar>
              <w:top w:type="dxa" w:w="120"/>
              <w:left w:type="dxa" w:w="140"/>
              <w:bottom w:type="dxa" w:w="120"/>
              <w:right w:type="dxa" w:w="140"/>
            </w:tcMar>
          </w:tcPr>
          <w:p>
            <w:r>
              <w:rPr>
                <w:rFonts w:ascii="Arial" w:cs="Arial" w:eastAsia="Arial" w:hAnsi="Arial"/>
                <w:b/>
                <w:bCs/>
                <w:color w:val="FFFFFF"/>
                <w:sz w:val="20"/>
                <w:szCs w:val="20"/>
              </w:rPr>
              <w:t xml:space="preserve">What It Does</w:t>
            </w:r>
          </w:p>
        </w:tc>
        <w:tc>
          <w:tcPr>
            <w:tcW w:type="dxa" w:w="2100"/>
            <w:tcBorders>
              <w:top w:val="single" w:color="512DA8" w:sz="1"/>
              <w:left w:val="single" w:color="512DA8" w:sz="1"/>
              <w:bottom w:val="single" w:color="512DA8" w:sz="1"/>
              <w:right w:val="single" w:color="512DA8" w:sz="1"/>
            </w:tcBorders>
            <w:shd w:fill="512DA8" w:val="clear"/>
            <w:tcMar>
              <w:top w:type="dxa" w:w="120"/>
              <w:left w:type="dxa" w:w="140"/>
              <w:bottom w:type="dxa" w:w="120"/>
              <w:right w:type="dxa" w:w="140"/>
            </w:tcMar>
          </w:tcPr>
          <w:p>
            <w:r>
              <w:rPr>
                <w:rFonts w:ascii="Arial" w:cs="Arial" w:eastAsia="Arial" w:hAnsi="Arial"/>
                <w:b/>
                <w:bCs/>
                <w:color w:val="FFFFFF"/>
                <w:sz w:val="20"/>
                <w:szCs w:val="20"/>
              </w:rPr>
              <w:t xml:space="preserve">Technology</w:t>
            </w:r>
          </w:p>
        </w:tc>
      </w:tr>
      <w:tr>
        <w:tc>
          <w:tcPr>
            <w:tcW w:type="dxa" w:w="2400"/>
            <w:tcBorders>
              <w:top w:val="single" w:color="DEDEDE" w:sz="4"/>
              <w:left w:val="single" w:color="DEDEDE" w:sz="4"/>
              <w:bottom w:val="single" w:color="DEDEDE" w:sz="4"/>
              <w:right w:val="single" w:color="DEDEDE" w:sz="4"/>
            </w:tcBorders>
            <w:shd w:fill="F3EFF9" w:val="clear"/>
            <w:tcMar>
              <w:top w:type="dxa" w:w="100"/>
              <w:left w:type="dxa" w:w="140"/>
              <w:bottom w:type="dxa" w:w="100"/>
              <w:right w:type="dxa" w:w="140"/>
            </w:tcMar>
          </w:tcPr>
          <w:p>
            <w:pPr>
              <w:jc w:val="left"/>
            </w:pPr>
            <w:r>
              <w:rPr>
                <w:rFonts w:ascii="Arial" w:cs="Arial" w:eastAsia="Arial" w:hAnsi="Arial"/>
                <w:b/>
                <w:bCs/>
                <w:color w:val="512DA8"/>
                <w:sz w:val="20"/>
                <w:szCs w:val="20"/>
              </w:rPr>
              <w:t xml:space="preserve">Social Matching Engine</w:t>
            </w:r>
          </w:p>
        </w:tc>
        <w:tc>
          <w:tcPr>
            <w:tcW w:type="dxa" w:w="4238"/>
            <w:tcBorders>
              <w:top w:val="single" w:color="DEDEDE" w:sz="4"/>
              <w:left w:val="single" w:color="DEDEDE" w:sz="4"/>
              <w:bottom w:val="single" w:color="DEDEDE" w:sz="4"/>
              <w:right w:val="single" w:color="DEDEDE" w:sz="4"/>
            </w:tcBorders>
            <w:shd w:fill="FFFFFF" w:val="clear"/>
            <w:tcMar>
              <w:top w:type="dxa" w:w="100"/>
              <w:left w:type="dxa" w:w="140"/>
              <w:bottom w:type="dxa" w:w="100"/>
              <w:right w:type="dxa" w:w="140"/>
            </w:tcMar>
          </w:tcPr>
          <w:p>
            <w:pPr>
              <w:jc w:val="both"/>
            </w:pPr>
            <w:r>
              <w:rPr>
                <w:rFonts w:ascii="Arial" w:cs="Arial" w:eastAsia="Arial" w:hAnsi="Arial"/>
                <w:b w:val="false"/>
                <w:bCs w:val="false"/>
                <w:color w:val="1A1A2E"/>
                <w:sz w:val="20"/>
                <w:szCs w:val="20"/>
              </w:rPr>
              <w:t xml:space="preserve">Onboarding quiz feeds an AI that finds compatible peers by interest, music taste, gaming style, and study habits, displaying a compatibility percentage on each profile.</w:t>
            </w:r>
          </w:p>
        </w:tc>
        <w:tc>
          <w:tcPr>
            <w:tcW w:type="dxa" w:w="2100"/>
            <w:tcBorders>
              <w:top w:val="single" w:color="DEDEDE" w:sz="4"/>
              <w:left w:val="single" w:color="DEDEDE" w:sz="4"/>
              <w:bottom w:val="single" w:color="DEDEDE" w:sz="4"/>
              <w:right w:val="single" w:color="DEDEDE" w:sz="4"/>
            </w:tcBorders>
            <w:shd w:fill="F7F7F9" w:val="clear"/>
            <w:tcMar>
              <w:top w:type="dxa" w:w="100"/>
              <w:left w:type="dxa" w:w="140"/>
              <w:bottom w:type="dxa" w:w="100"/>
              <w:right w:type="dxa" w:w="140"/>
            </w:tcMar>
          </w:tcPr>
          <w:p>
            <w:pPr>
              <w:jc w:val="both"/>
            </w:pPr>
            <w:r>
              <w:rPr>
                <w:rFonts w:ascii="Arial" w:cs="Arial" w:eastAsia="Arial" w:hAnsi="Arial"/>
                <w:b w:val="false"/>
                <w:bCs w:val="false"/>
                <w:color w:val="5C6070"/>
                <w:sz w:val="20"/>
                <w:szCs w:val="20"/>
              </w:rPr>
              <w:t xml:space="preserve">OpenAI embeddings + cosine similarity</w:t>
            </w:r>
          </w:p>
        </w:tc>
      </w:tr>
      <w:tr>
        <w:tc>
          <w:tcPr>
            <w:tcW w:type="dxa" w:w="2400"/>
            <w:tcBorders>
              <w:top w:val="single" w:color="DEDEDE" w:sz="4"/>
              <w:left w:val="single" w:color="DEDEDE" w:sz="4"/>
              <w:bottom w:val="single" w:color="DEDEDE" w:sz="4"/>
              <w:right w:val="single" w:color="DEDEDE" w:sz="4"/>
            </w:tcBorders>
            <w:shd w:fill="FFF0F5" w:val="clear"/>
            <w:tcMar>
              <w:top w:type="dxa" w:w="100"/>
              <w:left w:type="dxa" w:w="140"/>
              <w:bottom w:type="dxa" w:w="100"/>
              <w:right w:type="dxa" w:w="140"/>
            </w:tcMar>
          </w:tcPr>
          <w:p>
            <w:pPr>
              <w:jc w:val="left"/>
            </w:pPr>
            <w:r>
              <w:rPr>
                <w:rFonts w:ascii="Arial" w:cs="Arial" w:eastAsia="Arial" w:hAnsi="Arial"/>
                <w:b/>
                <w:bCs/>
                <w:color w:val="512DA8"/>
                <w:sz w:val="20"/>
                <w:szCs w:val="20"/>
              </w:rPr>
              <w:t xml:space="preserve">Community Hub</w:t>
            </w:r>
          </w:p>
        </w:tc>
        <w:tc>
          <w:tcPr>
            <w:tcW w:type="dxa" w:w="4238"/>
            <w:tcBorders>
              <w:top w:val="single" w:color="DEDEDE" w:sz="4"/>
              <w:left w:val="single" w:color="DEDEDE" w:sz="4"/>
              <w:bottom w:val="single" w:color="DEDEDE" w:sz="4"/>
              <w:right w:val="single" w:color="DEDEDE" w:sz="4"/>
            </w:tcBorders>
            <w:shd w:fill="FFFFFF" w:val="clear"/>
            <w:tcMar>
              <w:top w:type="dxa" w:w="100"/>
              <w:left w:type="dxa" w:w="140"/>
              <w:bottom w:type="dxa" w:w="100"/>
              <w:right w:type="dxa" w:w="140"/>
            </w:tcMar>
          </w:tcPr>
          <w:p>
            <w:pPr>
              <w:jc w:val="both"/>
            </w:pPr>
            <w:r>
              <w:rPr>
                <w:rFonts w:ascii="Arial" w:cs="Arial" w:eastAsia="Arial" w:hAnsi="Arial"/>
                <w:b w:val="false"/>
                <w:bCs w:val="false"/>
                <w:color w:val="1A1A2E"/>
                <w:sz w:val="20"/>
                <w:szCs w:val="20"/>
              </w:rPr>
              <w:t xml:space="preserve">Gaming servers with voice channels, collaborative music jam rooms with live playlist voting, and interest-based friend circles with built-in icebreaker prompts.</w:t>
            </w:r>
          </w:p>
        </w:tc>
        <w:tc>
          <w:tcPr>
            <w:tcW w:type="dxa" w:w="2100"/>
            <w:tcBorders>
              <w:top w:val="single" w:color="DEDEDE" w:sz="4"/>
              <w:left w:val="single" w:color="DEDEDE" w:sz="4"/>
              <w:bottom w:val="single" w:color="DEDEDE" w:sz="4"/>
              <w:right w:val="single" w:color="DEDEDE" w:sz="4"/>
            </w:tcBorders>
            <w:shd w:fill="F7F7F9" w:val="clear"/>
            <w:tcMar>
              <w:top w:type="dxa" w:w="100"/>
              <w:left w:type="dxa" w:w="140"/>
              <w:bottom w:type="dxa" w:w="100"/>
              <w:right w:type="dxa" w:w="140"/>
            </w:tcMar>
          </w:tcPr>
          <w:p>
            <w:pPr>
              <w:jc w:val="both"/>
            </w:pPr>
            <w:r>
              <w:rPr>
                <w:rFonts w:ascii="Arial" w:cs="Arial" w:eastAsia="Arial" w:hAnsi="Arial"/>
                <w:b w:val="false"/>
                <w:bCs w:val="false"/>
                <w:color w:val="5C6070"/>
                <w:sz w:val="20"/>
                <w:szCs w:val="20"/>
              </w:rPr>
              <w:t xml:space="preserve">WebSockets · Firebase Realtime DB</w:t>
            </w:r>
          </w:p>
        </w:tc>
      </w:tr>
      <w:tr>
        <w:tc>
          <w:tcPr>
            <w:tcW w:type="dxa" w:w="2400"/>
            <w:tcBorders>
              <w:top w:val="single" w:color="DEDEDE" w:sz="4"/>
              <w:left w:val="single" w:color="DEDEDE" w:sz="4"/>
              <w:bottom w:val="single" w:color="DEDEDE" w:sz="4"/>
              <w:right w:val="single" w:color="DEDEDE" w:sz="4"/>
            </w:tcBorders>
            <w:shd w:fill="F3EFF9" w:val="clear"/>
            <w:tcMar>
              <w:top w:type="dxa" w:w="100"/>
              <w:left w:type="dxa" w:w="140"/>
              <w:bottom w:type="dxa" w:w="100"/>
              <w:right w:type="dxa" w:w="140"/>
            </w:tcMar>
          </w:tcPr>
          <w:p>
            <w:pPr>
              <w:jc w:val="left"/>
            </w:pPr>
            <w:r>
              <w:rPr>
                <w:rFonts w:ascii="Arial" w:cs="Arial" w:eastAsia="Arial" w:hAnsi="Arial"/>
                <w:b/>
                <w:bCs/>
                <w:color w:val="512DA8"/>
                <w:sz w:val="20"/>
                <w:szCs w:val="20"/>
              </w:rPr>
              <w:t xml:space="preserve">AI Residential Assistant</w:t>
            </w:r>
          </w:p>
        </w:tc>
        <w:tc>
          <w:tcPr>
            <w:tcW w:type="dxa" w:w="4238"/>
            <w:tcBorders>
              <w:top w:val="single" w:color="DEDEDE" w:sz="4"/>
              <w:left w:val="single" w:color="DEDEDE" w:sz="4"/>
              <w:bottom w:val="single" w:color="DEDEDE" w:sz="4"/>
              <w:right w:val="single" w:color="DEDEDE" w:sz="4"/>
            </w:tcBorders>
            <w:shd w:fill="FFFFFF" w:val="clear"/>
            <w:tcMar>
              <w:top w:type="dxa" w:w="100"/>
              <w:left w:type="dxa" w:w="140"/>
              <w:bottom w:type="dxa" w:w="100"/>
              <w:right w:type="dxa" w:w="140"/>
            </w:tcMar>
          </w:tcPr>
          <w:p>
            <w:pPr>
              <w:jc w:val="both"/>
            </w:pPr>
            <w:r>
              <w:rPr>
                <w:rFonts w:ascii="Arial" w:cs="Arial" w:eastAsia="Arial" w:hAnsi="Arial"/>
                <w:b w:val="false"/>
                <w:bCs w:val="false"/>
                <w:color w:val="1A1A2E"/>
                <w:sz w:val="20"/>
                <w:szCs w:val="20"/>
              </w:rPr>
              <w:t xml:space="preserve">A conversational chatbot that answers campus queries, surfaces upcoming events, logs maintenance requests, and recommends study spaces.</w:t>
            </w:r>
          </w:p>
        </w:tc>
        <w:tc>
          <w:tcPr>
            <w:tcW w:type="dxa" w:w="2100"/>
            <w:tcBorders>
              <w:top w:val="single" w:color="DEDEDE" w:sz="4"/>
              <w:left w:val="single" w:color="DEDEDE" w:sz="4"/>
              <w:bottom w:val="single" w:color="DEDEDE" w:sz="4"/>
              <w:right w:val="single" w:color="DEDEDE" w:sz="4"/>
            </w:tcBorders>
            <w:shd w:fill="F7F7F9" w:val="clear"/>
            <w:tcMar>
              <w:top w:type="dxa" w:w="100"/>
              <w:left w:type="dxa" w:w="140"/>
              <w:bottom w:type="dxa" w:w="100"/>
              <w:right w:type="dxa" w:w="140"/>
            </w:tcMar>
          </w:tcPr>
          <w:p>
            <w:pPr>
              <w:jc w:val="both"/>
            </w:pPr>
            <w:r>
              <w:rPr>
                <w:rFonts w:ascii="Arial" w:cs="Arial" w:eastAsia="Arial" w:hAnsi="Arial"/>
                <w:b w:val="false"/>
                <w:bCs w:val="false"/>
                <w:color w:val="5C6070"/>
                <w:sz w:val="20"/>
                <w:szCs w:val="20"/>
              </w:rPr>
              <w:t xml:space="preserve">RAG pipeline (GPT-4 + campus KB)</w:t>
            </w:r>
          </w:p>
        </w:tc>
      </w:tr>
      <w:tr>
        <w:tc>
          <w:tcPr>
            <w:tcW w:type="dxa" w:w="2400"/>
            <w:tcBorders>
              <w:top w:val="single" w:color="DEDEDE" w:sz="4"/>
              <w:left w:val="single" w:color="DEDEDE" w:sz="4"/>
              <w:bottom w:val="single" w:color="DEDEDE" w:sz="4"/>
              <w:right w:val="single" w:color="DEDEDE" w:sz="4"/>
            </w:tcBorders>
            <w:shd w:fill="FFF0F5" w:val="clear"/>
            <w:tcMar>
              <w:top w:type="dxa" w:w="100"/>
              <w:left w:type="dxa" w:w="140"/>
              <w:bottom w:type="dxa" w:w="100"/>
              <w:right w:type="dxa" w:w="140"/>
            </w:tcMar>
          </w:tcPr>
          <w:p>
            <w:pPr>
              <w:jc w:val="left"/>
            </w:pPr>
            <w:r>
              <w:rPr>
                <w:rFonts w:ascii="Arial" w:cs="Arial" w:eastAsia="Arial" w:hAnsi="Arial"/>
                <w:b/>
                <w:bCs/>
                <w:color w:val="512DA8"/>
                <w:sz w:val="20"/>
                <w:szCs w:val="20"/>
              </w:rPr>
              <w:t xml:space="preserve">MoodMap</w:t>
            </w:r>
          </w:p>
        </w:tc>
        <w:tc>
          <w:tcPr>
            <w:tcW w:type="dxa" w:w="4238"/>
            <w:tcBorders>
              <w:top w:val="single" w:color="DEDEDE" w:sz="4"/>
              <w:left w:val="single" w:color="DEDEDE" w:sz="4"/>
              <w:bottom w:val="single" w:color="DEDEDE" w:sz="4"/>
              <w:right w:val="single" w:color="DEDEDE" w:sz="4"/>
            </w:tcBorders>
            <w:shd w:fill="FFFFFF" w:val="clear"/>
            <w:tcMar>
              <w:top w:type="dxa" w:w="100"/>
              <w:left w:type="dxa" w:w="140"/>
              <w:bottom w:type="dxa" w:w="100"/>
              <w:right w:type="dxa" w:w="140"/>
            </w:tcMar>
          </w:tcPr>
          <w:p>
            <w:pPr>
              <w:jc w:val="both"/>
            </w:pPr>
            <w:r>
              <w:rPr>
                <w:rFonts w:ascii="Arial" w:cs="Arial" w:eastAsia="Arial" w:hAnsi="Arial"/>
                <w:b w:val="false"/>
                <w:bCs w:val="false"/>
                <w:color w:val="1A1A2E"/>
                <w:sz w:val="20"/>
                <w:szCs w:val="20"/>
              </w:rPr>
              <w:t xml:space="preserve">Daily mood check-ins create an anonymous community wellbeing heatmap. Trend anomalies trigger welfare team alerts for proactive outreach.</w:t>
            </w:r>
          </w:p>
        </w:tc>
        <w:tc>
          <w:tcPr>
            <w:tcW w:type="dxa" w:w="2100"/>
            <w:tcBorders>
              <w:top w:val="single" w:color="DEDEDE" w:sz="4"/>
              <w:left w:val="single" w:color="DEDEDE" w:sz="4"/>
              <w:bottom w:val="single" w:color="DEDEDE" w:sz="4"/>
              <w:right w:val="single" w:color="DEDEDE" w:sz="4"/>
            </w:tcBorders>
            <w:shd w:fill="F7F7F9" w:val="clear"/>
            <w:tcMar>
              <w:top w:type="dxa" w:w="100"/>
              <w:left w:type="dxa" w:w="140"/>
              <w:bottom w:type="dxa" w:w="100"/>
              <w:right w:type="dxa" w:w="140"/>
            </w:tcMar>
          </w:tcPr>
          <w:p>
            <w:pPr>
              <w:jc w:val="both"/>
            </w:pPr>
            <w:r>
              <w:rPr>
                <w:rFonts w:ascii="Arial" w:cs="Arial" w:eastAsia="Arial" w:hAnsi="Arial"/>
                <w:b w:val="false"/>
                <w:bCs w:val="false"/>
                <w:color w:val="5C6070"/>
                <w:sz w:val="20"/>
                <w:szCs w:val="20"/>
              </w:rPr>
              <w:t xml:space="preserve">Aggregated analytics + anonymisation</w:t>
            </w:r>
          </w:p>
        </w:tc>
      </w:tr>
      <w:tr>
        <w:tc>
          <w:tcPr>
            <w:tcW w:type="dxa" w:w="2400"/>
            <w:tcBorders>
              <w:top w:val="single" w:color="DEDEDE" w:sz="4"/>
              <w:left w:val="single" w:color="DEDEDE" w:sz="4"/>
              <w:bottom w:val="single" w:color="DEDEDE" w:sz="4"/>
              <w:right w:val="single" w:color="DEDEDE" w:sz="4"/>
            </w:tcBorders>
            <w:shd w:fill="F3EFF9" w:val="clear"/>
            <w:tcMar>
              <w:top w:type="dxa" w:w="100"/>
              <w:left w:type="dxa" w:w="140"/>
              <w:bottom w:type="dxa" w:w="100"/>
              <w:right w:type="dxa" w:w="140"/>
            </w:tcMar>
          </w:tcPr>
          <w:p>
            <w:pPr>
              <w:jc w:val="left"/>
            </w:pPr>
            <w:r>
              <w:rPr>
                <w:rFonts w:ascii="Arial" w:cs="Arial" w:eastAsia="Arial" w:hAnsi="Arial"/>
                <w:b/>
                <w:bCs/>
                <w:color w:val="512DA8"/>
                <w:sz w:val="20"/>
                <w:szCs w:val="20"/>
              </w:rPr>
              <w:t xml:space="preserve">Smart Study Finder</w:t>
            </w:r>
          </w:p>
        </w:tc>
        <w:tc>
          <w:tcPr>
            <w:tcW w:type="dxa" w:w="4238"/>
            <w:tcBorders>
              <w:top w:val="single" w:color="DEDEDE" w:sz="4"/>
              <w:left w:val="single" w:color="DEDEDE" w:sz="4"/>
              <w:bottom w:val="single" w:color="DEDEDE" w:sz="4"/>
              <w:right w:val="single" w:color="DEDEDE" w:sz="4"/>
            </w:tcBorders>
            <w:shd w:fill="FFFFFF" w:val="clear"/>
            <w:tcMar>
              <w:top w:type="dxa" w:w="100"/>
              <w:left w:type="dxa" w:w="140"/>
              <w:bottom w:type="dxa" w:w="100"/>
              <w:right w:type="dxa" w:w="140"/>
            </w:tcMar>
          </w:tcPr>
          <w:p>
            <w:pPr>
              <w:jc w:val="both"/>
            </w:pPr>
            <w:r>
              <w:rPr>
                <w:rFonts w:ascii="Arial" w:cs="Arial" w:eastAsia="Arial" w:hAnsi="Arial"/>
                <w:b w:val="false"/>
                <w:bCs w:val="false"/>
                <w:color w:val="1A1A2E"/>
                <w:sz w:val="20"/>
                <w:szCs w:val="20"/>
              </w:rPr>
              <w:t xml:space="preserve">Live occupancy display, noise level prediction, and best-time recommendations for each campus study space.</w:t>
            </w:r>
          </w:p>
        </w:tc>
        <w:tc>
          <w:tcPr>
            <w:tcW w:type="dxa" w:w="2100"/>
            <w:tcBorders>
              <w:top w:val="single" w:color="DEDEDE" w:sz="4"/>
              <w:left w:val="single" w:color="DEDEDE" w:sz="4"/>
              <w:bottom w:val="single" w:color="DEDEDE" w:sz="4"/>
              <w:right w:val="single" w:color="DEDEDE" w:sz="4"/>
            </w:tcBorders>
            <w:shd w:fill="F7F7F9" w:val="clear"/>
            <w:tcMar>
              <w:top w:type="dxa" w:w="100"/>
              <w:left w:type="dxa" w:w="140"/>
              <w:bottom w:type="dxa" w:w="100"/>
              <w:right w:type="dxa" w:w="140"/>
            </w:tcMar>
          </w:tcPr>
          <w:p>
            <w:pPr>
              <w:jc w:val="both"/>
            </w:pPr>
            <w:r>
              <w:rPr>
                <w:rFonts w:ascii="Arial" w:cs="Arial" w:eastAsia="Arial" w:hAnsi="Arial"/>
                <w:b w:val="false"/>
                <w:bCs w:val="false"/>
                <w:color w:val="5C6070"/>
                <w:sz w:val="20"/>
                <w:szCs w:val="20"/>
              </w:rPr>
              <w:t xml:space="preserve">ML occupancy model + IoT sensors</w:t>
            </w:r>
          </w:p>
        </w:tc>
      </w:tr>
      <w:tr>
        <w:tc>
          <w:tcPr>
            <w:tcW w:type="dxa" w:w="2400"/>
            <w:tcBorders>
              <w:top w:val="single" w:color="DEDEDE" w:sz="4"/>
              <w:left w:val="single" w:color="DEDEDE" w:sz="4"/>
              <w:bottom w:val="single" w:color="DEDEDE" w:sz="4"/>
              <w:right w:val="single" w:color="DEDEDE" w:sz="4"/>
            </w:tcBorders>
            <w:shd w:fill="FFF0F5" w:val="clear"/>
            <w:tcMar>
              <w:top w:type="dxa" w:w="100"/>
              <w:left w:type="dxa" w:w="140"/>
              <w:bottom w:type="dxa" w:w="100"/>
              <w:right w:type="dxa" w:w="140"/>
            </w:tcMar>
          </w:tcPr>
          <w:p>
            <w:pPr>
              <w:jc w:val="left"/>
            </w:pPr>
            <w:r>
              <w:rPr>
                <w:rFonts w:ascii="Arial" w:cs="Arial" w:eastAsia="Arial" w:hAnsi="Arial"/>
                <w:b/>
                <w:bCs/>
                <w:color w:val="512DA8"/>
                <w:sz w:val="20"/>
                <w:szCs w:val="20"/>
              </w:rPr>
              <w:t xml:space="preserve">Smart Laundry Tracker</w:t>
            </w:r>
          </w:p>
        </w:tc>
        <w:tc>
          <w:tcPr>
            <w:tcW w:type="dxa" w:w="4238"/>
            <w:tcBorders>
              <w:top w:val="single" w:color="DEDEDE" w:sz="4"/>
              <w:left w:val="single" w:color="DEDEDE" w:sz="4"/>
              <w:bottom w:val="single" w:color="DEDEDE" w:sz="4"/>
              <w:right w:val="single" w:color="DEDEDE" w:sz="4"/>
            </w:tcBorders>
            <w:shd w:fill="FFFFFF" w:val="clear"/>
            <w:tcMar>
              <w:top w:type="dxa" w:w="100"/>
              <w:left w:type="dxa" w:w="140"/>
              <w:bottom w:type="dxa" w:w="100"/>
              <w:right w:type="dxa" w:w="140"/>
            </w:tcMar>
          </w:tcPr>
          <w:p>
            <w:pPr>
              <w:jc w:val="both"/>
            </w:pPr>
            <w:r>
              <w:rPr>
                <w:rFonts w:ascii="Arial" w:cs="Arial" w:eastAsia="Arial" w:hAnsi="Arial"/>
                <w:b w:val="false"/>
                <w:bCs w:val="false"/>
                <w:color w:val="1A1A2E"/>
                <w:sz w:val="20"/>
                <w:szCs w:val="20"/>
              </w:rPr>
              <w:t xml:space="preserve">Live machine status, wait time prediction, and push notifications so students never have to physically check the laundry room.</w:t>
            </w:r>
          </w:p>
        </w:tc>
        <w:tc>
          <w:tcPr>
            <w:tcW w:type="dxa" w:w="2100"/>
            <w:tcBorders>
              <w:top w:val="single" w:color="DEDEDE" w:sz="4"/>
              <w:left w:val="single" w:color="DEDEDE" w:sz="4"/>
              <w:bottom w:val="single" w:color="DEDEDE" w:sz="4"/>
              <w:right w:val="single" w:color="DEDEDE" w:sz="4"/>
            </w:tcBorders>
            <w:shd w:fill="F7F7F9" w:val="clear"/>
            <w:tcMar>
              <w:top w:type="dxa" w:w="100"/>
              <w:left w:type="dxa" w:w="140"/>
              <w:bottom w:type="dxa" w:w="100"/>
              <w:right w:type="dxa" w:w="140"/>
            </w:tcMar>
          </w:tcPr>
          <w:p>
            <w:pPr>
              <w:jc w:val="both"/>
            </w:pPr>
            <w:r>
              <w:rPr>
                <w:rFonts w:ascii="Arial" w:cs="Arial" w:eastAsia="Arial" w:hAnsi="Arial"/>
                <w:b w:val="false"/>
                <w:bCs w:val="false"/>
                <w:color w:val="5C6070"/>
                <w:sz w:val="20"/>
                <w:szCs w:val="20"/>
              </w:rPr>
              <w:t xml:space="preserve">IoT sensor hooks + FCM push API</w:t>
            </w:r>
          </w:p>
        </w:tc>
      </w:tr>
      <w:tr>
        <w:tc>
          <w:tcPr>
            <w:tcW w:type="dxa" w:w="2400"/>
            <w:tcBorders>
              <w:top w:val="single" w:color="DEDEDE" w:sz="4"/>
              <w:left w:val="single" w:color="DEDEDE" w:sz="4"/>
              <w:bottom w:val="single" w:color="DEDEDE" w:sz="4"/>
              <w:right w:val="single" w:color="DEDEDE" w:sz="4"/>
            </w:tcBorders>
            <w:shd w:fill="F3EFF9" w:val="clear"/>
            <w:tcMar>
              <w:top w:type="dxa" w:w="100"/>
              <w:left w:type="dxa" w:w="140"/>
              <w:bottom w:type="dxa" w:w="100"/>
              <w:right w:type="dxa" w:w="140"/>
            </w:tcMar>
          </w:tcPr>
          <w:p>
            <w:pPr>
              <w:jc w:val="left"/>
            </w:pPr>
            <w:r>
              <w:rPr>
                <w:rFonts w:ascii="Arial" w:cs="Arial" w:eastAsia="Arial" w:hAnsi="Arial"/>
                <w:b/>
                <w:bCs/>
                <w:color w:val="512DA8"/>
                <w:sz w:val="20"/>
                <w:szCs w:val="20"/>
              </w:rPr>
              <w:t xml:space="preserve">Gamification &amp; Campus Map</w:t>
            </w:r>
          </w:p>
        </w:tc>
        <w:tc>
          <w:tcPr>
            <w:tcW w:type="dxa" w:w="4238"/>
            <w:tcBorders>
              <w:top w:val="single" w:color="DEDEDE" w:sz="4"/>
              <w:left w:val="single" w:color="DEDEDE" w:sz="4"/>
              <w:bottom w:val="single" w:color="DEDEDE" w:sz="4"/>
              <w:right w:val="single" w:color="DEDEDE" w:sz="4"/>
            </w:tcBorders>
            <w:shd w:fill="FFFFFF" w:val="clear"/>
            <w:tcMar>
              <w:top w:type="dxa" w:w="100"/>
              <w:left w:type="dxa" w:w="140"/>
              <w:bottom w:type="dxa" w:w="100"/>
              <w:right w:type="dxa" w:w="140"/>
            </w:tcMar>
          </w:tcPr>
          <w:p>
            <w:pPr>
              <w:jc w:val="both"/>
            </w:pPr>
            <w:r>
              <w:rPr>
                <w:rFonts w:ascii="Arial" w:cs="Arial" w:eastAsia="Arial" w:hAnsi="Arial"/>
                <w:b w:val="false"/>
                <w:bCs w:val="false"/>
                <w:color w:val="1A1A2E"/>
                <w:sz w:val="20"/>
                <w:szCs w:val="20"/>
              </w:rPr>
              <w:t xml:space="preserve">Students earn points and badges for participation. An interactive campus map shows live activity — puzzle pieces light up where people are gathered.</w:t>
            </w:r>
          </w:p>
        </w:tc>
        <w:tc>
          <w:tcPr>
            <w:tcW w:type="dxa" w:w="2100"/>
            <w:tcBorders>
              <w:top w:val="single" w:color="DEDEDE" w:sz="4"/>
              <w:left w:val="single" w:color="DEDEDE" w:sz="4"/>
              <w:bottom w:val="single" w:color="DEDEDE" w:sz="4"/>
              <w:right w:val="single" w:color="DEDEDE" w:sz="4"/>
            </w:tcBorders>
            <w:shd w:fill="F7F7F9" w:val="clear"/>
            <w:tcMar>
              <w:top w:type="dxa" w:w="100"/>
              <w:left w:type="dxa" w:w="140"/>
              <w:bottom w:type="dxa" w:w="100"/>
              <w:right w:type="dxa" w:w="140"/>
            </w:tcMar>
          </w:tcPr>
          <w:p>
            <w:pPr>
              <w:jc w:val="both"/>
            </w:pPr>
            <w:r>
              <w:rPr>
                <w:rFonts w:ascii="Arial" w:cs="Arial" w:eastAsia="Arial" w:hAnsi="Arial"/>
                <w:b w:val="false"/>
                <w:bCs w:val="false"/>
                <w:color w:val="5C6070"/>
                <w:sz w:val="20"/>
                <w:szCs w:val="20"/>
              </w:rPr>
              <w:t xml:space="preserve">Points engine + mapping API</w:t>
            </w:r>
          </w:p>
        </w:tc>
      </w:tr>
    </w:tbl>
    <w:p>
      <w:pPr>
        <w:spacing w:after="60" w:before="60"/>
      </w:pPr>
      <w:r>
        <w:t xml:space="preserve"/>
      </w:r>
    </w:p>
    <w:p>
      <w:r>
        <w:br w:type="page"/>
      </w:r>
    </w:p>
    <w:p>
      <w:pPr>
        <w:pBdr>
          <w:bottom w:val="single" w:color="D81B60" w:sz="16" w:space="6"/>
        </w:pBdr>
        <w:spacing w:after="120" w:before="440"/>
      </w:pPr>
      <w:r>
        <w:rPr>
          <w:rFonts w:ascii="Georgia" w:cs="Georgia" w:eastAsia="Georgia" w:hAnsi="Georgia"/>
          <w:b/>
          <w:bCs/>
          <w:color w:val="16213E"/>
          <w:sz w:val="34"/>
          <w:szCs w:val="34"/>
        </w:rPr>
        <w:t xml:space="preserve">03  |  How It Works</w:t>
      </w:r>
    </w:p>
    <w:p>
      <w:pPr>
        <w:spacing w:after="0" w:before="100"/>
      </w:pPr>
      <w:r>
        <w:t xml:space="preserve"/>
      </w:r>
    </w:p>
    <w:p>
      <w:pPr>
        <w:spacing w:after="120" w:before="60"/>
        <w:jc w:val="both"/>
      </w:pPr>
      <w:r>
        <w:rPr>
          <w:rFonts w:ascii="Arial" w:cs="Arial" w:eastAsia="Arial" w:hAnsi="Arial"/>
          <w:color w:val="1A1A2E"/>
          <w:sz w:val="22"/>
          <w:szCs w:val="22"/>
        </w:rPr>
        <w:t xml:space="preserve">PUZZLES is built on a modern, scalable web stack with four clearly defined layers. Each layer is decoupled, allowing individual components to be iterated or replaced independently without affecting the others.</w:t>
      </w:r>
    </w:p>
    <w:p>
      <w:pPr>
        <w:spacing w:after="60" w:before="60"/>
      </w:pPr>
      <w:r>
        <w:t xml:space="preserve"/>
      </w:r>
    </w:p>
    <w:p>
      <w:pPr>
        <w:spacing w:after="60" w:before="200"/>
      </w:pPr>
      <w:r>
        <w:rPr>
          <w:rFonts w:ascii="Arial" w:cs="Arial" w:eastAsia="Arial" w:hAnsi="Arial"/>
          <w:b/>
          <w:bCs/>
          <w:color w:val="5C6070"/>
          <w:spacing w:val="30"/>
          <w:sz w:val="18"/>
          <w:szCs w:val="18"/>
        </w:rPr>
        <w:t xml:space="preserve">SYSTEM ARCHITECTURE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512DA8" w:sz="1"/>
              <w:left w:val="single" w:color="512DA8" w:sz="1"/>
              <w:bottom w:val="single" w:color="512DA8" w:sz="1"/>
              <w:right w:val="single" w:color="512DA8" w:sz="1"/>
            </w:tcBorders>
            <w:shd w:fill="512DA8" w:val="clear"/>
            <w:tcMar>
              <w:top w:type="dxa" w:w="120"/>
              <w:left w:type="dxa" w:w="140"/>
              <w:bottom w:type="dxa" w:w="120"/>
              <w:right w:type="dxa" w:w="140"/>
            </w:tcMar>
          </w:tcPr>
          <w:p>
            <w:r>
              <w:rPr>
                <w:rFonts w:ascii="Arial" w:cs="Arial" w:eastAsia="Arial" w:hAnsi="Arial"/>
                <w:b/>
                <w:bCs/>
                <w:color w:val="FFFFFF"/>
                <w:sz w:val="20"/>
                <w:szCs w:val="20"/>
              </w:rPr>
              <w:t xml:space="preserve">Layer</w:t>
            </w:r>
          </w:p>
        </w:tc>
        <w:tc>
          <w:tcPr>
            <w:tcW w:type="dxa" w:w="6538"/>
            <w:tcBorders>
              <w:top w:val="single" w:color="512DA8" w:sz="1"/>
              <w:left w:val="single" w:color="512DA8" w:sz="1"/>
              <w:bottom w:val="single" w:color="512DA8" w:sz="1"/>
              <w:right w:val="single" w:color="512DA8" w:sz="1"/>
            </w:tcBorders>
            <w:shd w:fill="512DA8" w:val="clear"/>
            <w:tcMar>
              <w:top w:type="dxa" w:w="120"/>
              <w:left w:type="dxa" w:w="140"/>
              <w:bottom w:type="dxa" w:w="120"/>
              <w:right w:type="dxa" w:w="140"/>
            </w:tcMar>
          </w:tcPr>
          <w:p>
            <w:r>
              <w:rPr>
                <w:rFonts w:ascii="Arial" w:cs="Arial" w:eastAsia="Arial" w:hAnsi="Arial"/>
                <w:b/>
                <w:bCs/>
                <w:color w:val="FFFFFF"/>
                <w:sz w:val="20"/>
                <w:szCs w:val="20"/>
              </w:rPr>
              <w:t xml:space="preserve">Technologies &amp; Tools</w:t>
            </w:r>
          </w:p>
        </w:tc>
      </w:tr>
      <w:tr>
        <w:tc>
          <w:tcPr>
            <w:tcW w:type="dxa" w:w="2200"/>
            <w:tcBorders>
              <w:top w:val="single" w:color="DEDEDE" w:sz="4"/>
              <w:left w:val="single" w:color="DEDEDE" w:sz="4"/>
              <w:bottom w:val="single" w:color="DEDEDE" w:sz="4"/>
              <w:right w:val="single" w:color="DEDEDE" w:sz="4"/>
            </w:tcBorders>
            <w:shd w:fill="F3EFF9" w:val="clear"/>
            <w:tcMar>
              <w:top w:type="dxa" w:w="110"/>
              <w:left w:type="dxa" w:w="140"/>
              <w:bottom w:type="dxa" w:w="110"/>
              <w:right w:type="dxa" w:w="140"/>
            </w:tcMar>
            <w:vAlign w:val="center"/>
          </w:tcPr>
          <w:p>
            <w:r>
              <w:rPr>
                <w:rFonts w:ascii="Arial" w:cs="Arial" w:eastAsia="Arial" w:hAnsi="Arial"/>
                <w:b/>
                <w:bCs/>
                <w:color w:val="512DA8"/>
                <w:sz w:val="20"/>
                <w:szCs w:val="20"/>
              </w:rPr>
              <w:t xml:space="preserve">Frontend</w:t>
            </w:r>
          </w:p>
        </w:tc>
        <w:tc>
          <w:tcPr>
            <w:tcW w:type="dxa" w:w="65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React + Next.js · Tailwind CSS · Framer Motion animations · Fully responsive across mobile, tablet, and desktop</w:t>
            </w:r>
          </w:p>
        </w:tc>
      </w:tr>
      <w:tr>
        <w:tc>
          <w:tcPr>
            <w:tcW w:type="dxa" w:w="2200"/>
            <w:tcBorders>
              <w:top w:val="single" w:color="DEDEDE" w:sz="4"/>
              <w:left w:val="single" w:color="DEDEDE" w:sz="4"/>
              <w:bottom w:val="single" w:color="DEDEDE" w:sz="4"/>
              <w:right w:val="single" w:color="DEDEDE" w:sz="4"/>
            </w:tcBorders>
            <w:shd w:fill="E8F0FE" w:val="clear"/>
            <w:tcMar>
              <w:top w:type="dxa" w:w="110"/>
              <w:left w:type="dxa" w:w="140"/>
              <w:bottom w:type="dxa" w:w="110"/>
              <w:right w:type="dxa" w:w="140"/>
            </w:tcMar>
            <w:vAlign w:val="center"/>
          </w:tcPr>
          <w:p>
            <w:r>
              <w:rPr>
                <w:rFonts w:ascii="Arial" w:cs="Arial" w:eastAsia="Arial" w:hAnsi="Arial"/>
                <w:b/>
                <w:bCs/>
                <w:color w:val="512DA8"/>
                <w:sz w:val="20"/>
                <w:szCs w:val="20"/>
              </w:rPr>
              <w:t xml:space="preserve">AI Layer</w:t>
            </w:r>
          </w:p>
        </w:tc>
        <w:tc>
          <w:tcPr>
            <w:tcW w:type="dxa" w:w="65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OpenAI API (GPT-4 for assistant; text-embedding-3-small for matching) · RAG pipeline · Mood trend analysis · Occupancy prediction model</w:t>
            </w:r>
          </w:p>
        </w:tc>
      </w:tr>
      <w:tr>
        <w:tc>
          <w:tcPr>
            <w:tcW w:type="dxa" w:w="2200"/>
            <w:tcBorders>
              <w:top w:val="single" w:color="DEDEDE" w:sz="4"/>
              <w:left w:val="single" w:color="DEDEDE" w:sz="4"/>
              <w:bottom w:val="single" w:color="DEDEDE" w:sz="4"/>
              <w:right w:val="single" w:color="DEDEDE" w:sz="4"/>
            </w:tcBorders>
            <w:shd w:fill="F3EFF9" w:val="clear"/>
            <w:tcMar>
              <w:top w:type="dxa" w:w="110"/>
              <w:left w:type="dxa" w:w="140"/>
              <w:bottom w:type="dxa" w:w="110"/>
              <w:right w:type="dxa" w:w="140"/>
            </w:tcMar>
            <w:vAlign w:val="center"/>
          </w:tcPr>
          <w:p>
            <w:r>
              <w:rPr>
                <w:rFonts w:ascii="Arial" w:cs="Arial" w:eastAsia="Arial" w:hAnsi="Arial"/>
                <w:b/>
                <w:bCs/>
                <w:color w:val="512DA8"/>
                <w:sz w:val="20"/>
                <w:szCs w:val="20"/>
              </w:rPr>
              <w:t xml:space="preserve">Backend &amp; Realtime</w:t>
            </w:r>
          </w:p>
        </w:tc>
        <w:tc>
          <w:tcPr>
            <w:tcW w:type="dxa" w:w="65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Node.js / Express REST API · WebSockets for live chat and laundry status · Firebase Realtime Database · Push notifications via FCM</w:t>
            </w:r>
          </w:p>
        </w:tc>
      </w:tr>
      <w:tr>
        <w:tc>
          <w:tcPr>
            <w:tcW w:type="dxa" w:w="2200"/>
            <w:tcBorders>
              <w:top w:val="single" w:color="DEDEDE" w:sz="4"/>
              <w:left w:val="single" w:color="DEDEDE" w:sz="4"/>
              <w:bottom w:val="single" w:color="DEDEDE" w:sz="4"/>
              <w:right w:val="single" w:color="DEDEDE" w:sz="4"/>
            </w:tcBorders>
            <w:shd w:fill="E8F0FE" w:val="clear"/>
            <w:tcMar>
              <w:top w:type="dxa" w:w="110"/>
              <w:left w:type="dxa" w:w="140"/>
              <w:bottom w:type="dxa" w:w="110"/>
              <w:right w:type="dxa" w:w="140"/>
            </w:tcMar>
            <w:vAlign w:val="center"/>
          </w:tcPr>
          <w:p>
            <w:r>
              <w:rPr>
                <w:rFonts w:ascii="Arial" w:cs="Arial" w:eastAsia="Arial" w:hAnsi="Arial"/>
                <w:b/>
                <w:bCs/>
                <w:color w:val="512DA8"/>
                <w:sz w:val="20"/>
                <w:szCs w:val="20"/>
              </w:rPr>
              <w:t xml:space="preserve">Data &amp; Auth</w:t>
            </w:r>
          </w:p>
        </w:tc>
        <w:tc>
          <w:tcPr>
            <w:tcW w:type="dxa" w:w="65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MongoDB / Firebase · Campus email SSO (OAuth2) · Anonymised mood data aggregation · IoT sensor integration for laundry and study spaces</w:t>
            </w:r>
          </w:p>
        </w:tc>
      </w:tr>
    </w:tbl>
    <w:p>
      <w:pPr>
        <w:spacing w:after="60" w:before="60"/>
      </w:pPr>
      <w:r>
        <w:t xml:space="preserve"/>
      </w:r>
    </w:p>
    <w:p>
      <w:pPr>
        <w:spacing w:after="80" w:before="280"/>
      </w:pPr>
      <w:r>
        <w:rPr>
          <w:rFonts w:ascii="Georgia" w:cs="Georgia" w:eastAsia="Georgia" w:hAnsi="Georgia"/>
          <w:b/>
          <w:bCs/>
          <w:color w:val="512DA8"/>
          <w:sz w:val="26"/>
          <w:szCs w:val="26"/>
        </w:rPr>
        <w:t xml:space="preserve">User Journey</w:t>
      </w:r>
    </w:p>
    <w:p>
      <w:pPr>
        <w:spacing w:after="120" w:before="60"/>
        <w:jc w:val="both"/>
      </w:pPr>
      <w:r>
        <w:rPr>
          <w:rFonts w:ascii="Arial" w:cs="Arial" w:eastAsia="Arial" w:hAnsi="Arial"/>
          <w:color w:val="1A1A2E"/>
          <w:sz w:val="22"/>
          <w:szCs w:val="22"/>
        </w:rPr>
        <w:t xml:space="preserve">The flowchart below traces how a new student moves from first login through to becoming an active, connected member of the residential community.</w:t>
      </w:r>
    </w:p>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512DA8"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01</w:t>
            </w:r>
          </w:p>
        </w:tc>
        <w:tc>
          <w:tcPr>
            <w:tcW w:type="dxa" w:w="8238"/>
            <w:tcBorders>
              <w:top w:val="single" w:color="512DA8" w:sz="4"/>
              <w:left w:val="none" w:color="FFFFFF" w:sz="0"/>
              <w:bottom w:val="single" w:color="512DA8" w:sz="4"/>
              <w:right w:val="single" w:color="512DA8" w:sz="4"/>
            </w:tcBorders>
            <w:shd w:fill="F3EFF9" w:val="clear"/>
            <w:tcMar>
              <w:top w:type="dxa" w:w="120"/>
              <w:left w:type="dxa" w:w="180"/>
              <w:bottom w:type="dxa" w:w="120"/>
              <w:right w:type="dxa" w:w="180"/>
            </w:tcMar>
          </w:tcPr>
          <w:p>
            <w:pPr>
              <w:spacing w:after="50" w:before="0"/>
            </w:pPr>
            <w:r>
              <w:rPr>
                <w:rFonts w:ascii="Arial" w:cs="Arial" w:eastAsia="Arial" w:hAnsi="Arial"/>
                <w:b/>
                <w:bCs/>
                <w:color w:val="512DA8"/>
                <w:sz w:val="22"/>
                <w:szCs w:val="22"/>
              </w:rPr>
              <w:t xml:space="preserve">Sign Up</w:t>
            </w:r>
          </w:p>
          <w:p>
            <w:pPr>
              <w:spacing w:after="0" w:before="0"/>
              <w:jc w:val="both"/>
            </w:pPr>
            <w:r>
              <w:rPr>
                <w:rFonts w:ascii="Arial" w:cs="Arial" w:eastAsia="Arial" w:hAnsi="Arial"/>
                <w:color w:val="1A1A2E"/>
                <w:sz w:val="20"/>
                <w:szCs w:val="20"/>
              </w:rPr>
              <w:t xml:space="preserve">The student registers with their campus email. Identity is verified via OAuth2 SSO. A profile is created automatically — no manual data entry required.</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C2185B"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02</w:t>
            </w:r>
          </w:p>
        </w:tc>
        <w:tc>
          <w:tcPr>
            <w:tcW w:type="dxa" w:w="8238"/>
            <w:tcBorders>
              <w:top w:val="single" w:color="C2185B" w:sz="4"/>
              <w:left w:val="none" w:color="FFFFFF" w:sz="0"/>
              <w:bottom w:val="single" w:color="C2185B" w:sz="4"/>
              <w:right w:val="single" w:color="C2185B" w:sz="4"/>
            </w:tcBorders>
            <w:shd w:fill="FFF0F5" w:val="clear"/>
            <w:tcMar>
              <w:top w:type="dxa" w:w="120"/>
              <w:left w:type="dxa" w:w="180"/>
              <w:bottom w:type="dxa" w:w="120"/>
              <w:right w:type="dxa" w:w="180"/>
            </w:tcMar>
          </w:tcPr>
          <w:p>
            <w:pPr>
              <w:spacing w:after="50" w:before="0"/>
            </w:pPr>
            <w:r>
              <w:rPr>
                <w:rFonts w:ascii="Arial" w:cs="Arial" w:eastAsia="Arial" w:hAnsi="Arial"/>
                <w:b/>
                <w:bCs/>
                <w:color w:val="C2185B"/>
                <w:sz w:val="22"/>
                <w:szCs w:val="22"/>
              </w:rPr>
              <w:t xml:space="preserve">Onboarding Quiz</w:t>
            </w:r>
          </w:p>
          <w:p>
            <w:pPr>
              <w:spacing w:after="0" w:before="0"/>
              <w:jc w:val="both"/>
            </w:pPr>
            <w:r>
              <w:rPr>
                <w:rFonts w:ascii="Arial" w:cs="Arial" w:eastAsia="Arial" w:hAnsi="Arial"/>
                <w:color w:val="1A1A2E"/>
                <w:sz w:val="20"/>
                <w:szCs w:val="20"/>
              </w:rPr>
              <w:t xml:space="preserve">The student completes a short, engaging quiz covering personality, interests, music taste, and gaming preferences — takes approximately two minutes.</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1565C0"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03</w:t>
            </w:r>
          </w:p>
        </w:tc>
        <w:tc>
          <w:tcPr>
            <w:tcW w:type="dxa" w:w="8238"/>
            <w:tcBorders>
              <w:top w:val="single" w:color="1565C0" w:sz="4"/>
              <w:left w:val="none" w:color="FFFFFF" w:sz="0"/>
              <w:bottom w:val="single" w:color="1565C0" w:sz="4"/>
              <w:right w:val="single" w:color="1565C0" w:sz="4"/>
            </w:tcBorders>
            <w:shd w:fill="E8F0FE" w:val="clear"/>
            <w:tcMar>
              <w:top w:type="dxa" w:w="120"/>
              <w:left w:type="dxa" w:w="180"/>
              <w:bottom w:type="dxa" w:w="120"/>
              <w:right w:type="dxa" w:w="180"/>
            </w:tcMar>
          </w:tcPr>
          <w:p>
            <w:pPr>
              <w:spacing w:after="50" w:before="0"/>
            </w:pPr>
            <w:r>
              <w:rPr>
                <w:rFonts w:ascii="Arial" w:cs="Arial" w:eastAsia="Arial" w:hAnsi="Arial"/>
                <w:b/>
                <w:bCs/>
                <w:color w:val="1565C0"/>
                <w:sz w:val="22"/>
                <w:szCs w:val="22"/>
              </w:rPr>
              <w:t xml:space="preserve">AI Matching</w:t>
            </w:r>
          </w:p>
          <w:p>
            <w:pPr>
              <w:spacing w:after="0" w:before="0"/>
              <w:jc w:val="both"/>
            </w:pPr>
            <w:r>
              <w:rPr>
                <w:rFonts w:ascii="Arial" w:cs="Arial" w:eastAsia="Arial" w:hAnsi="Arial"/>
                <w:color w:val="1A1A2E"/>
                <w:sz w:val="20"/>
                <w:szCs w:val="20"/>
              </w:rPr>
              <w:t xml:space="preserve">Quiz responses are embedded using OpenAI's text-embedding model. Cosine similarity is computed across the student population. Top matches are surfaced with a compatibility percentage.</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512DA8"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04</w:t>
            </w:r>
          </w:p>
        </w:tc>
        <w:tc>
          <w:tcPr>
            <w:tcW w:type="dxa" w:w="8238"/>
            <w:tcBorders>
              <w:top w:val="single" w:color="512DA8" w:sz="4"/>
              <w:left w:val="none" w:color="FFFFFF" w:sz="0"/>
              <w:bottom w:val="single" w:color="512DA8" w:sz="4"/>
              <w:right w:val="single" w:color="512DA8" w:sz="4"/>
            </w:tcBorders>
            <w:shd w:fill="F3EFF9" w:val="clear"/>
            <w:tcMar>
              <w:top w:type="dxa" w:w="120"/>
              <w:left w:type="dxa" w:w="180"/>
              <w:bottom w:type="dxa" w:w="120"/>
              <w:right w:type="dxa" w:w="180"/>
            </w:tcMar>
          </w:tcPr>
          <w:p>
            <w:pPr>
              <w:spacing w:after="50" w:before="0"/>
            </w:pPr>
            <w:r>
              <w:rPr>
                <w:rFonts w:ascii="Arial" w:cs="Arial" w:eastAsia="Arial" w:hAnsi="Arial"/>
                <w:b/>
                <w:bCs/>
                <w:color w:val="512DA8"/>
                <w:sz w:val="22"/>
                <w:szCs w:val="22"/>
              </w:rPr>
              <w:t xml:space="preserve">Join Communities</w:t>
            </w:r>
          </w:p>
          <w:p>
            <w:pPr>
              <w:spacing w:after="0" w:before="0"/>
              <w:jc w:val="both"/>
            </w:pPr>
            <w:r>
              <w:rPr>
                <w:rFonts w:ascii="Arial" w:cs="Arial" w:eastAsia="Arial" w:hAnsi="Arial"/>
                <w:color w:val="1A1A2E"/>
                <w:sz w:val="20"/>
                <w:szCs w:val="20"/>
              </w:rPr>
              <w:t xml:space="preserve">The student is recommended gaming servers, music jam rooms, study circles, and friend groups based on their profile. One tap to join.</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C2185B"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05</w:t>
            </w:r>
          </w:p>
        </w:tc>
        <w:tc>
          <w:tcPr>
            <w:tcW w:type="dxa" w:w="8238"/>
            <w:tcBorders>
              <w:top w:val="single" w:color="C2185B" w:sz="4"/>
              <w:left w:val="none" w:color="FFFFFF" w:sz="0"/>
              <w:bottom w:val="single" w:color="C2185B" w:sz="4"/>
              <w:right w:val="single" w:color="C2185B" w:sz="4"/>
            </w:tcBorders>
            <w:shd w:fill="FFF0F5" w:val="clear"/>
            <w:tcMar>
              <w:top w:type="dxa" w:w="120"/>
              <w:left w:type="dxa" w:w="180"/>
              <w:bottom w:type="dxa" w:w="120"/>
              <w:right w:type="dxa" w:w="180"/>
            </w:tcMar>
          </w:tcPr>
          <w:p>
            <w:pPr>
              <w:spacing w:after="50" w:before="0"/>
            </w:pPr>
            <w:r>
              <w:rPr>
                <w:rFonts w:ascii="Arial" w:cs="Arial" w:eastAsia="Arial" w:hAnsi="Arial"/>
                <w:b/>
                <w:bCs/>
                <w:color w:val="C2185B"/>
                <w:sz w:val="22"/>
                <w:szCs w:val="22"/>
              </w:rPr>
              <w:t xml:space="preserve">Daily Use</w:t>
            </w:r>
          </w:p>
          <w:p>
            <w:pPr>
              <w:spacing w:after="0" w:before="0"/>
              <w:jc w:val="both"/>
            </w:pPr>
            <w:r>
              <w:rPr>
                <w:rFonts w:ascii="Arial" w:cs="Arial" w:eastAsia="Arial" w:hAnsi="Arial"/>
                <w:color w:val="1A1A2E"/>
                <w:sz w:val="20"/>
                <w:szCs w:val="20"/>
              </w:rPr>
              <w:t xml:space="preserve">Morning mood check-in. AI assistant queries. Laundry status notifications. Study space booking. Event discovery. All in one place.</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2E7D32"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06</w:t>
            </w:r>
          </w:p>
        </w:tc>
        <w:tc>
          <w:tcPr>
            <w:tcW w:type="dxa" w:w="8238"/>
            <w:tcBorders>
              <w:top w:val="single" w:color="2E7D32" w:sz="4"/>
              <w:left w:val="none" w:color="FFFFFF" w:sz="0"/>
              <w:bottom w:val="single" w:color="2E7D32" w:sz="4"/>
              <w:right w:val="single" w:color="2E7D32" w:sz="4"/>
            </w:tcBorders>
            <w:shd w:fill="E8F5E9" w:val="clear"/>
            <w:tcMar>
              <w:top w:type="dxa" w:w="120"/>
              <w:left w:type="dxa" w:w="180"/>
              <w:bottom w:type="dxa" w:w="120"/>
              <w:right w:type="dxa" w:w="180"/>
            </w:tcMar>
          </w:tcPr>
          <w:p>
            <w:pPr>
              <w:spacing w:after="50" w:before="0"/>
            </w:pPr>
            <w:r>
              <w:rPr>
                <w:rFonts w:ascii="Arial" w:cs="Arial" w:eastAsia="Arial" w:hAnsi="Arial"/>
                <w:b/>
                <w:bCs/>
                <w:color w:val="2E7D32"/>
                <w:sz w:val="22"/>
                <w:szCs w:val="22"/>
              </w:rPr>
              <w:t xml:space="preserve">Community Growth</w:t>
            </w:r>
          </w:p>
          <w:p>
            <w:pPr>
              <w:spacing w:after="0" w:before="0"/>
              <w:jc w:val="both"/>
            </w:pPr>
            <w:r>
              <w:rPr>
                <w:rFonts w:ascii="Arial" w:cs="Arial" w:eastAsia="Arial" w:hAnsi="Arial"/>
                <w:color w:val="1A1A2E"/>
                <w:sz w:val="20"/>
                <w:szCs w:val="20"/>
              </w:rPr>
              <w:t xml:space="preserve">The student earns points, unlocks badges, hosts events, and becomes an anchor of the residential community — the cycle reinforces itself.</w:t>
            </w:r>
          </w:p>
        </w:tc>
      </w:tr>
    </w:tbl>
    <w:p>
      <w:pPr>
        <w:spacing w:after="60" w:before="60"/>
      </w:pPr>
      <w:r>
        <w:t xml:space="preserve"/>
      </w:r>
    </w:p>
    <w:p>
      <w:pPr>
        <w:spacing w:after="80" w:before="280"/>
      </w:pPr>
      <w:r>
        <w:rPr>
          <w:rFonts w:ascii="Georgia" w:cs="Georgia" w:eastAsia="Georgia" w:hAnsi="Georgia"/>
          <w:b/>
          <w:bCs/>
          <w:color w:val="512DA8"/>
          <w:sz w:val="26"/>
          <w:szCs w:val="26"/>
        </w:rPr>
        <w:t xml:space="preserve">AI Matching Engine — Data Flow</w:t>
      </w:r>
    </w:p>
    <w:p>
      <w:pPr>
        <w:spacing w:after="120" w:before="60"/>
        <w:jc w:val="both"/>
      </w:pPr>
      <w:r>
        <w:rPr>
          <w:rFonts w:ascii="Arial" w:cs="Arial" w:eastAsia="Arial" w:hAnsi="Arial"/>
          <w:color w:val="1A1A2E"/>
          <w:sz w:val="22"/>
          <w:szCs w:val="22"/>
        </w:rPr>
        <w:t xml:space="preserve">The social matching system is the core AI component of PUZZLES. The flowchart below shows how a student's quiz responses become a ranked list of peer recommendations.</w:t>
      </w:r>
    </w:p>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512DA8"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01</w:t>
            </w:r>
          </w:p>
        </w:tc>
        <w:tc>
          <w:tcPr>
            <w:tcW w:type="dxa" w:w="8238"/>
            <w:tcBorders>
              <w:top w:val="single" w:color="512DA8" w:sz="4"/>
              <w:left w:val="none" w:color="FFFFFF" w:sz="0"/>
              <w:bottom w:val="single" w:color="512DA8" w:sz="4"/>
              <w:right w:val="single" w:color="512DA8" w:sz="4"/>
            </w:tcBorders>
            <w:shd w:fill="F3EFF9" w:val="clear"/>
            <w:tcMar>
              <w:top w:type="dxa" w:w="120"/>
              <w:left w:type="dxa" w:w="180"/>
              <w:bottom w:type="dxa" w:w="120"/>
              <w:right w:type="dxa" w:w="180"/>
            </w:tcMar>
          </w:tcPr>
          <w:p>
            <w:pPr>
              <w:spacing w:after="50" w:before="0"/>
            </w:pPr>
            <w:r>
              <w:rPr>
                <w:rFonts w:ascii="Arial" w:cs="Arial" w:eastAsia="Arial" w:hAnsi="Arial"/>
                <w:b/>
                <w:bCs/>
                <w:color w:val="512DA8"/>
                <w:sz w:val="22"/>
                <w:szCs w:val="22"/>
              </w:rPr>
              <w:t xml:space="preserve">Quiz Response Collection</w:t>
            </w:r>
          </w:p>
          <w:p>
            <w:pPr>
              <w:spacing w:after="0" w:before="0"/>
              <w:jc w:val="both"/>
            </w:pPr>
            <w:r>
              <w:rPr>
                <w:rFonts w:ascii="Arial" w:cs="Arial" w:eastAsia="Arial" w:hAnsi="Arial"/>
                <w:color w:val="1A1A2E"/>
                <w:sz w:val="20"/>
                <w:szCs w:val="20"/>
              </w:rPr>
              <w:t xml:space="preserve">The student answers approximately 20 questions on interests, music, gaming, study style, and personality type. Responses are stored as structured JSON.</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1565C0"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02</w:t>
            </w:r>
          </w:p>
        </w:tc>
        <w:tc>
          <w:tcPr>
            <w:tcW w:type="dxa" w:w="8238"/>
            <w:tcBorders>
              <w:top w:val="single" w:color="1565C0" w:sz="4"/>
              <w:left w:val="none" w:color="FFFFFF" w:sz="0"/>
              <w:bottom w:val="single" w:color="1565C0" w:sz="4"/>
              <w:right w:val="single" w:color="1565C0" w:sz="4"/>
            </w:tcBorders>
            <w:shd w:fill="E8F0FE" w:val="clear"/>
            <w:tcMar>
              <w:top w:type="dxa" w:w="120"/>
              <w:left w:type="dxa" w:w="180"/>
              <w:bottom w:type="dxa" w:w="120"/>
              <w:right w:type="dxa" w:w="180"/>
            </w:tcMar>
          </w:tcPr>
          <w:p>
            <w:pPr>
              <w:spacing w:after="50" w:before="0"/>
            </w:pPr>
            <w:r>
              <w:rPr>
                <w:rFonts w:ascii="Arial" w:cs="Arial" w:eastAsia="Arial" w:hAnsi="Arial"/>
                <w:b/>
                <w:bCs/>
                <w:color w:val="1565C0"/>
                <w:sz w:val="22"/>
                <w:szCs w:val="22"/>
              </w:rPr>
              <w:t xml:space="preserve">Text Embedding via OpenAI API</w:t>
            </w:r>
          </w:p>
          <w:p>
            <w:pPr>
              <w:spacing w:after="0" w:before="0"/>
              <w:jc w:val="both"/>
            </w:pPr>
            <w:r>
              <w:rPr>
                <w:rFonts w:ascii="Arial" w:cs="Arial" w:eastAsia="Arial" w:hAnsi="Arial"/>
                <w:color w:val="1A1A2E"/>
                <w:sz w:val="20"/>
                <w:szCs w:val="20"/>
              </w:rPr>
              <w:t xml:space="preserve">The structured response is serialised into natural language and passed to text-embedding-3-small, returning a 1,536-dimensional vector representing the student's profile.</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C2185B"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03</w:t>
            </w:r>
          </w:p>
        </w:tc>
        <w:tc>
          <w:tcPr>
            <w:tcW w:type="dxa" w:w="8238"/>
            <w:tcBorders>
              <w:top w:val="single" w:color="C2185B" w:sz="4"/>
              <w:left w:val="none" w:color="FFFFFF" w:sz="0"/>
              <w:bottom w:val="single" w:color="C2185B" w:sz="4"/>
              <w:right w:val="single" w:color="C2185B" w:sz="4"/>
            </w:tcBorders>
            <w:shd w:fill="FFF0F5" w:val="clear"/>
            <w:tcMar>
              <w:top w:type="dxa" w:w="120"/>
              <w:left w:type="dxa" w:w="180"/>
              <w:bottom w:type="dxa" w:w="120"/>
              <w:right w:type="dxa" w:w="180"/>
            </w:tcMar>
          </w:tcPr>
          <w:p>
            <w:pPr>
              <w:spacing w:after="50" w:before="0"/>
            </w:pPr>
            <w:r>
              <w:rPr>
                <w:rFonts w:ascii="Arial" w:cs="Arial" w:eastAsia="Arial" w:hAnsi="Arial"/>
                <w:b/>
                <w:bCs/>
                <w:color w:val="C2185B"/>
                <w:sz w:val="22"/>
                <w:szCs w:val="22"/>
              </w:rPr>
              <w:t xml:space="preserve">Vector Storage</w:t>
            </w:r>
          </w:p>
          <w:p>
            <w:pPr>
              <w:spacing w:after="0" w:before="0"/>
              <w:jc w:val="both"/>
            </w:pPr>
            <w:r>
              <w:rPr>
                <w:rFonts w:ascii="Arial" w:cs="Arial" w:eastAsia="Arial" w:hAnsi="Arial"/>
                <w:color w:val="1A1A2E"/>
                <w:sz w:val="20"/>
                <w:szCs w:val="20"/>
              </w:rPr>
              <w:t xml:space="preserve">The embedding vector is stored alongside the student's profile in MongoDB with vector indexing (or a dedicated store such as Pinecone for larger deployments).</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512DA8"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04</w:t>
            </w:r>
          </w:p>
        </w:tc>
        <w:tc>
          <w:tcPr>
            <w:tcW w:type="dxa" w:w="8238"/>
            <w:tcBorders>
              <w:top w:val="single" w:color="512DA8" w:sz="4"/>
              <w:left w:val="none" w:color="FFFFFF" w:sz="0"/>
              <w:bottom w:val="single" w:color="512DA8" w:sz="4"/>
              <w:right w:val="single" w:color="512DA8" w:sz="4"/>
            </w:tcBorders>
            <w:shd w:fill="F3EFF9" w:val="clear"/>
            <w:tcMar>
              <w:top w:type="dxa" w:w="120"/>
              <w:left w:type="dxa" w:w="180"/>
              <w:bottom w:type="dxa" w:w="120"/>
              <w:right w:type="dxa" w:w="180"/>
            </w:tcMar>
          </w:tcPr>
          <w:p>
            <w:pPr>
              <w:spacing w:after="50" w:before="0"/>
            </w:pPr>
            <w:r>
              <w:rPr>
                <w:rFonts w:ascii="Arial" w:cs="Arial" w:eastAsia="Arial" w:hAnsi="Arial"/>
                <w:b/>
                <w:bCs/>
                <w:color w:val="512DA8"/>
                <w:sz w:val="22"/>
                <w:szCs w:val="22"/>
              </w:rPr>
              <w:t xml:space="preserve">Cosine Similarity Computation</w:t>
            </w:r>
          </w:p>
          <w:p>
            <w:pPr>
              <w:spacing w:after="0" w:before="0"/>
              <w:jc w:val="both"/>
            </w:pPr>
            <w:r>
              <w:rPr>
                <w:rFonts w:ascii="Arial" w:cs="Arial" w:eastAsia="Arial" w:hAnsi="Arial"/>
                <w:color w:val="1A1A2E"/>
                <w:sz w:val="20"/>
                <w:szCs w:val="20"/>
              </w:rPr>
              <w:t xml:space="preserve">When the student visits 'Discover People', their vector is compared against all stored vectors. Results are ranked by similarity score and the top matches are returned.</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2E7D32"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05</w:t>
            </w:r>
          </w:p>
        </w:tc>
        <w:tc>
          <w:tcPr>
            <w:tcW w:type="dxa" w:w="8238"/>
            <w:tcBorders>
              <w:top w:val="single" w:color="2E7D32" w:sz="4"/>
              <w:left w:val="none" w:color="FFFFFF" w:sz="0"/>
              <w:bottom w:val="single" w:color="2E7D32" w:sz="4"/>
              <w:right w:val="single" w:color="2E7D32" w:sz="4"/>
            </w:tcBorders>
            <w:shd w:fill="E8F5E9" w:val="clear"/>
            <w:tcMar>
              <w:top w:type="dxa" w:w="120"/>
              <w:left w:type="dxa" w:w="180"/>
              <w:bottom w:type="dxa" w:w="120"/>
              <w:right w:type="dxa" w:w="180"/>
            </w:tcMar>
          </w:tcPr>
          <w:p>
            <w:pPr>
              <w:spacing w:after="50" w:before="0"/>
            </w:pPr>
            <w:r>
              <w:rPr>
                <w:rFonts w:ascii="Arial" w:cs="Arial" w:eastAsia="Arial" w:hAnsi="Arial"/>
                <w:b/>
                <w:bCs/>
                <w:color w:val="2E7D32"/>
                <w:sz w:val="22"/>
                <w:szCs w:val="22"/>
              </w:rPr>
              <w:t xml:space="preserve">Compatibility Display</w:t>
            </w:r>
          </w:p>
          <w:p>
            <w:pPr>
              <w:spacing w:after="0" w:before="0"/>
              <w:jc w:val="both"/>
            </w:pPr>
            <w:r>
              <w:rPr>
                <w:rFonts w:ascii="Arial" w:cs="Arial" w:eastAsia="Arial" w:hAnsi="Arial"/>
                <w:color w:val="1A1A2E"/>
                <w:sz w:val="20"/>
                <w:szCs w:val="20"/>
              </w:rPr>
              <w:t xml:space="preserve">Matches are shown on the student's dashboard with shared interests highlighted and a percentage shown — for example, 'You and Alex share 87% interests.'</w:t>
            </w:r>
          </w:p>
        </w:tc>
      </w:tr>
    </w:tbl>
    <w:p>
      <w:pPr>
        <w:spacing w:after="60" w:before="60"/>
      </w:pPr>
      <w:r>
        <w:t xml:space="preserve"/>
      </w:r>
    </w:p>
    <w:p>
      <w:pPr>
        <w:spacing w:after="80" w:before="280"/>
      </w:pPr>
      <w:r>
        <w:rPr>
          <w:rFonts w:ascii="Georgia" w:cs="Georgia" w:eastAsia="Georgia" w:hAnsi="Georgia"/>
          <w:b/>
          <w:bCs/>
          <w:color w:val="512DA8"/>
          <w:sz w:val="26"/>
          <w:szCs w:val="26"/>
        </w:rPr>
        <w:t xml:space="preserve">AI Components — Detail</w:t>
      </w:r>
    </w:p>
    <w:p>
      <w:pPr>
        <w:spacing w:after="120" w:before="60"/>
        <w:jc w:val="both"/>
      </w:pPr>
      <w:r>
        <w:rPr>
          <w:rFonts w:ascii="Arial" w:cs="Arial" w:eastAsia="Arial" w:hAnsi="Arial"/>
          <w:color w:val="1A1A2E"/>
          <w:sz w:val="22"/>
          <w:szCs w:val="22"/>
        </w:rPr>
        <w:t xml:space="preserve">Below is a summary of the four primary AI components and how each one works in practice.</w:t>
      </w:r>
    </w:p>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120"/>
        <w:gridCol w:w="8618"/>
      </w:tblGrid>
      <w:tr>
        <w:tc>
          <w:tcPr>
            <w:tcW w:type="dxa" w:w="120"/>
            <w:tcBorders>
              <w:top w:val="none" w:color="FFFFFF" w:sz="0"/>
              <w:left w:val="none" w:color="FFFFFF" w:sz="0"/>
              <w:bottom w:val="none" w:color="FFFFFF" w:sz="0"/>
              <w:right w:val="none" w:color="FFFFFF" w:sz="0"/>
            </w:tcBorders>
            <w:shd w:fill="512DA8" w:val="clear"/>
            <w:tcMar>
              <w:top w:type="dxa" w:w="0"/>
              <w:left w:type="dxa" w:w="0"/>
              <w:bottom w:type="dxa" w:w="0"/>
              <w:right w:type="dxa" w:w="0"/>
            </w:tcMar>
          </w:tcPr>
          <w:p>
            <w:r>
              <w:t xml:space="preserve"/>
            </w:r>
          </w:p>
        </w:tc>
        <w:tc>
          <w:tcPr>
            <w:tcW w:type="dxa" w:w="8618"/>
            <w:tcBorders>
              <w:top w:val="none" w:color="FFFFFF" w:sz="0"/>
              <w:left w:val="none" w:color="FFFFFF" w:sz="0"/>
              <w:bottom w:val="none" w:color="FFFFFF" w:sz="0"/>
              <w:right w:val="single" w:color="DEDEDE" w:sz="4"/>
            </w:tcBorders>
            <w:shd w:fill="F3EFF9" w:val="clear"/>
            <w:tcMar>
              <w:top w:type="dxa" w:w="140"/>
              <w:left w:type="dxa" w:w="200"/>
              <w:bottom w:type="dxa" w:w="140"/>
              <w:right w:type="dxa" w:w="200"/>
            </w:tcMar>
          </w:tcPr>
          <w:p>
            <w:pPr>
              <w:spacing w:after="60" w:before="0"/>
            </w:pPr>
            <w:r>
              <w:rPr>
                <w:rFonts w:ascii="Arial" w:cs="Arial" w:eastAsia="Arial" w:hAnsi="Arial"/>
                <w:b/>
                <w:bCs/>
                <w:color w:val="512DA8"/>
                <w:sz w:val="20"/>
                <w:szCs w:val="20"/>
              </w:rPr>
              <w:t xml:space="preserve">Social Matching</w:t>
            </w:r>
          </w:p>
          <w:p>
            <w:pPr>
              <w:spacing w:after="0" w:before="0"/>
              <w:jc w:val="both"/>
            </w:pPr>
            <w:r>
              <w:rPr>
                <w:rFonts w:ascii="Arial" w:cs="Arial" w:eastAsia="Arial" w:hAnsi="Arial"/>
                <w:color w:val="1A1A2E"/>
                <w:sz w:val="21"/>
                <w:szCs w:val="21"/>
              </w:rPr>
              <w:t xml:space="preserve">Quiz responses are embedded using OpenAI's text-embedding model. Cosine similarity across all student vectors produces ranked peer suggestions and a compatibility percentage displayed on each profile. Cold-start is handled by interest tag seeding until sufficient students have enrolled.</w:t>
            </w:r>
          </w:p>
        </w:tc>
      </w:tr>
    </w:tbl>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120"/>
        <w:gridCol w:w="8618"/>
      </w:tblGrid>
      <w:tr>
        <w:tc>
          <w:tcPr>
            <w:tcW w:type="dxa" w:w="120"/>
            <w:tcBorders>
              <w:top w:val="none" w:color="FFFFFF" w:sz="0"/>
              <w:left w:val="none" w:color="FFFFFF" w:sz="0"/>
              <w:bottom w:val="none" w:color="FFFFFF" w:sz="0"/>
              <w:right w:val="none" w:color="FFFFFF" w:sz="0"/>
            </w:tcBorders>
            <w:shd w:fill="1565C0" w:val="clear"/>
            <w:tcMar>
              <w:top w:type="dxa" w:w="0"/>
              <w:left w:type="dxa" w:w="0"/>
              <w:bottom w:type="dxa" w:w="0"/>
              <w:right w:type="dxa" w:w="0"/>
            </w:tcMar>
          </w:tcPr>
          <w:p>
            <w:r>
              <w:t xml:space="preserve"/>
            </w:r>
          </w:p>
        </w:tc>
        <w:tc>
          <w:tcPr>
            <w:tcW w:type="dxa" w:w="8618"/>
            <w:tcBorders>
              <w:top w:val="none" w:color="FFFFFF" w:sz="0"/>
              <w:left w:val="none" w:color="FFFFFF" w:sz="0"/>
              <w:bottom w:val="none" w:color="FFFFFF" w:sz="0"/>
              <w:right w:val="single" w:color="DEDEDE" w:sz="4"/>
            </w:tcBorders>
            <w:shd w:fill="E8F0FE" w:val="clear"/>
            <w:tcMar>
              <w:top w:type="dxa" w:w="140"/>
              <w:left w:type="dxa" w:w="200"/>
              <w:bottom w:type="dxa" w:w="140"/>
              <w:right w:type="dxa" w:w="200"/>
            </w:tcMar>
          </w:tcPr>
          <w:p>
            <w:pPr>
              <w:spacing w:after="60" w:before="0"/>
            </w:pPr>
            <w:r>
              <w:rPr>
                <w:rFonts w:ascii="Arial" w:cs="Arial" w:eastAsia="Arial" w:hAnsi="Arial"/>
                <w:b/>
                <w:bCs/>
                <w:color w:val="1565C0"/>
                <w:sz w:val="20"/>
                <w:szCs w:val="20"/>
              </w:rPr>
              <w:t xml:space="preserve">Residential AI Assistant</w:t>
            </w:r>
          </w:p>
          <w:p>
            <w:pPr>
              <w:spacing w:after="0" w:before="0"/>
              <w:jc w:val="both"/>
            </w:pPr>
            <w:r>
              <w:rPr>
                <w:rFonts w:ascii="Arial" w:cs="Arial" w:eastAsia="Arial" w:hAnsi="Arial"/>
                <w:color w:val="1A1A2E"/>
                <w:sz w:val="21"/>
                <w:szCs w:val="21"/>
              </w:rPr>
              <w:t xml:space="preserve">A RAG-based chatbot answers student queries using a knowledge base of campus-specific information — room bookings, events, facilities, and policies — updated by administrators. GPT-4 generates answers grounded in retrieved documents, keeping responses accurate and hallucination-resistant.</w:t>
            </w:r>
          </w:p>
        </w:tc>
      </w:tr>
    </w:tbl>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120"/>
        <w:gridCol w:w="8618"/>
      </w:tblGrid>
      <w:tr>
        <w:tc>
          <w:tcPr>
            <w:tcW w:type="dxa" w:w="120"/>
            <w:tcBorders>
              <w:top w:val="none" w:color="FFFFFF" w:sz="0"/>
              <w:left w:val="none" w:color="FFFFFF" w:sz="0"/>
              <w:bottom w:val="none" w:color="FFFFFF" w:sz="0"/>
              <w:right w:val="none" w:color="FFFFFF" w:sz="0"/>
            </w:tcBorders>
            <w:shd w:fill="C2185B" w:val="clear"/>
            <w:tcMar>
              <w:top w:type="dxa" w:w="0"/>
              <w:left w:type="dxa" w:w="0"/>
              <w:bottom w:type="dxa" w:w="0"/>
              <w:right w:type="dxa" w:w="0"/>
            </w:tcMar>
          </w:tcPr>
          <w:p>
            <w:r>
              <w:t xml:space="preserve"/>
            </w:r>
          </w:p>
        </w:tc>
        <w:tc>
          <w:tcPr>
            <w:tcW w:type="dxa" w:w="8618"/>
            <w:tcBorders>
              <w:top w:val="none" w:color="FFFFFF" w:sz="0"/>
              <w:left w:val="none" w:color="FFFFFF" w:sz="0"/>
              <w:bottom w:val="none" w:color="FFFFFF" w:sz="0"/>
              <w:right w:val="single" w:color="DEDEDE" w:sz="4"/>
            </w:tcBorders>
            <w:shd w:fill="FFF0F5" w:val="clear"/>
            <w:tcMar>
              <w:top w:type="dxa" w:w="140"/>
              <w:left w:type="dxa" w:w="200"/>
              <w:bottom w:type="dxa" w:w="140"/>
              <w:right w:type="dxa" w:w="200"/>
            </w:tcMar>
          </w:tcPr>
          <w:p>
            <w:pPr>
              <w:spacing w:after="60" w:before="0"/>
            </w:pPr>
            <w:r>
              <w:rPr>
                <w:rFonts w:ascii="Arial" w:cs="Arial" w:eastAsia="Arial" w:hAnsi="Arial"/>
                <w:b/>
                <w:bCs/>
                <w:color w:val="C2185B"/>
                <w:sz w:val="20"/>
                <w:szCs w:val="20"/>
              </w:rPr>
              <w:t xml:space="preserve">MoodMap Wellbeing System</w:t>
            </w:r>
          </w:p>
          <w:p>
            <w:pPr>
              <w:spacing w:after="0" w:before="0"/>
              <w:jc w:val="both"/>
            </w:pPr>
            <w:r>
              <w:rPr>
                <w:rFonts w:ascii="Arial" w:cs="Arial" w:eastAsia="Arial" w:hAnsi="Arial"/>
                <w:color w:val="1A1A2E"/>
                <w:sz w:val="21"/>
                <w:szCs w:val="21"/>
              </w:rPr>
              <w:t xml:space="preserve">Daily check-in data is anonymised and aggregated before any display or alert is generated. Welfare teams see trend lines and anomalies — never individual responses. A sustained spike in 'stressed' sentiment across a floor can trigger a proactive welfare check, enabling early intervention.</w:t>
            </w:r>
          </w:p>
        </w:tc>
      </w:tr>
    </w:tbl>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120"/>
        <w:gridCol w:w="8618"/>
      </w:tblGrid>
      <w:tr>
        <w:tc>
          <w:tcPr>
            <w:tcW w:type="dxa" w:w="12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r>
              <w:t xml:space="preserve"/>
            </w:r>
          </w:p>
        </w:tc>
        <w:tc>
          <w:tcPr>
            <w:tcW w:type="dxa" w:w="8618"/>
            <w:tcBorders>
              <w:top w:val="none" w:color="FFFFFF" w:sz="0"/>
              <w:left w:val="none" w:color="FFFFFF" w:sz="0"/>
              <w:bottom w:val="none" w:color="FFFFFF" w:sz="0"/>
              <w:right w:val="single" w:color="DEDEDE" w:sz="4"/>
            </w:tcBorders>
            <w:shd w:fill="E8F5E9" w:val="clear"/>
            <w:tcMar>
              <w:top w:type="dxa" w:w="140"/>
              <w:left w:type="dxa" w:w="200"/>
              <w:bottom w:type="dxa" w:w="140"/>
              <w:right w:type="dxa" w:w="200"/>
            </w:tcMar>
          </w:tcPr>
          <w:p>
            <w:pPr>
              <w:spacing w:after="60" w:before="0"/>
            </w:pPr>
            <w:r>
              <w:rPr>
                <w:rFonts w:ascii="Arial" w:cs="Arial" w:eastAsia="Arial" w:hAnsi="Arial"/>
                <w:b/>
                <w:bCs/>
                <w:color w:val="2E7D32"/>
                <w:sz w:val="20"/>
                <w:szCs w:val="20"/>
              </w:rPr>
              <w:t xml:space="preserve">Smart Study Finder</w:t>
            </w:r>
          </w:p>
          <w:p>
            <w:pPr>
              <w:spacing w:after="0" w:before="0"/>
              <w:jc w:val="both"/>
            </w:pPr>
            <w:r>
              <w:rPr>
                <w:rFonts w:ascii="Arial" w:cs="Arial" w:eastAsia="Arial" w:hAnsi="Arial"/>
                <w:color w:val="1A1A2E"/>
                <w:sz w:val="21"/>
                <w:szCs w:val="21"/>
              </w:rPr>
              <w:t xml:space="preserve">Historical footfall data, combined with time-of-day and day-of-week patterns, trains a lightweight gradient-boosted model that predicts occupancy and noise level for each study space. Predictions are refreshed in near-real-time via IoT sensors or crowd-reported check-ins.</w:t>
            </w:r>
          </w:p>
        </w:tc>
      </w:tr>
    </w:tbl>
    <w:p>
      <w:pPr>
        <w:spacing w:after="60" w:before="60"/>
      </w:pPr>
      <w:r>
        <w:t xml:space="preserve"/>
      </w:r>
    </w:p>
    <w:p>
      <w:r>
        <w:br w:type="page"/>
      </w:r>
    </w:p>
    <w:p>
      <w:pPr>
        <w:pBdr>
          <w:bottom w:val="single" w:color="D81B60" w:sz="16" w:space="6"/>
        </w:pBdr>
        <w:spacing w:after="120" w:before="440"/>
      </w:pPr>
      <w:r>
        <w:rPr>
          <w:rFonts w:ascii="Georgia" w:cs="Georgia" w:eastAsia="Georgia" w:hAnsi="Georgia"/>
          <w:b/>
          <w:bCs/>
          <w:color w:val="16213E"/>
          <w:sz w:val="34"/>
          <w:szCs w:val="34"/>
        </w:rPr>
        <w:t xml:space="preserve">04  |  Impact &amp; Feasibility</w:t>
      </w:r>
    </w:p>
    <w:p>
      <w:pPr>
        <w:spacing w:after="0" w:before="100"/>
      </w:pPr>
      <w:r>
        <w:t xml:space="preserve"/>
      </w:r>
    </w:p>
    <w:p>
      <w:pPr>
        <w:spacing w:after="120" w:before="60"/>
        <w:jc w:val="both"/>
      </w:pPr>
      <w:r>
        <w:rPr>
          <w:rFonts w:ascii="Arial" w:cs="Arial" w:eastAsia="Arial" w:hAnsi="Arial"/>
          <w:color w:val="1A1A2E"/>
          <w:sz w:val="22"/>
          <w:szCs w:val="22"/>
        </w:rPr>
        <w:t xml:space="preserve">PUZZLES is designed to create measurable improvements across five dimensions of the student residential experience. It also maps closely to outcomes that universities are already incentivised to improve — student satisfaction, retention, and welfare provision.</w:t>
      </w:r>
    </w:p>
    <w:p>
      <w:pPr>
        <w:spacing w:after="60" w:before="60"/>
      </w:pPr>
      <w:r>
        <w:t xml:space="preserve"/>
      </w:r>
    </w:p>
    <w:p>
      <w:pPr>
        <w:spacing w:after="60" w:before="200"/>
      </w:pPr>
      <w:r>
        <w:rPr>
          <w:rFonts w:ascii="Arial" w:cs="Arial" w:eastAsia="Arial" w:hAnsi="Arial"/>
          <w:b/>
          <w:bCs/>
          <w:color w:val="5C6070"/>
          <w:spacing w:val="30"/>
          <w:sz w:val="18"/>
          <w:szCs w:val="18"/>
        </w:rPr>
        <w:t xml:space="preserve">STUDENT IMPACT AREAS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400"/>
        <w:gridCol w:w="6338"/>
      </w:tblGrid>
      <w:tr>
        <w:tc>
          <w:tcPr>
            <w:tcW w:type="dxa" w:w="2400"/>
            <w:tcBorders>
              <w:top w:val="single" w:color="2E7D32" w:sz="1"/>
              <w:left w:val="single" w:color="2E7D32" w:sz="1"/>
              <w:bottom w:val="single" w:color="2E7D32" w:sz="1"/>
              <w:right w:val="single" w:color="2E7D32" w:sz="1"/>
            </w:tcBorders>
            <w:shd w:fill="2E7D32" w:val="clear"/>
            <w:tcMar>
              <w:top w:type="dxa" w:w="120"/>
              <w:left w:type="dxa" w:w="140"/>
              <w:bottom w:type="dxa" w:w="120"/>
              <w:right w:type="dxa" w:w="140"/>
            </w:tcMar>
          </w:tcPr>
          <w:p>
            <w:r>
              <w:rPr>
                <w:rFonts w:ascii="Arial" w:cs="Arial" w:eastAsia="Arial" w:hAnsi="Arial"/>
                <w:b/>
                <w:bCs/>
                <w:color w:val="FFFFFF"/>
                <w:sz w:val="21"/>
                <w:szCs w:val="21"/>
              </w:rPr>
              <w:t xml:space="preserve">Impact Area</w:t>
            </w:r>
          </w:p>
        </w:tc>
        <w:tc>
          <w:tcPr>
            <w:tcW w:type="dxa" w:w="6338"/>
            <w:tcBorders>
              <w:top w:val="single" w:color="2E7D32" w:sz="1"/>
              <w:left w:val="single" w:color="2E7D32" w:sz="1"/>
              <w:bottom w:val="single" w:color="2E7D32" w:sz="1"/>
              <w:right w:val="single" w:color="2E7D32" w:sz="1"/>
            </w:tcBorders>
            <w:shd w:fill="2E7D32" w:val="clear"/>
            <w:tcMar>
              <w:top w:type="dxa" w:w="120"/>
              <w:left w:type="dxa" w:w="140"/>
              <w:bottom w:type="dxa" w:w="120"/>
              <w:right w:type="dxa" w:w="140"/>
            </w:tcMar>
          </w:tcPr>
          <w:p>
            <w:r>
              <w:rPr>
                <w:rFonts w:ascii="Arial" w:cs="Arial" w:eastAsia="Arial" w:hAnsi="Arial"/>
                <w:b/>
                <w:bCs/>
                <w:color w:val="FFFFFF"/>
                <w:sz w:val="21"/>
                <w:szCs w:val="21"/>
              </w:rPr>
              <w:t xml:space="preserve">How PUZZLES Helps</w:t>
            </w:r>
          </w:p>
        </w:tc>
      </w:tr>
      <w:tr>
        <w:tc>
          <w:tcPr>
            <w:tcW w:type="dxa" w:w="2400"/>
            <w:tcBorders>
              <w:top w:val="single" w:color="DEDEDE" w:sz="4"/>
              <w:left w:val="single" w:color="DEDEDE" w:sz="4"/>
              <w:bottom w:val="single" w:color="DEDEDE" w:sz="4"/>
              <w:right w:val="single" w:color="DEDEDE" w:sz="4"/>
            </w:tcBorders>
            <w:shd w:fill="E8F5E9" w:val="clear"/>
            <w:tcMar>
              <w:top w:type="dxa" w:w="110"/>
              <w:left w:type="dxa" w:w="140"/>
              <w:bottom w:type="dxa" w:w="110"/>
              <w:right w:type="dxa" w:w="140"/>
            </w:tcMar>
          </w:tcPr>
          <w:p>
            <w:r>
              <w:rPr>
                <w:rFonts w:ascii="Arial" w:cs="Arial" w:eastAsia="Arial" w:hAnsi="Arial"/>
                <w:b/>
                <w:bCs/>
                <w:color w:val="512DA8"/>
                <w:sz w:val="20"/>
                <w:szCs w:val="20"/>
              </w:rPr>
              <w:t xml:space="preserve">Social Isolation</w:t>
            </w:r>
          </w:p>
        </w:tc>
        <w:tc>
          <w:tcPr>
            <w:tcW w:type="dxa" w:w="63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AI-powered matching lowers the activation energy for forming friendships. Students see shared interests instantly, removing the awkwardness of cold outreach in a new environment.</w:t>
            </w:r>
          </w:p>
        </w:tc>
      </w:tr>
      <w:tr>
        <w:tc>
          <w:tcPr>
            <w:tcW w:type="dxa" w:w="2400"/>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r>
              <w:rPr>
                <w:rFonts w:ascii="Arial" w:cs="Arial" w:eastAsia="Arial" w:hAnsi="Arial"/>
                <w:b/>
                <w:bCs/>
                <w:color w:val="512DA8"/>
                <w:sz w:val="20"/>
                <w:szCs w:val="20"/>
              </w:rPr>
              <w:t xml:space="preserve">Student Retention</w:t>
            </w:r>
          </w:p>
        </w:tc>
        <w:tc>
          <w:tcPr>
            <w:tcW w:type="dxa" w:w="63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Connected students are less likely to disengage and leave. Early wellbeing signals from MoodMap give welfare teams the data to intervene before a student reaches crisis point.</w:t>
            </w:r>
          </w:p>
        </w:tc>
      </w:tr>
      <w:tr>
        <w:tc>
          <w:tcPr>
            <w:tcW w:type="dxa" w:w="2400"/>
            <w:tcBorders>
              <w:top w:val="single" w:color="DEDEDE" w:sz="4"/>
              <w:left w:val="single" w:color="DEDEDE" w:sz="4"/>
              <w:bottom w:val="single" w:color="DEDEDE" w:sz="4"/>
              <w:right w:val="single" w:color="DEDEDE" w:sz="4"/>
            </w:tcBorders>
            <w:shd w:fill="E8F5E9" w:val="clear"/>
            <w:tcMar>
              <w:top w:type="dxa" w:w="110"/>
              <w:left w:type="dxa" w:w="140"/>
              <w:bottom w:type="dxa" w:w="110"/>
              <w:right w:type="dxa" w:w="140"/>
            </w:tcMar>
          </w:tcPr>
          <w:p>
            <w:r>
              <w:rPr>
                <w:rFonts w:ascii="Arial" w:cs="Arial" w:eastAsia="Arial" w:hAnsi="Arial"/>
                <w:b/>
                <w:bCs/>
                <w:color w:val="512DA8"/>
                <w:sz w:val="20"/>
                <w:szCs w:val="20"/>
              </w:rPr>
              <w:t xml:space="preserve">Admin Efficiency</w:t>
            </w:r>
          </w:p>
        </w:tc>
        <w:tc>
          <w:tcPr>
            <w:tcW w:type="dxa" w:w="63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The AI assistant handles the high volume of repetitive student queries — freeing up staff time for complex, human-centred support that cannot be automated.</w:t>
            </w:r>
          </w:p>
        </w:tc>
      </w:tr>
      <w:tr>
        <w:tc>
          <w:tcPr>
            <w:tcW w:type="dxa" w:w="2400"/>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r>
              <w:rPr>
                <w:rFonts w:ascii="Arial" w:cs="Arial" w:eastAsia="Arial" w:hAnsi="Arial"/>
                <w:b/>
                <w:bCs/>
                <w:color w:val="512DA8"/>
                <w:sz w:val="20"/>
                <w:szCs w:val="20"/>
              </w:rPr>
              <w:t xml:space="preserve">Campus Resource Use</w:t>
            </w:r>
          </w:p>
        </w:tc>
        <w:tc>
          <w:tcPr>
            <w:tcW w:type="dxa" w:w="63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Real-time study space and laundry data reduces crowding, wasted trips, and daily frustrations — small quality-of-life wins that compound into meaningfully better days.</w:t>
            </w:r>
          </w:p>
        </w:tc>
      </w:tr>
      <w:tr>
        <w:tc>
          <w:tcPr>
            <w:tcW w:type="dxa" w:w="2400"/>
            <w:tcBorders>
              <w:top w:val="single" w:color="DEDEDE" w:sz="4"/>
              <w:left w:val="single" w:color="DEDEDE" w:sz="4"/>
              <w:bottom w:val="single" w:color="DEDEDE" w:sz="4"/>
              <w:right w:val="single" w:color="DEDEDE" w:sz="4"/>
            </w:tcBorders>
            <w:shd w:fill="E8F5E9" w:val="clear"/>
            <w:tcMar>
              <w:top w:type="dxa" w:w="110"/>
              <w:left w:type="dxa" w:w="140"/>
              <w:bottom w:type="dxa" w:w="110"/>
              <w:right w:type="dxa" w:w="140"/>
            </w:tcMar>
          </w:tcPr>
          <w:p>
            <w:r>
              <w:rPr>
                <w:rFonts w:ascii="Arial" w:cs="Arial" w:eastAsia="Arial" w:hAnsi="Arial"/>
                <w:b/>
                <w:bCs/>
                <w:color w:val="512DA8"/>
                <w:sz w:val="20"/>
                <w:szCs w:val="20"/>
              </w:rPr>
              <w:t xml:space="preserve">Community Health</w:t>
            </w:r>
          </w:p>
        </w:tc>
        <w:tc>
          <w:tcPr>
            <w:tcW w:type="dxa" w:w="6338"/>
            <w:tcBorders>
              <w:top w:val="single" w:color="DEDEDE" w:sz="4"/>
              <w:left w:val="single" w:color="DEDEDE" w:sz="4"/>
              <w:bottom w:val="single" w:color="DEDEDE" w:sz="4"/>
              <w:right w:val="single" w:color="DEDEDE" w:sz="4"/>
            </w:tcBorders>
            <w:shd w:fill="FFFFFF" w:val="clear"/>
            <w:tcMar>
              <w:top w:type="dxa" w:w="110"/>
              <w:left w:type="dxa" w:w="140"/>
              <w:bottom w:type="dxa" w:w="110"/>
              <w:right w:type="dxa" w:w="140"/>
            </w:tcMar>
          </w:tcPr>
          <w:p>
            <w:pPr>
              <w:jc w:val="both"/>
            </w:pPr>
            <w:r>
              <w:rPr>
                <w:rFonts w:ascii="Arial" w:cs="Arial" w:eastAsia="Arial" w:hAnsi="Arial"/>
                <w:color w:val="1A1A2E"/>
                <w:sz w:val="20"/>
                <w:szCs w:val="20"/>
              </w:rPr>
              <w:t xml:space="preserve">Gamification and community features create organic incentives for hosting events, welcoming newcomers, and maintaining an active, inclusive residence culture.</w:t>
            </w:r>
          </w:p>
        </w:tc>
      </w:tr>
    </w:tbl>
    <w:p>
      <w:pPr>
        <w:spacing w:after="60" w:before="60"/>
      </w:pPr>
      <w:r>
        <w:t xml:space="preserve"/>
      </w:r>
    </w:p>
    <w:p>
      <w:pPr>
        <w:spacing w:after="80" w:before="280"/>
      </w:pPr>
      <w:r>
        <w:rPr>
          <w:rFonts w:ascii="Georgia" w:cs="Georgia" w:eastAsia="Georgia" w:hAnsi="Georgia"/>
          <w:b/>
          <w:bCs/>
          <w:color w:val="512DA8"/>
          <w:sz w:val="26"/>
          <w:szCs w:val="26"/>
        </w:rPr>
        <w:t xml:space="preserve">Phased Rollout Plan</w:t>
      </w:r>
    </w:p>
    <w:p>
      <w:pPr>
        <w:spacing w:after="120" w:before="60"/>
        <w:jc w:val="both"/>
      </w:pPr>
      <w:r>
        <w:rPr>
          <w:rFonts w:ascii="Arial" w:cs="Arial" w:eastAsia="Arial" w:hAnsi="Arial"/>
          <w:color w:val="1A1A2E"/>
          <w:sz w:val="22"/>
          <w:szCs w:val="22"/>
        </w:rPr>
        <w:t xml:space="preserve">PUZZLES does not require full-scale infrastructure to launch. The following phased approach allows an MVP to go live quickly, with features added progressively as the platform grows.</w:t>
      </w:r>
    </w:p>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512DA8"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Phase 1  ·  Months 1–3</w:t>
            </w:r>
          </w:p>
        </w:tc>
        <w:tc>
          <w:tcPr>
            <w:tcW w:type="dxa" w:w="8238"/>
            <w:tcBorders>
              <w:top w:val="single" w:color="512DA8" w:sz="4"/>
              <w:left w:val="none" w:color="FFFFFF" w:sz="0"/>
              <w:bottom w:val="single" w:color="512DA8" w:sz="4"/>
              <w:right w:val="single" w:color="512DA8" w:sz="4"/>
            </w:tcBorders>
            <w:shd w:fill="F3EFF9" w:val="clear"/>
            <w:tcMar>
              <w:top w:type="dxa" w:w="120"/>
              <w:left w:type="dxa" w:w="180"/>
              <w:bottom w:type="dxa" w:w="120"/>
              <w:right w:type="dxa" w:w="180"/>
            </w:tcMar>
          </w:tcPr>
          <w:p>
            <w:pPr>
              <w:spacing w:after="50" w:before="0"/>
            </w:pPr>
            <w:r>
              <w:rPr>
                <w:rFonts w:ascii="Arial" w:cs="Arial" w:eastAsia="Arial" w:hAnsi="Arial"/>
                <w:b/>
                <w:bCs/>
                <w:color w:val="512DA8"/>
                <w:sz w:val="22"/>
                <w:szCs w:val="22"/>
              </w:rPr>
              <w:t xml:space="preserve">MVP Launch</w:t>
            </w:r>
          </w:p>
          <w:p>
            <w:pPr>
              <w:spacing w:after="0" w:before="0"/>
              <w:jc w:val="both"/>
            </w:pPr>
            <w:r>
              <w:rPr>
                <w:rFonts w:ascii="Arial" w:cs="Arial" w:eastAsia="Arial" w:hAnsi="Arial"/>
                <w:color w:val="1A1A2E"/>
                <w:sz w:val="20"/>
                <w:szCs w:val="20"/>
              </w:rPr>
              <w:t xml:space="preserve">Core social matching engine, Community Hub, and AI Residential Assistant. Deployable on Firebase's free tier for a single residence hall. No IoT infrastructure required.</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C2185B"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Phase 2  ·  Months 4–6</w:t>
            </w:r>
          </w:p>
        </w:tc>
        <w:tc>
          <w:tcPr>
            <w:tcW w:type="dxa" w:w="8238"/>
            <w:tcBorders>
              <w:top w:val="single" w:color="C2185B" w:sz="4"/>
              <w:left w:val="none" w:color="FFFFFF" w:sz="0"/>
              <w:bottom w:val="single" w:color="C2185B" w:sz="4"/>
              <w:right w:val="single" w:color="C2185B" w:sz="4"/>
            </w:tcBorders>
            <w:shd w:fill="FFF0F5" w:val="clear"/>
            <w:tcMar>
              <w:top w:type="dxa" w:w="120"/>
              <w:left w:type="dxa" w:w="180"/>
              <w:bottom w:type="dxa" w:w="120"/>
              <w:right w:type="dxa" w:w="180"/>
            </w:tcMar>
          </w:tcPr>
          <w:p>
            <w:pPr>
              <w:spacing w:after="50" w:before="0"/>
            </w:pPr>
            <w:r>
              <w:rPr>
                <w:rFonts w:ascii="Arial" w:cs="Arial" w:eastAsia="Arial" w:hAnsi="Arial"/>
                <w:b/>
                <w:bCs/>
                <w:color w:val="C2185B"/>
                <w:sz w:val="22"/>
                <w:szCs w:val="22"/>
              </w:rPr>
              <w:t xml:space="preserve">Utility Features</w:t>
            </w:r>
          </w:p>
          <w:p>
            <w:pPr>
              <w:spacing w:after="0" w:before="0"/>
              <w:jc w:val="both"/>
            </w:pPr>
            <w:r>
              <w:rPr>
                <w:rFonts w:ascii="Arial" w:cs="Arial" w:eastAsia="Arial" w:hAnsi="Arial"/>
                <w:color w:val="1A1A2E"/>
                <w:sz w:val="20"/>
                <w:szCs w:val="20"/>
              </w:rPr>
              <w:t xml:space="preserve">Add the Smart Laundry Tracker (requires IoT sensor negotiation with facilities) and begin Smart Study Finder data collection with crowd-reported check-ins.</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1565C0"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Phase 3  ·  Months 7–9</w:t>
            </w:r>
          </w:p>
        </w:tc>
        <w:tc>
          <w:tcPr>
            <w:tcW w:type="dxa" w:w="8238"/>
            <w:tcBorders>
              <w:top w:val="single" w:color="1565C0" w:sz="4"/>
              <w:left w:val="none" w:color="FFFFFF" w:sz="0"/>
              <w:bottom w:val="single" w:color="1565C0" w:sz="4"/>
              <w:right w:val="single" w:color="1565C0" w:sz="4"/>
            </w:tcBorders>
            <w:shd w:fill="E8F0FE" w:val="clear"/>
            <w:tcMar>
              <w:top w:type="dxa" w:w="120"/>
              <w:left w:type="dxa" w:w="180"/>
              <w:bottom w:type="dxa" w:w="120"/>
              <w:right w:type="dxa" w:w="180"/>
            </w:tcMar>
          </w:tcPr>
          <w:p>
            <w:pPr>
              <w:spacing w:after="50" w:before="0"/>
            </w:pPr>
            <w:r>
              <w:rPr>
                <w:rFonts w:ascii="Arial" w:cs="Arial" w:eastAsia="Arial" w:hAnsi="Arial"/>
                <w:b/>
                <w:bCs/>
                <w:color w:val="1565C0"/>
                <w:sz w:val="22"/>
                <w:szCs w:val="22"/>
              </w:rPr>
              <w:t xml:space="preserve">Wellbeing System</w:t>
            </w:r>
          </w:p>
          <w:p>
            <w:pPr>
              <w:spacing w:after="0" w:before="0"/>
              <w:jc w:val="both"/>
            </w:pPr>
            <w:r>
              <w:rPr>
                <w:rFonts w:ascii="Arial" w:cs="Arial" w:eastAsia="Arial" w:hAnsi="Arial"/>
                <w:color w:val="1A1A2E"/>
                <w:sz w:val="20"/>
                <w:szCs w:val="20"/>
              </w:rPr>
              <w:t xml:space="preserve">Launch MoodMap after the privacy framework is agreed with the student union and welfare teams. Begin campus-wide rollout beyond the pilot hall.</w:t>
            </w:r>
          </w:p>
        </w:tc>
      </w:tr>
    </w:tbl>
    <w:p>
      <w:pPr>
        <w:spacing w:after="20" w:before="20"/>
        <w:ind w:left="240"/>
        <w:jc w:val="left"/>
      </w:pPr>
      <w:r>
        <w:rPr>
          <w:rFonts w:ascii="Arial" w:cs="Arial" w:eastAsia="Arial" w:hAnsi="Arial"/>
          <w:color w:val="5C6070"/>
          <w:sz w:val="26"/>
          <w:szCs w:val="26"/>
        </w:rPr>
        <w:t xml:space="preserve">↓</w:t>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500"/>
        <w:gridCol w:w="8238"/>
      </w:tblGrid>
      <w:tr>
        <w:tc>
          <w:tcPr>
            <w:tcW w:type="dxa" w:w="500"/>
            <w:tcBorders>
              <w:top w:val="none" w:color="FFFFFF" w:sz="0"/>
              <w:left w:val="none" w:color="FFFFFF" w:sz="0"/>
              <w:bottom w:val="none" w:color="FFFFFF" w:sz="0"/>
              <w:right w:val="none" w:color="FFFFFF" w:sz="0"/>
            </w:tcBorders>
            <w:shd w:fill="2E7D32" w:val="clear"/>
            <w:tcMar>
              <w:top w:type="dxa" w:w="140"/>
              <w:left w:type="dxa" w:w="160"/>
              <w:bottom w:type="dxa" w:w="140"/>
              <w:right w:type="dxa" w:w="100"/>
            </w:tcMar>
            <w:vAlign w:val="center"/>
          </w:tcPr>
          <w:p>
            <w:pPr>
              <w:jc w:val="center"/>
            </w:pPr>
            <w:r>
              <w:rPr>
                <w:rFonts w:ascii="Georgia" w:cs="Georgia" w:eastAsia="Georgia" w:hAnsi="Georgia"/>
                <w:b/>
                <w:bCs/>
                <w:color w:val="FFFFFF"/>
                <w:sz w:val="32"/>
                <w:szCs w:val="32"/>
              </w:rPr>
              <w:t xml:space="preserve">Phase 4  ·  Month 10+</w:t>
            </w:r>
          </w:p>
        </w:tc>
        <w:tc>
          <w:tcPr>
            <w:tcW w:type="dxa" w:w="8238"/>
            <w:tcBorders>
              <w:top w:val="single" w:color="2E7D32" w:sz="4"/>
              <w:left w:val="none" w:color="FFFFFF" w:sz="0"/>
              <w:bottom w:val="single" w:color="2E7D32" w:sz="4"/>
              <w:right w:val="single" w:color="2E7D32" w:sz="4"/>
            </w:tcBorders>
            <w:shd w:fill="E8F5E9" w:val="clear"/>
            <w:tcMar>
              <w:top w:type="dxa" w:w="120"/>
              <w:left w:type="dxa" w:w="180"/>
              <w:bottom w:type="dxa" w:w="120"/>
              <w:right w:type="dxa" w:w="180"/>
            </w:tcMar>
          </w:tcPr>
          <w:p>
            <w:pPr>
              <w:spacing w:after="50" w:before="0"/>
            </w:pPr>
            <w:r>
              <w:rPr>
                <w:rFonts w:ascii="Arial" w:cs="Arial" w:eastAsia="Arial" w:hAnsi="Arial"/>
                <w:b/>
                <w:bCs/>
                <w:color w:val="2E7D32"/>
                <w:sz w:val="22"/>
                <w:szCs w:val="22"/>
              </w:rPr>
              <w:t xml:space="preserve">Scale &amp; Partnerships</w:t>
            </w:r>
          </w:p>
          <w:p>
            <w:pPr>
              <w:spacing w:after="0" w:before="0"/>
              <w:jc w:val="both"/>
            </w:pPr>
            <w:r>
              <w:rPr>
                <w:rFonts w:ascii="Arial" w:cs="Arial" w:eastAsia="Arial" w:hAnsi="Arial"/>
                <w:color w:val="1A1A2E"/>
                <w:sz w:val="20"/>
                <w:szCs w:val="20"/>
              </w:rPr>
              <w:t xml:space="preserve">Multi-hall and multi-campus deployment. API integrations with existing university systems — timetabling, facilities, welfare. Institutional licensing revenue model.</w:t>
            </w:r>
          </w:p>
        </w:tc>
      </w:tr>
    </w:tbl>
    <w:p>
      <w:pPr>
        <w:spacing w:after="60" w:before="60"/>
      </w:pPr>
      <w:r>
        <w:t xml:space="preserve"/>
      </w:r>
    </w:p>
    <w:p>
      <w:pPr>
        <w:spacing w:after="80" w:before="280"/>
      </w:pPr>
      <w:r>
        <w:rPr>
          <w:rFonts w:ascii="Georgia" w:cs="Georgia" w:eastAsia="Georgia" w:hAnsi="Georgia"/>
          <w:b/>
          <w:bCs/>
          <w:color w:val="512DA8"/>
          <w:sz w:val="26"/>
          <w:szCs w:val="26"/>
        </w:rPr>
        <w:t xml:space="preserve">Why This Is Achievable</w:t>
      </w:r>
    </w:p>
    <w:p>
      <w:pPr>
        <w:spacing w:after="120" w:before="60"/>
        <w:jc w:val="both"/>
      </w:pPr>
      <w:r>
        <w:rPr>
          <w:rFonts w:ascii="Arial" w:cs="Arial" w:eastAsia="Arial" w:hAnsi="Arial"/>
          <w:color w:val="1A1A2E"/>
          <w:sz w:val="22"/>
          <w:szCs w:val="22"/>
        </w:rPr>
        <w:t xml:space="preserve">Every component of PUZZLES maps to a proven, commercially available technology that a student team or early-stage startup can realistically access and deploy.</w:t>
      </w:r>
    </w:p>
    <w:p>
      <w:pPr>
        <w:spacing w:after="60" w:before="60"/>
      </w:pPr>
      <w:r>
        <w:t xml:space="preserve"/>
      </w:r>
    </w:p>
    <w:p>
      <w:pPr>
        <w:pStyle w:val="ListParagraph"/>
        <w:numPr>
          <w:ilvl w:val="0"/>
          <w:numId w:val="2"/>
        </w:numPr>
        <w:spacing w:after="60" w:before="40"/>
      </w:pPr>
      <w:r>
        <w:rPr>
          <w:rFonts w:ascii="Arial" w:cs="Arial" w:eastAsia="Arial" w:hAnsi="Arial"/>
          <w:color w:val="1A1A2E"/>
          <w:sz w:val="22"/>
          <w:szCs w:val="22"/>
        </w:rPr>
        <w:t xml:space="preserve">Proven tech stack — React, Next.js, Firebase, and the OpenAI API are all mature, well-documented tools with large developer communities and free-tier access.</w:t>
      </w:r>
    </w:p>
    <w:p>
      <w:pPr>
        <w:pStyle w:val="ListParagraph"/>
        <w:numPr>
          <w:ilvl w:val="0"/>
          <w:numId w:val="2"/>
        </w:numPr>
        <w:spacing w:after="60" w:before="40"/>
      </w:pPr>
      <w:r>
        <w:rPr>
          <w:rFonts w:ascii="Arial" w:cs="Arial" w:eastAsia="Arial" w:hAnsi="Arial"/>
          <w:color w:val="1A1A2E"/>
          <w:sz w:val="22"/>
          <w:szCs w:val="22"/>
        </w:rPr>
        <w:t xml:space="preserve">Low starting cost — Firebase's free tier comfortably handles a single residence hall. Costs scale with adoption, making this viable as a student project, a pilot scheme, or a funded startup.</w:t>
      </w:r>
    </w:p>
    <w:p>
      <w:pPr>
        <w:pStyle w:val="ListParagraph"/>
        <w:numPr>
          <w:ilvl w:val="0"/>
          <w:numId w:val="2"/>
        </w:numPr>
        <w:spacing w:after="60" w:before="40"/>
      </w:pPr>
      <w:r>
        <w:rPr>
          <w:rFonts w:ascii="Arial" w:cs="Arial" w:eastAsia="Arial" w:hAnsi="Arial"/>
          <w:color w:val="1A1A2E"/>
          <w:sz w:val="22"/>
          <w:szCs w:val="22"/>
        </w:rPr>
        <w:t xml:space="preserve">Privacy-first design — Mood data is anonymised and aggregated before any display. Campus email SSO ensures only enrolled residents can access the platform. No sensitive personal data is shared between students without explicit consent.</w:t>
      </w:r>
    </w:p>
    <w:p>
      <w:pPr>
        <w:pStyle w:val="ListParagraph"/>
        <w:numPr>
          <w:ilvl w:val="0"/>
          <w:numId w:val="2"/>
        </w:numPr>
        <w:spacing w:after="60" w:before="40"/>
      </w:pPr>
      <w:r>
        <w:rPr>
          <w:rFonts w:ascii="Arial" w:cs="Arial" w:eastAsia="Arial" w:hAnsi="Arial"/>
          <w:color w:val="1A1A2E"/>
          <w:sz w:val="22"/>
          <w:szCs w:val="22"/>
        </w:rPr>
        <w:t xml:space="preserve">Student-led potential — The stack is learnable by a motivated CS student team. Partnering with a university entrepreneurship programme provides both resources and a built-in first user base.</w:t>
      </w:r>
    </w:p>
    <w:p>
      <w:pPr>
        <w:pStyle w:val="ListParagraph"/>
        <w:numPr>
          <w:ilvl w:val="0"/>
          <w:numId w:val="2"/>
        </w:numPr>
        <w:spacing w:after="60" w:before="40"/>
      </w:pPr>
      <w:r>
        <w:rPr>
          <w:rFonts w:ascii="Arial" w:cs="Arial" w:eastAsia="Arial" w:hAnsi="Arial"/>
          <w:color w:val="1A1A2E"/>
          <w:sz w:val="22"/>
          <w:szCs w:val="22"/>
        </w:rPr>
        <w:t xml:space="preserve">Institutional alignment — Universities are actively seeking technology solutions for student wellbeing and retention. PUZZLES directly addresses the metrics they are already measured against: satisfaction scores, retention rates, and welfare response times.</w:t>
      </w:r>
    </w:p>
    <w:p>
      <w:pPr>
        <w:spacing w:after="60" w:before="60"/>
      </w:pPr>
      <w:r>
        <w:t xml:space="preserve"/>
      </w:r>
    </w:p>
    <w:p>
      <w:pPr>
        <w:pBdr>
          <w:bottom w:val="single" w:color="DEDEDE" w:sz="4" w:space="1"/>
        </w:pBdr>
        <w:spacing w:after="120" w:before="120"/>
      </w:pPr>
      <w:r>
        <w:t xml:space="preserve"/>
      </w:r>
    </w:p>
    <w:p>
      <w:pPr>
        <w:spacing w:after="60" w:before="60"/>
      </w:pPr>
      <w:r>
        <w:t xml:space="preserve"/>
      </w:r>
    </w:p>
    <w:tbl>
      <w:tblPr>
        <w:tblW w:type="dxa" w:w="8738"/>
        <w:tblBorders>
          <w:top w:val="none" w:color="FFFFFF" w:sz="0"/>
          <w:left w:val="none" w:color="FFFFFF" w:sz="0"/>
          <w:bottom w:val="none" w:color="FFFFFF" w:sz="0"/>
          <w:right w:val="none" w:color="FFFFFF" w:sz="0"/>
          <w:insideH w:val="single" w:color="auto" w:sz="4"/>
          <w:insideV w:val="single" w:color="auto" w:sz="4"/>
        </w:tblBorders>
      </w:tblPr>
      <w:tblGrid>
        <w:gridCol w:w="120"/>
        <w:gridCol w:w="8618"/>
      </w:tblGrid>
      <w:tr>
        <w:tc>
          <w:tcPr>
            <w:tcW w:type="dxa" w:w="120"/>
            <w:tcBorders>
              <w:top w:val="none" w:color="FFFFFF" w:sz="0"/>
              <w:left w:val="none" w:color="FFFFFF" w:sz="0"/>
              <w:bottom w:val="none" w:color="FFFFFF" w:sz="0"/>
              <w:right w:val="none" w:color="FFFFFF" w:sz="0"/>
            </w:tcBorders>
            <w:shd w:fill="512DA8" w:val="clear"/>
            <w:tcMar>
              <w:top w:type="dxa" w:w="0"/>
              <w:left w:type="dxa" w:w="0"/>
              <w:bottom w:type="dxa" w:w="0"/>
              <w:right w:type="dxa" w:w="0"/>
            </w:tcMar>
          </w:tcPr>
          <w:p>
            <w:r>
              <w:t xml:space="preserve"/>
            </w:r>
          </w:p>
        </w:tc>
        <w:tc>
          <w:tcPr>
            <w:tcW w:type="dxa" w:w="8618"/>
            <w:tcBorders>
              <w:top w:val="none" w:color="FFFFFF" w:sz="0"/>
              <w:left w:val="none" w:color="FFFFFF" w:sz="0"/>
              <w:bottom w:val="none" w:color="FFFFFF" w:sz="0"/>
              <w:right w:val="single" w:color="DEDEDE" w:sz="4"/>
            </w:tcBorders>
            <w:shd w:fill="F3EFF9" w:val="clear"/>
            <w:tcMar>
              <w:top w:type="dxa" w:w="140"/>
              <w:left w:type="dxa" w:w="200"/>
              <w:bottom w:type="dxa" w:w="140"/>
              <w:right w:type="dxa" w:w="200"/>
            </w:tcMar>
          </w:tcPr>
          <w:p>
            <w:pPr>
              <w:spacing w:after="60" w:before="0"/>
            </w:pPr>
            <w:r>
              <w:rPr>
                <w:rFonts w:ascii="Arial" w:cs="Arial" w:eastAsia="Arial" w:hAnsi="Arial"/>
                <w:b/>
                <w:bCs/>
                <w:color w:val="512DA8"/>
                <w:sz w:val="20"/>
                <w:szCs w:val="20"/>
              </w:rPr>
              <w:t xml:space="preserve">Conclusion</w:t>
            </w:r>
          </w:p>
          <w:p>
            <w:pPr>
              <w:spacing w:after="0" w:before="0"/>
              <w:jc w:val="both"/>
            </w:pPr>
            <w:r>
              <w:rPr>
                <w:rFonts w:ascii="Arial" w:cs="Arial" w:eastAsia="Arial" w:hAnsi="Arial"/>
                <w:color w:val="1A1A2E"/>
                <w:sz w:val="21"/>
                <w:szCs w:val="21"/>
              </w:rPr>
              <w:t xml:space="preserve">PUZZLES is a realistic, impactful, and technically sound response to a genuine and growing problem in residential university life. It applies AI not as a gimmick, but as the connective tissue that makes a fragmented campus feel coherent — turning a building full of individuals into a community of puzzle pieces that actually fit together.</w:t>
            </w:r>
          </w:p>
        </w:tc>
      </w:tr>
    </w:tbl>
    <w:p>
      <w:pPr>
        <w:spacing w:after="60" w:before="60"/>
      </w:pPr>
      <w:r>
        <w:t xml:space="preserve"/>
      </w:r>
    </w:p>
    <w:sectPr>
      <w:headerReference w:type="default" r:id="rId7"/>
      <w:footerReference w:type="default" r:id="rId8"/>
      <w:pgSz w:w="11906" w:h="16838" w:orient="portrait"/>
      <w:pgMar w:top="1584" w:right="1584" w:bottom="1584"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space="4"/>
      </w:pBdr>
      <w:spacing w:after="0" w:before="60"/>
    </w:pPr>
    <w:r>
      <w:rPr>
        <w:rFonts w:ascii="Arial" w:cs="Arial" w:eastAsia="Arial" w:hAnsi="Arial"/>
        <w:color w:val="5C6070"/>
        <w:sz w:val="17"/>
        <w:szCs w:val="17"/>
      </w:rPr>
      <w:t xml:space="preserve">Confidential  ·  PUZZLES Project Pitch  ·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EDE" w:sz="6" w:space="4"/>
      </w:pBdr>
      <w:spacing w:after="60" w:before="0"/>
    </w:pPr>
    <w:r>
      <w:rPr>
        <w:rFonts w:ascii="Arial" w:cs="Arial" w:eastAsia="Arial" w:hAnsi="Arial"/>
        <w:b/>
        <w:bCs/>
        <w:color w:val="512DA8"/>
        <w:sz w:val="18"/>
        <w:szCs w:val="18"/>
      </w:rPr>
      <w:t xml:space="preserve">PUZZLES  </w:t>
    </w:r>
    <w:r>
      <w:rPr>
        <w:rFonts w:ascii="Arial" w:cs="Arial" w:eastAsia="Arial" w:hAnsi="Arial"/>
        <w:color w:val="5C6070"/>
        <w:sz w:val="18"/>
        <w:szCs w:val="18"/>
      </w:rPr>
      <w:t xml:space="preserve">—  AI-Powered Residential Platform  —  Project Pitch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2026-03-19T15:59:52.861Z</dcterms:created>
  <dcterms:modified xsi:type="dcterms:W3CDTF">2026-03-19T15:59:52.863Z</dcterms:modified>
</cp:coreProperties>
</file>

<file path=docProps/custom.xml><?xml version="1.0" encoding="utf-8"?>
<Properties xmlns="http://schemas.openxmlformats.org/officeDocument/2006/custom-properties" xmlns:vt="http://schemas.openxmlformats.org/officeDocument/2006/docPropsVTypes"/>
</file>