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Rodrigo do Nascimento Silva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Layout w:type="fixed"/>
        <w:tblLook w:val="0400"/>
      </w:tblPr>
      <w:tblGrid>
        <w:gridCol w:w="3045"/>
        <w:gridCol w:w="5460"/>
        <w:tblGridChange w:id="0">
          <w:tblGrid>
            <w:gridCol w:w="304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3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center"/>
        <w:tblLayout w:type="fixed"/>
        <w:tblLook w:val="0400"/>
      </w:tblPr>
      <w:tblGrid>
        <w:gridCol w:w="3030"/>
        <w:gridCol w:w="5475"/>
        <w:tblGridChange w:id="0">
          <w:tblGrid>
            <w:gridCol w:w="3030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795"/>
        <w:gridCol w:w="7890"/>
        <w:gridCol w:w="1005"/>
        <w:tblGridChange w:id="0">
          <w:tblGrid>
            <w:gridCol w:w="780"/>
            <w:gridCol w:w="795"/>
            <w:gridCol w:w="789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150,01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150,00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100,00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50,00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49,99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produtos com valor de 0,00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Validar a renovação de produtos iguais, cadastrados há 91 dias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Validar a renovação de produtos iguais, cadastrados há 90 dias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Validar a renovação de produtos iguais, cadastrados há 89 dias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Validar a renovação de produtos diferentes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Validar a renovação de produtos não cadastrados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151 itens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150 itens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CT14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Validar o cadastro de 149 itens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CT15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Validar 1º cadastro de 150 itens e 2º cadastro de 150 itens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CT16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Validar 1º cadastro de 151 itens e 2º cadastro de 150 itens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CT17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Validar 1º cadastro de 150 itens e 2º cadastro de 151 itens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CT18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Validar permissão de cadastro de produto por administrador autenticado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CT19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Validar permissão de cadastro de produto por administrador não autenticado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CT20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Validar permissão de cadastro de produto por usuário simples autenticado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CT21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Validar permissão de cadastro de produto por usuário simples não autenticado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center"/>
        <w:tblLayout w:type="fixed"/>
        <w:tblLook w:val="0400"/>
      </w:tblPr>
      <w:tblGrid>
        <w:gridCol w:w="2910"/>
        <w:gridCol w:w="5595"/>
        <w:tblGridChange w:id="0">
          <w:tblGrid>
            <w:gridCol w:w="291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30.0" w:type="dxa"/>
        <w:jc w:val="left"/>
        <w:tblInd w:w="-13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5"/>
        <w:gridCol w:w="5295"/>
        <w:tblGridChange w:id="0">
          <w:tblGrid>
            <w:gridCol w:w="5835"/>
            <w:gridCol w:w="5295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CT02 - Validar o cadastro de produtos com valor de 150,00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CT03 - Validar o cadastro de produtos com valor de 100,00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CT04 - Validar o cadastro de produtos com valor de 50,00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CT13 - Validar o cadastro de 150 itens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CT14 - Validar o cadastro de 149 itens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CT15 - Validar 1º cadastro de 150 itens e 2º cadastro de 150 itens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CT07 - Validar a renovação de produtos iguais, cadastrados há 91 dias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CT08 - Validar a renovação de produtos iguais, cadastrados há 90 dias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CT18 - </w:t>
            </w:r>
            <w:r w:rsidDel="00000000" w:rsidR="00000000" w:rsidRPr="00000000">
              <w:rPr>
                <w:rtl w:val="0"/>
              </w:rPr>
              <w:t xml:space="preserve">Validar</w:t>
            </w:r>
            <w:r w:rsidDel="00000000" w:rsidR="00000000" w:rsidRPr="00000000">
              <w:rPr>
                <w:rtl w:val="0"/>
              </w:rPr>
              <w:t xml:space="preserve"> permissão de cadastro de produto por administrador autenticado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CT06 - Validar o cadastro de produtos com valor de 0,00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CT09 - Validar a renovação de produtos iguais, cadastrados há 89 dias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CT10 - Validar a renovação de produtos diferentes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CT11 - Validar a renovação de produtos não cadastrados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CT01 - Validar o cadastro de produtos com valor de 150,01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CT05 - Validar o cadastro de produtos com valor de 49,99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CT16 - Validar 1º cadastro de 151 itens e 2º cadastro de 150 itens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CT17 - Validar 1º cadastro de 150 itens e 2º cadastro de 151 itens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CT12 - Validar o cadastro de 151 itens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CT19 - Validar permissão de cadastro de produto por administrador não autenticado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CT20 - Validar permissão de cadastro de produto por usuário simples autenticado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CT21 - Validar permissão de cadastro de produto por usuário simples não autenticado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center"/>
        <w:tblLayout w:type="fixed"/>
        <w:tblLook w:val="0400"/>
      </w:tblPr>
      <w:tblGrid>
        <w:gridCol w:w="2550"/>
        <w:gridCol w:w="5955"/>
        <w:tblGridChange w:id="0">
          <w:tblGrid>
            <w:gridCol w:w="2550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CT18 - Em caso de falha, o usuário com perfil de segurança apropriado de acordo com a regra de negócio não poderá cadastrar produtos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CT19, 20 e 21 - Em caso de falha, usuário sem perfil de segurança apropriado, de acordo com a regra de negócio, poderá cadastrar produtos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CT06 - Em caso de falha o produto será cadastrado com valor zerado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CT01 e 05 - Em caso de falha, o usuário poderá cadastrar produtos excedendo o valor maior ou menor de acordo com as regras de negócio.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CT12, 16 e 17 - Em caso de falha, o usuário estará cadastrando um número de produtos acima do limite permitido por cadastro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VfonRbTZmoSKUZGyitFtyUcgrg==">AMUW2mUtNGfpf2NZidZERsiQbVCMEC5v0o6BTHARUPocYV0L0ZXp4Z5sYCkUxQLUvgqRP+LnaXsbMR9qGDB6Vl+h8sofOhROSdJ9zRS9+92SdD6jGlm4niPlQgjp/PfDglS3GISEuneE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</cp:coreProperties>
</file>