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0B72" w14:textId="77777777" w:rsidR="00417180" w:rsidRDefault="00417180" w:rsidP="00417180">
      <w:pPr>
        <w:spacing w:after="360" w:line="360" w:lineRule="auto"/>
        <w:jc w:val="center"/>
        <w:rPr>
          <w:rFonts w:ascii="Arial" w:eastAsia="Arial" w:hAnsi="Arial" w:cs="Arial"/>
        </w:rPr>
      </w:pPr>
      <w:bookmarkStart w:id="0" w:name="_Toc416884922"/>
      <w:r>
        <w:rPr>
          <w:rFonts w:ascii="Arial" w:eastAsia="Arial" w:hAnsi="Arial" w:cs="Arial"/>
          <w:b/>
          <w:bCs/>
        </w:rPr>
        <w:t>Letter of Transmittal</w:t>
      </w:r>
    </w:p>
    <w:p w14:paraId="77966273" w14:textId="5A75BD44" w:rsidR="00417180" w:rsidRDefault="00417180" w:rsidP="00417180">
      <w:pPr>
        <w:rPr>
          <w:rFonts w:ascii="Arial" w:eastAsia="Arial" w:hAnsi="Arial" w:cs="Arial"/>
        </w:rPr>
      </w:pPr>
      <w:r>
        <w:rPr>
          <w:rFonts w:ascii="Arial" w:eastAsia="Arial" w:hAnsi="Arial" w:cs="Arial"/>
        </w:rPr>
        <w:t>February 22, 201</w:t>
      </w:r>
      <w:r w:rsidR="0012461E">
        <w:rPr>
          <w:rFonts w:ascii="Arial" w:eastAsia="Arial" w:hAnsi="Arial" w:cs="Arial"/>
        </w:rPr>
        <w:t>9</w:t>
      </w:r>
    </w:p>
    <w:p w14:paraId="013FD96E" w14:textId="09C8CE13" w:rsidR="00417180" w:rsidRDefault="00417180" w:rsidP="00417180">
      <w:pPr>
        <w:rPr>
          <w:rFonts w:ascii="Arial" w:eastAsia="Arial" w:hAnsi="Arial" w:cs="Arial"/>
        </w:rPr>
      </w:pPr>
      <w:r>
        <w:rPr>
          <w:rFonts w:ascii="Arial" w:eastAsia="Arial" w:hAnsi="Arial" w:cs="Arial"/>
        </w:rPr>
        <w:br/>
        <w:t>President Donald J. Trump</w:t>
      </w:r>
      <w:r>
        <w:rPr>
          <w:rFonts w:ascii="Arial" w:eastAsia="Arial" w:hAnsi="Arial" w:cs="Arial"/>
        </w:rPr>
        <w:br/>
        <w:t>The White House</w:t>
      </w:r>
      <w:r>
        <w:rPr>
          <w:rFonts w:ascii="Arial" w:eastAsia="Arial" w:hAnsi="Arial" w:cs="Arial"/>
        </w:rPr>
        <w:br/>
        <w:t>1600 Pennsylvania Ave., NW</w:t>
      </w:r>
      <w:r>
        <w:rPr>
          <w:rFonts w:ascii="Arial" w:eastAsia="Arial" w:hAnsi="Arial" w:cs="Arial"/>
        </w:rPr>
        <w:br/>
        <w:t>Washington, DC 20500</w:t>
      </w:r>
    </w:p>
    <w:p w14:paraId="0F1E31D2" w14:textId="77777777" w:rsidR="00B85D45" w:rsidRPr="00B85D45" w:rsidRDefault="00B85D45" w:rsidP="00B85D45">
      <w:pPr>
        <w:pStyle w:val="CM48"/>
        <w:spacing w:line="360" w:lineRule="auto"/>
        <w:rPr>
          <w:color w:val="000000"/>
        </w:rPr>
      </w:pPr>
    </w:p>
    <w:p w14:paraId="1469FCF7" w14:textId="77777777" w:rsidR="00B85D45" w:rsidRPr="00B85D45" w:rsidRDefault="00B85D45" w:rsidP="00B85D45">
      <w:pPr>
        <w:pStyle w:val="CM48"/>
        <w:spacing w:line="360" w:lineRule="auto"/>
        <w:rPr>
          <w:color w:val="000000"/>
        </w:rPr>
      </w:pPr>
      <w:r w:rsidRPr="00B85D45">
        <w:rPr>
          <w:color w:val="000000"/>
        </w:rPr>
        <w:t>Dear Mr. President,</w:t>
      </w:r>
    </w:p>
    <w:p w14:paraId="411A41A2" w14:textId="77777777" w:rsidR="00B85D45" w:rsidRPr="00B85D45" w:rsidRDefault="00B85D45" w:rsidP="00B85D45">
      <w:pPr>
        <w:pStyle w:val="Default"/>
        <w:rPr>
          <w:rFonts w:ascii="Arial" w:hAnsi="Arial" w:cs="Arial"/>
        </w:rPr>
      </w:pPr>
    </w:p>
    <w:p w14:paraId="2754BCA5" w14:textId="77777777" w:rsidR="00B85D45" w:rsidRPr="00B85D45" w:rsidRDefault="00B85D45" w:rsidP="00B85D45">
      <w:pPr>
        <w:pStyle w:val="CM48"/>
        <w:spacing w:line="360" w:lineRule="auto"/>
        <w:rPr>
          <w:color w:val="000000"/>
        </w:rPr>
      </w:pPr>
      <w:r w:rsidRPr="00B85D45">
        <w:rPr>
          <w:color w:val="000000"/>
        </w:rPr>
        <w:t>The National Council on Disability (NCD) is pleased to provide this assessment of the AbilityOne Program.</w:t>
      </w:r>
    </w:p>
    <w:p w14:paraId="78D5C2C8" w14:textId="77777777" w:rsidR="00B85D45" w:rsidRPr="00B85D45" w:rsidRDefault="00B85D45" w:rsidP="00B85D45">
      <w:pPr>
        <w:pStyle w:val="Default"/>
        <w:rPr>
          <w:rFonts w:ascii="Arial" w:hAnsi="Arial" w:cs="Arial"/>
        </w:rPr>
      </w:pPr>
    </w:p>
    <w:p w14:paraId="45BDD54B" w14:textId="0DD9A6E7" w:rsidR="00B85D45" w:rsidRDefault="00B85D45" w:rsidP="00B85D45">
      <w:pPr>
        <w:pStyle w:val="CM4"/>
        <w:spacing w:line="360" w:lineRule="auto"/>
        <w:rPr>
          <w:color w:val="000000"/>
        </w:rPr>
      </w:pPr>
      <w:r w:rsidRPr="00B85D45">
        <w:rPr>
          <w:color w:val="000000"/>
        </w:rPr>
        <w:t>The AbilityOne Program, seeks, through federal procurement, to create employment opportunities for people who are blind or have a severe disability. First authorized in 1938 and now operating under the 1971 Javits Wagner O’Day Act, today government agencies annually purchase $3.3 billion worth of goods and services through the program. In this first assessment of the AbilityOne Program by NCD, this initial report examines the goals and outcome of the program through the lens of current federal disability law and policy.</w:t>
      </w:r>
    </w:p>
    <w:p w14:paraId="71E4AC6E" w14:textId="77777777" w:rsidR="0012461E" w:rsidRPr="0012461E" w:rsidRDefault="0012461E" w:rsidP="0012461E">
      <w:pPr>
        <w:pStyle w:val="Default"/>
      </w:pPr>
    </w:p>
    <w:p w14:paraId="1EAC7BE9" w14:textId="2B0CC2C9" w:rsidR="00B85D45" w:rsidRPr="00B85D45" w:rsidRDefault="00B85D45" w:rsidP="0077270E">
      <w:pPr>
        <w:spacing w:after="0" w:line="360" w:lineRule="auto"/>
      </w:pPr>
      <w:r w:rsidRPr="0077270E">
        <w:rPr>
          <w:rFonts w:ascii="Arial" w:hAnsi="Arial" w:cs="Arial"/>
        </w:rPr>
        <w:t>Sources that NCD researchers</w:t>
      </w:r>
      <w:r w:rsidR="005524CC" w:rsidRPr="0077270E">
        <w:rPr>
          <w:rFonts w:ascii="Arial" w:hAnsi="Arial" w:cs="Arial"/>
        </w:rPr>
        <w:t xml:space="preserve"> reviewed </w:t>
      </w:r>
      <w:r w:rsidRPr="0077270E">
        <w:rPr>
          <w:rFonts w:ascii="Arial" w:hAnsi="Arial" w:cs="Arial"/>
        </w:rPr>
        <w:t>to complete this paper were Commission Performance and Accountability Reports; Budget Justifications; Commission regulations, cooperative agreements, and compliance materials; Office of Inspector General (OIG) reports; and reports from other federal agencies and panels.</w:t>
      </w:r>
      <w:r w:rsidR="0077270E">
        <w:rPr>
          <w:rFonts w:ascii="Arial" w:hAnsi="Arial" w:cs="Arial"/>
        </w:rPr>
        <w:t xml:space="preserve"> </w:t>
      </w:r>
      <w:r w:rsidR="000835E8">
        <w:rPr>
          <w:rFonts w:ascii="Arial" w:hAnsi="Arial" w:cs="Arial"/>
        </w:rPr>
        <w:t>NCD reached</w:t>
      </w:r>
      <w:r w:rsidR="0077270E">
        <w:rPr>
          <w:rFonts w:ascii="Arial" w:hAnsi="Arial" w:cs="Arial"/>
        </w:rPr>
        <w:t xml:space="preserve"> out to AbilityOne to secure interviews with key staff. In </w:t>
      </w:r>
      <w:r w:rsidR="000835E8">
        <w:rPr>
          <w:rFonts w:ascii="Arial" w:hAnsi="Arial" w:cs="Arial"/>
        </w:rPr>
        <w:t>lieu</w:t>
      </w:r>
      <w:r w:rsidR="0077270E">
        <w:rPr>
          <w:rFonts w:ascii="Arial" w:hAnsi="Arial" w:cs="Arial"/>
        </w:rPr>
        <w:t xml:space="preserve"> of interviews, AbilityOne provided brief written answers to some of the broad questions considered in this study and responded in detail to several follow-up questions. Additionally, the AbilityOne OIG met briefly with NCD and its researchers.</w:t>
      </w:r>
    </w:p>
    <w:p w14:paraId="5A1A4F11" w14:textId="77777777" w:rsidR="00B85D45" w:rsidRPr="00B85D45" w:rsidRDefault="00B85D45" w:rsidP="00B85D45">
      <w:pPr>
        <w:pStyle w:val="Default"/>
        <w:rPr>
          <w:rFonts w:ascii="Arial" w:hAnsi="Arial" w:cs="Arial"/>
        </w:rPr>
      </w:pPr>
    </w:p>
    <w:p w14:paraId="3E582C92" w14:textId="37FABED8" w:rsidR="00B85D45" w:rsidRPr="00B85D45" w:rsidRDefault="00B85D45" w:rsidP="00B85D45">
      <w:pPr>
        <w:pStyle w:val="CM4"/>
        <w:spacing w:line="360" w:lineRule="auto"/>
        <w:rPr>
          <w:color w:val="000000"/>
        </w:rPr>
      </w:pPr>
      <w:r w:rsidRPr="00B85D45">
        <w:rPr>
          <w:color w:val="000000"/>
        </w:rPr>
        <w:t xml:space="preserve">NCD provides this assessment at a pivotal moment. Federal statutes and policies which affect the employment of persons with disabilities have shifted dramatically since the </w:t>
      </w:r>
      <w:r w:rsidRPr="00B85D45">
        <w:rPr>
          <w:color w:val="000000"/>
        </w:rPr>
        <w:lastRenderedPageBreak/>
        <w:t>inception of the program eighty years ago. Integrated settings and competitive wages for individuals with disabilities are now the expectation, not the exception. However, despite the clear intentions of federal laws and policies, there are still drivers in the employment system</w:t>
      </w:r>
      <w:r w:rsidR="00B86713">
        <w:rPr>
          <w:color w:val="000000"/>
        </w:rPr>
        <w:t xml:space="preserve"> </w:t>
      </w:r>
      <w:r w:rsidRPr="00B85D45">
        <w:rPr>
          <w:color w:val="000000"/>
        </w:rPr>
        <w:t>which appear out of sync with the forward momentum of disability policy towards integration and equality</w:t>
      </w:r>
      <w:r w:rsidR="00AB3994">
        <w:rPr>
          <w:color w:val="000000"/>
        </w:rPr>
        <w:t>.</w:t>
      </w:r>
    </w:p>
    <w:p w14:paraId="57B2BE5F" w14:textId="77777777" w:rsidR="00B85D45" w:rsidRPr="00B85D45" w:rsidRDefault="00B85D45" w:rsidP="00B85D45">
      <w:pPr>
        <w:pStyle w:val="Default"/>
        <w:rPr>
          <w:rFonts w:ascii="Arial" w:hAnsi="Arial" w:cs="Arial"/>
        </w:rPr>
      </w:pPr>
    </w:p>
    <w:p w14:paraId="7F3E1A79" w14:textId="49A4A57B" w:rsidR="00B85D45" w:rsidRPr="00B85D45" w:rsidRDefault="00417180" w:rsidP="00B85D45">
      <w:pPr>
        <w:pStyle w:val="Default"/>
        <w:spacing w:line="360" w:lineRule="auto"/>
        <w:rPr>
          <w:rFonts w:ascii="Arial" w:hAnsi="Arial" w:cs="Arial"/>
        </w:rPr>
      </w:pPr>
      <w:r w:rsidRPr="00417180">
        <w:rPr>
          <w:rFonts w:ascii="Arial" w:hAnsi="Arial" w:cs="Arial"/>
        </w:rPr>
        <w:t>This report</w:t>
      </w:r>
      <w:r w:rsidR="00940210">
        <w:rPr>
          <w:rFonts w:ascii="Arial" w:hAnsi="Arial" w:cs="Arial"/>
        </w:rPr>
        <w:t xml:space="preserve"> </w:t>
      </w:r>
      <w:r w:rsidRPr="00417180">
        <w:rPr>
          <w:rFonts w:ascii="Arial" w:hAnsi="Arial" w:cs="Arial"/>
        </w:rPr>
        <w:t xml:space="preserve">is part </w:t>
      </w:r>
      <w:r w:rsidR="00940210">
        <w:rPr>
          <w:rFonts w:ascii="Arial" w:hAnsi="Arial" w:cs="Arial"/>
        </w:rPr>
        <w:t>one</w:t>
      </w:r>
      <w:r w:rsidRPr="00417180">
        <w:rPr>
          <w:rFonts w:ascii="Arial" w:hAnsi="Arial" w:cs="Arial"/>
        </w:rPr>
        <w:t xml:space="preserve"> of a two-part </w:t>
      </w:r>
      <w:r w:rsidR="00940210">
        <w:rPr>
          <w:rFonts w:ascii="Arial" w:hAnsi="Arial" w:cs="Arial"/>
        </w:rPr>
        <w:t xml:space="preserve">series on the </w:t>
      </w:r>
      <w:r w:rsidR="00940210" w:rsidRPr="00940210">
        <w:rPr>
          <w:rFonts w:ascii="Arial" w:hAnsi="Arial" w:cs="Arial"/>
        </w:rPr>
        <w:t>AbilityOne Program and the work of the AbilityOne Commission</w:t>
      </w:r>
      <w:r w:rsidRPr="00417180">
        <w:rPr>
          <w:rFonts w:ascii="Arial" w:hAnsi="Arial" w:cs="Arial"/>
        </w:rPr>
        <w:t xml:space="preserve">.  </w:t>
      </w:r>
      <w:r w:rsidR="00B85D45" w:rsidRPr="00B85D45">
        <w:rPr>
          <w:rFonts w:ascii="Arial" w:hAnsi="Arial" w:cs="Arial"/>
        </w:rPr>
        <w:t xml:space="preserve">NCD looks forward to working with </w:t>
      </w:r>
      <w:r w:rsidR="00940210">
        <w:rPr>
          <w:rFonts w:ascii="Arial" w:hAnsi="Arial" w:cs="Arial"/>
        </w:rPr>
        <w:t xml:space="preserve">the AbilityOne Commission, </w:t>
      </w:r>
      <w:r w:rsidR="00B85D45" w:rsidRPr="00B85D45">
        <w:rPr>
          <w:rFonts w:ascii="Arial" w:hAnsi="Arial" w:cs="Arial"/>
        </w:rPr>
        <w:t>Congress and the Administration to ensure that Americans with disabilities are supported and encouraged to take their rightful place in the 21</w:t>
      </w:r>
      <w:r w:rsidR="00B85D45" w:rsidRPr="00B85D45">
        <w:rPr>
          <w:rFonts w:ascii="Arial" w:hAnsi="Arial" w:cs="Arial"/>
          <w:vertAlign w:val="superscript"/>
        </w:rPr>
        <w:t>st</w:t>
      </w:r>
      <w:r w:rsidR="00B85D45" w:rsidRPr="00B85D45">
        <w:rPr>
          <w:rFonts w:ascii="Arial" w:hAnsi="Arial" w:cs="Arial"/>
        </w:rPr>
        <w:t xml:space="preserve"> Century economy.</w:t>
      </w:r>
    </w:p>
    <w:p w14:paraId="0C8A9D9B" w14:textId="77777777" w:rsidR="00B85D45" w:rsidRPr="00B85D45" w:rsidRDefault="00B85D45" w:rsidP="00B85D45">
      <w:pPr>
        <w:pStyle w:val="Default"/>
        <w:spacing w:line="360" w:lineRule="auto"/>
        <w:rPr>
          <w:rFonts w:ascii="Arial" w:hAnsi="Arial" w:cs="Arial"/>
        </w:rPr>
      </w:pPr>
    </w:p>
    <w:p w14:paraId="3CCCEA59" w14:textId="77777777" w:rsidR="00B85D45" w:rsidRPr="00B85D45" w:rsidRDefault="00B85D45" w:rsidP="00B85D45">
      <w:pPr>
        <w:pStyle w:val="Default"/>
        <w:spacing w:line="360" w:lineRule="auto"/>
        <w:rPr>
          <w:rFonts w:ascii="Arial" w:hAnsi="Arial" w:cs="Arial"/>
        </w:rPr>
      </w:pPr>
      <w:r w:rsidRPr="00B85D45">
        <w:rPr>
          <w:rFonts w:ascii="Arial" w:hAnsi="Arial" w:cs="Arial"/>
        </w:rPr>
        <w:t>Respectfully,</w:t>
      </w:r>
    </w:p>
    <w:p w14:paraId="1C472429" w14:textId="77777777" w:rsidR="00B85D45" w:rsidRPr="00B85D45" w:rsidRDefault="00B85D45" w:rsidP="00B85D45">
      <w:pPr>
        <w:pStyle w:val="Default"/>
        <w:spacing w:line="360" w:lineRule="auto"/>
        <w:rPr>
          <w:rFonts w:ascii="Arial" w:hAnsi="Arial" w:cs="Arial"/>
        </w:rPr>
      </w:pPr>
    </w:p>
    <w:p w14:paraId="70430BD6" w14:textId="77777777" w:rsidR="00B85D45" w:rsidRPr="00B85D45" w:rsidRDefault="00B85D45" w:rsidP="00B85D45">
      <w:pPr>
        <w:pStyle w:val="Default"/>
        <w:spacing w:line="360" w:lineRule="auto"/>
        <w:rPr>
          <w:rFonts w:ascii="Arial" w:hAnsi="Arial" w:cs="Arial"/>
        </w:rPr>
      </w:pPr>
    </w:p>
    <w:p w14:paraId="572A13DE" w14:textId="77777777" w:rsidR="00B85D45" w:rsidRPr="00B85D45" w:rsidRDefault="00B85D45" w:rsidP="00B85D45">
      <w:pPr>
        <w:pStyle w:val="Default"/>
        <w:spacing w:line="360" w:lineRule="auto"/>
        <w:rPr>
          <w:rFonts w:ascii="Arial" w:hAnsi="Arial" w:cs="Arial"/>
        </w:rPr>
      </w:pPr>
      <w:r w:rsidRPr="00B85D45">
        <w:rPr>
          <w:rFonts w:ascii="Arial" w:hAnsi="Arial" w:cs="Arial"/>
        </w:rPr>
        <w:t>Neil Romano</w:t>
      </w:r>
    </w:p>
    <w:p w14:paraId="044900B2" w14:textId="1A1191B8" w:rsidR="0012461E" w:rsidRDefault="00B85D45" w:rsidP="00B85D45">
      <w:pPr>
        <w:pStyle w:val="Default"/>
        <w:spacing w:line="360" w:lineRule="auto"/>
        <w:rPr>
          <w:rFonts w:ascii="Arial" w:hAnsi="Arial" w:cs="Arial"/>
        </w:rPr>
      </w:pPr>
      <w:r w:rsidRPr="00B85D45">
        <w:rPr>
          <w:rFonts w:ascii="Arial" w:hAnsi="Arial" w:cs="Arial"/>
        </w:rPr>
        <w:t>Chair</w:t>
      </w:r>
      <w:r w:rsidR="00EB763A">
        <w:rPr>
          <w:rFonts w:ascii="Arial" w:hAnsi="Arial" w:cs="Arial"/>
        </w:rPr>
        <w:t>man</w:t>
      </w:r>
      <w:bookmarkStart w:id="1" w:name="_GoBack"/>
      <w:bookmarkEnd w:id="1"/>
    </w:p>
    <w:p w14:paraId="3091553B" w14:textId="77777777" w:rsidR="0012461E" w:rsidRDefault="0012461E">
      <w:pPr>
        <w:spacing w:after="200"/>
        <w:rPr>
          <w:rFonts w:ascii="Arial" w:hAnsi="Arial" w:cs="Arial"/>
          <w:color w:val="000000"/>
          <w:szCs w:val="24"/>
        </w:rPr>
      </w:pPr>
      <w:r>
        <w:rPr>
          <w:rFonts w:ascii="Arial" w:hAnsi="Arial" w:cs="Arial"/>
        </w:rPr>
        <w:br w:type="page"/>
      </w:r>
    </w:p>
    <w:p w14:paraId="3DD7AE84" w14:textId="77777777" w:rsidR="00417180" w:rsidRDefault="00417180" w:rsidP="00417180">
      <w:pPr>
        <w:spacing w:after="200"/>
        <w:jc w:val="center"/>
        <w:rPr>
          <w:rFonts w:ascii="Arial" w:eastAsia="Arial" w:hAnsi="Arial" w:cs="Arial"/>
        </w:rPr>
      </w:pPr>
      <w:bookmarkStart w:id="2" w:name="INTRDUCTION"/>
      <w:bookmarkStart w:id="3" w:name="_Toc531584343"/>
      <w:bookmarkEnd w:id="2"/>
      <w:r>
        <w:rPr>
          <w:rFonts w:ascii="Arial" w:eastAsia="Arial" w:hAnsi="Arial" w:cs="Arial"/>
        </w:rPr>
        <w:lastRenderedPageBreak/>
        <w:t>National Council on Disability Members and Staff</w:t>
      </w:r>
    </w:p>
    <w:p w14:paraId="164ECEE1" w14:textId="77777777" w:rsidR="00417180" w:rsidRDefault="00417180" w:rsidP="00417180">
      <w:pPr>
        <w:spacing w:before="260" w:after="60" w:line="231" w:lineRule="atLeast"/>
        <w:jc w:val="center"/>
        <w:rPr>
          <w:rFonts w:ascii="Arial" w:eastAsia="Arial" w:hAnsi="Arial" w:cs="Arial"/>
        </w:rPr>
      </w:pPr>
    </w:p>
    <w:p w14:paraId="686347CE" w14:textId="77777777" w:rsidR="00417180" w:rsidRDefault="00417180" w:rsidP="00417180">
      <w:pPr>
        <w:spacing w:before="260" w:after="60" w:line="231" w:lineRule="atLeast"/>
        <w:jc w:val="center"/>
        <w:rPr>
          <w:rFonts w:ascii="Arial" w:eastAsia="Arial" w:hAnsi="Arial" w:cs="Arial"/>
        </w:rPr>
      </w:pPr>
      <w:r>
        <w:rPr>
          <w:rFonts w:ascii="Arial" w:eastAsia="Arial" w:hAnsi="Arial" w:cs="Arial"/>
          <w:b/>
          <w:bCs/>
        </w:rPr>
        <w:t xml:space="preserve">Members </w:t>
      </w:r>
    </w:p>
    <w:p w14:paraId="43C6A146"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Neil Romano </w:t>
      </w:r>
      <w:r>
        <w:rPr>
          <w:rFonts w:ascii="Arial" w:eastAsia="Arial" w:hAnsi="Arial" w:cs="Arial"/>
          <w:i/>
          <w:iCs/>
        </w:rPr>
        <w:t>Chairman</w:t>
      </w:r>
    </w:p>
    <w:p w14:paraId="3625C270"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Benro Ogunyipe, </w:t>
      </w:r>
      <w:r>
        <w:rPr>
          <w:rFonts w:ascii="Arial" w:eastAsia="Arial" w:hAnsi="Arial" w:cs="Arial"/>
          <w:i/>
          <w:iCs/>
        </w:rPr>
        <w:t xml:space="preserve">Vice Chairperson </w:t>
      </w:r>
    </w:p>
    <w:p w14:paraId="61A10B84"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Billy Altom </w:t>
      </w:r>
    </w:p>
    <w:p w14:paraId="7A43B612"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Rabia Belt </w:t>
      </w:r>
    </w:p>
    <w:p w14:paraId="12ACB8B1"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James Brett </w:t>
      </w:r>
    </w:p>
    <w:p w14:paraId="0736245D"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Daniel Gade </w:t>
      </w:r>
    </w:p>
    <w:p w14:paraId="431DB0E4" w14:textId="77777777" w:rsidR="00417180" w:rsidRDefault="00417180" w:rsidP="00417180">
      <w:pPr>
        <w:spacing w:line="201" w:lineRule="atLeast"/>
        <w:jc w:val="center"/>
        <w:rPr>
          <w:rFonts w:ascii="Arial" w:eastAsia="Arial" w:hAnsi="Arial" w:cs="Arial"/>
        </w:rPr>
      </w:pPr>
      <w:r>
        <w:rPr>
          <w:rFonts w:ascii="Arial" w:eastAsia="Arial" w:hAnsi="Arial" w:cs="Arial"/>
        </w:rPr>
        <w:t>Andrés Gallegos</w:t>
      </w:r>
    </w:p>
    <w:p w14:paraId="65180201"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Wendy Harbour </w:t>
      </w:r>
    </w:p>
    <w:p w14:paraId="6511BEC5"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Clyde Terry </w:t>
      </w:r>
    </w:p>
    <w:p w14:paraId="74D086AC" w14:textId="77777777" w:rsidR="00417180" w:rsidRDefault="00417180" w:rsidP="00417180">
      <w:pPr>
        <w:spacing w:before="260" w:after="60" w:line="231" w:lineRule="atLeast"/>
        <w:jc w:val="center"/>
        <w:rPr>
          <w:rFonts w:ascii="Arial" w:eastAsia="Arial" w:hAnsi="Arial" w:cs="Arial"/>
        </w:rPr>
      </w:pPr>
    </w:p>
    <w:p w14:paraId="7ECB5F07" w14:textId="77777777" w:rsidR="00417180" w:rsidRDefault="00417180" w:rsidP="00417180">
      <w:pPr>
        <w:spacing w:before="260" w:after="60" w:line="231" w:lineRule="atLeast"/>
        <w:jc w:val="center"/>
        <w:rPr>
          <w:rFonts w:ascii="Arial" w:eastAsia="Arial" w:hAnsi="Arial" w:cs="Arial"/>
        </w:rPr>
      </w:pPr>
      <w:r>
        <w:rPr>
          <w:rFonts w:ascii="Arial" w:eastAsia="Arial" w:hAnsi="Arial" w:cs="Arial"/>
          <w:b/>
          <w:bCs/>
        </w:rPr>
        <w:t xml:space="preserve">Staff </w:t>
      </w:r>
    </w:p>
    <w:p w14:paraId="289CA57F" w14:textId="77777777" w:rsidR="00940210" w:rsidRDefault="00940210" w:rsidP="00940210">
      <w:pPr>
        <w:spacing w:line="201" w:lineRule="atLeast"/>
        <w:jc w:val="center"/>
        <w:rPr>
          <w:rFonts w:ascii="Arial" w:eastAsia="Arial" w:hAnsi="Arial" w:cs="Arial"/>
        </w:rPr>
      </w:pPr>
      <w:r>
        <w:rPr>
          <w:rFonts w:ascii="Arial" w:eastAsia="Arial" w:hAnsi="Arial" w:cs="Arial"/>
        </w:rPr>
        <w:t xml:space="preserve">Lisa Grubb, Executive Director </w:t>
      </w:r>
    </w:p>
    <w:p w14:paraId="5B099B22" w14:textId="2F17618F" w:rsidR="00417180" w:rsidRDefault="00417180" w:rsidP="00417180">
      <w:pPr>
        <w:spacing w:line="201" w:lineRule="atLeast"/>
        <w:jc w:val="center"/>
        <w:rPr>
          <w:rFonts w:ascii="Arial" w:eastAsia="Arial" w:hAnsi="Arial" w:cs="Arial"/>
        </w:rPr>
      </w:pPr>
      <w:r>
        <w:rPr>
          <w:rFonts w:ascii="Arial" w:eastAsia="Arial" w:hAnsi="Arial" w:cs="Arial"/>
        </w:rPr>
        <w:t xml:space="preserve">Phoebe Ball, Legislative Affairs Specialist </w:t>
      </w:r>
    </w:p>
    <w:p w14:paraId="1A91507B"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Stacey S. Brown, Staff Assistant </w:t>
      </w:r>
    </w:p>
    <w:p w14:paraId="53C92C17" w14:textId="77777777" w:rsidR="00417180" w:rsidRDefault="00417180" w:rsidP="00417180">
      <w:pPr>
        <w:spacing w:line="201" w:lineRule="atLeast"/>
        <w:jc w:val="center"/>
        <w:rPr>
          <w:rFonts w:ascii="Arial" w:eastAsia="Arial" w:hAnsi="Arial" w:cs="Arial"/>
        </w:rPr>
      </w:pPr>
      <w:r>
        <w:rPr>
          <w:rFonts w:ascii="Arial" w:eastAsia="Arial" w:hAnsi="Arial" w:cs="Arial"/>
        </w:rPr>
        <w:t>Joan M. Durocher, General Counsel &amp; Director of Policy</w:t>
      </w:r>
    </w:p>
    <w:p w14:paraId="7E24B2EB"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Netterie Lewis, Administrative Support Specialist </w:t>
      </w:r>
    </w:p>
    <w:p w14:paraId="60F0DDFA" w14:textId="77777777" w:rsidR="00417180" w:rsidRDefault="00417180" w:rsidP="00417180">
      <w:pPr>
        <w:spacing w:line="201" w:lineRule="atLeast"/>
        <w:jc w:val="center"/>
        <w:rPr>
          <w:rFonts w:ascii="Arial" w:eastAsia="Arial" w:hAnsi="Arial" w:cs="Arial"/>
        </w:rPr>
      </w:pPr>
      <w:r>
        <w:rPr>
          <w:rFonts w:ascii="Arial" w:eastAsia="Arial" w:hAnsi="Arial" w:cs="Arial"/>
        </w:rPr>
        <w:t>Amy Nicholas, Attorney Advisor</w:t>
      </w:r>
    </w:p>
    <w:p w14:paraId="13809C5C"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Nicholas Sabula, Public Affairs Specialist </w:t>
      </w:r>
    </w:p>
    <w:p w14:paraId="47FB3569"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Amged Soliman, Attorney Advisor </w:t>
      </w:r>
    </w:p>
    <w:p w14:paraId="0B3CDBA2" w14:textId="77777777" w:rsidR="00417180" w:rsidRDefault="00417180" w:rsidP="00417180">
      <w:pPr>
        <w:spacing w:line="201" w:lineRule="atLeast"/>
        <w:jc w:val="center"/>
        <w:rPr>
          <w:rFonts w:ascii="Arial" w:eastAsia="Arial" w:hAnsi="Arial" w:cs="Arial"/>
        </w:rPr>
      </w:pPr>
      <w:r>
        <w:rPr>
          <w:rFonts w:ascii="Arial" w:eastAsia="Arial" w:hAnsi="Arial" w:cs="Arial"/>
        </w:rPr>
        <w:t>Anne Sommers, Director of Legislative Affairs &amp; Outreach</w:t>
      </w:r>
    </w:p>
    <w:p w14:paraId="38C28B34" w14:textId="77777777" w:rsidR="00417180" w:rsidRDefault="00417180" w:rsidP="00417180">
      <w:pPr>
        <w:spacing w:line="201" w:lineRule="atLeast"/>
        <w:jc w:val="center"/>
        <w:rPr>
          <w:rFonts w:ascii="Arial" w:eastAsia="Arial" w:hAnsi="Arial" w:cs="Arial"/>
        </w:rPr>
      </w:pPr>
      <w:r>
        <w:rPr>
          <w:rFonts w:ascii="Arial" w:eastAsia="Arial" w:hAnsi="Arial" w:cs="Arial"/>
        </w:rPr>
        <w:t xml:space="preserve">Ana Torres-Davis, Attorney Advisor </w:t>
      </w:r>
    </w:p>
    <w:p w14:paraId="1A6309F5" w14:textId="77777777" w:rsidR="00417180" w:rsidRDefault="00417180" w:rsidP="00417180">
      <w:pPr>
        <w:spacing w:after="200"/>
        <w:jc w:val="center"/>
        <w:rPr>
          <w:rFonts w:ascii="Arial" w:eastAsia="Arial" w:hAnsi="Arial" w:cs="Arial"/>
        </w:rPr>
      </w:pPr>
      <w:r>
        <w:rPr>
          <w:rFonts w:ascii="Arial" w:eastAsia="Arial" w:hAnsi="Arial" w:cs="Arial"/>
        </w:rPr>
        <w:t>Keith Woods, Financial Management Analyst</w:t>
      </w:r>
    </w:p>
    <w:p w14:paraId="35C921A5" w14:textId="6481BB17" w:rsidR="00417180" w:rsidRDefault="00417180" w:rsidP="00417180">
      <w:pPr>
        <w:spacing w:after="200"/>
        <w:rPr>
          <w:rFonts w:ascii="Arial" w:eastAsia="Times New Roman" w:hAnsi="Arial"/>
          <w:b/>
          <w:sz w:val="30"/>
          <w:szCs w:val="30"/>
        </w:rPr>
      </w:pPr>
      <w:r>
        <w:rPr>
          <w:b/>
          <w:caps/>
          <w:sz w:val="30"/>
          <w:szCs w:val="30"/>
        </w:rPr>
        <w:t xml:space="preserve"> </w:t>
      </w:r>
      <w:r>
        <w:rPr>
          <w:b/>
          <w:caps/>
          <w:sz w:val="30"/>
          <w:szCs w:val="30"/>
        </w:rPr>
        <w:br w:type="page"/>
      </w:r>
    </w:p>
    <w:p w14:paraId="1C19A91A" w14:textId="31E4E8F1" w:rsidR="008431B8" w:rsidRPr="00093AFB" w:rsidRDefault="008431B8" w:rsidP="00A46F95">
      <w:pPr>
        <w:pStyle w:val="Heading2"/>
        <w:rPr>
          <w:b/>
          <w:caps w:val="0"/>
          <w:color w:val="auto"/>
          <w:sz w:val="30"/>
          <w:szCs w:val="30"/>
        </w:rPr>
      </w:pPr>
      <w:r w:rsidRPr="00093AFB">
        <w:rPr>
          <w:b/>
          <w:caps w:val="0"/>
          <w:color w:val="auto"/>
          <w:sz w:val="30"/>
          <w:szCs w:val="30"/>
        </w:rPr>
        <w:lastRenderedPageBreak/>
        <w:t>Executive Summary</w:t>
      </w:r>
    </w:p>
    <w:p w14:paraId="77477DA3" w14:textId="64B711E9" w:rsidR="000835E8" w:rsidRDefault="000835E8" w:rsidP="000835E8">
      <w:pPr>
        <w:spacing w:after="0" w:line="360" w:lineRule="auto"/>
        <w:rPr>
          <w:rFonts w:ascii="Arial" w:hAnsi="Arial" w:cs="Arial"/>
        </w:rPr>
      </w:pPr>
      <w:r>
        <w:rPr>
          <w:rFonts w:ascii="Arial" w:hAnsi="Arial" w:cs="Arial"/>
        </w:rPr>
        <w:t xml:space="preserve">The National Council on Disability (NCD), in its role to advise Congress, the President, and other policymakers on disability practices that enhance equal opportunity for people with disabilities to achieve economic self-sufficiency, independent living, and inclusion and integration into all aspects of society. In this memorandum, NCD provides an initial report of the AbilityOne Program, which operates under the 1971 Javits-Wagner-O’Day Act, to utilize the federal procurement process to promote the employment of people who are blind or have a severe disability. NCD assesses various aspects of the AbilityOne Program in the context of broader federal disability policy. </w:t>
      </w:r>
    </w:p>
    <w:p w14:paraId="3E2D9F5D" w14:textId="77777777" w:rsidR="000835E8" w:rsidRDefault="000835E8" w:rsidP="00605459">
      <w:pPr>
        <w:spacing w:after="0" w:line="360" w:lineRule="auto"/>
        <w:rPr>
          <w:rFonts w:ascii="Arial" w:hAnsi="Arial" w:cs="Arial"/>
        </w:rPr>
      </w:pPr>
    </w:p>
    <w:p w14:paraId="34B78422" w14:textId="75BF124A" w:rsidR="00002A33" w:rsidRDefault="00605459" w:rsidP="00605459">
      <w:pPr>
        <w:spacing w:after="0" w:line="360" w:lineRule="auto"/>
        <w:rPr>
          <w:rFonts w:ascii="Arial" w:hAnsi="Arial" w:cs="Arial"/>
        </w:rPr>
      </w:pPr>
      <w:r>
        <w:rPr>
          <w:rFonts w:ascii="Arial" w:hAnsi="Arial" w:cs="Arial"/>
        </w:rPr>
        <w:t>The AbilityOne Program</w:t>
      </w:r>
      <w:r w:rsidR="007C7FF7">
        <w:rPr>
          <w:rFonts w:ascii="Arial" w:hAnsi="Arial" w:cs="Arial"/>
        </w:rPr>
        <w:t xml:space="preserve"> </w:t>
      </w:r>
      <w:r w:rsidR="00A066E9">
        <w:rPr>
          <w:rFonts w:ascii="Arial" w:hAnsi="Arial" w:cs="Arial"/>
          <w:szCs w:val="24"/>
        </w:rPr>
        <w:t xml:space="preserve">seeks to create employment opportunities for </w:t>
      </w:r>
      <w:r w:rsidR="000F1B83">
        <w:rPr>
          <w:rFonts w:ascii="Arial" w:hAnsi="Arial" w:cs="Arial"/>
          <w:szCs w:val="24"/>
        </w:rPr>
        <w:t>people</w:t>
      </w:r>
      <w:r w:rsidR="00A066E9">
        <w:rPr>
          <w:rFonts w:ascii="Arial" w:hAnsi="Arial" w:cs="Arial"/>
          <w:szCs w:val="24"/>
        </w:rPr>
        <w:t xml:space="preserve"> who are blind or have a severe disability through the federal government</w:t>
      </w:r>
      <w:r w:rsidR="007C7FF7">
        <w:rPr>
          <w:rFonts w:ascii="Arial" w:hAnsi="Arial" w:cs="Arial"/>
          <w:szCs w:val="24"/>
        </w:rPr>
        <w:t>’</w:t>
      </w:r>
      <w:r w:rsidR="00A066E9">
        <w:rPr>
          <w:rFonts w:ascii="Arial" w:hAnsi="Arial" w:cs="Arial"/>
          <w:szCs w:val="24"/>
        </w:rPr>
        <w:t>s procurement process for goods and service</w:t>
      </w:r>
      <w:r w:rsidR="00EE07D6">
        <w:rPr>
          <w:rFonts w:ascii="Arial" w:hAnsi="Arial" w:cs="Arial"/>
          <w:szCs w:val="24"/>
        </w:rPr>
        <w:t>s</w:t>
      </w:r>
      <w:r w:rsidR="00A066E9">
        <w:rPr>
          <w:rFonts w:ascii="Arial" w:hAnsi="Arial" w:cs="Arial"/>
          <w:szCs w:val="24"/>
        </w:rPr>
        <w:t xml:space="preserve">. The program </w:t>
      </w:r>
      <w:r>
        <w:rPr>
          <w:rFonts w:ascii="Arial" w:hAnsi="Arial" w:cs="Arial"/>
        </w:rPr>
        <w:t xml:space="preserve">traces its history to </w:t>
      </w:r>
      <w:r w:rsidR="0016440B">
        <w:rPr>
          <w:rFonts w:ascii="Arial" w:hAnsi="Arial" w:cs="Arial"/>
        </w:rPr>
        <w:t xml:space="preserve">the </w:t>
      </w:r>
      <w:r w:rsidR="00A066E9">
        <w:rPr>
          <w:rFonts w:ascii="Arial" w:hAnsi="Arial" w:cs="Arial"/>
        </w:rPr>
        <w:t xml:space="preserve">1938 </w:t>
      </w:r>
      <w:r w:rsidR="0016440B">
        <w:rPr>
          <w:rFonts w:ascii="Arial" w:hAnsi="Arial" w:cs="Arial"/>
        </w:rPr>
        <w:t>Wag</w:t>
      </w:r>
      <w:r w:rsidR="00B73FEF">
        <w:rPr>
          <w:rFonts w:ascii="Arial" w:hAnsi="Arial" w:cs="Arial"/>
        </w:rPr>
        <w:t>n</w:t>
      </w:r>
      <w:r w:rsidR="0016440B">
        <w:rPr>
          <w:rFonts w:ascii="Arial" w:hAnsi="Arial" w:cs="Arial"/>
        </w:rPr>
        <w:t>er-O’Day Act</w:t>
      </w:r>
      <w:r w:rsidR="00A066E9">
        <w:rPr>
          <w:rFonts w:ascii="Arial" w:hAnsi="Arial" w:cs="Arial"/>
        </w:rPr>
        <w:t>,</w:t>
      </w:r>
      <w:r w:rsidR="0016440B">
        <w:rPr>
          <w:rFonts w:ascii="Arial" w:hAnsi="Arial" w:cs="Arial"/>
        </w:rPr>
        <w:t xml:space="preserve"> passed at </w:t>
      </w:r>
      <w:r w:rsidR="00A066E9">
        <w:rPr>
          <w:rFonts w:ascii="Arial" w:hAnsi="Arial" w:cs="Arial"/>
        </w:rPr>
        <w:t xml:space="preserve">a </w:t>
      </w:r>
      <w:r>
        <w:rPr>
          <w:rFonts w:ascii="Arial" w:hAnsi="Arial" w:cs="Arial"/>
        </w:rPr>
        <w:t>time when</w:t>
      </w:r>
      <w:r w:rsidR="005F439E">
        <w:rPr>
          <w:rFonts w:ascii="Arial" w:hAnsi="Arial" w:cs="Arial"/>
        </w:rPr>
        <w:t xml:space="preserve"> the U.S. </w:t>
      </w:r>
      <w:r>
        <w:rPr>
          <w:rFonts w:ascii="Arial" w:hAnsi="Arial" w:cs="Arial"/>
        </w:rPr>
        <w:t xml:space="preserve">economy </w:t>
      </w:r>
      <w:r w:rsidR="007C7FF7">
        <w:rPr>
          <w:rFonts w:ascii="Arial" w:hAnsi="Arial" w:cs="Arial"/>
        </w:rPr>
        <w:t xml:space="preserve">still </w:t>
      </w:r>
      <w:r>
        <w:rPr>
          <w:rFonts w:ascii="Arial" w:hAnsi="Arial" w:cs="Arial"/>
        </w:rPr>
        <w:t>suffered</w:t>
      </w:r>
      <w:r w:rsidR="00BE234B">
        <w:rPr>
          <w:rFonts w:ascii="Arial" w:hAnsi="Arial" w:cs="Arial"/>
        </w:rPr>
        <w:t xml:space="preserve"> </w:t>
      </w:r>
      <w:r w:rsidR="0000347E">
        <w:rPr>
          <w:rFonts w:ascii="Arial" w:hAnsi="Arial" w:cs="Arial"/>
        </w:rPr>
        <w:t>under</w:t>
      </w:r>
      <w:r w:rsidR="00BE234B">
        <w:rPr>
          <w:rFonts w:ascii="Arial" w:hAnsi="Arial" w:cs="Arial"/>
        </w:rPr>
        <w:t xml:space="preserve"> </w:t>
      </w:r>
      <w:r w:rsidR="005F439E">
        <w:rPr>
          <w:rFonts w:ascii="Arial" w:hAnsi="Arial" w:cs="Arial"/>
        </w:rPr>
        <w:t>the Great Depression and the</w:t>
      </w:r>
      <w:r>
        <w:rPr>
          <w:rFonts w:ascii="Arial" w:hAnsi="Arial" w:cs="Arial"/>
        </w:rPr>
        <w:t xml:space="preserve"> </w:t>
      </w:r>
      <w:r w:rsidR="00A066E9">
        <w:rPr>
          <w:rFonts w:ascii="Arial" w:hAnsi="Arial" w:cs="Arial"/>
        </w:rPr>
        <w:t>mid-west</w:t>
      </w:r>
      <w:r w:rsidR="007C7FF7">
        <w:rPr>
          <w:rFonts w:ascii="Arial" w:hAnsi="Arial" w:cs="Arial"/>
        </w:rPr>
        <w:t>ern</w:t>
      </w:r>
      <w:r w:rsidR="00A066E9">
        <w:rPr>
          <w:rFonts w:ascii="Arial" w:hAnsi="Arial" w:cs="Arial"/>
        </w:rPr>
        <w:t xml:space="preserve"> </w:t>
      </w:r>
      <w:r>
        <w:rPr>
          <w:rFonts w:ascii="Arial" w:hAnsi="Arial" w:cs="Arial"/>
        </w:rPr>
        <w:t>Dust Bowl.</w:t>
      </w:r>
      <w:r w:rsidR="005F439E">
        <w:rPr>
          <w:rFonts w:ascii="Arial" w:hAnsi="Arial" w:cs="Arial"/>
        </w:rPr>
        <w:t xml:space="preserve"> </w:t>
      </w:r>
      <w:r w:rsidR="00A066E9">
        <w:rPr>
          <w:rFonts w:ascii="Arial" w:hAnsi="Arial" w:cs="Arial"/>
        </w:rPr>
        <w:t xml:space="preserve">During the </w:t>
      </w:r>
      <w:r w:rsidR="0000347E">
        <w:rPr>
          <w:rFonts w:ascii="Arial" w:hAnsi="Arial" w:cs="Arial"/>
        </w:rPr>
        <w:t>next</w:t>
      </w:r>
      <w:r w:rsidR="00A066E9">
        <w:rPr>
          <w:rFonts w:ascii="Arial" w:hAnsi="Arial" w:cs="Arial"/>
        </w:rPr>
        <w:t xml:space="preserve"> eighty years a</w:t>
      </w:r>
      <w:r w:rsidR="005F439E">
        <w:rPr>
          <w:rFonts w:ascii="Arial" w:hAnsi="Arial" w:cs="Arial"/>
        </w:rPr>
        <w:t xml:space="preserve">s the </w:t>
      </w:r>
      <w:r w:rsidR="00A066E9">
        <w:rPr>
          <w:rFonts w:ascii="Arial" w:hAnsi="Arial" w:cs="Arial"/>
        </w:rPr>
        <w:t>U.S.</w:t>
      </w:r>
      <w:r w:rsidR="00675072">
        <w:rPr>
          <w:rFonts w:ascii="Arial" w:hAnsi="Arial" w:cs="Arial"/>
        </w:rPr>
        <w:t xml:space="preserve"> advanced the rights </w:t>
      </w:r>
      <w:r w:rsidR="000F1B83">
        <w:rPr>
          <w:rFonts w:ascii="Arial" w:hAnsi="Arial" w:cs="Arial"/>
        </w:rPr>
        <w:t>of</w:t>
      </w:r>
      <w:r w:rsidR="00675072">
        <w:rPr>
          <w:rFonts w:ascii="Arial" w:hAnsi="Arial" w:cs="Arial"/>
        </w:rPr>
        <w:t xml:space="preserve"> p</w:t>
      </w:r>
      <w:r w:rsidR="000F1B83">
        <w:rPr>
          <w:rFonts w:ascii="Arial" w:hAnsi="Arial" w:cs="Arial"/>
        </w:rPr>
        <w:t xml:space="preserve">eople </w:t>
      </w:r>
      <w:r w:rsidR="00675072">
        <w:rPr>
          <w:rFonts w:ascii="Arial" w:hAnsi="Arial" w:cs="Arial"/>
        </w:rPr>
        <w:t>with disabilities and</w:t>
      </w:r>
      <w:r w:rsidR="00A066E9">
        <w:rPr>
          <w:rFonts w:ascii="Arial" w:hAnsi="Arial" w:cs="Arial"/>
        </w:rPr>
        <w:t xml:space="preserve"> </w:t>
      </w:r>
      <w:r w:rsidR="005F439E">
        <w:rPr>
          <w:rFonts w:ascii="Arial" w:hAnsi="Arial" w:cs="Arial"/>
        </w:rPr>
        <w:t xml:space="preserve">progressed </w:t>
      </w:r>
      <w:r w:rsidR="00A066E9">
        <w:rPr>
          <w:rFonts w:ascii="Arial" w:hAnsi="Arial" w:cs="Arial"/>
        </w:rPr>
        <w:t xml:space="preserve">to a </w:t>
      </w:r>
      <w:r w:rsidR="005F439E">
        <w:rPr>
          <w:rFonts w:ascii="Arial" w:hAnsi="Arial" w:cs="Arial"/>
        </w:rPr>
        <w:t>digitally driven</w:t>
      </w:r>
      <w:r w:rsidR="00A066E9">
        <w:rPr>
          <w:rFonts w:ascii="Arial" w:hAnsi="Arial" w:cs="Arial"/>
        </w:rPr>
        <w:t xml:space="preserve"> economy</w:t>
      </w:r>
      <w:r w:rsidR="00675072">
        <w:rPr>
          <w:rFonts w:ascii="Arial" w:hAnsi="Arial" w:cs="Arial"/>
        </w:rPr>
        <w:t xml:space="preserve"> </w:t>
      </w:r>
      <w:r w:rsidR="00A066E9">
        <w:rPr>
          <w:rFonts w:ascii="Arial" w:hAnsi="Arial" w:cs="Arial"/>
        </w:rPr>
        <w:t xml:space="preserve">dominated by </w:t>
      </w:r>
      <w:r w:rsidR="005F439E">
        <w:rPr>
          <w:rFonts w:ascii="Arial" w:hAnsi="Arial" w:cs="Arial"/>
        </w:rPr>
        <w:t>technolog</w:t>
      </w:r>
      <w:r w:rsidR="00A066E9">
        <w:rPr>
          <w:rFonts w:ascii="Arial" w:hAnsi="Arial" w:cs="Arial"/>
        </w:rPr>
        <w:t>ical</w:t>
      </w:r>
      <w:r w:rsidR="005F439E">
        <w:rPr>
          <w:rFonts w:ascii="Arial" w:hAnsi="Arial" w:cs="Arial"/>
        </w:rPr>
        <w:t xml:space="preserve"> development and </w:t>
      </w:r>
      <w:r w:rsidR="0016440B">
        <w:rPr>
          <w:rFonts w:ascii="Arial" w:hAnsi="Arial" w:cs="Arial"/>
        </w:rPr>
        <w:t xml:space="preserve">the provision </w:t>
      </w:r>
      <w:r w:rsidR="00A066E9">
        <w:rPr>
          <w:rFonts w:ascii="Arial" w:hAnsi="Arial" w:cs="Arial"/>
        </w:rPr>
        <w:t xml:space="preserve">of </w:t>
      </w:r>
      <w:r w:rsidR="005F439E">
        <w:rPr>
          <w:rFonts w:ascii="Arial" w:hAnsi="Arial" w:cs="Arial"/>
        </w:rPr>
        <w:t>services</w:t>
      </w:r>
      <w:r w:rsidR="0016440B">
        <w:rPr>
          <w:rFonts w:ascii="Arial" w:hAnsi="Arial" w:cs="Arial"/>
        </w:rPr>
        <w:t xml:space="preserve">, Congress </w:t>
      </w:r>
      <w:r w:rsidR="00894448">
        <w:rPr>
          <w:rFonts w:ascii="Arial" w:hAnsi="Arial" w:cs="Arial"/>
        </w:rPr>
        <w:t xml:space="preserve">has </w:t>
      </w:r>
      <w:r w:rsidR="00A066E9">
        <w:rPr>
          <w:rFonts w:ascii="Arial" w:hAnsi="Arial" w:cs="Arial"/>
        </w:rPr>
        <w:t xml:space="preserve">only once reconsidered the </w:t>
      </w:r>
      <w:r w:rsidR="00675072">
        <w:rPr>
          <w:rFonts w:ascii="Arial" w:hAnsi="Arial" w:cs="Arial"/>
        </w:rPr>
        <w:t xml:space="preserve">AbilityOne </w:t>
      </w:r>
      <w:r w:rsidR="0000347E">
        <w:rPr>
          <w:rFonts w:ascii="Arial" w:hAnsi="Arial" w:cs="Arial"/>
        </w:rPr>
        <w:t>P</w:t>
      </w:r>
      <w:r w:rsidR="00A066E9">
        <w:rPr>
          <w:rFonts w:ascii="Arial" w:hAnsi="Arial" w:cs="Arial"/>
        </w:rPr>
        <w:t xml:space="preserve">rogram </w:t>
      </w:r>
      <w:r w:rsidR="0016440B">
        <w:rPr>
          <w:rFonts w:ascii="Arial" w:hAnsi="Arial" w:cs="Arial"/>
        </w:rPr>
        <w:t xml:space="preserve">through the </w:t>
      </w:r>
      <w:r w:rsidR="00675072">
        <w:rPr>
          <w:rFonts w:ascii="Arial" w:hAnsi="Arial" w:cs="Arial"/>
        </w:rPr>
        <w:t xml:space="preserve">1971 </w:t>
      </w:r>
      <w:r w:rsidR="0016440B">
        <w:rPr>
          <w:rFonts w:ascii="Arial" w:hAnsi="Arial" w:cs="Arial"/>
        </w:rPr>
        <w:t xml:space="preserve">Javits-Wagner-O’Day Act. </w:t>
      </w:r>
    </w:p>
    <w:p w14:paraId="30CEDCE6" w14:textId="164F2138" w:rsidR="00002A33" w:rsidRDefault="00002A33" w:rsidP="00605459">
      <w:pPr>
        <w:spacing w:after="0" w:line="360" w:lineRule="auto"/>
        <w:rPr>
          <w:rFonts w:ascii="Arial" w:hAnsi="Arial" w:cs="Arial"/>
        </w:rPr>
      </w:pPr>
    </w:p>
    <w:p w14:paraId="53C95A97" w14:textId="23889B30" w:rsidR="0016440B" w:rsidRDefault="00233854" w:rsidP="00605459">
      <w:pPr>
        <w:spacing w:after="0" w:line="360" w:lineRule="auto"/>
        <w:rPr>
          <w:rFonts w:ascii="Arial" w:hAnsi="Arial" w:cs="Arial"/>
        </w:rPr>
      </w:pPr>
      <w:r>
        <w:rPr>
          <w:rFonts w:ascii="Arial" w:hAnsi="Arial" w:cs="Arial"/>
        </w:rPr>
        <w:t xml:space="preserve">In recent years, the federal government </w:t>
      </w:r>
      <w:r w:rsidR="00EE07D6">
        <w:rPr>
          <w:rFonts w:ascii="Arial" w:hAnsi="Arial" w:cs="Arial"/>
        </w:rPr>
        <w:t xml:space="preserve">has </w:t>
      </w:r>
      <w:r>
        <w:rPr>
          <w:rFonts w:ascii="Arial" w:hAnsi="Arial" w:cs="Arial"/>
        </w:rPr>
        <w:t xml:space="preserve">purchased $3.3 billion </w:t>
      </w:r>
      <w:r w:rsidR="0030158B">
        <w:rPr>
          <w:rFonts w:ascii="Arial" w:hAnsi="Arial" w:cs="Arial"/>
        </w:rPr>
        <w:t xml:space="preserve">annually </w:t>
      </w:r>
      <w:r>
        <w:rPr>
          <w:rFonts w:ascii="Arial" w:hAnsi="Arial" w:cs="Arial"/>
        </w:rPr>
        <w:t xml:space="preserve">worth of goods and services </w:t>
      </w:r>
      <w:r w:rsidR="0030158B">
        <w:rPr>
          <w:rFonts w:ascii="Arial" w:hAnsi="Arial" w:cs="Arial"/>
        </w:rPr>
        <w:t xml:space="preserve">from </w:t>
      </w:r>
      <w:r>
        <w:rPr>
          <w:rFonts w:ascii="Arial" w:hAnsi="Arial" w:cs="Arial"/>
        </w:rPr>
        <w:t>the 527 non-profit agencies who participate in</w:t>
      </w:r>
      <w:r w:rsidR="00EE07D6">
        <w:rPr>
          <w:rFonts w:ascii="Arial" w:hAnsi="Arial" w:cs="Arial"/>
        </w:rPr>
        <w:t xml:space="preserve"> the AbilityOne Program. O</w:t>
      </w:r>
      <w:r>
        <w:rPr>
          <w:rFonts w:ascii="Arial" w:hAnsi="Arial" w:cs="Arial"/>
        </w:rPr>
        <w:t xml:space="preserve">nly 18.6 percent of those </w:t>
      </w:r>
      <w:r w:rsidR="00EE07D6">
        <w:rPr>
          <w:rFonts w:ascii="Arial" w:hAnsi="Arial" w:cs="Arial"/>
        </w:rPr>
        <w:t xml:space="preserve">federal </w:t>
      </w:r>
      <w:r>
        <w:rPr>
          <w:rFonts w:ascii="Arial" w:hAnsi="Arial" w:cs="Arial"/>
        </w:rPr>
        <w:t xml:space="preserve">dollars went to pay workers who are blind or have a severe disability. </w:t>
      </w:r>
      <w:r w:rsidR="00BE234B">
        <w:rPr>
          <w:rFonts w:ascii="Arial" w:hAnsi="Arial" w:cs="Arial"/>
        </w:rPr>
        <w:t>Since 200</w:t>
      </w:r>
      <w:r w:rsidR="00B671A7">
        <w:rPr>
          <w:rFonts w:ascii="Arial" w:hAnsi="Arial" w:cs="Arial"/>
        </w:rPr>
        <w:t>8</w:t>
      </w:r>
      <w:r w:rsidR="00894448">
        <w:rPr>
          <w:rFonts w:ascii="Arial" w:hAnsi="Arial" w:cs="Arial"/>
        </w:rPr>
        <w:t xml:space="preserve"> </w:t>
      </w:r>
      <w:r w:rsidR="0016440B">
        <w:rPr>
          <w:rFonts w:ascii="Arial" w:hAnsi="Arial" w:cs="Arial"/>
        </w:rPr>
        <w:t xml:space="preserve">AbilityOne Program </w:t>
      </w:r>
      <w:r w:rsidR="00A44F2E">
        <w:rPr>
          <w:rFonts w:ascii="Arial" w:hAnsi="Arial" w:cs="Arial"/>
        </w:rPr>
        <w:t xml:space="preserve">non-profit agencies </w:t>
      </w:r>
      <w:r w:rsidR="00BE234B">
        <w:rPr>
          <w:rFonts w:ascii="Arial" w:hAnsi="Arial" w:cs="Arial"/>
        </w:rPr>
        <w:t xml:space="preserve">employed on average </w:t>
      </w:r>
      <w:r w:rsidR="00B671A7" w:rsidRPr="00B671A7">
        <w:rPr>
          <w:rFonts w:ascii="Arial" w:hAnsi="Arial" w:cs="Arial"/>
        </w:rPr>
        <w:t xml:space="preserve">46,670 </w:t>
      </w:r>
      <w:r w:rsidR="000F1B83">
        <w:rPr>
          <w:rFonts w:ascii="Arial" w:hAnsi="Arial" w:cs="Arial"/>
        </w:rPr>
        <w:t>people</w:t>
      </w:r>
      <w:r w:rsidR="004F6AB3">
        <w:rPr>
          <w:rFonts w:ascii="Arial" w:hAnsi="Arial" w:cs="Arial"/>
        </w:rPr>
        <w:t xml:space="preserve"> a year</w:t>
      </w:r>
      <w:r w:rsidR="00675072">
        <w:rPr>
          <w:rFonts w:ascii="Arial" w:hAnsi="Arial" w:cs="Arial"/>
        </w:rPr>
        <w:t xml:space="preserve"> who are blind or have a se</w:t>
      </w:r>
      <w:r w:rsidR="0016440B">
        <w:rPr>
          <w:rFonts w:ascii="Arial" w:hAnsi="Arial" w:cs="Arial"/>
        </w:rPr>
        <w:t>v</w:t>
      </w:r>
      <w:r w:rsidR="00675072">
        <w:rPr>
          <w:rFonts w:ascii="Arial" w:hAnsi="Arial" w:cs="Arial"/>
        </w:rPr>
        <w:t>er</w:t>
      </w:r>
      <w:r w:rsidR="0016440B">
        <w:rPr>
          <w:rFonts w:ascii="Arial" w:hAnsi="Arial" w:cs="Arial"/>
        </w:rPr>
        <w:t>e disability</w:t>
      </w:r>
      <w:r w:rsidR="004F6AB3">
        <w:rPr>
          <w:rFonts w:ascii="Arial" w:hAnsi="Arial" w:cs="Arial"/>
        </w:rPr>
        <w:t>. In recent years</w:t>
      </w:r>
      <w:r w:rsidR="0000347E">
        <w:rPr>
          <w:rFonts w:ascii="Arial" w:hAnsi="Arial" w:cs="Arial"/>
        </w:rPr>
        <w:t xml:space="preserve"> </w:t>
      </w:r>
      <w:r>
        <w:rPr>
          <w:rFonts w:ascii="Arial" w:hAnsi="Arial" w:cs="Arial"/>
        </w:rPr>
        <w:t xml:space="preserve">around </w:t>
      </w:r>
      <w:r w:rsidR="0000347E">
        <w:rPr>
          <w:rFonts w:ascii="Arial" w:hAnsi="Arial" w:cs="Arial"/>
        </w:rPr>
        <w:t>t</w:t>
      </w:r>
      <w:r w:rsidR="00002A33">
        <w:rPr>
          <w:rFonts w:ascii="Arial" w:hAnsi="Arial" w:cs="Arial"/>
        </w:rPr>
        <w:t xml:space="preserve">hree-fourths </w:t>
      </w:r>
      <w:r w:rsidR="0000347E">
        <w:rPr>
          <w:rFonts w:ascii="Arial" w:hAnsi="Arial" w:cs="Arial"/>
        </w:rPr>
        <w:t xml:space="preserve">of such employees </w:t>
      </w:r>
      <w:r w:rsidR="00894448">
        <w:rPr>
          <w:rFonts w:ascii="Arial" w:hAnsi="Arial" w:cs="Arial"/>
        </w:rPr>
        <w:t>provided</w:t>
      </w:r>
      <w:r w:rsidR="0000347E">
        <w:rPr>
          <w:rFonts w:ascii="Arial" w:hAnsi="Arial" w:cs="Arial"/>
        </w:rPr>
        <w:t xml:space="preserve"> services to the federal government w</w:t>
      </w:r>
      <w:r w:rsidR="00EE07D6">
        <w:rPr>
          <w:rFonts w:ascii="Arial" w:hAnsi="Arial" w:cs="Arial"/>
        </w:rPr>
        <w:t xml:space="preserve">hile </w:t>
      </w:r>
      <w:r w:rsidR="0000347E">
        <w:rPr>
          <w:rFonts w:ascii="Arial" w:hAnsi="Arial" w:cs="Arial"/>
        </w:rPr>
        <w:t>the remaining on</w:t>
      </w:r>
      <w:r>
        <w:rPr>
          <w:rFonts w:ascii="Arial" w:hAnsi="Arial" w:cs="Arial"/>
        </w:rPr>
        <w:t>e-fourth produc</w:t>
      </w:r>
      <w:r w:rsidR="00EE07D6">
        <w:rPr>
          <w:rFonts w:ascii="Arial" w:hAnsi="Arial" w:cs="Arial"/>
        </w:rPr>
        <w:t>ed</w:t>
      </w:r>
      <w:r>
        <w:rPr>
          <w:rFonts w:ascii="Arial" w:hAnsi="Arial" w:cs="Arial"/>
        </w:rPr>
        <w:t xml:space="preserve"> goods.</w:t>
      </w:r>
      <w:r w:rsidR="00AA5097">
        <w:rPr>
          <w:rFonts w:ascii="Arial" w:hAnsi="Arial" w:cs="Arial"/>
        </w:rPr>
        <w:t xml:space="preserve"> </w:t>
      </w:r>
      <w:r w:rsidR="00002A33">
        <w:rPr>
          <w:rFonts w:ascii="Arial" w:hAnsi="Arial" w:cs="Arial"/>
        </w:rPr>
        <w:t>Very few</w:t>
      </w:r>
      <w:r>
        <w:rPr>
          <w:rFonts w:ascii="Arial" w:hAnsi="Arial" w:cs="Arial"/>
        </w:rPr>
        <w:t xml:space="preserve"> persons with disabilities</w:t>
      </w:r>
      <w:r w:rsidR="00002A33">
        <w:rPr>
          <w:rFonts w:ascii="Arial" w:hAnsi="Arial" w:cs="Arial"/>
        </w:rPr>
        <w:t xml:space="preserve"> exit the program each year into competitive employment </w:t>
      </w:r>
      <w:r>
        <w:rPr>
          <w:rFonts w:ascii="Arial" w:hAnsi="Arial" w:cs="Arial"/>
        </w:rPr>
        <w:t>with</w:t>
      </w:r>
      <w:r w:rsidR="00002A33">
        <w:rPr>
          <w:rFonts w:ascii="Arial" w:hAnsi="Arial" w:cs="Arial"/>
        </w:rPr>
        <w:t>in the community or</w:t>
      </w:r>
      <w:r>
        <w:rPr>
          <w:rFonts w:ascii="Arial" w:hAnsi="Arial" w:cs="Arial"/>
        </w:rPr>
        <w:t xml:space="preserve"> are</w:t>
      </w:r>
      <w:r w:rsidR="00002A33">
        <w:rPr>
          <w:rFonts w:ascii="Arial" w:hAnsi="Arial" w:cs="Arial"/>
        </w:rPr>
        <w:t xml:space="preserve"> promoted to supervisory positions. </w:t>
      </w:r>
    </w:p>
    <w:p w14:paraId="04B6FC1D" w14:textId="6102C6A7" w:rsidR="0016440B" w:rsidRDefault="0016440B" w:rsidP="00605459">
      <w:pPr>
        <w:spacing w:after="0" w:line="360" w:lineRule="auto"/>
        <w:rPr>
          <w:rFonts w:ascii="Arial" w:hAnsi="Arial" w:cs="Arial"/>
        </w:rPr>
      </w:pPr>
    </w:p>
    <w:p w14:paraId="134753DC" w14:textId="4EC7106E" w:rsidR="00AA5097" w:rsidRDefault="00233854" w:rsidP="00605459">
      <w:pPr>
        <w:spacing w:after="0" w:line="360" w:lineRule="auto"/>
        <w:rPr>
          <w:rFonts w:ascii="Arial" w:hAnsi="Arial" w:cs="Arial"/>
        </w:rPr>
      </w:pPr>
      <w:r>
        <w:rPr>
          <w:rFonts w:ascii="Arial" w:hAnsi="Arial" w:cs="Arial"/>
        </w:rPr>
        <w:lastRenderedPageBreak/>
        <w:t>I</w:t>
      </w:r>
      <w:r w:rsidR="00675072" w:rsidRPr="00675072">
        <w:rPr>
          <w:rFonts w:ascii="Arial" w:hAnsi="Arial" w:cs="Arial"/>
        </w:rPr>
        <w:t xml:space="preserve">n this report </w:t>
      </w:r>
      <w:r w:rsidRPr="00675072">
        <w:rPr>
          <w:rFonts w:ascii="Arial" w:hAnsi="Arial" w:cs="Arial"/>
        </w:rPr>
        <w:t xml:space="preserve">NCD </w:t>
      </w:r>
      <w:r w:rsidR="00497BD9" w:rsidRPr="00675072">
        <w:rPr>
          <w:rFonts w:ascii="Arial" w:hAnsi="Arial" w:cs="Arial"/>
        </w:rPr>
        <w:t>assesses</w:t>
      </w:r>
      <w:r w:rsidR="0016440B" w:rsidRPr="00675072">
        <w:rPr>
          <w:rFonts w:ascii="Arial" w:hAnsi="Arial" w:cs="Arial"/>
        </w:rPr>
        <w:t xml:space="preserve"> the AbilityOne </w:t>
      </w:r>
      <w:r w:rsidR="00002A33">
        <w:rPr>
          <w:rFonts w:ascii="Arial" w:hAnsi="Arial" w:cs="Arial"/>
        </w:rPr>
        <w:t>P</w:t>
      </w:r>
      <w:r w:rsidR="0016440B" w:rsidRPr="00675072">
        <w:rPr>
          <w:rFonts w:ascii="Arial" w:hAnsi="Arial" w:cs="Arial"/>
        </w:rPr>
        <w:t xml:space="preserve">rogram </w:t>
      </w:r>
      <w:r w:rsidR="00497BD9" w:rsidRPr="00675072">
        <w:rPr>
          <w:rFonts w:ascii="Arial" w:hAnsi="Arial" w:cs="Arial"/>
        </w:rPr>
        <w:t xml:space="preserve">and the work of the AbilityOne Commission </w:t>
      </w:r>
      <w:r w:rsidR="0016440B" w:rsidRPr="00675072">
        <w:rPr>
          <w:rFonts w:ascii="Arial" w:hAnsi="Arial" w:cs="Arial"/>
        </w:rPr>
        <w:t>in the context of federal disability law and policy</w:t>
      </w:r>
      <w:r w:rsidR="00497BD9" w:rsidRPr="00675072">
        <w:rPr>
          <w:rFonts w:ascii="Arial" w:hAnsi="Arial" w:cs="Arial"/>
        </w:rPr>
        <w:t>.</w:t>
      </w:r>
      <w:r w:rsidR="00675072" w:rsidRPr="00675072">
        <w:rPr>
          <w:rFonts w:ascii="Arial" w:hAnsi="Arial" w:cs="Arial"/>
        </w:rPr>
        <w:t xml:space="preserve"> As federal </w:t>
      </w:r>
      <w:r w:rsidR="00002A33">
        <w:rPr>
          <w:rFonts w:ascii="Arial" w:hAnsi="Arial" w:cs="Arial"/>
        </w:rPr>
        <w:t xml:space="preserve">disability </w:t>
      </w:r>
      <w:r w:rsidR="00675072" w:rsidRPr="00675072">
        <w:rPr>
          <w:rFonts w:ascii="Arial" w:hAnsi="Arial" w:cs="Arial"/>
        </w:rPr>
        <w:t xml:space="preserve">law and policy progresses away from segregation and subminimum wages and towards </w:t>
      </w:r>
      <w:r w:rsidR="00002A33">
        <w:rPr>
          <w:rFonts w:ascii="Arial" w:hAnsi="Arial" w:cs="Arial"/>
        </w:rPr>
        <w:t xml:space="preserve">community </w:t>
      </w:r>
      <w:r w:rsidR="00675072" w:rsidRPr="00675072">
        <w:rPr>
          <w:rFonts w:ascii="Arial" w:hAnsi="Arial" w:cs="Arial"/>
        </w:rPr>
        <w:t xml:space="preserve">integration and competitive wages, the AbilityOne </w:t>
      </w:r>
      <w:r w:rsidR="00675072" w:rsidRPr="00675072">
        <w:rPr>
          <w:rFonts w:ascii="Arial" w:hAnsi="Arial" w:cs="Arial"/>
          <w:color w:val="000000" w:themeColor="text1"/>
        </w:rPr>
        <w:t>Program has become</w:t>
      </w:r>
      <w:r w:rsidR="00675072" w:rsidRPr="00675072">
        <w:rPr>
          <w:rFonts w:ascii="Arial" w:hAnsi="Arial" w:cs="Arial"/>
        </w:rPr>
        <w:t xml:space="preserve"> a vestige of the past. </w:t>
      </w:r>
      <w:r w:rsidR="00497BD9" w:rsidRPr="00675072">
        <w:rPr>
          <w:rFonts w:ascii="Arial" w:hAnsi="Arial" w:cs="Arial"/>
        </w:rPr>
        <w:t>The program is centered on the requirements that federal agencies must purchase g</w:t>
      </w:r>
      <w:r w:rsidR="001A491C">
        <w:rPr>
          <w:rFonts w:ascii="Arial" w:hAnsi="Arial" w:cs="Arial"/>
        </w:rPr>
        <w:t>oods and services from the AbilityOne P</w:t>
      </w:r>
      <w:r w:rsidR="00497BD9" w:rsidRPr="00675072">
        <w:rPr>
          <w:rFonts w:ascii="Arial" w:hAnsi="Arial" w:cs="Arial"/>
        </w:rPr>
        <w:t>rogram if contained</w:t>
      </w:r>
      <w:r w:rsidR="00497BD9">
        <w:rPr>
          <w:rFonts w:ascii="Arial" w:hAnsi="Arial" w:cs="Arial"/>
        </w:rPr>
        <w:t xml:space="preserve"> </w:t>
      </w:r>
      <w:r>
        <w:rPr>
          <w:rFonts w:ascii="Arial" w:hAnsi="Arial" w:cs="Arial"/>
        </w:rPr>
        <w:t xml:space="preserve">on </w:t>
      </w:r>
      <w:r w:rsidR="00497BD9">
        <w:rPr>
          <w:rFonts w:ascii="Arial" w:hAnsi="Arial" w:cs="Arial"/>
        </w:rPr>
        <w:t>a procurement list</w:t>
      </w:r>
      <w:r w:rsidR="004F6AB3" w:rsidRPr="004F6AB3">
        <w:rPr>
          <w:rFonts w:ascii="Arial" w:hAnsi="Arial" w:cs="Arial"/>
        </w:rPr>
        <w:t xml:space="preserve"> </w:t>
      </w:r>
      <w:r w:rsidR="004F6AB3">
        <w:rPr>
          <w:rFonts w:ascii="Arial" w:hAnsi="Arial" w:cs="Arial"/>
        </w:rPr>
        <w:t>approved and updated by the Commission</w:t>
      </w:r>
      <w:r w:rsidR="00497BD9">
        <w:rPr>
          <w:rFonts w:ascii="Arial" w:hAnsi="Arial" w:cs="Arial"/>
        </w:rPr>
        <w:t xml:space="preserve">, and that </w:t>
      </w:r>
      <w:r w:rsidR="000F1B83">
        <w:rPr>
          <w:rFonts w:ascii="Arial" w:hAnsi="Arial" w:cs="Arial"/>
        </w:rPr>
        <w:t>people</w:t>
      </w:r>
      <w:r w:rsidR="00497BD9">
        <w:rPr>
          <w:rFonts w:ascii="Arial" w:hAnsi="Arial" w:cs="Arial"/>
        </w:rPr>
        <w:t xml:space="preserve"> who are blind or have a severe disability account for </w:t>
      </w:r>
      <w:r w:rsidR="00AA5097">
        <w:rPr>
          <w:rFonts w:ascii="Arial" w:hAnsi="Arial" w:cs="Arial"/>
        </w:rPr>
        <w:t xml:space="preserve">at least </w:t>
      </w:r>
      <w:r w:rsidR="00497BD9">
        <w:rPr>
          <w:rFonts w:ascii="Arial" w:hAnsi="Arial" w:cs="Arial"/>
        </w:rPr>
        <w:t xml:space="preserve">75 percent of the direct labor hours </w:t>
      </w:r>
      <w:r>
        <w:rPr>
          <w:rFonts w:ascii="Arial" w:hAnsi="Arial" w:cs="Arial"/>
        </w:rPr>
        <w:t>used to provide</w:t>
      </w:r>
      <w:r w:rsidR="00497BD9">
        <w:rPr>
          <w:rFonts w:ascii="Arial" w:hAnsi="Arial" w:cs="Arial"/>
        </w:rPr>
        <w:t xml:space="preserve"> the</w:t>
      </w:r>
      <w:r w:rsidR="00AA5097">
        <w:rPr>
          <w:rFonts w:ascii="Arial" w:hAnsi="Arial" w:cs="Arial"/>
        </w:rPr>
        <w:t xml:space="preserve"> service or produc</w:t>
      </w:r>
      <w:r>
        <w:rPr>
          <w:rFonts w:ascii="Arial" w:hAnsi="Arial" w:cs="Arial"/>
        </w:rPr>
        <w:t xml:space="preserve">e </w:t>
      </w:r>
      <w:r w:rsidR="00AA5097">
        <w:rPr>
          <w:rFonts w:ascii="Arial" w:hAnsi="Arial" w:cs="Arial"/>
        </w:rPr>
        <w:t>the good</w:t>
      </w:r>
      <w:r>
        <w:rPr>
          <w:rFonts w:ascii="Arial" w:hAnsi="Arial" w:cs="Arial"/>
        </w:rPr>
        <w:t>s</w:t>
      </w:r>
      <w:r w:rsidR="00AA5097">
        <w:rPr>
          <w:rFonts w:ascii="Arial" w:hAnsi="Arial" w:cs="Arial"/>
        </w:rPr>
        <w:t>.</w:t>
      </w:r>
      <w:r w:rsidR="000222AD">
        <w:rPr>
          <w:rFonts w:ascii="Arial" w:hAnsi="Arial" w:cs="Arial"/>
        </w:rPr>
        <w:t xml:space="preserve"> Since 2013 the program has come under scrutiny from the press, the Government Accountability Office</w:t>
      </w:r>
      <w:r w:rsidR="00675072">
        <w:rPr>
          <w:rFonts w:ascii="Arial" w:hAnsi="Arial" w:cs="Arial"/>
        </w:rPr>
        <w:t>, and</w:t>
      </w:r>
      <w:r w:rsidR="000222AD">
        <w:rPr>
          <w:rFonts w:ascii="Arial" w:hAnsi="Arial" w:cs="Arial"/>
        </w:rPr>
        <w:t xml:space="preserve"> </w:t>
      </w:r>
      <w:r w:rsidR="00675072">
        <w:rPr>
          <w:rFonts w:ascii="Arial" w:hAnsi="Arial" w:cs="Arial"/>
        </w:rPr>
        <w:t xml:space="preserve">Congress </w:t>
      </w:r>
      <w:r w:rsidR="000222AD">
        <w:rPr>
          <w:rFonts w:ascii="Arial" w:hAnsi="Arial" w:cs="Arial"/>
        </w:rPr>
        <w:t xml:space="preserve">for </w:t>
      </w:r>
      <w:r w:rsidR="00675072">
        <w:rPr>
          <w:rFonts w:ascii="Arial" w:hAnsi="Arial" w:cs="Arial"/>
        </w:rPr>
        <w:t xml:space="preserve">a </w:t>
      </w:r>
      <w:r w:rsidR="000222AD">
        <w:rPr>
          <w:rFonts w:ascii="Arial" w:hAnsi="Arial" w:cs="Arial"/>
        </w:rPr>
        <w:t xml:space="preserve">lack of rigorous oversight and transparency. </w:t>
      </w:r>
    </w:p>
    <w:p w14:paraId="379F61E6" w14:textId="22B8AF15" w:rsidR="00AA5097" w:rsidRDefault="00AA5097" w:rsidP="00605459">
      <w:pPr>
        <w:spacing w:after="0" w:line="360" w:lineRule="auto"/>
        <w:rPr>
          <w:rFonts w:ascii="Arial" w:hAnsi="Arial" w:cs="Arial"/>
        </w:rPr>
      </w:pPr>
    </w:p>
    <w:p w14:paraId="03BC0366" w14:textId="48D22BAC" w:rsidR="00605459" w:rsidRDefault="00675072" w:rsidP="00605459">
      <w:pPr>
        <w:spacing w:after="0" w:line="360" w:lineRule="auto"/>
        <w:rPr>
          <w:rFonts w:ascii="Arial" w:hAnsi="Arial" w:cs="Arial"/>
        </w:rPr>
      </w:pPr>
      <w:r>
        <w:rPr>
          <w:rFonts w:ascii="Arial" w:hAnsi="Arial" w:cs="Arial"/>
        </w:rPr>
        <w:t xml:space="preserve">In this brief study, </w:t>
      </w:r>
      <w:r w:rsidR="00497BD9">
        <w:rPr>
          <w:rFonts w:ascii="Arial" w:hAnsi="Arial" w:cs="Arial"/>
        </w:rPr>
        <w:t>NCD</w:t>
      </w:r>
      <w:r w:rsidR="0016440B">
        <w:rPr>
          <w:rFonts w:ascii="Arial" w:hAnsi="Arial" w:cs="Arial"/>
        </w:rPr>
        <w:t xml:space="preserve"> </w:t>
      </w:r>
      <w:r>
        <w:rPr>
          <w:rFonts w:ascii="Arial" w:hAnsi="Arial" w:cs="Arial"/>
        </w:rPr>
        <w:t>finds that the current structure and im</w:t>
      </w:r>
      <w:r w:rsidR="00002A33">
        <w:rPr>
          <w:rFonts w:ascii="Arial" w:hAnsi="Arial" w:cs="Arial"/>
        </w:rPr>
        <w:t xml:space="preserve">plementation of the AbilityOne </w:t>
      </w:r>
      <w:r w:rsidR="00002A33" w:rsidRPr="00F01EE6">
        <w:rPr>
          <w:rFonts w:ascii="Arial" w:hAnsi="Arial" w:cs="Arial"/>
        </w:rPr>
        <w:t>P</w:t>
      </w:r>
      <w:r w:rsidRPr="00F01EE6">
        <w:rPr>
          <w:rFonts w:ascii="Arial" w:hAnsi="Arial" w:cs="Arial"/>
        </w:rPr>
        <w:t xml:space="preserve">rogram </w:t>
      </w:r>
      <w:r w:rsidR="001A491C" w:rsidRPr="00F01EE6">
        <w:rPr>
          <w:rFonts w:ascii="Arial" w:hAnsi="Arial" w:cs="Arial"/>
        </w:rPr>
        <w:t>calls into question</w:t>
      </w:r>
      <w:r w:rsidR="001A491C">
        <w:rPr>
          <w:rFonts w:ascii="Arial" w:hAnsi="Arial" w:cs="Arial"/>
        </w:rPr>
        <w:t xml:space="preserve"> </w:t>
      </w:r>
      <w:r>
        <w:rPr>
          <w:rFonts w:ascii="Arial" w:hAnsi="Arial" w:cs="Arial"/>
        </w:rPr>
        <w:t xml:space="preserve">whether </w:t>
      </w:r>
      <w:r w:rsidR="000F1B83">
        <w:rPr>
          <w:rFonts w:ascii="Arial" w:hAnsi="Arial" w:cs="Arial"/>
        </w:rPr>
        <w:t>people</w:t>
      </w:r>
      <w:r>
        <w:rPr>
          <w:rFonts w:ascii="Arial" w:hAnsi="Arial" w:cs="Arial"/>
        </w:rPr>
        <w:t xml:space="preserve"> who are blind or hav</w:t>
      </w:r>
      <w:r w:rsidR="007A5639">
        <w:rPr>
          <w:rFonts w:ascii="Arial" w:hAnsi="Arial" w:cs="Arial"/>
        </w:rPr>
        <w:t xml:space="preserve">e a severe disability are best </w:t>
      </w:r>
      <w:r>
        <w:rPr>
          <w:rFonts w:ascii="Arial" w:hAnsi="Arial" w:cs="Arial"/>
        </w:rPr>
        <w:t>served by the pr</w:t>
      </w:r>
      <w:r w:rsidR="007A5639">
        <w:rPr>
          <w:rFonts w:ascii="Arial" w:hAnsi="Arial" w:cs="Arial"/>
        </w:rPr>
        <w:t>ogram. NCD recommends that more</w:t>
      </w:r>
      <w:r w:rsidR="00497BD9">
        <w:rPr>
          <w:rFonts w:ascii="Arial" w:hAnsi="Arial" w:cs="Arial"/>
        </w:rPr>
        <w:t xml:space="preserve"> </w:t>
      </w:r>
      <w:r>
        <w:rPr>
          <w:rFonts w:ascii="Arial" w:hAnsi="Arial" w:cs="Arial"/>
        </w:rPr>
        <w:t xml:space="preserve">in-depth independent research into the impact of the program be conducted, and that Congress make </w:t>
      </w:r>
      <w:r w:rsidR="00233854">
        <w:rPr>
          <w:rFonts w:ascii="Arial" w:hAnsi="Arial" w:cs="Arial"/>
        </w:rPr>
        <w:t xml:space="preserve">necessary </w:t>
      </w:r>
      <w:r>
        <w:rPr>
          <w:rFonts w:ascii="Arial" w:hAnsi="Arial" w:cs="Arial"/>
        </w:rPr>
        <w:t xml:space="preserve">changes </w:t>
      </w:r>
      <w:r w:rsidR="007A5639">
        <w:rPr>
          <w:rFonts w:ascii="Arial" w:hAnsi="Arial" w:cs="Arial"/>
        </w:rPr>
        <w:t>so that the program better aligns</w:t>
      </w:r>
      <w:r w:rsidR="00AA5097">
        <w:rPr>
          <w:rFonts w:ascii="Arial" w:hAnsi="Arial" w:cs="Arial"/>
        </w:rPr>
        <w:t xml:space="preserve"> with</w:t>
      </w:r>
      <w:r w:rsidR="0009023C">
        <w:rPr>
          <w:rFonts w:ascii="Arial" w:hAnsi="Arial" w:cs="Arial"/>
        </w:rPr>
        <w:t xml:space="preserve"> the Americans with Disabilities Act, the Workforce Innovation and Opportunit</w:t>
      </w:r>
      <w:r w:rsidR="00EE07D6">
        <w:rPr>
          <w:rFonts w:ascii="Arial" w:hAnsi="Arial" w:cs="Arial"/>
        </w:rPr>
        <w:t xml:space="preserve">y </w:t>
      </w:r>
      <w:r w:rsidR="0009023C">
        <w:rPr>
          <w:rFonts w:ascii="Arial" w:hAnsi="Arial" w:cs="Arial"/>
        </w:rPr>
        <w:t>Act, and other</w:t>
      </w:r>
      <w:r w:rsidR="00AA5097">
        <w:rPr>
          <w:rFonts w:ascii="Arial" w:hAnsi="Arial" w:cs="Arial"/>
        </w:rPr>
        <w:t xml:space="preserve"> federa</w:t>
      </w:r>
      <w:r w:rsidR="007A5639">
        <w:rPr>
          <w:rFonts w:ascii="Arial" w:hAnsi="Arial" w:cs="Arial"/>
        </w:rPr>
        <w:t xml:space="preserve">l disability laws and policies which </w:t>
      </w:r>
      <w:r w:rsidR="00AA5097">
        <w:rPr>
          <w:rFonts w:ascii="Arial" w:hAnsi="Arial" w:cs="Arial"/>
        </w:rPr>
        <w:t xml:space="preserve">seek </w:t>
      </w:r>
      <w:r w:rsidR="007A5639">
        <w:rPr>
          <w:rFonts w:ascii="Arial" w:hAnsi="Arial" w:cs="Arial"/>
        </w:rPr>
        <w:t xml:space="preserve">the full participation of </w:t>
      </w:r>
      <w:r w:rsidR="000F1B83">
        <w:rPr>
          <w:rFonts w:ascii="Arial" w:hAnsi="Arial" w:cs="Arial"/>
        </w:rPr>
        <w:t>people</w:t>
      </w:r>
      <w:r w:rsidR="007A5639">
        <w:rPr>
          <w:rFonts w:ascii="Arial" w:hAnsi="Arial" w:cs="Arial"/>
        </w:rPr>
        <w:t xml:space="preserve"> with disabilities, including employment and advancement </w:t>
      </w:r>
      <w:r w:rsidR="00894448">
        <w:rPr>
          <w:rFonts w:ascii="Arial" w:hAnsi="Arial" w:cs="Arial"/>
        </w:rPr>
        <w:t xml:space="preserve">opportunities </w:t>
      </w:r>
      <w:r w:rsidR="007A5639">
        <w:rPr>
          <w:rFonts w:ascii="Arial" w:hAnsi="Arial" w:cs="Arial"/>
        </w:rPr>
        <w:t>within the community</w:t>
      </w:r>
      <w:r w:rsidR="000222AD">
        <w:rPr>
          <w:rFonts w:ascii="Arial" w:hAnsi="Arial" w:cs="Arial"/>
        </w:rPr>
        <w:t xml:space="preserve">. </w:t>
      </w:r>
    </w:p>
    <w:p w14:paraId="790AB44C" w14:textId="77777777" w:rsidR="001778CD" w:rsidRPr="00093AFB" w:rsidRDefault="009D06EC" w:rsidP="001778CD">
      <w:pPr>
        <w:pStyle w:val="Heading2"/>
        <w:rPr>
          <w:b/>
          <w:caps w:val="0"/>
          <w:color w:val="auto"/>
          <w:sz w:val="30"/>
          <w:szCs w:val="30"/>
        </w:rPr>
      </w:pPr>
      <w:r>
        <w:rPr>
          <w:rFonts w:cs="Arial"/>
        </w:rPr>
        <w:br w:type="page"/>
      </w:r>
      <w:r w:rsidR="001778CD" w:rsidRPr="00093AFB">
        <w:rPr>
          <w:b/>
          <w:caps w:val="0"/>
          <w:color w:val="auto"/>
          <w:sz w:val="30"/>
          <w:szCs w:val="30"/>
        </w:rPr>
        <w:lastRenderedPageBreak/>
        <w:t>Part I: Overview of the AbilityOne Program</w:t>
      </w:r>
    </w:p>
    <w:p w14:paraId="2AB3C005" w14:textId="6C125F54" w:rsidR="001778CD" w:rsidRDefault="001778CD" w:rsidP="001778CD">
      <w:pPr>
        <w:keepNext/>
        <w:spacing w:after="0" w:line="360" w:lineRule="auto"/>
        <w:rPr>
          <w:rFonts w:ascii="Arial" w:hAnsi="Arial" w:cs="Arial"/>
          <w:szCs w:val="24"/>
        </w:rPr>
      </w:pPr>
      <w:r>
        <w:rPr>
          <w:rFonts w:ascii="Arial" w:hAnsi="Arial" w:cs="Arial"/>
          <w:szCs w:val="24"/>
        </w:rPr>
        <w:t>For eighty years, the federal government has utilized its purchasing power in an attempt to expand the employment of people who are blind or have a severe disability.</w:t>
      </w:r>
      <w:r>
        <w:rPr>
          <w:rStyle w:val="EndnoteReference"/>
          <w:rFonts w:cs="Arial"/>
          <w:szCs w:val="24"/>
        </w:rPr>
        <w:endnoteReference w:id="1"/>
      </w:r>
      <w:r>
        <w:rPr>
          <w:rFonts w:ascii="Arial" w:hAnsi="Arial" w:cs="Arial"/>
          <w:szCs w:val="24"/>
        </w:rPr>
        <w:t xml:space="preserve"> Through the officially titled </w:t>
      </w:r>
      <w:r w:rsidRPr="002813BA">
        <w:rPr>
          <w:rFonts w:ascii="Arial" w:hAnsi="Arial" w:cs="Arial"/>
          <w:szCs w:val="24"/>
        </w:rPr>
        <w:t>Committee for Purchase for People who are</w:t>
      </w:r>
      <w:r>
        <w:rPr>
          <w:rFonts w:ascii="Arial" w:hAnsi="Arial" w:cs="Arial"/>
          <w:szCs w:val="24"/>
        </w:rPr>
        <w:t xml:space="preserve"> Blind or Severely Disabled,</w:t>
      </w:r>
      <w:r w:rsidRPr="002813BA">
        <w:rPr>
          <w:rFonts w:ascii="Arial" w:hAnsi="Arial" w:cs="Arial"/>
          <w:szCs w:val="24"/>
        </w:rPr>
        <w:t xml:space="preserve"> </w:t>
      </w:r>
      <w:r>
        <w:rPr>
          <w:rFonts w:ascii="Arial" w:hAnsi="Arial" w:cs="Arial"/>
          <w:szCs w:val="24"/>
        </w:rPr>
        <w:t xml:space="preserve">federal agencies purchase goods and services from non-profit agencies which employ people with such disabilities. </w:t>
      </w:r>
      <w:r w:rsidRPr="002813BA">
        <w:rPr>
          <w:rFonts w:ascii="Arial" w:hAnsi="Arial" w:cs="Arial"/>
          <w:szCs w:val="24"/>
        </w:rPr>
        <w:t xml:space="preserve">The </w:t>
      </w:r>
      <w:r>
        <w:rPr>
          <w:rFonts w:ascii="Arial" w:hAnsi="Arial" w:cs="Arial"/>
          <w:szCs w:val="24"/>
        </w:rPr>
        <w:t>Committee</w:t>
      </w:r>
      <w:r w:rsidRPr="002813BA">
        <w:rPr>
          <w:rFonts w:ascii="Arial" w:hAnsi="Arial" w:cs="Arial"/>
          <w:szCs w:val="24"/>
        </w:rPr>
        <w:t xml:space="preserve"> is an independent federal agency, with a recently created Office of Inspector General (OIG)</w:t>
      </w:r>
      <w:r>
        <w:rPr>
          <w:rFonts w:ascii="Arial" w:hAnsi="Arial" w:cs="Arial"/>
          <w:szCs w:val="24"/>
        </w:rPr>
        <w:t>. In 2006, the C</w:t>
      </w:r>
      <w:r w:rsidRPr="002813BA">
        <w:rPr>
          <w:rFonts w:ascii="Arial" w:hAnsi="Arial" w:cs="Arial"/>
          <w:szCs w:val="24"/>
        </w:rPr>
        <w:t>ommittee</w:t>
      </w:r>
      <w:r>
        <w:rPr>
          <w:rFonts w:ascii="Arial" w:hAnsi="Arial" w:cs="Arial"/>
          <w:szCs w:val="24"/>
        </w:rPr>
        <w:t xml:space="preserve"> r</w:t>
      </w:r>
      <w:r w:rsidRPr="002813BA">
        <w:rPr>
          <w:rFonts w:ascii="Arial" w:hAnsi="Arial" w:cs="Arial"/>
          <w:szCs w:val="24"/>
        </w:rPr>
        <w:t>e-</w:t>
      </w:r>
      <w:r>
        <w:rPr>
          <w:rFonts w:ascii="Arial" w:hAnsi="Arial" w:cs="Arial"/>
          <w:szCs w:val="24"/>
        </w:rPr>
        <w:t>named</w:t>
      </w:r>
      <w:r w:rsidRPr="002813BA">
        <w:rPr>
          <w:rFonts w:ascii="Arial" w:hAnsi="Arial" w:cs="Arial"/>
          <w:szCs w:val="24"/>
        </w:rPr>
        <w:t xml:space="preserve"> the program as “AbilityOne” and </w:t>
      </w:r>
      <w:r>
        <w:rPr>
          <w:rFonts w:ascii="Arial" w:hAnsi="Arial" w:cs="Arial"/>
          <w:szCs w:val="24"/>
        </w:rPr>
        <w:t xml:space="preserve">began operating </w:t>
      </w:r>
      <w:r w:rsidRPr="002813BA">
        <w:rPr>
          <w:rFonts w:ascii="Arial" w:hAnsi="Arial" w:cs="Arial"/>
          <w:szCs w:val="24"/>
        </w:rPr>
        <w:t>as the “AbilityOne Commission.”</w:t>
      </w:r>
      <w:r>
        <w:rPr>
          <w:rStyle w:val="EndnoteReference"/>
          <w:rFonts w:cs="Arial"/>
          <w:szCs w:val="24"/>
        </w:rPr>
        <w:endnoteReference w:id="2"/>
      </w:r>
      <w:r>
        <w:rPr>
          <w:rFonts w:ascii="Arial" w:hAnsi="Arial" w:cs="Arial"/>
          <w:szCs w:val="24"/>
        </w:rPr>
        <w:t xml:space="preserve"> NCD,</w:t>
      </w:r>
      <w:r w:rsidRPr="005D22BB">
        <w:rPr>
          <w:rFonts w:ascii="Arial" w:hAnsi="Arial" w:cs="Arial"/>
          <w:szCs w:val="24"/>
        </w:rPr>
        <w:t xml:space="preserve"> for the first time</w:t>
      </w:r>
      <w:r>
        <w:rPr>
          <w:rFonts w:ascii="Arial" w:hAnsi="Arial" w:cs="Arial"/>
          <w:szCs w:val="24"/>
        </w:rPr>
        <w:t xml:space="preserve">, </w:t>
      </w:r>
      <w:r w:rsidRPr="005D22BB">
        <w:rPr>
          <w:rFonts w:ascii="Arial" w:hAnsi="Arial" w:cs="Arial"/>
          <w:szCs w:val="24"/>
        </w:rPr>
        <w:t xml:space="preserve">addresses the legal, regulatory, oversight, and policies </w:t>
      </w:r>
      <w:r>
        <w:rPr>
          <w:rFonts w:ascii="Arial" w:hAnsi="Arial" w:cs="Arial"/>
          <w:szCs w:val="24"/>
        </w:rPr>
        <w:t>of</w:t>
      </w:r>
      <w:r w:rsidRPr="005D22BB">
        <w:rPr>
          <w:rFonts w:ascii="Arial" w:hAnsi="Arial" w:cs="Arial"/>
          <w:szCs w:val="24"/>
        </w:rPr>
        <w:t xml:space="preserve"> </w:t>
      </w:r>
      <w:r>
        <w:rPr>
          <w:rFonts w:ascii="Arial" w:hAnsi="Arial" w:cs="Arial"/>
          <w:szCs w:val="24"/>
        </w:rPr>
        <w:t>the AbilityOne Program and considers</w:t>
      </w:r>
      <w:r w:rsidRPr="005D22BB">
        <w:rPr>
          <w:rFonts w:ascii="Arial" w:hAnsi="Arial" w:cs="Arial"/>
          <w:szCs w:val="24"/>
        </w:rPr>
        <w:t xml:space="preserve"> the compatibility of the program with broader federal disability </w:t>
      </w:r>
      <w:r>
        <w:rPr>
          <w:rFonts w:ascii="Arial" w:hAnsi="Arial" w:cs="Arial"/>
          <w:szCs w:val="24"/>
        </w:rPr>
        <w:t xml:space="preserve">laws and </w:t>
      </w:r>
      <w:r w:rsidRPr="005D22BB">
        <w:rPr>
          <w:rFonts w:ascii="Arial" w:hAnsi="Arial" w:cs="Arial"/>
          <w:szCs w:val="24"/>
        </w:rPr>
        <w:t>policies.</w:t>
      </w:r>
      <w:r w:rsidRPr="0009023C">
        <w:rPr>
          <w:rFonts w:ascii="Arial" w:hAnsi="Arial" w:cs="Arial"/>
          <w:szCs w:val="24"/>
        </w:rPr>
        <w:t xml:space="preserve"> </w:t>
      </w:r>
      <w:r>
        <w:rPr>
          <w:rFonts w:ascii="Arial" w:hAnsi="Arial" w:cs="Arial"/>
          <w:szCs w:val="24"/>
        </w:rPr>
        <w:t>The program may have fit the needs of an economy recover</w:t>
      </w:r>
      <w:r w:rsidR="009A1214">
        <w:rPr>
          <w:rFonts w:ascii="Arial" w:hAnsi="Arial" w:cs="Arial"/>
          <w:szCs w:val="24"/>
        </w:rPr>
        <w:t>ing</w:t>
      </w:r>
      <w:r>
        <w:rPr>
          <w:rFonts w:ascii="Arial" w:hAnsi="Arial" w:cs="Arial"/>
          <w:szCs w:val="24"/>
        </w:rPr>
        <w:t xml:space="preserve"> from the Great Depression, or even an era just prior to the legislative recognition of equal rights for people with disabilities. The underlying basis for the AbilityOne Program, however, is now out of step with federal policies which seek to provide services, supports, and most importantly employment opportunities for people with disabilities within the community in an equal manner to all Americans.</w:t>
      </w:r>
    </w:p>
    <w:p w14:paraId="4CDA55C2" w14:textId="77777777" w:rsidR="001778CD" w:rsidRDefault="001778CD" w:rsidP="001778CD">
      <w:pPr>
        <w:spacing w:after="0" w:line="360" w:lineRule="auto"/>
        <w:rPr>
          <w:rFonts w:ascii="Arial" w:hAnsi="Arial" w:cs="Arial"/>
          <w:szCs w:val="24"/>
        </w:rPr>
      </w:pPr>
    </w:p>
    <w:p w14:paraId="6F18DA6D" w14:textId="77777777" w:rsidR="001778CD" w:rsidRDefault="001778CD" w:rsidP="001778CD">
      <w:pPr>
        <w:keepNext/>
        <w:spacing w:after="0" w:line="360" w:lineRule="auto"/>
        <w:rPr>
          <w:rFonts w:ascii="Arial" w:hAnsi="Arial" w:cs="Arial"/>
          <w:szCs w:val="24"/>
          <w:u w:val="single"/>
        </w:rPr>
      </w:pPr>
      <w:r w:rsidRPr="002813BA">
        <w:rPr>
          <w:rFonts w:ascii="Arial" w:hAnsi="Arial" w:cs="Arial"/>
          <w:szCs w:val="24"/>
          <w:u w:val="single"/>
        </w:rPr>
        <w:t>A. Historical and Legislative Overview</w:t>
      </w:r>
    </w:p>
    <w:p w14:paraId="27807778" w14:textId="5DB8FC04" w:rsidR="001778CD" w:rsidRDefault="001778CD" w:rsidP="001778CD">
      <w:pPr>
        <w:keepNext/>
        <w:spacing w:after="0" w:line="360" w:lineRule="auto"/>
        <w:rPr>
          <w:rFonts w:ascii="Arial" w:hAnsi="Arial" w:cs="Arial"/>
          <w:szCs w:val="24"/>
        </w:rPr>
      </w:pPr>
      <w:r>
        <w:rPr>
          <w:rFonts w:ascii="Arial" w:hAnsi="Arial" w:cs="Arial"/>
          <w:szCs w:val="24"/>
        </w:rPr>
        <w:t>The AbilityOne Commission defines its mission as “</w:t>
      </w:r>
      <w:r w:rsidRPr="00E526A3">
        <w:rPr>
          <w:rFonts w:ascii="Arial" w:hAnsi="Arial" w:cs="Arial"/>
          <w:szCs w:val="24"/>
        </w:rPr>
        <w:t>provid</w:t>
      </w:r>
      <w:r>
        <w:rPr>
          <w:rFonts w:ascii="Arial" w:hAnsi="Arial" w:cs="Arial"/>
          <w:szCs w:val="24"/>
        </w:rPr>
        <w:t>ing</w:t>
      </w:r>
      <w:r w:rsidRPr="00E526A3">
        <w:rPr>
          <w:rFonts w:ascii="Arial" w:hAnsi="Arial" w:cs="Arial"/>
          <w:szCs w:val="24"/>
        </w:rPr>
        <w:t xml:space="preserve"> job opportuni</w:t>
      </w:r>
      <w:r>
        <w:rPr>
          <w:rFonts w:ascii="Arial" w:hAnsi="Arial" w:cs="Arial"/>
          <w:szCs w:val="24"/>
        </w:rPr>
        <w:t xml:space="preserve">ties to people who are blind or </w:t>
      </w:r>
      <w:r w:rsidRPr="00E526A3">
        <w:rPr>
          <w:rFonts w:ascii="Arial" w:hAnsi="Arial" w:cs="Arial"/>
          <w:szCs w:val="24"/>
        </w:rPr>
        <w:t xml:space="preserve">have significant disabilities in the manufacture and delivery </w:t>
      </w:r>
      <w:r>
        <w:rPr>
          <w:rFonts w:ascii="Arial" w:hAnsi="Arial" w:cs="Arial"/>
          <w:szCs w:val="24"/>
        </w:rPr>
        <w:t>of products and services to the federal government,” and envisions the enablement of</w:t>
      </w:r>
      <w:r w:rsidRPr="00E526A3">
        <w:rPr>
          <w:rFonts w:ascii="Arial" w:hAnsi="Arial" w:cs="Arial"/>
          <w:szCs w:val="24"/>
        </w:rPr>
        <w:t xml:space="preserve"> </w:t>
      </w:r>
      <w:r>
        <w:rPr>
          <w:rFonts w:ascii="Arial" w:hAnsi="Arial" w:cs="Arial"/>
          <w:szCs w:val="24"/>
        </w:rPr>
        <w:t>“</w:t>
      </w:r>
      <w:r w:rsidRPr="00E526A3">
        <w:rPr>
          <w:rFonts w:ascii="Arial" w:hAnsi="Arial" w:cs="Arial"/>
          <w:szCs w:val="24"/>
        </w:rPr>
        <w:t>all people who are blind or have sig</w:t>
      </w:r>
      <w:r>
        <w:rPr>
          <w:rFonts w:ascii="Arial" w:hAnsi="Arial" w:cs="Arial"/>
          <w:szCs w:val="24"/>
        </w:rPr>
        <w:t xml:space="preserve">nificant </w:t>
      </w:r>
      <w:r w:rsidRPr="00E526A3">
        <w:rPr>
          <w:rFonts w:ascii="Arial" w:hAnsi="Arial" w:cs="Arial"/>
          <w:szCs w:val="24"/>
        </w:rPr>
        <w:t>disabilities to achieve their maximum employment potential.</w:t>
      </w:r>
      <w:r>
        <w:rPr>
          <w:rFonts w:ascii="Arial" w:hAnsi="Arial" w:cs="Arial"/>
          <w:szCs w:val="24"/>
        </w:rPr>
        <w:t>”</w:t>
      </w:r>
      <w:r>
        <w:rPr>
          <w:rStyle w:val="EndnoteReference"/>
          <w:rFonts w:cs="Arial"/>
          <w:szCs w:val="24"/>
        </w:rPr>
        <w:endnoteReference w:id="3"/>
      </w:r>
      <w:r>
        <w:rPr>
          <w:rFonts w:ascii="Arial" w:hAnsi="Arial" w:cs="Arial"/>
          <w:szCs w:val="24"/>
        </w:rPr>
        <w:t xml:space="preserve"> Beginning in 1938 through the New Deal era Wagner-O’Day Act, the federal government sought to increase the employment of people who are blind by purchasing broom</w:t>
      </w:r>
      <w:r w:rsidRPr="00B70C8A">
        <w:rPr>
          <w:rFonts w:ascii="Arial" w:hAnsi="Arial" w:cs="Arial"/>
          <w:szCs w:val="24"/>
        </w:rPr>
        <w:t xml:space="preserve">s </w:t>
      </w:r>
      <w:r>
        <w:rPr>
          <w:rFonts w:ascii="Arial" w:hAnsi="Arial" w:cs="Arial"/>
          <w:szCs w:val="24"/>
        </w:rPr>
        <w:t>and mops sold by such persons.</w:t>
      </w:r>
      <w:r>
        <w:rPr>
          <w:rStyle w:val="EndnoteReference"/>
          <w:rFonts w:cs="Arial"/>
          <w:szCs w:val="24"/>
        </w:rPr>
        <w:endnoteReference w:id="4"/>
      </w:r>
      <w:r>
        <w:rPr>
          <w:rFonts w:ascii="Arial" w:hAnsi="Arial" w:cs="Arial"/>
          <w:szCs w:val="24"/>
        </w:rPr>
        <w:t xml:space="preserve"> Congress expanded this approach through the 1971 Javits-Wagner O’Day (JWOD) Act to include the purchase of both goods and services from people who are blind, and added the purchase of goods and </w:t>
      </w:r>
      <w:r w:rsidRPr="005D22BB">
        <w:rPr>
          <w:rFonts w:ascii="Arial" w:hAnsi="Arial" w:cs="Arial"/>
          <w:szCs w:val="24"/>
        </w:rPr>
        <w:t xml:space="preserve">services from </w:t>
      </w:r>
      <w:r>
        <w:rPr>
          <w:rFonts w:ascii="Arial" w:hAnsi="Arial" w:cs="Arial"/>
          <w:szCs w:val="24"/>
        </w:rPr>
        <w:t>people with severe disabilities.</w:t>
      </w:r>
      <w:r>
        <w:rPr>
          <w:rStyle w:val="EndnoteReference"/>
          <w:rFonts w:cs="Arial"/>
          <w:szCs w:val="24"/>
        </w:rPr>
        <w:endnoteReference w:id="5"/>
      </w:r>
      <w:r>
        <w:rPr>
          <w:rFonts w:ascii="Arial" w:hAnsi="Arial" w:cs="Arial"/>
          <w:szCs w:val="24"/>
        </w:rPr>
        <w:t xml:space="preserve"> </w:t>
      </w:r>
    </w:p>
    <w:p w14:paraId="0673F16B" w14:textId="77777777" w:rsidR="001778CD" w:rsidRDefault="001778CD" w:rsidP="001778CD">
      <w:pPr>
        <w:spacing w:after="0" w:line="360" w:lineRule="auto"/>
        <w:rPr>
          <w:rFonts w:ascii="Arial" w:hAnsi="Arial" w:cs="Arial"/>
          <w:szCs w:val="24"/>
        </w:rPr>
      </w:pPr>
    </w:p>
    <w:p w14:paraId="2901398A" w14:textId="77777777" w:rsidR="001778CD" w:rsidRDefault="001778CD" w:rsidP="001778CD">
      <w:pPr>
        <w:spacing w:after="0" w:line="360" w:lineRule="auto"/>
        <w:rPr>
          <w:rFonts w:ascii="Arial" w:hAnsi="Arial" w:cs="Arial"/>
          <w:szCs w:val="24"/>
        </w:rPr>
      </w:pPr>
      <w:r>
        <w:rPr>
          <w:rFonts w:ascii="Arial" w:hAnsi="Arial" w:cs="Arial"/>
          <w:szCs w:val="24"/>
        </w:rPr>
        <w:lastRenderedPageBreak/>
        <w:t xml:space="preserve">Under the JWOD Act, federal agencies must purchase goods and services available from an AbilityOne participating </w:t>
      </w:r>
      <w:r w:rsidRPr="00B70C8A">
        <w:rPr>
          <w:rFonts w:ascii="Arial" w:hAnsi="Arial" w:cs="Arial"/>
          <w:szCs w:val="24"/>
        </w:rPr>
        <w:t>qualified non-profit agenc</w:t>
      </w:r>
      <w:r>
        <w:rPr>
          <w:rFonts w:ascii="Arial" w:hAnsi="Arial" w:cs="Arial"/>
          <w:szCs w:val="24"/>
        </w:rPr>
        <w:t>y (NPA) contained on an approved procurement list,</w:t>
      </w:r>
      <w:r>
        <w:rPr>
          <w:rStyle w:val="EndnoteReference"/>
          <w:rFonts w:cs="Arial"/>
          <w:szCs w:val="24"/>
        </w:rPr>
        <w:endnoteReference w:id="6"/>
      </w:r>
      <w:r>
        <w:rPr>
          <w:rFonts w:ascii="Arial" w:hAnsi="Arial" w:cs="Arial"/>
          <w:szCs w:val="24"/>
        </w:rPr>
        <w:t xml:space="preserve"> unless the good is produced by the Federal Prison Industries program,</w:t>
      </w:r>
      <w:r>
        <w:rPr>
          <w:rStyle w:val="EndnoteReference"/>
          <w:rFonts w:cs="Arial"/>
          <w:szCs w:val="24"/>
        </w:rPr>
        <w:endnoteReference w:id="7"/>
      </w:r>
      <w:r>
        <w:rPr>
          <w:rFonts w:ascii="Arial" w:hAnsi="Arial" w:cs="Arial"/>
          <w:szCs w:val="24"/>
        </w:rPr>
        <w:t xml:space="preserve"> or an exception is granted.</w:t>
      </w:r>
      <w:r>
        <w:rPr>
          <w:rStyle w:val="EndnoteReference"/>
          <w:rFonts w:cs="Arial"/>
          <w:szCs w:val="24"/>
        </w:rPr>
        <w:endnoteReference w:id="8"/>
      </w:r>
      <w:r w:rsidRPr="00B62325">
        <w:rPr>
          <w:rFonts w:ascii="Arial" w:hAnsi="Arial" w:cs="Arial"/>
          <w:szCs w:val="24"/>
        </w:rPr>
        <w:t xml:space="preserve"> </w:t>
      </w:r>
      <w:r>
        <w:rPr>
          <w:rFonts w:ascii="Arial" w:hAnsi="Arial" w:cs="Arial"/>
          <w:szCs w:val="24"/>
        </w:rPr>
        <w:t>The Department of Veterans Affairs is also required under the Veterans Benefits Act of 2006 to first seek procurement through veteran owned small businesses before purchasing from the AbilityOne Program, when at least two such businesses are reasonably expected to compete.</w:t>
      </w:r>
      <w:r>
        <w:rPr>
          <w:rStyle w:val="EndnoteReference"/>
          <w:rFonts w:cs="Arial"/>
          <w:szCs w:val="24"/>
        </w:rPr>
        <w:endnoteReference w:id="9"/>
      </w:r>
      <w:r>
        <w:rPr>
          <w:rFonts w:ascii="Arial" w:hAnsi="Arial" w:cs="Arial"/>
          <w:szCs w:val="24"/>
        </w:rPr>
        <w:t xml:space="preserve"> The objective of the AbilityOne program rests on two legal pillars: 1) the requirement that federal agencies purchase from an AbilityOne qualified NPA, and 2) the so called direct labor ratio, which mandates that people who are blind or have a severe disability perform 75 percent of the “direct labor” necessary to produce the goods or provide the services offered by the NPA.</w:t>
      </w:r>
      <w:r>
        <w:rPr>
          <w:rStyle w:val="EndnoteReference"/>
          <w:rFonts w:cs="Arial"/>
          <w:szCs w:val="24"/>
        </w:rPr>
        <w:endnoteReference w:id="10"/>
      </w:r>
      <w:r>
        <w:rPr>
          <w:rFonts w:ascii="Arial" w:hAnsi="Arial" w:cs="Arial"/>
          <w:szCs w:val="24"/>
        </w:rPr>
        <w:t xml:space="preserve"> </w:t>
      </w:r>
    </w:p>
    <w:p w14:paraId="2F09284B" w14:textId="77777777" w:rsidR="001778CD" w:rsidRDefault="001778CD" w:rsidP="001778CD">
      <w:pPr>
        <w:spacing w:after="0" w:line="360" w:lineRule="auto"/>
        <w:rPr>
          <w:rFonts w:ascii="Arial" w:hAnsi="Arial" w:cs="Arial"/>
          <w:szCs w:val="24"/>
        </w:rPr>
      </w:pPr>
    </w:p>
    <w:p w14:paraId="0D5B91D4" w14:textId="77777777" w:rsidR="001778CD" w:rsidRDefault="001778CD" w:rsidP="001778CD">
      <w:pPr>
        <w:spacing w:after="0" w:line="360" w:lineRule="auto"/>
        <w:rPr>
          <w:rFonts w:ascii="Arial" w:hAnsi="Arial" w:cs="Arial"/>
          <w:szCs w:val="24"/>
        </w:rPr>
      </w:pPr>
      <w:r>
        <w:rPr>
          <w:rFonts w:ascii="Arial" w:hAnsi="Arial" w:cs="Arial"/>
          <w:szCs w:val="24"/>
        </w:rPr>
        <w:t>The AbilityOne Commission consists of 15 members appointed by the President. Eleven Commissioners must be from the federal government, including a member each from the Departments of Defense (DoD), Army, Navy, and Air Force.</w:t>
      </w:r>
      <w:r>
        <w:rPr>
          <w:rStyle w:val="EndnoteReference"/>
          <w:rFonts w:cs="Arial"/>
          <w:szCs w:val="24"/>
        </w:rPr>
        <w:endnoteReference w:id="11"/>
      </w:r>
      <w:r>
        <w:rPr>
          <w:rFonts w:ascii="Arial" w:hAnsi="Arial" w:cs="Arial"/>
          <w:szCs w:val="24"/>
        </w:rPr>
        <w:t xml:space="preserve"> The other required federal agencies include the Departments of Agriculture, Education, Commerce, Veterans Affairs, Justice, Labor, and the General Services Administration.</w:t>
      </w:r>
      <w:r>
        <w:rPr>
          <w:rStyle w:val="EndnoteReference"/>
          <w:rFonts w:cs="Arial"/>
          <w:szCs w:val="24"/>
        </w:rPr>
        <w:endnoteReference w:id="12"/>
      </w:r>
      <w:r>
        <w:rPr>
          <w:rFonts w:ascii="Arial" w:hAnsi="Arial" w:cs="Arial"/>
          <w:szCs w:val="24"/>
        </w:rPr>
        <w:t xml:space="preserve"> The four non-federal government members must include one each representing people who are blind and people with severe disabilities, and one each representing employees from NPAs providing services or goods under the program from workers who are blind and workers with severe disabilities.</w:t>
      </w:r>
      <w:r>
        <w:rPr>
          <w:rStyle w:val="EndnoteReference"/>
          <w:rFonts w:cs="Arial"/>
          <w:szCs w:val="24"/>
        </w:rPr>
        <w:endnoteReference w:id="13"/>
      </w:r>
      <w:r>
        <w:rPr>
          <w:rFonts w:ascii="Arial" w:hAnsi="Arial" w:cs="Arial"/>
          <w:szCs w:val="24"/>
        </w:rPr>
        <w:t xml:space="preserve"> The Commission has three vital roles under the program. First, the Commission decides on the addition or removal of products or services from the AbilityOne procurement list.</w:t>
      </w:r>
      <w:r>
        <w:rPr>
          <w:rStyle w:val="EndnoteReference"/>
          <w:rFonts w:cs="Arial"/>
          <w:szCs w:val="24"/>
        </w:rPr>
        <w:endnoteReference w:id="14"/>
      </w:r>
      <w:r>
        <w:rPr>
          <w:rFonts w:ascii="Arial" w:hAnsi="Arial" w:cs="Arial"/>
          <w:szCs w:val="24"/>
        </w:rPr>
        <w:t xml:space="preserve"> Second, the Commission sets the fair market price which the federal government will pay the NPAs for the goods or services.</w:t>
      </w:r>
      <w:r>
        <w:rPr>
          <w:rStyle w:val="EndnoteReference"/>
          <w:rFonts w:cs="Arial"/>
          <w:szCs w:val="24"/>
        </w:rPr>
        <w:endnoteReference w:id="15"/>
      </w:r>
      <w:r>
        <w:rPr>
          <w:rFonts w:ascii="Arial" w:hAnsi="Arial" w:cs="Arial"/>
          <w:szCs w:val="24"/>
        </w:rPr>
        <w:t xml:space="preserve"> Finally, the Commission has oversight over three Central Non-Profit Agencies (CNAs) which operate significant aspects of the program, and ultimately has oversight of the NPAs.</w:t>
      </w:r>
      <w:r>
        <w:rPr>
          <w:rStyle w:val="EndnoteReference"/>
          <w:rFonts w:cs="Arial"/>
          <w:szCs w:val="24"/>
        </w:rPr>
        <w:endnoteReference w:id="16"/>
      </w:r>
      <w:r>
        <w:rPr>
          <w:rFonts w:ascii="Arial" w:hAnsi="Arial" w:cs="Arial"/>
          <w:szCs w:val="24"/>
        </w:rPr>
        <w:t xml:space="preserve"> The Commission increased oversight of the CNAs and the NPAs following a 2013 Government Accountability Office (GAO) report and recent Congressional mandates.</w:t>
      </w:r>
    </w:p>
    <w:p w14:paraId="0CF6178F" w14:textId="77777777" w:rsidR="001778CD" w:rsidRDefault="001778CD" w:rsidP="001778CD">
      <w:pPr>
        <w:spacing w:after="0" w:line="360" w:lineRule="auto"/>
        <w:rPr>
          <w:rFonts w:ascii="Arial" w:hAnsi="Arial" w:cs="Arial"/>
          <w:szCs w:val="24"/>
        </w:rPr>
      </w:pPr>
    </w:p>
    <w:p w14:paraId="57F27C80" w14:textId="77777777" w:rsidR="001778CD" w:rsidRPr="006E01CE" w:rsidRDefault="001778CD" w:rsidP="001778CD">
      <w:pPr>
        <w:spacing w:after="0" w:line="360" w:lineRule="auto"/>
        <w:rPr>
          <w:rFonts w:ascii="Arial" w:hAnsi="Arial" w:cs="Arial"/>
          <w:szCs w:val="24"/>
          <w:u w:val="single"/>
        </w:rPr>
      </w:pPr>
      <w:r w:rsidRPr="006E01CE">
        <w:rPr>
          <w:rFonts w:ascii="Arial" w:hAnsi="Arial" w:cs="Arial"/>
          <w:szCs w:val="24"/>
          <w:u w:val="single"/>
        </w:rPr>
        <w:lastRenderedPageBreak/>
        <w:t xml:space="preserve">B. AbilityOne Budget, Staffing and Program </w:t>
      </w:r>
      <w:r>
        <w:rPr>
          <w:rFonts w:ascii="Arial" w:hAnsi="Arial" w:cs="Arial"/>
          <w:szCs w:val="24"/>
          <w:u w:val="single"/>
        </w:rPr>
        <w:t>Implementation</w:t>
      </w:r>
    </w:p>
    <w:p w14:paraId="0C9F1325" w14:textId="77777777" w:rsidR="001778CD" w:rsidRPr="00F76F26" w:rsidRDefault="001778CD" w:rsidP="001778CD">
      <w:pPr>
        <w:spacing w:line="360" w:lineRule="auto"/>
        <w:rPr>
          <w:rFonts w:eastAsiaTheme="minorHAnsi"/>
          <w:color w:val="1F497D"/>
          <w:sz w:val="22"/>
        </w:rPr>
      </w:pPr>
      <w:r>
        <w:rPr>
          <w:rFonts w:ascii="Arial" w:hAnsi="Arial" w:cs="Arial"/>
          <w:szCs w:val="24"/>
        </w:rPr>
        <w:t>The AbilityOne Program annually sells around $3.3 billion worth of goods and services to the federal government.</w:t>
      </w:r>
      <w:r>
        <w:rPr>
          <w:rStyle w:val="EndnoteReference"/>
          <w:rFonts w:cs="Arial"/>
          <w:szCs w:val="24"/>
        </w:rPr>
        <w:endnoteReference w:id="17"/>
      </w:r>
      <w:r>
        <w:rPr>
          <w:rFonts w:ascii="Arial" w:hAnsi="Arial" w:cs="Arial"/>
          <w:szCs w:val="24"/>
        </w:rPr>
        <w:t xml:space="preserve"> Products and services sold specifically to the DoD represented $2.1 billion of the total in Fiscal Year (FY) 2017, or almost two-thirds of AbilityOne sales and services</w:t>
      </w:r>
      <w:r w:rsidRPr="005E2467">
        <w:rPr>
          <w:rFonts w:ascii="Arial" w:hAnsi="Arial" w:cs="Arial"/>
          <w:szCs w:val="24"/>
        </w:rPr>
        <w:t xml:space="preserve"> </w:t>
      </w:r>
      <w:r>
        <w:rPr>
          <w:rFonts w:ascii="Arial" w:hAnsi="Arial" w:cs="Arial"/>
          <w:szCs w:val="24"/>
        </w:rPr>
        <w:t>to the federal government in that year.</w:t>
      </w:r>
      <w:r>
        <w:rPr>
          <w:rStyle w:val="EndnoteReference"/>
          <w:rFonts w:cs="Arial"/>
          <w:szCs w:val="24"/>
        </w:rPr>
        <w:endnoteReference w:id="18"/>
      </w:r>
      <w:r>
        <w:rPr>
          <w:rFonts w:ascii="Arial" w:hAnsi="Arial" w:cs="Arial"/>
          <w:szCs w:val="24"/>
        </w:rPr>
        <w:t xml:space="preserve"> Between FY 2010 and FY 2015, the Commission’s budget slightly fluctuated from $5.09 million to $5.39 million per year, then increased to $6.1 million in FY 2016, and $8 million in FY 2017.</w:t>
      </w:r>
      <w:r>
        <w:rPr>
          <w:rStyle w:val="EndnoteReference"/>
          <w:rFonts w:cs="Arial"/>
          <w:szCs w:val="24"/>
        </w:rPr>
        <w:endnoteReference w:id="19"/>
      </w:r>
      <w:r>
        <w:rPr>
          <w:rFonts w:ascii="Arial" w:hAnsi="Arial" w:cs="Arial"/>
          <w:szCs w:val="24"/>
        </w:rPr>
        <w:t xml:space="preserve"> The creation of an OIG accounted for part of the budget increase.</w:t>
      </w:r>
      <w:r>
        <w:rPr>
          <w:rStyle w:val="EndnoteReference"/>
          <w:rFonts w:cs="Arial"/>
          <w:szCs w:val="24"/>
        </w:rPr>
        <w:endnoteReference w:id="20"/>
      </w:r>
      <w:r>
        <w:rPr>
          <w:rFonts w:ascii="Arial" w:hAnsi="Arial" w:cs="Arial"/>
          <w:szCs w:val="24"/>
        </w:rPr>
        <w:t xml:space="preserve"> The AbilityOne Commission full-time employees (FTE’s) has fluctuated between 25 to 28 FTEs between FY 2016 and 2018.</w:t>
      </w:r>
      <w:r>
        <w:rPr>
          <w:rStyle w:val="EndnoteReference"/>
          <w:rFonts w:cs="Arial"/>
          <w:szCs w:val="24"/>
        </w:rPr>
        <w:endnoteReference w:id="21"/>
      </w:r>
      <w:r>
        <w:rPr>
          <w:rFonts w:ascii="Arial" w:hAnsi="Arial" w:cs="Arial"/>
          <w:szCs w:val="24"/>
        </w:rPr>
        <w:t xml:space="preserve"> In November 2018, an independent auditor could not provide an opinion that the AbilityOne financial statements are free from material misstatements because of “insufficient audit evidence” necessary to provide a basis for such an opinion.</w:t>
      </w:r>
      <w:r>
        <w:rPr>
          <w:rStyle w:val="EndnoteReference"/>
          <w:rFonts w:cs="Arial"/>
          <w:szCs w:val="24"/>
        </w:rPr>
        <w:endnoteReference w:id="22"/>
      </w:r>
    </w:p>
    <w:p w14:paraId="4DAE2159" w14:textId="77777777" w:rsidR="001778CD" w:rsidRDefault="001778CD" w:rsidP="001778CD">
      <w:pPr>
        <w:spacing w:after="0" w:line="360" w:lineRule="auto"/>
        <w:rPr>
          <w:rFonts w:ascii="Arial" w:hAnsi="Arial" w:cs="Arial"/>
          <w:szCs w:val="24"/>
        </w:rPr>
      </w:pPr>
    </w:p>
    <w:p w14:paraId="2C4221EF" w14:textId="58304D24" w:rsidR="001778CD" w:rsidRDefault="001778CD" w:rsidP="001778CD">
      <w:pPr>
        <w:spacing w:after="0" w:line="360" w:lineRule="auto"/>
        <w:rPr>
          <w:rFonts w:ascii="Arial" w:hAnsi="Arial" w:cs="Arial"/>
          <w:szCs w:val="24"/>
        </w:rPr>
      </w:pPr>
      <w:r>
        <w:rPr>
          <w:rFonts w:ascii="Arial" w:hAnsi="Arial" w:cs="Arial"/>
          <w:szCs w:val="24"/>
        </w:rPr>
        <w:t>The JWOD Act assigns the CNAs the responsibility to “facilitate” through the NPAs, “the distribution, by direct allocation, subcontract, or other means” of orders by federal agencies for products or services on the procurement list.</w:t>
      </w:r>
      <w:r>
        <w:rPr>
          <w:rStyle w:val="EndnoteReference"/>
          <w:rFonts w:cs="Arial"/>
          <w:szCs w:val="24"/>
        </w:rPr>
        <w:endnoteReference w:id="23"/>
      </w:r>
      <w:r>
        <w:rPr>
          <w:rFonts w:ascii="Arial" w:hAnsi="Arial" w:cs="Arial"/>
          <w:szCs w:val="24"/>
        </w:rPr>
        <w:t xml:space="preserve"> The Commission currently works with two long serving CNAs - SourceAmerica and the National Industries for the Blind (NIB),</w:t>
      </w:r>
      <w:r>
        <w:rPr>
          <w:rStyle w:val="EndnoteReference"/>
          <w:rFonts w:cs="Arial"/>
          <w:szCs w:val="24"/>
        </w:rPr>
        <w:endnoteReference w:id="24"/>
      </w:r>
      <w:r>
        <w:rPr>
          <w:rFonts w:ascii="Arial" w:hAnsi="Arial" w:cs="Arial"/>
          <w:szCs w:val="24"/>
        </w:rPr>
        <w:t xml:space="preserve"> and a new CNA selected in 2018, the </w:t>
      </w:r>
      <w:r w:rsidR="003267D8" w:rsidRPr="003267D8">
        <w:rPr>
          <w:rFonts w:ascii="Arial" w:hAnsi="Arial" w:cs="Arial"/>
          <w:szCs w:val="24"/>
        </w:rPr>
        <w:t xml:space="preserve">American Foundation for the Blind </w:t>
      </w:r>
      <w:r>
        <w:rPr>
          <w:rFonts w:ascii="Arial" w:hAnsi="Arial" w:cs="Arial"/>
          <w:szCs w:val="24"/>
        </w:rPr>
        <w:t>(AFB).</w:t>
      </w:r>
      <w:r>
        <w:rPr>
          <w:rStyle w:val="EndnoteReference"/>
          <w:rFonts w:cs="Arial"/>
          <w:szCs w:val="24"/>
        </w:rPr>
        <w:endnoteReference w:id="25"/>
      </w:r>
      <w:r>
        <w:rPr>
          <w:rFonts w:ascii="Arial" w:hAnsi="Arial" w:cs="Arial"/>
          <w:szCs w:val="24"/>
        </w:rPr>
        <w:t xml:space="preserve"> The appointment of the third CNA is the subject of a lawsuit asserting that the Commission failed to follow the Administrative Procedure Act in the selection of AFB.</w:t>
      </w:r>
      <w:r>
        <w:rPr>
          <w:rStyle w:val="EndnoteReference"/>
          <w:rFonts w:cs="Arial"/>
          <w:szCs w:val="24"/>
        </w:rPr>
        <w:endnoteReference w:id="26"/>
      </w:r>
      <w:r>
        <w:rPr>
          <w:rFonts w:ascii="Arial" w:hAnsi="Arial" w:cs="Arial"/>
          <w:szCs w:val="24"/>
        </w:rPr>
        <w:t xml:space="preserve"> </w:t>
      </w:r>
    </w:p>
    <w:p w14:paraId="001C960F" w14:textId="77777777" w:rsidR="001778CD" w:rsidRDefault="001778CD" w:rsidP="001778CD">
      <w:pPr>
        <w:spacing w:after="0" w:line="360" w:lineRule="auto"/>
        <w:rPr>
          <w:rFonts w:ascii="Arial" w:hAnsi="Arial" w:cs="Arial"/>
          <w:szCs w:val="24"/>
        </w:rPr>
      </w:pPr>
    </w:p>
    <w:p w14:paraId="63B574D2" w14:textId="77777777" w:rsidR="001778CD" w:rsidRDefault="001778CD" w:rsidP="001778CD">
      <w:pPr>
        <w:spacing w:after="0" w:line="360" w:lineRule="auto"/>
        <w:rPr>
          <w:rFonts w:ascii="Arial" w:hAnsi="Arial" w:cs="Arial"/>
          <w:szCs w:val="24"/>
        </w:rPr>
      </w:pPr>
      <w:r>
        <w:rPr>
          <w:rFonts w:ascii="Arial" w:hAnsi="Arial" w:cs="Arial"/>
          <w:szCs w:val="24"/>
        </w:rPr>
        <w:t>As of May 2017, the CNAs facilitated the work of 527 NPAs participating in the AbilityOne Program, with 463 NPAs under the responsibility of SourceAmerica, and the remaining 64 NPAs within the purview of NIB.</w:t>
      </w:r>
      <w:r>
        <w:rPr>
          <w:rStyle w:val="EndnoteReference"/>
          <w:rFonts w:cs="Arial"/>
          <w:szCs w:val="24"/>
        </w:rPr>
        <w:endnoteReference w:id="27"/>
      </w:r>
      <w:r>
        <w:rPr>
          <w:rFonts w:ascii="Arial" w:hAnsi="Arial" w:cs="Arial"/>
          <w:szCs w:val="24"/>
        </w:rPr>
        <w:t xml:space="preserve"> As a recent selection, AFB is not yet in full operation as a CNA.</w:t>
      </w:r>
      <w:r>
        <w:rPr>
          <w:rStyle w:val="EndnoteReference"/>
          <w:rFonts w:cs="Arial"/>
          <w:szCs w:val="24"/>
        </w:rPr>
        <w:endnoteReference w:id="28"/>
      </w:r>
      <w:r>
        <w:rPr>
          <w:rFonts w:ascii="Arial" w:hAnsi="Arial" w:cs="Arial"/>
          <w:szCs w:val="24"/>
        </w:rPr>
        <w:t xml:space="preserve"> A list of all NPAs as of 2017 is available in the Commission’s FY 2018 Budget Justification.</w:t>
      </w:r>
      <w:r>
        <w:rPr>
          <w:rStyle w:val="EndnoteReference"/>
          <w:rFonts w:cs="Arial"/>
          <w:szCs w:val="24"/>
        </w:rPr>
        <w:endnoteReference w:id="29"/>
      </w:r>
      <w:r>
        <w:rPr>
          <w:rFonts w:ascii="Arial" w:hAnsi="Arial" w:cs="Arial"/>
          <w:szCs w:val="24"/>
        </w:rPr>
        <w:t xml:space="preserve"> The CNAs receive a “program fee” as a percentage of each federal contract an NPA enters into for which the CNA has oversight.</w:t>
      </w:r>
      <w:r>
        <w:rPr>
          <w:rStyle w:val="EndnoteReference"/>
          <w:rFonts w:cs="Arial"/>
          <w:szCs w:val="24"/>
        </w:rPr>
        <w:endnoteReference w:id="30"/>
      </w:r>
      <w:r>
        <w:rPr>
          <w:rFonts w:ascii="Arial" w:hAnsi="Arial" w:cs="Arial"/>
          <w:szCs w:val="24"/>
        </w:rPr>
        <w:t xml:space="preserve"> </w:t>
      </w:r>
      <w:r>
        <w:rPr>
          <w:rFonts w:ascii="Arial" w:hAnsi="Arial" w:cs="Arial"/>
          <w:color w:val="000000" w:themeColor="text1"/>
          <w:szCs w:val="24"/>
        </w:rPr>
        <w:t>The Commission sets a program fee ceiling, which in FY 2016 and 2017</w:t>
      </w:r>
      <w:r w:rsidRPr="005D22BB">
        <w:rPr>
          <w:rFonts w:ascii="Arial" w:hAnsi="Arial" w:cs="Arial"/>
          <w:color w:val="000000" w:themeColor="text1"/>
          <w:szCs w:val="24"/>
        </w:rPr>
        <w:t xml:space="preserve"> </w:t>
      </w:r>
      <w:r>
        <w:rPr>
          <w:rFonts w:ascii="Arial" w:hAnsi="Arial" w:cs="Arial"/>
          <w:color w:val="000000" w:themeColor="text1"/>
          <w:szCs w:val="24"/>
        </w:rPr>
        <w:t>was 3.85 percent for SourceAmerica, and 3.9 percent for NIB.</w:t>
      </w:r>
      <w:r>
        <w:rPr>
          <w:rStyle w:val="EndnoteReference"/>
          <w:rFonts w:cs="Arial"/>
          <w:color w:val="000000" w:themeColor="text1"/>
          <w:szCs w:val="24"/>
        </w:rPr>
        <w:endnoteReference w:id="31"/>
      </w:r>
      <w:r>
        <w:rPr>
          <w:rFonts w:ascii="Arial" w:hAnsi="Arial" w:cs="Arial"/>
          <w:color w:val="000000" w:themeColor="text1"/>
          <w:szCs w:val="24"/>
        </w:rPr>
        <w:t xml:space="preserve"> </w:t>
      </w:r>
      <w:r>
        <w:rPr>
          <w:rFonts w:ascii="Arial" w:hAnsi="Arial" w:cs="Arial"/>
          <w:szCs w:val="24"/>
        </w:rPr>
        <w:t>In FY 2016, SourceAmerica received $82.4 million in fees and NIB received $28.7 million.</w:t>
      </w:r>
      <w:r>
        <w:rPr>
          <w:rStyle w:val="EndnoteReference"/>
          <w:rFonts w:cs="Arial"/>
          <w:szCs w:val="24"/>
        </w:rPr>
        <w:endnoteReference w:id="32"/>
      </w:r>
      <w:r>
        <w:rPr>
          <w:rFonts w:ascii="Arial" w:hAnsi="Arial" w:cs="Arial"/>
          <w:szCs w:val="24"/>
        </w:rPr>
        <w:t xml:space="preserve"> The use of the program fee is </w:t>
      </w:r>
      <w:r>
        <w:rPr>
          <w:rFonts w:ascii="Arial" w:hAnsi="Arial" w:cs="Arial"/>
          <w:szCs w:val="24"/>
        </w:rPr>
        <w:lastRenderedPageBreak/>
        <w:t>discussed later in this paper. NIB and Source America combined held $100 million in reserves and assets in FY 2017.</w:t>
      </w:r>
      <w:r>
        <w:rPr>
          <w:rStyle w:val="EndnoteReference"/>
          <w:rFonts w:cs="Arial"/>
          <w:szCs w:val="24"/>
        </w:rPr>
        <w:endnoteReference w:id="33"/>
      </w:r>
      <w:r>
        <w:rPr>
          <w:rFonts w:ascii="Arial" w:hAnsi="Arial" w:cs="Arial"/>
          <w:szCs w:val="24"/>
        </w:rPr>
        <w:t xml:space="preserve"> </w:t>
      </w:r>
      <w:bookmarkStart w:id="4" w:name="_Toc531584346"/>
    </w:p>
    <w:p w14:paraId="434F7F0C" w14:textId="77777777" w:rsidR="001778CD" w:rsidRPr="00196EAC" w:rsidRDefault="001778CD" w:rsidP="001778CD">
      <w:pPr>
        <w:spacing w:after="0" w:line="360" w:lineRule="auto"/>
        <w:rPr>
          <w:rFonts w:ascii="Arial" w:hAnsi="Arial" w:cs="Arial"/>
          <w:szCs w:val="24"/>
        </w:rPr>
      </w:pPr>
    </w:p>
    <w:p w14:paraId="5BC9C0A8" w14:textId="77777777" w:rsidR="001778CD" w:rsidRPr="00093AFB" w:rsidRDefault="001778CD" w:rsidP="001778CD">
      <w:pPr>
        <w:pStyle w:val="Heading2"/>
        <w:rPr>
          <w:b/>
          <w:caps w:val="0"/>
          <w:sz w:val="30"/>
          <w:szCs w:val="30"/>
        </w:rPr>
      </w:pPr>
      <w:r w:rsidRPr="00093AFB">
        <w:rPr>
          <w:b/>
          <w:caps w:val="0"/>
          <w:color w:val="auto"/>
          <w:sz w:val="30"/>
          <w:szCs w:val="30"/>
        </w:rPr>
        <w:t xml:space="preserve">Part II: The AbilityOne Program and Current Federal Disability </w:t>
      </w:r>
      <w:r>
        <w:rPr>
          <w:b/>
          <w:caps w:val="0"/>
          <w:color w:val="auto"/>
          <w:sz w:val="30"/>
          <w:szCs w:val="30"/>
        </w:rPr>
        <w:t xml:space="preserve">Law and </w:t>
      </w:r>
      <w:r w:rsidRPr="00093AFB">
        <w:rPr>
          <w:b/>
          <w:caps w:val="0"/>
          <w:color w:val="auto"/>
          <w:sz w:val="30"/>
          <w:szCs w:val="30"/>
        </w:rPr>
        <w:t>Policy</w:t>
      </w:r>
      <w:bookmarkEnd w:id="4"/>
    </w:p>
    <w:p w14:paraId="65F0C9F1" w14:textId="77777777" w:rsidR="001778CD" w:rsidRDefault="001778CD" w:rsidP="001778CD">
      <w:pPr>
        <w:pStyle w:val="NCDBodyText"/>
      </w:pPr>
      <w:r>
        <w:t xml:space="preserve">As federal law and policy surrounding the employment of people with disabilities progresses away from segregation and subminimum wages and towards integration and competitive wages, the AbilityOne </w:t>
      </w:r>
      <w:r w:rsidRPr="000C7DC4">
        <w:rPr>
          <w:color w:val="000000" w:themeColor="text1"/>
        </w:rPr>
        <w:t xml:space="preserve">Program </w:t>
      </w:r>
      <w:r>
        <w:rPr>
          <w:color w:val="000000" w:themeColor="text1"/>
        </w:rPr>
        <w:t>has become</w:t>
      </w:r>
      <w:r>
        <w:t xml:space="preserve"> a relic inconsistent with current federal law and policy. Changes in federal disability rights since 1973 highlight the conflicts between the AbilityOne Program and the goals of other federal disability</w:t>
      </w:r>
      <w:r w:rsidRPr="0009023C">
        <w:t xml:space="preserve"> </w:t>
      </w:r>
      <w:r>
        <w:t>laws.</w:t>
      </w:r>
    </w:p>
    <w:p w14:paraId="61800561" w14:textId="77777777" w:rsidR="001778CD" w:rsidRDefault="001778CD" w:rsidP="001778CD">
      <w:pPr>
        <w:pStyle w:val="NCDBodyText"/>
        <w:rPr>
          <w:rFonts w:cs="Arial"/>
        </w:rPr>
      </w:pPr>
      <w:r>
        <w:rPr>
          <w:rFonts w:cs="Arial"/>
        </w:rPr>
        <w:t>The modern progression of disability rights policy and the movement towards equal rights and integration began when Congress enacted the Rehabilitation Act of 1973.</w:t>
      </w:r>
      <w:r>
        <w:rPr>
          <w:rStyle w:val="EndnoteReference"/>
          <w:rFonts w:cs="Arial"/>
        </w:rPr>
        <w:endnoteReference w:id="34"/>
      </w:r>
      <w:r>
        <w:rPr>
          <w:rFonts w:cs="Arial"/>
        </w:rPr>
        <w:t xml:space="preserve"> Two years after passage of the JWOD Act, Section 504 of the Rehabilitation Act signaled a paradigm shift, even if limited in scope, in federal legislative efforts to ensure the civil rights for people with disabilities</w:t>
      </w:r>
      <w:r w:rsidRPr="006862DA">
        <w:rPr>
          <w:rFonts w:cs="Arial"/>
        </w:rPr>
        <w:t xml:space="preserve"> </w:t>
      </w:r>
      <w:r>
        <w:rPr>
          <w:rFonts w:cs="Arial"/>
        </w:rPr>
        <w:t>based on non-discrimination.</w:t>
      </w:r>
      <w:r>
        <w:rPr>
          <w:rStyle w:val="EndnoteReference"/>
          <w:rFonts w:cs="Arial"/>
        </w:rPr>
        <w:endnoteReference w:id="35"/>
      </w:r>
      <w:r>
        <w:rPr>
          <w:rFonts w:cs="Arial"/>
        </w:rPr>
        <w:t xml:space="preserve"> In 1975, Congress passed the Education for All Handicapped Children Act (EAHCA)</w:t>
      </w:r>
      <w:r w:rsidRPr="00E22D86">
        <w:rPr>
          <w:rStyle w:val="EndnoteReference"/>
          <w:rFonts w:cs="Arial"/>
        </w:rPr>
        <w:t xml:space="preserve"> </w:t>
      </w:r>
      <w:r>
        <w:rPr>
          <w:rStyle w:val="EndnoteReference"/>
          <w:rFonts w:cs="Arial"/>
        </w:rPr>
        <w:endnoteReference w:id="36"/>
      </w:r>
      <w:r>
        <w:rPr>
          <w:rFonts w:cs="Arial"/>
        </w:rPr>
        <w:t xml:space="preserve"> - the forerunner of the current Individuals with Disabilities Education Act </w:t>
      </w:r>
      <w:r w:rsidRPr="009628EF">
        <w:rPr>
          <w:rFonts w:cs="Arial"/>
        </w:rPr>
        <w:t>(IDEA)</w:t>
      </w:r>
      <w:r>
        <w:rPr>
          <w:rStyle w:val="EndnoteReference"/>
          <w:rFonts w:cs="Arial"/>
        </w:rPr>
        <w:endnoteReference w:id="37"/>
      </w:r>
      <w:r>
        <w:rPr>
          <w:rFonts w:cs="Arial"/>
        </w:rPr>
        <w:t xml:space="preserve"> - which </w:t>
      </w:r>
      <w:r w:rsidRPr="00F01EE6">
        <w:rPr>
          <w:rFonts w:cs="Arial"/>
        </w:rPr>
        <w:t>began the end</w:t>
      </w:r>
      <w:r>
        <w:rPr>
          <w:rFonts w:cs="Arial"/>
        </w:rPr>
        <w:t xml:space="preserve"> of separate and unequal treatment of students with disabilities by public schools.</w:t>
      </w:r>
      <w:r>
        <w:rPr>
          <w:rStyle w:val="EndnoteReference"/>
          <w:rFonts w:cs="Arial"/>
        </w:rPr>
        <w:t xml:space="preserve"> </w:t>
      </w:r>
      <w:r>
        <w:rPr>
          <w:rFonts w:cs="Arial"/>
        </w:rPr>
        <w:t xml:space="preserve">EAHCA, and now IDEA, require that public schools provide students with disabilities a free appropriate public education in </w:t>
      </w:r>
      <w:r w:rsidRPr="00B671A7">
        <w:rPr>
          <w:rFonts w:cs="Arial"/>
        </w:rPr>
        <w:t>the</w:t>
      </w:r>
      <w:r>
        <w:rPr>
          <w:rFonts w:cs="Arial"/>
        </w:rPr>
        <w:t xml:space="preserve"> least restrictive environment.</w:t>
      </w:r>
    </w:p>
    <w:p w14:paraId="075B4A7C" w14:textId="77777777" w:rsidR="001778CD" w:rsidRPr="003B3200" w:rsidRDefault="001778CD" w:rsidP="001778CD">
      <w:pPr>
        <w:pStyle w:val="NCDBodyText"/>
      </w:pPr>
      <w:r>
        <w:rPr>
          <w:rFonts w:cs="Arial"/>
        </w:rPr>
        <w:t>In 1990, Congress passed the bi-partisan Americans with Disabilities Act (ADA) “to provide a clear and comprehensive national mandate for the elimination of discrimination against individuals with disabilities.</w:t>
      </w:r>
      <w:r>
        <w:rPr>
          <w:rFonts w:cs="Arial"/>
          <w:sz w:val="22"/>
        </w:rPr>
        <w:t>”</w:t>
      </w:r>
      <w:r w:rsidRPr="004558CC">
        <w:rPr>
          <w:rStyle w:val="EndnoteReference"/>
          <w:rFonts w:cs="Arial"/>
        </w:rPr>
        <w:t xml:space="preserve"> </w:t>
      </w:r>
      <w:r>
        <w:rPr>
          <w:rStyle w:val="EndnoteReference"/>
          <w:rFonts w:cs="Arial"/>
        </w:rPr>
        <w:endnoteReference w:id="38"/>
      </w:r>
      <w:r>
        <w:rPr>
          <w:rFonts w:cs="Arial"/>
          <w:sz w:val="22"/>
        </w:rPr>
        <w:t xml:space="preserve"> The ADA is </w:t>
      </w:r>
      <w:r>
        <w:rPr>
          <w:rFonts w:cs="Arial"/>
        </w:rPr>
        <w:t>still the seminal disability civil rights law in the United States.</w:t>
      </w:r>
      <w:r>
        <w:rPr>
          <w:rFonts w:cs="Arial"/>
          <w:sz w:val="22"/>
        </w:rPr>
        <w:t xml:space="preserve"> </w:t>
      </w:r>
      <w:r>
        <w:rPr>
          <w:rFonts w:cs="Arial"/>
        </w:rPr>
        <w:t>Congress found that “</w:t>
      </w:r>
      <w:r>
        <w:rPr>
          <w:rFonts w:eastAsia="Times New Roman" w:cs="Arial"/>
          <w:lang w:val="en"/>
        </w:rPr>
        <w:t xml:space="preserve">historically, society has tended to isolate and segregate individuals with disabilities, and, despite some improvements, such forms of discrimination against individuals with disabilities continue to be a serious and pervasive </w:t>
      </w:r>
      <w:hyperlink r:id="rId12" w:tooltip="social" w:history="1">
        <w:r w:rsidRPr="000C7DC4">
          <w:rPr>
            <w:rStyle w:val="Hyperlink"/>
            <w:color w:val="000000" w:themeColor="text1"/>
            <w:lang w:val="en"/>
          </w:rPr>
          <w:t>social</w:t>
        </w:r>
      </w:hyperlink>
      <w:r w:rsidRPr="000C7DC4">
        <w:rPr>
          <w:rFonts w:eastAsia="Times New Roman" w:cs="Arial"/>
          <w:color w:val="000000" w:themeColor="text1"/>
          <w:lang w:val="en"/>
        </w:rPr>
        <w:t xml:space="preserve"> </w:t>
      </w:r>
      <w:r>
        <w:rPr>
          <w:rFonts w:eastAsia="Times New Roman" w:cs="Arial"/>
          <w:lang w:val="en"/>
        </w:rPr>
        <w:t>problem.”</w:t>
      </w:r>
      <w:r>
        <w:rPr>
          <w:rStyle w:val="EndnoteReference"/>
          <w:rFonts w:eastAsia="Times New Roman" w:cs="Arial"/>
          <w:lang w:val="en"/>
        </w:rPr>
        <w:endnoteReference w:id="39"/>
      </w:r>
      <w:r>
        <w:rPr>
          <w:rFonts w:eastAsia="Times New Roman" w:cs="Arial"/>
          <w:lang w:val="en"/>
        </w:rPr>
        <w:t xml:space="preserve"> </w:t>
      </w:r>
      <w:r>
        <w:t>In 1999, the U.S. Supreme Court</w:t>
      </w:r>
      <w:r>
        <w:rPr>
          <w:i/>
        </w:rPr>
        <w:t xml:space="preserve"> </w:t>
      </w:r>
      <w:r>
        <w:t xml:space="preserve">made clear in the </w:t>
      </w:r>
      <w:r>
        <w:rPr>
          <w:i/>
        </w:rPr>
        <w:t xml:space="preserve">Olmstead v. L.C. </w:t>
      </w:r>
      <w:r>
        <w:t>decision</w:t>
      </w:r>
      <w:r>
        <w:rPr>
          <w:rStyle w:val="EndnoteReference"/>
        </w:rPr>
        <w:endnoteReference w:id="40"/>
      </w:r>
      <w:r>
        <w:t xml:space="preserve"> that under Title II of the ADA, public entities </w:t>
      </w:r>
      <w:r>
        <w:lastRenderedPageBreak/>
        <w:t>must avoid unnecessary segregation of people with disabilities and make services available in the most integrated setting possible, which includes employment opportunities.</w:t>
      </w:r>
      <w:r>
        <w:rPr>
          <w:rStyle w:val="EndnoteReference"/>
        </w:rPr>
        <w:endnoteReference w:id="41"/>
      </w:r>
      <w:r>
        <w:t xml:space="preserve"> </w:t>
      </w:r>
      <w:r w:rsidRPr="000C7DC4">
        <w:rPr>
          <w:color w:val="000000" w:themeColor="text1"/>
        </w:rPr>
        <w:t>Congr</w:t>
      </w:r>
      <w:r>
        <w:rPr>
          <w:color w:val="000000" w:themeColor="text1"/>
        </w:rPr>
        <w:t>ess amended the ADA in 2008 with widespread bi-partisan support to clarify the</w:t>
      </w:r>
      <w:r w:rsidRPr="000C7DC4">
        <w:rPr>
          <w:color w:val="000000" w:themeColor="text1"/>
        </w:rPr>
        <w:t xml:space="preserve"> </w:t>
      </w:r>
      <w:r>
        <w:rPr>
          <w:color w:val="000000" w:themeColor="text1"/>
        </w:rPr>
        <w:t xml:space="preserve">ADA </w:t>
      </w:r>
      <w:r w:rsidRPr="000C7DC4">
        <w:rPr>
          <w:color w:val="000000" w:themeColor="text1"/>
        </w:rPr>
        <w:t xml:space="preserve">definition of “disability” </w:t>
      </w:r>
      <w:r>
        <w:rPr>
          <w:color w:val="000000" w:themeColor="text1"/>
        </w:rPr>
        <w:t>and</w:t>
      </w:r>
      <w:r w:rsidRPr="000C7DC4">
        <w:rPr>
          <w:color w:val="000000" w:themeColor="text1"/>
        </w:rPr>
        <w:t xml:space="preserve"> reverse </w:t>
      </w:r>
      <w:r>
        <w:rPr>
          <w:color w:val="000000" w:themeColor="text1"/>
        </w:rPr>
        <w:t xml:space="preserve">strict </w:t>
      </w:r>
      <w:r w:rsidRPr="000C7DC4">
        <w:rPr>
          <w:color w:val="000000" w:themeColor="text1"/>
        </w:rPr>
        <w:t>c</w:t>
      </w:r>
      <w:r>
        <w:rPr>
          <w:color w:val="000000" w:themeColor="text1"/>
        </w:rPr>
        <w:t>ourt interpretations of the definition.</w:t>
      </w:r>
      <w:r>
        <w:rPr>
          <w:rStyle w:val="EndnoteReference"/>
          <w:color w:val="000000" w:themeColor="text1"/>
        </w:rPr>
        <w:endnoteReference w:id="42"/>
      </w:r>
      <w:r>
        <w:rPr>
          <w:color w:val="000000" w:themeColor="text1"/>
        </w:rPr>
        <w:t xml:space="preserve"> The ADA Amendments Act better ensures a broad </w:t>
      </w:r>
      <w:r w:rsidRPr="000C7DC4">
        <w:rPr>
          <w:color w:val="000000" w:themeColor="text1"/>
        </w:rPr>
        <w:t>scope of coverage for people with disabilities</w:t>
      </w:r>
      <w:r>
        <w:rPr>
          <w:color w:val="000000" w:themeColor="text1"/>
        </w:rPr>
        <w:t xml:space="preserve"> against discrimination under federal law</w:t>
      </w:r>
      <w:r w:rsidRPr="000C7DC4">
        <w:rPr>
          <w:color w:val="000000" w:themeColor="text1"/>
        </w:rPr>
        <w:t>.</w:t>
      </w:r>
    </w:p>
    <w:p w14:paraId="54452E45" w14:textId="77777777" w:rsidR="001778CD" w:rsidRPr="000C5595" w:rsidRDefault="001778CD" w:rsidP="001778CD">
      <w:pPr>
        <w:spacing w:after="0" w:line="360" w:lineRule="auto"/>
        <w:rPr>
          <w:rFonts w:ascii="Arial" w:hAnsi="Arial" w:cs="Arial"/>
        </w:rPr>
      </w:pPr>
      <w:r w:rsidRPr="008B12EF">
        <w:rPr>
          <w:rFonts w:ascii="Arial" w:hAnsi="Arial" w:cs="Arial"/>
        </w:rPr>
        <w:t xml:space="preserve">The most </w:t>
      </w:r>
      <w:r>
        <w:rPr>
          <w:rFonts w:ascii="Arial" w:hAnsi="Arial" w:cs="Arial"/>
        </w:rPr>
        <w:t>recent legislative change</w:t>
      </w:r>
      <w:r w:rsidRPr="008B12EF">
        <w:rPr>
          <w:rFonts w:ascii="Arial" w:hAnsi="Arial" w:cs="Arial"/>
        </w:rPr>
        <w:t xml:space="preserve"> </w:t>
      </w:r>
      <w:r>
        <w:rPr>
          <w:rFonts w:ascii="Arial" w:hAnsi="Arial" w:cs="Arial"/>
        </w:rPr>
        <w:t>in</w:t>
      </w:r>
      <w:r w:rsidRPr="008B12EF">
        <w:rPr>
          <w:rFonts w:ascii="Arial" w:hAnsi="Arial" w:cs="Arial"/>
        </w:rPr>
        <w:t xml:space="preserve"> disability policy is the Workforce Innovati</w:t>
      </w:r>
      <w:r>
        <w:rPr>
          <w:rFonts w:ascii="Arial" w:hAnsi="Arial" w:cs="Arial"/>
        </w:rPr>
        <w:t>on and Opportunity Act (WIOA) passed in 2014.</w:t>
      </w:r>
      <w:r>
        <w:rPr>
          <w:rStyle w:val="EndnoteReference"/>
          <w:rFonts w:cs="Arial"/>
        </w:rPr>
        <w:endnoteReference w:id="43"/>
      </w:r>
      <w:r w:rsidRPr="008B12EF">
        <w:rPr>
          <w:rFonts w:ascii="Arial" w:hAnsi="Arial" w:cs="Arial"/>
        </w:rPr>
        <w:t xml:space="preserve"> WIOA modernizes and streng</w:t>
      </w:r>
      <w:r>
        <w:rPr>
          <w:rFonts w:ascii="Arial" w:hAnsi="Arial" w:cs="Arial"/>
        </w:rPr>
        <w:t>thens the workforce system</w:t>
      </w:r>
      <w:r w:rsidRPr="008B12EF">
        <w:rPr>
          <w:rFonts w:ascii="Arial" w:hAnsi="Arial" w:cs="Arial"/>
        </w:rPr>
        <w:t xml:space="preserve"> “to better support people with disabilities by focusing on increasing competitive integrated employment</w:t>
      </w:r>
      <w:r>
        <w:rPr>
          <w:rFonts w:ascii="Arial" w:hAnsi="Arial" w:cs="Arial"/>
        </w:rPr>
        <w:t xml:space="preserve"> . . . </w:t>
      </w:r>
      <w:r w:rsidRPr="008B12EF">
        <w:rPr>
          <w:rFonts w:ascii="Arial" w:hAnsi="Arial" w:cs="Arial"/>
        </w:rPr>
        <w:t>, limiting the use of discriminatory subminimum wages, and requiring that 15 percent of vocational rehabilitation funds be used to help people with disabilities transition from high school to higher education or the workforce.”</w:t>
      </w:r>
      <w:r w:rsidRPr="008B12EF">
        <w:rPr>
          <w:rStyle w:val="EndnoteReference"/>
          <w:rFonts w:cs="Arial"/>
        </w:rPr>
        <w:endnoteReference w:id="44"/>
      </w:r>
      <w:r w:rsidRPr="008B12EF">
        <w:rPr>
          <w:rFonts w:ascii="Arial" w:hAnsi="Arial" w:cs="Arial"/>
        </w:rPr>
        <w:t xml:space="preserve"> </w:t>
      </w:r>
      <w:r w:rsidRPr="00875B2D">
        <w:rPr>
          <w:rFonts w:ascii="Arial" w:hAnsi="Arial" w:cs="Arial"/>
        </w:rPr>
        <w:t>Of particular note</w:t>
      </w:r>
      <w:r>
        <w:rPr>
          <w:rFonts w:ascii="Arial" w:hAnsi="Arial" w:cs="Arial"/>
        </w:rPr>
        <w:t>, WIOA imposed new</w:t>
      </w:r>
      <w:r w:rsidRPr="00875B2D">
        <w:rPr>
          <w:rFonts w:ascii="Arial" w:hAnsi="Arial" w:cs="Arial"/>
        </w:rPr>
        <w:t xml:space="preserve"> </w:t>
      </w:r>
      <w:r>
        <w:rPr>
          <w:rFonts w:ascii="Arial" w:hAnsi="Arial" w:cs="Arial"/>
        </w:rPr>
        <w:t>restrictions</w:t>
      </w:r>
      <w:r w:rsidRPr="00875B2D">
        <w:rPr>
          <w:rFonts w:ascii="Arial" w:hAnsi="Arial" w:cs="Arial"/>
        </w:rPr>
        <w:t xml:space="preserve"> on </w:t>
      </w:r>
      <w:r>
        <w:rPr>
          <w:rFonts w:ascii="Arial" w:hAnsi="Arial" w:cs="Arial"/>
        </w:rPr>
        <w:t>the ability to pay workers with disabilities a</w:t>
      </w:r>
      <w:r w:rsidRPr="00875B2D">
        <w:rPr>
          <w:rFonts w:ascii="Arial" w:hAnsi="Arial" w:cs="Arial"/>
        </w:rPr>
        <w:t xml:space="preserve"> subminimum wage under section 14(c) of the Fair Labor Standards Act </w:t>
      </w:r>
      <w:r>
        <w:rPr>
          <w:rFonts w:ascii="Arial" w:hAnsi="Arial" w:cs="Arial"/>
        </w:rPr>
        <w:t>(FLSA)</w:t>
      </w:r>
      <w:r w:rsidRPr="00875B2D">
        <w:rPr>
          <w:rFonts w:ascii="Arial" w:hAnsi="Arial" w:cs="Arial"/>
        </w:rPr>
        <w:t>.</w:t>
      </w:r>
      <w:r w:rsidRPr="00875B2D">
        <w:rPr>
          <w:rStyle w:val="EndnoteReference"/>
          <w:rFonts w:cs="Arial"/>
        </w:rPr>
        <w:endnoteReference w:id="45"/>
      </w:r>
      <w:r w:rsidRPr="00875B2D">
        <w:rPr>
          <w:rFonts w:ascii="Arial" w:hAnsi="Arial" w:cs="Arial"/>
        </w:rPr>
        <w:t xml:space="preserve"> </w:t>
      </w:r>
      <w:r>
        <w:rPr>
          <w:rFonts w:ascii="Arial" w:hAnsi="Arial" w:cs="Arial"/>
        </w:rPr>
        <w:t xml:space="preserve">WIOA added </w:t>
      </w:r>
      <w:r w:rsidRPr="00875B2D">
        <w:rPr>
          <w:rFonts w:ascii="Arial" w:hAnsi="Arial" w:cs="Arial"/>
        </w:rPr>
        <w:t xml:space="preserve">section 511 </w:t>
      </w:r>
      <w:r>
        <w:rPr>
          <w:rFonts w:ascii="Arial" w:hAnsi="Arial" w:cs="Arial"/>
        </w:rPr>
        <w:t xml:space="preserve">to the Rehabilitation Act of 1973 to, </w:t>
      </w:r>
      <w:r w:rsidRPr="00875B2D">
        <w:rPr>
          <w:rFonts w:ascii="Arial" w:hAnsi="Arial" w:cs="Arial"/>
        </w:rPr>
        <w:t xml:space="preserve">among other things, require certain steps before </w:t>
      </w:r>
      <w:r>
        <w:rPr>
          <w:rFonts w:ascii="Arial" w:hAnsi="Arial" w:cs="Arial"/>
        </w:rPr>
        <w:t xml:space="preserve">an employee </w:t>
      </w:r>
      <w:r w:rsidRPr="00875B2D">
        <w:rPr>
          <w:rFonts w:ascii="Arial" w:hAnsi="Arial" w:cs="Arial"/>
        </w:rPr>
        <w:t xml:space="preserve">with </w:t>
      </w:r>
      <w:r>
        <w:rPr>
          <w:rFonts w:ascii="Arial" w:hAnsi="Arial" w:cs="Arial"/>
        </w:rPr>
        <w:t>a disability,</w:t>
      </w:r>
      <w:r w:rsidRPr="00875B2D">
        <w:rPr>
          <w:rFonts w:ascii="Arial" w:hAnsi="Arial" w:cs="Arial"/>
        </w:rPr>
        <w:t xml:space="preserve"> and especially transition age youth</w:t>
      </w:r>
      <w:r>
        <w:rPr>
          <w:rFonts w:ascii="Arial" w:hAnsi="Arial" w:cs="Arial"/>
        </w:rPr>
        <w:t xml:space="preserve"> up to age twenty-four</w:t>
      </w:r>
      <w:r w:rsidRPr="00875B2D">
        <w:rPr>
          <w:rFonts w:ascii="Arial" w:hAnsi="Arial" w:cs="Arial"/>
        </w:rPr>
        <w:t>, may be paid a submin</w:t>
      </w:r>
      <w:r>
        <w:rPr>
          <w:rFonts w:ascii="Arial" w:hAnsi="Arial" w:cs="Arial"/>
        </w:rPr>
        <w:t xml:space="preserve">imum wage. </w:t>
      </w:r>
      <w:r w:rsidRPr="00875B2D">
        <w:rPr>
          <w:rFonts w:ascii="Arial" w:hAnsi="Arial" w:cs="Arial"/>
        </w:rPr>
        <w:t xml:space="preserve">Section 511 </w:t>
      </w:r>
      <w:r>
        <w:rPr>
          <w:rFonts w:ascii="Arial" w:hAnsi="Arial" w:cs="Arial"/>
        </w:rPr>
        <w:t>mandates</w:t>
      </w:r>
      <w:r w:rsidRPr="00875B2D">
        <w:rPr>
          <w:rFonts w:ascii="Arial" w:hAnsi="Arial" w:cs="Arial"/>
        </w:rPr>
        <w:t xml:space="preserve"> that prior to paying a youth with a disability </w:t>
      </w:r>
      <w:r>
        <w:rPr>
          <w:rFonts w:ascii="Arial" w:hAnsi="Arial" w:cs="Arial"/>
        </w:rPr>
        <w:t>under section 14(c)</w:t>
      </w:r>
      <w:r w:rsidRPr="00875B2D">
        <w:rPr>
          <w:rFonts w:ascii="Arial" w:hAnsi="Arial" w:cs="Arial"/>
        </w:rPr>
        <w:t xml:space="preserve">, the youth must have received transition services, been in contact with the state vocational rehabilitation agency, and received career counseling </w:t>
      </w:r>
      <w:r>
        <w:rPr>
          <w:rFonts w:ascii="Arial" w:hAnsi="Arial" w:cs="Arial"/>
        </w:rPr>
        <w:t>so they</w:t>
      </w:r>
      <w:r w:rsidRPr="00875B2D">
        <w:rPr>
          <w:rFonts w:ascii="Arial" w:hAnsi="Arial" w:cs="Arial"/>
        </w:rPr>
        <w:t xml:space="preserve"> can work towards the goal of competitive integrated employment.</w:t>
      </w:r>
    </w:p>
    <w:p w14:paraId="7D0CE1E2" w14:textId="77777777" w:rsidR="001778CD" w:rsidRPr="004D1863" w:rsidRDefault="001778CD" w:rsidP="001778CD">
      <w:pPr>
        <w:spacing w:after="0" w:line="360" w:lineRule="auto"/>
        <w:rPr>
          <w:rFonts w:cs="Arial"/>
          <w:color w:val="000000" w:themeColor="text1"/>
        </w:rPr>
      </w:pPr>
    </w:p>
    <w:p w14:paraId="72428C9D" w14:textId="77777777" w:rsidR="001778CD" w:rsidRDefault="001778CD" w:rsidP="001778CD">
      <w:pPr>
        <w:pStyle w:val="NCDBodyText"/>
        <w:spacing w:after="0"/>
        <w:rPr>
          <w:rFonts w:cs="Arial"/>
        </w:rPr>
      </w:pPr>
      <w:r>
        <w:rPr>
          <w:rFonts w:cs="Arial"/>
        </w:rPr>
        <w:t>Collectively these federal statutes indicate a steady progress since 1973 away from institutionalization, segregation, and unequal treatment of people with disabilities and towards integration, inclusion, and equal treatment in all aspects of society. NCD now considers the AbilityOne Program in light of current federal disability rights laws and policies.</w:t>
      </w:r>
    </w:p>
    <w:p w14:paraId="7E196A6D" w14:textId="77777777" w:rsidR="001778CD" w:rsidRPr="00816009" w:rsidRDefault="001778CD" w:rsidP="001778CD">
      <w:pPr>
        <w:spacing w:after="0" w:line="360" w:lineRule="auto"/>
        <w:rPr>
          <w:rFonts w:ascii="Arial" w:hAnsi="Arial" w:cs="Arial"/>
          <w:szCs w:val="24"/>
        </w:rPr>
      </w:pPr>
    </w:p>
    <w:p w14:paraId="3014E07E" w14:textId="77777777" w:rsidR="001778CD" w:rsidRPr="00827F55" w:rsidRDefault="001778CD" w:rsidP="001778CD">
      <w:pPr>
        <w:pStyle w:val="Heading2"/>
        <w:rPr>
          <w:b/>
          <w:caps w:val="0"/>
          <w:color w:val="auto"/>
          <w:sz w:val="30"/>
          <w:szCs w:val="30"/>
        </w:rPr>
      </w:pPr>
      <w:bookmarkStart w:id="5" w:name="CH4EEOC"/>
      <w:bookmarkStart w:id="6" w:name="_Toc531584344"/>
      <w:bookmarkEnd w:id="5"/>
      <w:r w:rsidRPr="00827F55">
        <w:rPr>
          <w:b/>
          <w:caps w:val="0"/>
          <w:color w:val="auto"/>
          <w:sz w:val="30"/>
          <w:szCs w:val="30"/>
        </w:rPr>
        <w:lastRenderedPageBreak/>
        <w:t>Part III</w:t>
      </w:r>
      <w:r>
        <w:rPr>
          <w:b/>
          <w:caps w:val="0"/>
          <w:color w:val="auto"/>
          <w:sz w:val="30"/>
          <w:szCs w:val="30"/>
        </w:rPr>
        <w:t>:</w:t>
      </w:r>
      <w:r w:rsidRPr="00827F55">
        <w:rPr>
          <w:b/>
          <w:caps w:val="0"/>
          <w:color w:val="auto"/>
          <w:sz w:val="30"/>
          <w:szCs w:val="30"/>
        </w:rPr>
        <w:t xml:space="preserve"> AbilityOne Program Outcomes</w:t>
      </w:r>
      <w:bookmarkEnd w:id="6"/>
    </w:p>
    <w:p w14:paraId="2BF51638" w14:textId="77777777" w:rsidR="001778CD" w:rsidRDefault="001778CD" w:rsidP="001778CD">
      <w:pPr>
        <w:pStyle w:val="NCDBodyText"/>
      </w:pPr>
      <w:r>
        <w:t>The AbilityOne Commission lists four strategic goals to achieve its mission of providing job opportunities to people who are blind or have severe disabilities: 1) effective stewardship, 2) employee and customer satisfaction, 3) employment growth, and 4) business excellence.</w:t>
      </w:r>
      <w:r>
        <w:rPr>
          <w:rStyle w:val="EndnoteReference"/>
        </w:rPr>
        <w:endnoteReference w:id="46"/>
      </w:r>
      <w:r>
        <w:t xml:space="preserve"> The Commission seeks to “grow a wide variety of job opportunities by expanding existing product lines of business and by developing new </w:t>
      </w:r>
      <w:r w:rsidRPr="002D75AE">
        <w:rPr>
          <w:color w:val="000000" w:themeColor="text1"/>
        </w:rPr>
        <w:t xml:space="preserve">markets in which </w:t>
      </w:r>
      <w:r>
        <w:t>AbilityOne’s target population desires to work and receive training.”</w:t>
      </w:r>
      <w:r>
        <w:rPr>
          <w:rStyle w:val="EndnoteReference"/>
        </w:rPr>
        <w:endnoteReference w:id="47"/>
      </w:r>
      <w:r>
        <w:t xml:space="preserve"> The employment of people with qualified disabilities under the program has fluctuated slightly since 2008, but </w:t>
      </w:r>
      <w:r w:rsidRPr="002D75AE">
        <w:t>the ability of people with disabilities to advance beyond the program</w:t>
      </w:r>
      <w:r>
        <w:t xml:space="preserve"> and into competitive integrated employment</w:t>
      </w:r>
      <w:r w:rsidRPr="002D75AE">
        <w:t xml:space="preserve"> is questionable.</w:t>
      </w:r>
    </w:p>
    <w:p w14:paraId="74623104" w14:textId="77777777" w:rsidR="001778CD" w:rsidRDefault="001778CD" w:rsidP="001778CD">
      <w:pPr>
        <w:pStyle w:val="NCDBodyText"/>
        <w:spacing w:after="0"/>
        <w:rPr>
          <w:u w:val="single"/>
        </w:rPr>
      </w:pPr>
      <w:r w:rsidRPr="00C30882">
        <w:rPr>
          <w:u w:val="single"/>
        </w:rPr>
        <w:t>A. Production</w:t>
      </w:r>
      <w:r w:rsidRPr="00243E27">
        <w:rPr>
          <w:u w:val="single"/>
        </w:rPr>
        <w:t xml:space="preserve"> </w:t>
      </w:r>
      <w:r>
        <w:rPr>
          <w:u w:val="single"/>
        </w:rPr>
        <w:t>and Employment</w:t>
      </w:r>
    </w:p>
    <w:p w14:paraId="75FF5C03" w14:textId="77777777" w:rsidR="001778CD" w:rsidRDefault="001778CD" w:rsidP="001778CD">
      <w:pPr>
        <w:pStyle w:val="NCDBodyText"/>
      </w:pPr>
      <w:r>
        <w:t>AbilityOne NPAs produce a number of items for the federal government. Current AbilityOne products include pens and other writing instruments, office and cleaning supplies, medical and dental supplies, bedding and mattresses, office furniture, and hardware and paints.</w:t>
      </w:r>
      <w:r>
        <w:rPr>
          <w:rStyle w:val="EndnoteReference"/>
        </w:rPr>
        <w:endnoteReference w:id="48"/>
      </w:r>
      <w:r>
        <w:t xml:space="preserve"> A number of these goods, more than 3,500 products, are produced under the AbilityOne SKILCRAFT label.</w:t>
      </w:r>
      <w:r w:rsidRPr="009B76C0">
        <w:rPr>
          <w:rStyle w:val="EndnoteReference"/>
        </w:rPr>
        <w:t xml:space="preserve"> </w:t>
      </w:r>
      <w:r>
        <w:rPr>
          <w:rStyle w:val="EndnoteReference"/>
        </w:rPr>
        <w:endnoteReference w:id="49"/>
      </w:r>
      <w:r>
        <w:t xml:space="preserve"> AbilityOne also manufactures aircraft parts, vehicular and electrical equipment, and supplies for the DoD and other federal agencies.</w:t>
      </w:r>
      <w:r>
        <w:rPr>
          <w:rStyle w:val="EndnoteReference"/>
        </w:rPr>
        <w:endnoteReference w:id="50"/>
      </w:r>
      <w:r>
        <w:t xml:space="preserve"> AbilityOne services offered to federal agencies include administrative; technical and computer support; document management; vehicle fleet management; food processing, packing, and distribution; hospitality and laundry services; document destruction; and a number of other services.</w:t>
      </w:r>
      <w:r>
        <w:rPr>
          <w:rStyle w:val="EndnoteReference"/>
        </w:rPr>
        <w:endnoteReference w:id="51"/>
      </w:r>
    </w:p>
    <w:p w14:paraId="6079DF24" w14:textId="77777777" w:rsidR="001778CD" w:rsidRDefault="001778CD" w:rsidP="001778CD">
      <w:pPr>
        <w:pStyle w:val="NCDBodyText"/>
      </w:pPr>
      <w:r>
        <w:t>NPAs employed on average 46,670 people per year who are blind or have a severe disability</w:t>
      </w:r>
      <w:r w:rsidRPr="004F6AB3">
        <w:t>, referred to in this report as an “AbilityOne employee,” between</w:t>
      </w:r>
      <w:r>
        <w:t xml:space="preserve"> FY 2008 and 2017.</w:t>
      </w:r>
      <w:r>
        <w:rPr>
          <w:rStyle w:val="EndnoteReference"/>
        </w:rPr>
        <w:endnoteReference w:id="52"/>
      </w:r>
      <w:r>
        <w:t xml:space="preserve"> Over the past ten fiscal years t</w:t>
      </w:r>
      <w:r w:rsidRPr="0009023C">
        <w:t xml:space="preserve">he number of AbilityOne employees ranged from a low </w:t>
      </w:r>
      <w:r>
        <w:t xml:space="preserve">of </w:t>
      </w:r>
      <w:r w:rsidRPr="0009023C">
        <w:t>43,</w:t>
      </w:r>
      <w:r>
        <w:t>388</w:t>
      </w:r>
      <w:r w:rsidRPr="0009023C">
        <w:t xml:space="preserve"> in FY 20</w:t>
      </w:r>
      <w:r>
        <w:t>08 to a</w:t>
      </w:r>
      <w:r w:rsidRPr="0009023C">
        <w:t xml:space="preserve"> high of 50,580 in </w:t>
      </w:r>
      <w:r w:rsidRPr="006F6A63">
        <w:t>FY 2011</w:t>
      </w:r>
      <w:r w:rsidRPr="0009023C">
        <w:t>.</w:t>
      </w:r>
      <w:r>
        <w:t xml:space="preserve"> The number of AbilityOne employees in FY 2017 was 43,831, similar to FY 2008, which represented around 6,700 fewer employees since the ten-year peak in FY 2011. In FY 2017 the Commission also reported that 2,851 AbilityOne employees were veterans, similar to previous years,</w:t>
      </w:r>
      <w:r>
        <w:rPr>
          <w:rStyle w:val="EndnoteReference"/>
        </w:rPr>
        <w:endnoteReference w:id="53"/>
      </w:r>
      <w:r>
        <w:t xml:space="preserve"> </w:t>
      </w:r>
      <w:r>
        <w:lastRenderedPageBreak/>
        <w:t>and that 33,999 AbilityOne employees worked on service contracts compared with 9,832 on production contracts.</w:t>
      </w:r>
      <w:r>
        <w:rPr>
          <w:rStyle w:val="EndnoteReference"/>
        </w:rPr>
        <w:endnoteReference w:id="54"/>
      </w:r>
      <w:r>
        <w:t xml:space="preserve"> </w:t>
      </w:r>
    </w:p>
    <w:p w14:paraId="3E725240" w14:textId="77777777" w:rsidR="001778CD" w:rsidRPr="005C6CEA" w:rsidRDefault="001778CD" w:rsidP="001778CD">
      <w:pPr>
        <w:pStyle w:val="NCDBodyText"/>
        <w:keepNext/>
        <w:spacing w:after="0"/>
      </w:pPr>
      <w:r w:rsidRPr="00C30882">
        <w:rPr>
          <w:u w:val="single"/>
        </w:rPr>
        <w:t>B. Direct Labor Ratio</w:t>
      </w:r>
      <w:r w:rsidRPr="008939AB">
        <w:rPr>
          <w:u w:val="single"/>
        </w:rPr>
        <w:t xml:space="preserve"> </w:t>
      </w:r>
      <w:r>
        <w:rPr>
          <w:u w:val="single"/>
        </w:rPr>
        <w:t xml:space="preserve">and </w:t>
      </w:r>
      <w:r w:rsidRPr="00C30882">
        <w:rPr>
          <w:u w:val="single"/>
        </w:rPr>
        <w:t xml:space="preserve">Competitive Employment </w:t>
      </w:r>
    </w:p>
    <w:p w14:paraId="42CA49DA" w14:textId="77777777" w:rsidR="001778CD" w:rsidRDefault="001778CD" w:rsidP="001778CD">
      <w:pPr>
        <w:pStyle w:val="NCDBodyText"/>
        <w:keepNext/>
      </w:pPr>
      <w:r>
        <w:t>The JWOD Act requires that NPAs participating in the AbilityOne Program employ people who are blind or who have a severe disability “for at least 75 percent of the hours of direct labor required for the production or provision of the product or service.”</w:t>
      </w:r>
      <w:r>
        <w:rPr>
          <w:rStyle w:val="EndnoteReference"/>
        </w:rPr>
        <w:endnoteReference w:id="55"/>
      </w:r>
      <w:r>
        <w:t xml:space="preserve"> The 75 percent requirement is often referred to as the disability or the direct labor hour ratio. Under the direct labor hour ratio, the JWOD Act defines “direct labor” as “all work required for preparation, processing, and packing of a commodity, or work directly related to the performance of a service, but not supervision, administration, inspection or shipping.”</w:t>
      </w:r>
      <w:r>
        <w:rPr>
          <w:rStyle w:val="EndnoteReference"/>
        </w:rPr>
        <w:endnoteReference w:id="56"/>
      </w:r>
      <w:r>
        <w:t xml:space="preserve"> In order to participate in the AbilityOne Program, the Commission mandates that NPAs employ people who meet the definition of blind or severe disability (an AbilityOne employee) in 75 percent of all direct labor hours regardless of whether or not the labor is for an AbilityOne contract.</w:t>
      </w:r>
      <w:r>
        <w:rPr>
          <w:rStyle w:val="EndnoteReference"/>
        </w:rPr>
        <w:endnoteReference w:id="57"/>
      </w:r>
      <w:r>
        <w:t xml:space="preserve"> For each AbilityOne project, however, an NPA can use as few as 60 percent of AbilityOne employees for the direct labor hours, as long as the 75 percent mark is met both in the aggregate for all AbilityOne projects performed by the NPA, and for all work performed by the NPA.</w:t>
      </w:r>
      <w:r>
        <w:rPr>
          <w:rStyle w:val="EndnoteReference"/>
        </w:rPr>
        <w:endnoteReference w:id="58"/>
      </w:r>
    </w:p>
    <w:p w14:paraId="657FF98C" w14:textId="77777777" w:rsidR="001778CD" w:rsidRDefault="001778CD" w:rsidP="001778CD">
      <w:pPr>
        <w:pStyle w:val="NCDBodyText"/>
      </w:pPr>
      <w:r>
        <w:t>Under the JWOD Act, a person who is blind is defined based on visual acuity and field of vision.</w:t>
      </w:r>
      <w:r>
        <w:rPr>
          <w:rStyle w:val="EndnoteReference"/>
        </w:rPr>
        <w:endnoteReference w:id="59"/>
      </w:r>
      <w:r>
        <w:t xml:space="preserve"> The definition of a person with a severe disability, </w:t>
      </w:r>
      <w:r w:rsidRPr="002D75AE">
        <w:t>however, requires</w:t>
      </w:r>
      <w:r>
        <w:t xml:space="preserve"> both a physical or mental impairment which limits functional capabilities, and a determination by an NPA that the person “is unable to engage in normal competitive employment over an extended period of time.”</w:t>
      </w:r>
      <w:r>
        <w:rPr>
          <w:rStyle w:val="EndnoteReference"/>
        </w:rPr>
        <w:endnoteReference w:id="60"/>
      </w:r>
      <w:r>
        <w:t xml:space="preserve"> NPAs must assess the “normal competitive employment” of a person with a severe disability at the time the NPA first considers the person for qualification for employment in the AbilityOne Program, and then on an annual basis.</w:t>
      </w:r>
      <w:r>
        <w:rPr>
          <w:rStyle w:val="EndnoteReference"/>
        </w:rPr>
        <w:endnoteReference w:id="61"/>
      </w:r>
      <w:r>
        <w:t xml:space="preserve"> </w:t>
      </w:r>
      <w:r w:rsidRPr="00243E27">
        <w:t>Persons who are blind may</w:t>
      </w:r>
      <w:r>
        <w:t xml:space="preserve"> participate in the AbilityOne P</w:t>
      </w:r>
      <w:r w:rsidRPr="00243E27">
        <w:t xml:space="preserve">rogram and be counted towards </w:t>
      </w:r>
      <w:r>
        <w:t xml:space="preserve">the 75 percent direct labor ratio </w:t>
      </w:r>
      <w:r w:rsidRPr="00243E27">
        <w:t>even if they could work in competitive employment.</w:t>
      </w:r>
      <w:r>
        <w:rPr>
          <w:rStyle w:val="EndnoteReference"/>
        </w:rPr>
        <w:endnoteReference w:id="62"/>
      </w:r>
      <w:r w:rsidRPr="00243E27">
        <w:t xml:space="preserve"> </w:t>
      </w:r>
      <w:r>
        <w:t>The Commission standards for normal competitive employment are contained in the AbilityOne Program’s Nonprofit Agency Review Manual</w:t>
      </w:r>
      <w:r>
        <w:rPr>
          <w:rStyle w:val="EndnoteReference"/>
        </w:rPr>
        <w:endnoteReference w:id="63"/>
      </w:r>
      <w:r>
        <w:t xml:space="preserve"> and an Individual Eligibility Evaluation (IEE) form and instructions.</w:t>
      </w:r>
      <w:r>
        <w:rPr>
          <w:rStyle w:val="EndnoteReference"/>
        </w:rPr>
        <w:endnoteReference w:id="64"/>
      </w:r>
      <w:r>
        <w:t xml:space="preserve"> </w:t>
      </w:r>
    </w:p>
    <w:p w14:paraId="79956964" w14:textId="77777777" w:rsidR="001778CD" w:rsidRDefault="001778CD" w:rsidP="001778CD">
      <w:pPr>
        <w:pStyle w:val="NCDBodyText"/>
      </w:pPr>
      <w:r>
        <w:lastRenderedPageBreak/>
        <w:t>While a person who is blind can work as an AbilityOne employee even if they could be competitively employed, the Commission still requires an annual assessment of competitive employability for an employee.</w:t>
      </w:r>
      <w:r>
        <w:rPr>
          <w:rStyle w:val="EndnoteReference"/>
        </w:rPr>
        <w:endnoteReference w:id="65"/>
      </w:r>
      <w:r>
        <w:t xml:space="preserve"> For people who are blind, the Commission states that “[t]he simplest statement of competitive employability would be two questions; … whether or not the individual [who is blind] is currently capable of competitive employment and … whether the individual is interested in a competitive job outside of the nonprofit.”</w:t>
      </w:r>
      <w:r w:rsidRPr="00F3615E">
        <w:rPr>
          <w:rStyle w:val="EndnoteReference"/>
        </w:rPr>
        <w:endnoteReference w:id="66"/>
      </w:r>
      <w:r>
        <w:t xml:space="preserve"> On the other hand, for people with severe disabilities, the IEE form requires a synopsis of the medical reasons for the disability, the functional limitations which result from the disability, and the evaluation of competitive employability.</w:t>
      </w:r>
      <w:r>
        <w:rPr>
          <w:rStyle w:val="EndnoteReference"/>
        </w:rPr>
        <w:endnoteReference w:id="67"/>
      </w:r>
      <w:r>
        <w:t xml:space="preserve"> The NPAs have flexibility in selecting the appropriate evaluator, with some guidance from the Commission such as not to use a project supervisor to conduct the evaluation.</w:t>
      </w:r>
      <w:r>
        <w:rPr>
          <w:rStyle w:val="EndnoteReference"/>
        </w:rPr>
        <w:endnoteReference w:id="68"/>
      </w:r>
      <w:r>
        <w:t xml:space="preserve"> </w:t>
      </w:r>
    </w:p>
    <w:p w14:paraId="73F912FE" w14:textId="77777777" w:rsidR="001778CD" w:rsidRDefault="001778CD" w:rsidP="001778CD">
      <w:pPr>
        <w:pStyle w:val="NCDBodyText"/>
        <w:spacing w:after="0"/>
      </w:pPr>
      <w:r>
        <w:t xml:space="preserve">In making the competitive employability determination for a person with a severe disability, the AbilityOne Nonprofit Agency Review Manual states that an individual is considered “capable of normal competitive employment if the person can do all of the following with or without reasonable accommodations: </w:t>
      </w:r>
    </w:p>
    <w:p w14:paraId="355A893E" w14:textId="77777777" w:rsidR="001778CD" w:rsidRDefault="001778CD" w:rsidP="001778CD">
      <w:pPr>
        <w:pStyle w:val="NCDBodyText"/>
        <w:spacing w:after="0"/>
        <w:ind w:left="720"/>
      </w:pPr>
      <w:r>
        <w:t>a) Is capable of working a full work week (40 hours),</w:t>
      </w:r>
    </w:p>
    <w:p w14:paraId="6D4FE9CF" w14:textId="77777777" w:rsidR="001778CD" w:rsidRDefault="001778CD" w:rsidP="001778CD">
      <w:pPr>
        <w:pStyle w:val="NCDBodyText"/>
        <w:spacing w:after="0"/>
        <w:ind w:left="720"/>
      </w:pPr>
      <w:r>
        <w:t>b) Can complete an application and participate in an interview independently,</w:t>
      </w:r>
    </w:p>
    <w:p w14:paraId="2DC9A5AF" w14:textId="77777777" w:rsidR="001778CD" w:rsidRDefault="001778CD" w:rsidP="001778CD">
      <w:pPr>
        <w:pStyle w:val="NCDBodyText"/>
        <w:spacing w:after="0"/>
        <w:ind w:left="720"/>
      </w:pPr>
      <w:r>
        <w:t>c) Receives the same pay and benefits as any other worker performing comparable work,</w:t>
      </w:r>
    </w:p>
    <w:p w14:paraId="2BE5EB3D" w14:textId="77777777" w:rsidR="001778CD" w:rsidRDefault="001778CD" w:rsidP="001778CD">
      <w:pPr>
        <w:pStyle w:val="NCDBodyText"/>
        <w:spacing w:after="0"/>
        <w:ind w:left="720"/>
      </w:pPr>
      <w:r>
        <w:t>d) Only requires accommodations considered reasonable under the . . . ADA,</w:t>
      </w:r>
    </w:p>
    <w:p w14:paraId="2E7E53A2" w14:textId="77777777" w:rsidR="001778CD" w:rsidRDefault="001778CD" w:rsidP="001778CD">
      <w:pPr>
        <w:pStyle w:val="NCDBodyText"/>
        <w:spacing w:after="0"/>
        <w:ind w:left="720"/>
      </w:pPr>
      <w:r>
        <w:t>e) Can maintain a job for an extended period of time (months, if not years),</w:t>
      </w:r>
    </w:p>
    <w:p w14:paraId="3F5B4AD7" w14:textId="77777777" w:rsidR="001778CD" w:rsidRDefault="001778CD" w:rsidP="001778CD">
      <w:pPr>
        <w:pStyle w:val="NCDBodyText"/>
        <w:spacing w:after="0"/>
        <w:ind w:left="720"/>
      </w:pPr>
      <w:r>
        <w:t>f) Can maintain a job without intervention or supports from outside sources.”</w:t>
      </w:r>
      <w:r>
        <w:rPr>
          <w:rStyle w:val="EndnoteReference"/>
        </w:rPr>
        <w:endnoteReference w:id="69"/>
      </w:r>
    </w:p>
    <w:p w14:paraId="2C52DD8B" w14:textId="77777777" w:rsidR="001778CD" w:rsidRDefault="001778CD" w:rsidP="001778CD">
      <w:pPr>
        <w:pStyle w:val="NCDBodyText"/>
      </w:pPr>
      <w:r>
        <w:t xml:space="preserve">Overall, the Commission states that “[i]n making the competitive employability determination, the review should consider whether a </w:t>
      </w:r>
      <w:r w:rsidRPr="00A328D7">
        <w:rPr>
          <w:u w:val="single"/>
        </w:rPr>
        <w:t>reasonable observer</w:t>
      </w:r>
      <w:r>
        <w:t>, albeit one knowledgeable of AbilityOne Program’s criteria, see this person as being severely disabled, to the point that he or she would be unable to find and maintain a normal competitive job without supports” (underline added).</w:t>
      </w:r>
      <w:r>
        <w:rPr>
          <w:rStyle w:val="EndnoteReference"/>
        </w:rPr>
        <w:endnoteReference w:id="70"/>
      </w:r>
      <w:r>
        <w:t xml:space="preserve"> What is a “reasonable observer” and how the AbilityOne Program assesses competitive employability highlights one of the conflicts between the Program and other federal disability policy.</w:t>
      </w:r>
    </w:p>
    <w:p w14:paraId="0209E342" w14:textId="06DEBD33" w:rsidR="001778CD" w:rsidRDefault="001778CD" w:rsidP="001778CD">
      <w:pPr>
        <w:pStyle w:val="NCDBodyText"/>
      </w:pPr>
      <w:r>
        <w:lastRenderedPageBreak/>
        <w:t>The Commission, likely to increase those eligible for AbilityOne employment, views competitive employment and reasonable accommodations in ways which differ from the ADA and other federal laws. For example, the ADA requires an individualized assessment of requests for reasonable accommodations, recognizing that the need for an accommodation will differ from person to person, and that what is a reasonable accommodation for one employer, such as a large high-tech company, will be different from a small family owned grocery store.</w:t>
      </w:r>
      <w:r>
        <w:rPr>
          <w:rStyle w:val="EndnoteReference"/>
        </w:rPr>
        <w:endnoteReference w:id="71"/>
      </w:r>
      <w:r>
        <w:t xml:space="preserve"> The Commission, in contrast, given the different approach to the employment of persons with disabilities inherent in the AbilityOne Program, focuses on accommodations or supports most employers will not provide, or which are “not normally provided in typical community employment</w:t>
      </w:r>
      <w:r w:rsidR="000C50E8">
        <w:t>.</w:t>
      </w:r>
      <w:r>
        <w:t>”</w:t>
      </w:r>
      <w:r>
        <w:rPr>
          <w:rStyle w:val="EndnoteReference"/>
        </w:rPr>
        <w:endnoteReference w:id="72"/>
      </w:r>
      <w:r>
        <w:t xml:space="preserve"> </w:t>
      </w:r>
    </w:p>
    <w:p w14:paraId="50601293" w14:textId="77777777" w:rsidR="001778CD" w:rsidRDefault="001778CD" w:rsidP="001778CD">
      <w:pPr>
        <w:pStyle w:val="NCDBodyText"/>
      </w:pPr>
      <w:r>
        <w:t>The Commission’s use of the term “reasonable observer” to help evaluate competitive employability also contrasts with an original Congressional finding in the ADA. In 1990 Congress noted that people with disabilities have been subject to “stereotypic assumptions not truly indicative of the individual ability of such individuals to participate in, and contribute to, society.”</w:t>
      </w:r>
      <w:r>
        <w:rPr>
          <w:rStyle w:val="EndnoteReference"/>
        </w:rPr>
        <w:endnoteReference w:id="73"/>
      </w:r>
      <w:r>
        <w:t xml:space="preserve"> A reasonable observer could easily suspect a person with a severe disability cannot work in competitive employment without a comprehensive assessment of both the person with a disability, and most importantly the various opportunities available from employers whom are either legally required, or willing to provide, accommodations. Ultimately, the AbilityOne approach can result in people with severe disabilities being shifted to AbilityOne employment without a full consideration of other employment opportunities within the community. Further in-depth study of the impact of the AbilityOne Commission’s current competitive employability assessment is necessary.</w:t>
      </w:r>
    </w:p>
    <w:p w14:paraId="10B562B5" w14:textId="77777777" w:rsidR="001778CD" w:rsidRPr="008939AB" w:rsidRDefault="001778CD" w:rsidP="001778CD">
      <w:pPr>
        <w:pStyle w:val="NCDBodyText"/>
        <w:keepNext/>
        <w:spacing w:after="0"/>
        <w:rPr>
          <w:u w:val="single"/>
        </w:rPr>
      </w:pPr>
      <w:r w:rsidRPr="008939AB">
        <w:rPr>
          <w:u w:val="single"/>
        </w:rPr>
        <w:t xml:space="preserve">C. Implications </w:t>
      </w:r>
      <w:r>
        <w:rPr>
          <w:u w:val="single"/>
        </w:rPr>
        <w:t xml:space="preserve">of the </w:t>
      </w:r>
      <w:r w:rsidRPr="008939AB">
        <w:rPr>
          <w:u w:val="single"/>
        </w:rPr>
        <w:t xml:space="preserve">Direct Labor Ratio </w:t>
      </w:r>
      <w:r>
        <w:rPr>
          <w:u w:val="single"/>
        </w:rPr>
        <w:t>and Normal Competitive Employment</w:t>
      </w:r>
    </w:p>
    <w:p w14:paraId="199860F2" w14:textId="77777777" w:rsidR="001778CD" w:rsidRDefault="001778CD" w:rsidP="001778CD">
      <w:pPr>
        <w:pStyle w:val="NCDBodyText"/>
        <w:spacing w:after="0"/>
      </w:pPr>
      <w:r>
        <w:t xml:space="preserve">There are a number of negative implications of the direct labor ratio and competitive employability on people with disabilities, most significantly the resulting segregation of people with disabilities, and a clear disincentive for NPAs to promote AbilityOne employees out of direct labor. </w:t>
      </w:r>
    </w:p>
    <w:p w14:paraId="05CBD752" w14:textId="77777777" w:rsidR="001778CD" w:rsidRDefault="001778CD" w:rsidP="001778CD">
      <w:pPr>
        <w:pStyle w:val="NCDBodyText"/>
        <w:spacing w:after="0"/>
      </w:pPr>
    </w:p>
    <w:p w14:paraId="78100920" w14:textId="49E8E24E" w:rsidR="001778CD" w:rsidRDefault="001778CD" w:rsidP="001778CD">
      <w:pPr>
        <w:pStyle w:val="NCDBodyText"/>
        <w:spacing w:after="0"/>
        <w:rPr>
          <w:color w:val="000000" w:themeColor="text1"/>
        </w:rPr>
      </w:pPr>
      <w:r>
        <w:rPr>
          <w:color w:val="000000" w:themeColor="text1"/>
        </w:rPr>
        <w:lastRenderedPageBreak/>
        <w:t>T</w:t>
      </w:r>
      <w:r w:rsidRPr="002D75AE">
        <w:rPr>
          <w:color w:val="000000" w:themeColor="text1"/>
        </w:rPr>
        <w:t xml:space="preserve">he </w:t>
      </w:r>
      <w:r>
        <w:rPr>
          <w:color w:val="000000" w:themeColor="text1"/>
        </w:rPr>
        <w:t xml:space="preserve">JWOD Act </w:t>
      </w:r>
      <w:r w:rsidRPr="002D75AE">
        <w:rPr>
          <w:color w:val="000000" w:themeColor="text1"/>
        </w:rPr>
        <w:t xml:space="preserve">direct labor ratio conflicts with the </w:t>
      </w:r>
      <w:r>
        <w:rPr>
          <w:color w:val="000000" w:themeColor="text1"/>
        </w:rPr>
        <w:t xml:space="preserve">goals of WIOA. </w:t>
      </w:r>
      <w:r w:rsidRPr="002D75AE">
        <w:rPr>
          <w:color w:val="000000" w:themeColor="text1"/>
        </w:rPr>
        <w:t xml:space="preserve">A </w:t>
      </w:r>
      <w:r>
        <w:rPr>
          <w:color w:val="000000" w:themeColor="text1"/>
        </w:rPr>
        <w:t>key</w:t>
      </w:r>
      <w:r w:rsidRPr="002D75AE">
        <w:rPr>
          <w:color w:val="000000" w:themeColor="text1"/>
        </w:rPr>
        <w:t xml:space="preserve"> </w:t>
      </w:r>
      <w:r>
        <w:rPr>
          <w:color w:val="000000" w:themeColor="text1"/>
        </w:rPr>
        <w:t>tenet</w:t>
      </w:r>
      <w:r w:rsidRPr="002D75AE">
        <w:rPr>
          <w:color w:val="000000" w:themeColor="text1"/>
        </w:rPr>
        <w:t xml:space="preserve"> of WIOA is competitiv</w:t>
      </w:r>
      <w:r>
        <w:rPr>
          <w:color w:val="000000" w:themeColor="text1"/>
        </w:rPr>
        <w:t xml:space="preserve">e integrated employment (CIE) for people with disabilities. WIOA defines CIE as a job </w:t>
      </w:r>
      <w:r>
        <w:rPr>
          <w:rFonts w:eastAsiaTheme="minorHAnsi" w:cs="Arial"/>
          <w:color w:val="000000" w:themeColor="text1"/>
        </w:rPr>
        <w:t>which</w:t>
      </w:r>
      <w:r w:rsidRPr="004D1863">
        <w:rPr>
          <w:rFonts w:eastAsiaTheme="minorHAnsi" w:cs="Arial"/>
          <w:color w:val="000000" w:themeColor="text1"/>
        </w:rPr>
        <w:t xml:space="preserve"> 1) </w:t>
      </w:r>
      <w:r>
        <w:rPr>
          <w:rFonts w:eastAsiaTheme="minorHAnsi" w:cs="Arial"/>
          <w:color w:val="000000" w:themeColor="text1"/>
        </w:rPr>
        <w:t xml:space="preserve">pays </w:t>
      </w:r>
      <w:r w:rsidRPr="004D1863">
        <w:rPr>
          <w:rFonts w:eastAsiaTheme="minorHAnsi" w:cs="Arial"/>
          <w:color w:val="000000" w:themeColor="text1"/>
        </w:rPr>
        <w:t>at</w:t>
      </w:r>
      <w:r>
        <w:rPr>
          <w:rFonts w:eastAsiaTheme="minorHAnsi" w:cs="Arial"/>
          <w:color w:val="000000" w:themeColor="text1"/>
        </w:rPr>
        <w:t xml:space="preserve"> least the federal</w:t>
      </w:r>
      <w:r w:rsidRPr="004D1863">
        <w:rPr>
          <w:rFonts w:eastAsiaTheme="minorHAnsi" w:cs="Arial"/>
          <w:color w:val="000000" w:themeColor="text1"/>
        </w:rPr>
        <w:t xml:space="preserve"> minimum wage (and not less than the customary rate paid to employees without disabi</w:t>
      </w:r>
      <w:r>
        <w:rPr>
          <w:rFonts w:eastAsiaTheme="minorHAnsi" w:cs="Arial"/>
          <w:color w:val="000000" w:themeColor="text1"/>
        </w:rPr>
        <w:t xml:space="preserve">lities performing similar work) and includes </w:t>
      </w:r>
      <w:r w:rsidRPr="004D1863">
        <w:rPr>
          <w:rFonts w:eastAsiaTheme="minorHAnsi" w:cs="Arial"/>
          <w:color w:val="000000" w:themeColor="text1"/>
        </w:rPr>
        <w:t xml:space="preserve">eligibility for the same benefits as non-disabled employees; </w:t>
      </w:r>
      <w:r>
        <w:rPr>
          <w:rFonts w:eastAsiaTheme="minorHAnsi" w:cs="Arial"/>
          <w:color w:val="000000" w:themeColor="text1"/>
        </w:rPr>
        <w:t xml:space="preserve">2) is performed </w:t>
      </w:r>
      <w:r w:rsidRPr="004D1863">
        <w:rPr>
          <w:rFonts w:eastAsiaTheme="minorHAnsi" w:cs="Arial"/>
          <w:color w:val="000000" w:themeColor="text1"/>
        </w:rPr>
        <w:t xml:space="preserve">in integrated settings where </w:t>
      </w:r>
      <w:r>
        <w:rPr>
          <w:rFonts w:eastAsiaTheme="minorHAnsi" w:cs="Arial"/>
          <w:color w:val="000000" w:themeColor="text1"/>
        </w:rPr>
        <w:t xml:space="preserve">employees with disabilities </w:t>
      </w:r>
      <w:r w:rsidRPr="00DC19CA">
        <w:rPr>
          <w:rFonts w:eastAsiaTheme="minorHAnsi" w:cs="Arial"/>
          <w:color w:val="000000" w:themeColor="text1"/>
        </w:rPr>
        <w:t>interact with those</w:t>
      </w:r>
      <w:r>
        <w:rPr>
          <w:rFonts w:eastAsiaTheme="minorHAnsi" w:cs="Arial"/>
          <w:color w:val="000000" w:themeColor="text1"/>
        </w:rPr>
        <w:t xml:space="preserve"> </w:t>
      </w:r>
      <w:r w:rsidRPr="004D1863">
        <w:rPr>
          <w:rFonts w:eastAsiaTheme="minorHAnsi" w:cs="Arial"/>
          <w:color w:val="000000" w:themeColor="text1"/>
        </w:rPr>
        <w:t xml:space="preserve">without disabilities to the same extent as others </w:t>
      </w:r>
      <w:r>
        <w:rPr>
          <w:rFonts w:eastAsiaTheme="minorHAnsi" w:cs="Arial"/>
          <w:color w:val="000000" w:themeColor="text1"/>
        </w:rPr>
        <w:t xml:space="preserve">in comparable positions; and 3) </w:t>
      </w:r>
      <w:r w:rsidRPr="004D1863">
        <w:rPr>
          <w:rFonts w:eastAsiaTheme="minorHAnsi" w:cs="Arial"/>
          <w:color w:val="000000" w:themeColor="text1"/>
        </w:rPr>
        <w:t xml:space="preserve">provides opportunities for advancement similar to </w:t>
      </w:r>
      <w:r>
        <w:rPr>
          <w:rFonts w:eastAsiaTheme="minorHAnsi" w:cs="Arial"/>
          <w:color w:val="000000" w:themeColor="text1"/>
        </w:rPr>
        <w:t xml:space="preserve">people without disabilities </w:t>
      </w:r>
      <w:r w:rsidRPr="004D1863">
        <w:rPr>
          <w:rFonts w:eastAsiaTheme="minorHAnsi" w:cs="Arial"/>
          <w:color w:val="000000" w:themeColor="text1"/>
        </w:rPr>
        <w:t>in similar positions.”</w:t>
      </w:r>
      <w:r w:rsidRPr="004D1863">
        <w:rPr>
          <w:rStyle w:val="EndnoteReference"/>
          <w:rFonts w:eastAsiaTheme="minorHAnsi" w:cs="Arial"/>
          <w:color w:val="000000" w:themeColor="text1"/>
        </w:rPr>
        <w:endnoteReference w:id="74"/>
      </w:r>
      <w:r>
        <w:rPr>
          <w:color w:val="000000" w:themeColor="text1"/>
        </w:rPr>
        <w:t xml:space="preserve"> F</w:t>
      </w:r>
      <w:r w:rsidRPr="002D75AE">
        <w:rPr>
          <w:color w:val="000000" w:themeColor="text1"/>
        </w:rPr>
        <w:t>or a job placement to be considered a</w:t>
      </w:r>
      <w:r>
        <w:rPr>
          <w:color w:val="000000" w:themeColor="text1"/>
        </w:rPr>
        <w:t xml:space="preserve"> successful</w:t>
      </w:r>
      <w:r w:rsidRPr="002D75AE">
        <w:rPr>
          <w:color w:val="000000" w:themeColor="text1"/>
        </w:rPr>
        <w:t xml:space="preserve"> employment outcome under </w:t>
      </w:r>
      <w:r>
        <w:rPr>
          <w:color w:val="000000" w:themeColor="text1"/>
        </w:rPr>
        <w:t xml:space="preserve">the </w:t>
      </w:r>
      <w:r w:rsidRPr="002D75AE">
        <w:rPr>
          <w:color w:val="000000" w:themeColor="text1"/>
        </w:rPr>
        <w:t xml:space="preserve">federally funded </w:t>
      </w:r>
      <w:r>
        <w:rPr>
          <w:color w:val="000000" w:themeColor="text1"/>
        </w:rPr>
        <w:t>and state operated</w:t>
      </w:r>
      <w:r w:rsidRPr="002D75AE">
        <w:rPr>
          <w:color w:val="000000" w:themeColor="text1"/>
        </w:rPr>
        <w:t xml:space="preserve"> vocational </w:t>
      </w:r>
      <w:r>
        <w:rPr>
          <w:color w:val="000000" w:themeColor="text1"/>
        </w:rPr>
        <w:t xml:space="preserve">rehabilitation (VR) program, the employment </w:t>
      </w:r>
      <w:r w:rsidRPr="002D75AE">
        <w:rPr>
          <w:color w:val="000000" w:themeColor="text1"/>
        </w:rPr>
        <w:t>m</w:t>
      </w:r>
      <w:r>
        <w:rPr>
          <w:color w:val="000000" w:themeColor="text1"/>
        </w:rPr>
        <w:t>ust meet the CIE definition</w:t>
      </w:r>
      <w:r w:rsidRPr="002D75AE">
        <w:rPr>
          <w:color w:val="000000" w:themeColor="text1"/>
        </w:rPr>
        <w:t>.</w:t>
      </w:r>
      <w:r w:rsidRPr="002D75AE">
        <w:rPr>
          <w:rStyle w:val="EndnoteReference"/>
          <w:color w:val="000000" w:themeColor="text1"/>
        </w:rPr>
        <w:endnoteReference w:id="75"/>
      </w:r>
      <w:r>
        <w:rPr>
          <w:color w:val="000000" w:themeColor="text1"/>
        </w:rPr>
        <w:t xml:space="preserve"> </w:t>
      </w:r>
      <w:r>
        <w:rPr>
          <w:color w:val="auto"/>
        </w:rPr>
        <w:t xml:space="preserve">the AbilityOne Commission suggests the CIE integration mandate found in the WIOA regulations and guidance severs federally funded VR services to support persons for employment by an AbilityOne </w:t>
      </w:r>
      <w:r w:rsidR="000C50E8">
        <w:rPr>
          <w:color w:val="auto"/>
        </w:rPr>
        <w:t xml:space="preserve">NPA </w:t>
      </w:r>
      <w:r>
        <w:rPr>
          <w:color w:val="auto"/>
        </w:rPr>
        <w:t xml:space="preserve">program. </w:t>
      </w:r>
      <w:r w:rsidRPr="004A6A9C">
        <w:rPr>
          <w:rStyle w:val="EndnoteReference"/>
          <w:color w:val="auto"/>
        </w:rPr>
        <w:endnoteReference w:id="76"/>
      </w:r>
      <w:r>
        <w:rPr>
          <w:color w:val="auto"/>
        </w:rPr>
        <w:t xml:space="preserve"> The Commission also reports that since the majority of AbilityOne employees are engaged under service contracts, many of which </w:t>
      </w:r>
      <w:r w:rsidRPr="00002A33">
        <w:rPr>
          <w:color w:val="auto"/>
        </w:rPr>
        <w:t xml:space="preserve">occur at military installations and in federal buildings, </w:t>
      </w:r>
      <w:r>
        <w:rPr>
          <w:color w:val="auto"/>
        </w:rPr>
        <w:t>it</w:t>
      </w:r>
      <w:r w:rsidRPr="00002A33">
        <w:rPr>
          <w:color w:val="auto"/>
        </w:rPr>
        <w:t xml:space="preserve"> </w:t>
      </w:r>
      <w:r>
        <w:rPr>
          <w:color w:val="auto"/>
        </w:rPr>
        <w:t xml:space="preserve">believes such jobs are </w:t>
      </w:r>
      <w:r w:rsidRPr="00002A33">
        <w:rPr>
          <w:color w:val="auto"/>
        </w:rPr>
        <w:t>integrated employment placement</w:t>
      </w:r>
      <w:r>
        <w:rPr>
          <w:color w:val="auto"/>
        </w:rPr>
        <w:t>s</w:t>
      </w:r>
      <w:r w:rsidRPr="00002A33">
        <w:rPr>
          <w:color w:val="auto"/>
        </w:rPr>
        <w:t>.</w:t>
      </w:r>
      <w:r w:rsidRPr="00002A33">
        <w:rPr>
          <w:rStyle w:val="EndnoteReference"/>
          <w:color w:val="auto"/>
        </w:rPr>
        <w:endnoteReference w:id="77"/>
      </w:r>
      <w:r w:rsidRPr="00002A33">
        <w:rPr>
          <w:color w:val="auto"/>
        </w:rPr>
        <w:t xml:space="preserve"> </w:t>
      </w:r>
    </w:p>
    <w:p w14:paraId="1A3B1480" w14:textId="77777777" w:rsidR="001778CD" w:rsidRPr="00D1318D" w:rsidRDefault="001778CD" w:rsidP="001778CD">
      <w:pPr>
        <w:pStyle w:val="NCDBodyText"/>
        <w:spacing w:after="0"/>
        <w:rPr>
          <w:color w:val="000000" w:themeColor="text1"/>
        </w:rPr>
      </w:pPr>
    </w:p>
    <w:p w14:paraId="678E4059" w14:textId="77777777" w:rsidR="001778CD" w:rsidRDefault="001778CD" w:rsidP="001778CD">
      <w:pPr>
        <w:pStyle w:val="NCDBodyText"/>
        <w:spacing w:after="0"/>
      </w:pPr>
      <w:r>
        <w:rPr>
          <w:color w:val="000000" w:themeColor="text1"/>
        </w:rPr>
        <w:t>In an October 2018 report NCD noted a</w:t>
      </w:r>
      <w:r w:rsidRPr="004C1278">
        <w:rPr>
          <w:color w:val="000000" w:themeColor="text1"/>
        </w:rPr>
        <w:t xml:space="preserve"> contrast between the CIE advancement opportunity mandate in the WOIA, and the limited advancement out of direct labor or into the community which occurs under the AbilityOne </w:t>
      </w:r>
      <w:r>
        <w:rPr>
          <w:color w:val="000000" w:themeColor="text1"/>
        </w:rPr>
        <w:t>P</w:t>
      </w:r>
      <w:r w:rsidRPr="004C1278">
        <w:rPr>
          <w:color w:val="000000" w:themeColor="text1"/>
        </w:rPr>
        <w:t>rogram.</w:t>
      </w:r>
      <w:r w:rsidRPr="004C1278">
        <w:rPr>
          <w:rStyle w:val="EndnoteReference"/>
          <w:color w:val="000000" w:themeColor="text1"/>
        </w:rPr>
        <w:endnoteReference w:id="78"/>
      </w:r>
      <w:r>
        <w:rPr>
          <w:color w:val="000000" w:themeColor="text1"/>
        </w:rPr>
        <w:t xml:space="preserve"> </w:t>
      </w:r>
      <w:r>
        <w:t>The AbilityOne Commission states that its mission includes “whenever possible, preparing [AbilityOne employees] to engage in competitive employment.”</w:t>
      </w:r>
      <w:r>
        <w:rPr>
          <w:rStyle w:val="EndnoteReference"/>
        </w:rPr>
        <w:endnoteReference w:id="79"/>
      </w:r>
      <w:r>
        <w:t xml:space="preserve"> Commission reports indicate that since FY 2009 between 2,000 to 2,100 AbilityOne employees moved into competitive employment each year.</w:t>
      </w:r>
      <w:r>
        <w:rPr>
          <w:rStyle w:val="EndnoteReference"/>
        </w:rPr>
        <w:endnoteReference w:id="80"/>
      </w:r>
      <w:r>
        <w:t xml:space="preserve"> This represents about 4 percent of employees who are blind or have a severe disability annually exiting AbilityOne for competitive integrated employment. The Commission also tracks promotions of AbilityOne employees to a </w:t>
      </w:r>
      <w:r w:rsidRPr="00E21DD9">
        <w:t xml:space="preserve">higher wage grade, indirect labor positions, </w:t>
      </w:r>
      <w:r>
        <w:t xml:space="preserve">or </w:t>
      </w:r>
      <w:r w:rsidRPr="00E21DD9">
        <w:t>supervis</w:t>
      </w:r>
      <w:r>
        <w:t>ory</w:t>
      </w:r>
      <w:r w:rsidRPr="00E21DD9">
        <w:t xml:space="preserve"> or management</w:t>
      </w:r>
      <w:r>
        <w:t xml:space="preserve"> positions within the program. The Commission reported 1,477 promotions of AbilityOne employees within the program in FY 2016, with 400 moving into supervisory positions.</w:t>
      </w:r>
      <w:r>
        <w:rPr>
          <w:rStyle w:val="EndnoteReference"/>
        </w:rPr>
        <w:endnoteReference w:id="81"/>
      </w:r>
      <w:r>
        <w:t xml:space="preserve"> Based on the Commission’s definition of promotion, 3.2 percent of employees were </w:t>
      </w:r>
      <w:r>
        <w:lastRenderedPageBreak/>
        <w:t>promoted in some manner in FY 2016, with only 0.87 percent achieving a supervisory position and the remaining 1,077 employees receiving a higher wage grade or working in an indirect labor position.</w:t>
      </w:r>
      <w:r>
        <w:rPr>
          <w:rStyle w:val="EndnoteReference"/>
        </w:rPr>
        <w:endnoteReference w:id="82"/>
      </w:r>
      <w:r>
        <w:t xml:space="preserve"> The number of promotions in FY 2017 slightly improved with 1,541 promotions (3.52 percent</w:t>
      </w:r>
      <w:r w:rsidRPr="007B002C">
        <w:t xml:space="preserve"> </w:t>
      </w:r>
      <w:r>
        <w:t>of AbilityOne employees) of which 438 (1 percent of AbilityOne employees) were into supervisory positions.</w:t>
      </w:r>
      <w:r>
        <w:rPr>
          <w:rStyle w:val="EndnoteReference"/>
        </w:rPr>
        <w:endnoteReference w:id="83"/>
      </w:r>
      <w:r>
        <w:t xml:space="preserve"> The Commission does not collect data related to promotions outside of the program.</w:t>
      </w:r>
      <w:r>
        <w:rPr>
          <w:rStyle w:val="EndnoteReference"/>
        </w:rPr>
        <w:endnoteReference w:id="84"/>
      </w:r>
    </w:p>
    <w:p w14:paraId="57478BF8" w14:textId="77777777" w:rsidR="001778CD" w:rsidRPr="00E56E06" w:rsidRDefault="001778CD" w:rsidP="001778CD">
      <w:pPr>
        <w:pStyle w:val="NCDBodyText"/>
        <w:spacing w:after="0"/>
      </w:pPr>
    </w:p>
    <w:p w14:paraId="6ED189AC" w14:textId="77777777" w:rsidR="001778CD" w:rsidRPr="00123E6D" w:rsidRDefault="001778CD" w:rsidP="001778CD">
      <w:pPr>
        <w:pStyle w:val="NCDBodyText"/>
        <w:rPr>
          <w:rFonts w:cs="Arial"/>
        </w:rPr>
      </w:pPr>
      <w:r w:rsidRPr="00123E6D">
        <w:rPr>
          <w:rFonts w:cs="Arial"/>
        </w:rPr>
        <w:t>In 2016 an Advisory Committee on Increasing Competitive Integrated Employment for Individuals with Disabilities</w:t>
      </w:r>
      <w:r>
        <w:rPr>
          <w:rFonts w:cs="Arial"/>
        </w:rPr>
        <w:t xml:space="preserve"> (Advisory Committee), </w:t>
      </w:r>
      <w:r w:rsidRPr="00123E6D">
        <w:rPr>
          <w:rFonts w:cs="Arial"/>
        </w:rPr>
        <w:t>established under WIOA, published a final report which examined, among other issues, the Ab</w:t>
      </w:r>
      <w:r>
        <w:rPr>
          <w:rFonts w:cs="Arial"/>
        </w:rPr>
        <w:t>ilityOne P</w:t>
      </w:r>
      <w:r w:rsidRPr="00123E6D">
        <w:rPr>
          <w:rFonts w:cs="Arial"/>
        </w:rPr>
        <w:t>rogram in the context of WIOA with a particular focus on CIE.</w:t>
      </w:r>
      <w:r w:rsidRPr="00123E6D">
        <w:rPr>
          <w:rStyle w:val="EndnoteReference"/>
          <w:rFonts w:cs="Arial"/>
        </w:rPr>
        <w:endnoteReference w:id="85"/>
      </w:r>
      <w:r w:rsidRPr="00123E6D">
        <w:rPr>
          <w:rFonts w:cs="Arial"/>
        </w:rPr>
        <w:t xml:space="preserve"> The Advisory Committee note</w:t>
      </w:r>
      <w:r>
        <w:rPr>
          <w:rFonts w:cs="Arial"/>
        </w:rPr>
        <w:t>d</w:t>
      </w:r>
      <w:r w:rsidRPr="00123E6D">
        <w:rPr>
          <w:rFonts w:cs="Arial"/>
        </w:rPr>
        <w:t xml:space="preserve"> vulnerab</w:t>
      </w:r>
      <w:r>
        <w:rPr>
          <w:rFonts w:cs="Arial"/>
        </w:rPr>
        <w:t>ilities in the AbilityOne P</w:t>
      </w:r>
      <w:r w:rsidRPr="00123E6D">
        <w:rPr>
          <w:rFonts w:cs="Arial"/>
        </w:rPr>
        <w:t xml:space="preserve">rogram, including potential </w:t>
      </w:r>
      <w:r>
        <w:t>conflicts of interest</w:t>
      </w:r>
      <w:r w:rsidRPr="00123E6D">
        <w:t xml:space="preserve"> since the determination of who is eligible to participate as an AbilityOne employee is often made by NPAs which function both as the employer and a provider of employment support service</w:t>
      </w:r>
      <w:r>
        <w:t>s</w:t>
      </w:r>
      <w:r w:rsidRPr="00123E6D">
        <w:t>.</w:t>
      </w:r>
      <w:r w:rsidRPr="00123E6D">
        <w:rPr>
          <w:rStyle w:val="EndnoteReference"/>
        </w:rPr>
        <w:endnoteReference w:id="86"/>
      </w:r>
      <w:r w:rsidRPr="00123E6D">
        <w:t xml:space="preserve"> The Advisory Committee further found that the direct labor ratio potentially conflicts with the definition of CIE, that the direct labor ratio leads to the segregation of workers, and that the JWOD Act does not require or even expect that AbilityOne employment will lead to CIE.</w:t>
      </w:r>
      <w:r w:rsidRPr="00123E6D">
        <w:rPr>
          <w:rStyle w:val="EndnoteReference"/>
        </w:rPr>
        <w:endnoteReference w:id="87"/>
      </w:r>
      <w:r w:rsidRPr="00123E6D">
        <w:rPr>
          <w:rFonts w:cs="Arial"/>
        </w:rPr>
        <w:t xml:space="preserve"> The Advisory Committee made a number of recommendations t</w:t>
      </w:r>
      <w:r>
        <w:rPr>
          <w:rFonts w:cs="Arial"/>
        </w:rPr>
        <w:t>o address these vulnerabilities</w:t>
      </w:r>
      <w:r w:rsidRPr="00123E6D">
        <w:rPr>
          <w:rFonts w:cs="Arial"/>
        </w:rPr>
        <w:t xml:space="preserve">, including amending JWOD to align better with the ADA, the </w:t>
      </w:r>
      <w:r w:rsidRPr="00123E6D">
        <w:rPr>
          <w:rFonts w:cs="Arial"/>
          <w:i/>
        </w:rPr>
        <w:t>Olmstead</w:t>
      </w:r>
      <w:r>
        <w:rPr>
          <w:rFonts w:cs="Arial"/>
        </w:rPr>
        <w:t xml:space="preserve"> decision</w:t>
      </w:r>
      <w:r w:rsidRPr="00123E6D">
        <w:rPr>
          <w:rFonts w:cs="Arial"/>
        </w:rPr>
        <w:t xml:space="preserve"> and WIOA, and that no new </w:t>
      </w:r>
      <w:r>
        <w:rPr>
          <w:rFonts w:cs="Arial"/>
        </w:rPr>
        <w:t xml:space="preserve">FLSA section </w:t>
      </w:r>
      <w:r w:rsidRPr="00123E6D">
        <w:rPr>
          <w:rFonts w:cs="Arial"/>
        </w:rPr>
        <w:t>14(c) certificates be issued to NPAs.</w:t>
      </w:r>
      <w:r w:rsidRPr="00123E6D">
        <w:rPr>
          <w:rStyle w:val="EndnoteReference"/>
          <w:rFonts w:cs="Arial"/>
        </w:rPr>
        <w:endnoteReference w:id="88"/>
      </w:r>
      <w:r w:rsidRPr="00123E6D">
        <w:rPr>
          <w:rFonts w:cs="Arial"/>
        </w:rPr>
        <w:t xml:space="preserve"> </w:t>
      </w:r>
      <w:r w:rsidRPr="00002A33">
        <w:rPr>
          <w:rFonts w:cs="Arial"/>
        </w:rPr>
        <w:t xml:space="preserve">NCD echoes these recommendations, stating in </w:t>
      </w:r>
      <w:r>
        <w:rPr>
          <w:rFonts w:cs="Arial"/>
        </w:rPr>
        <w:t>a</w:t>
      </w:r>
      <w:r w:rsidRPr="00002A33">
        <w:rPr>
          <w:rFonts w:cs="Arial"/>
        </w:rPr>
        <w:t xml:space="preserve"> recent report that the JWOD Act should be amended to better support CIE as defined by WIOA.</w:t>
      </w:r>
      <w:r w:rsidRPr="00002A33">
        <w:rPr>
          <w:rStyle w:val="EndnoteReference"/>
          <w:rFonts w:cs="Arial"/>
        </w:rPr>
        <w:endnoteReference w:id="89"/>
      </w:r>
      <w:r w:rsidRPr="00002A33">
        <w:rPr>
          <w:rFonts w:cs="Arial"/>
        </w:rPr>
        <w:t xml:space="preserve"> </w:t>
      </w:r>
    </w:p>
    <w:p w14:paraId="779B90DB" w14:textId="77777777" w:rsidR="001778CD" w:rsidRPr="0045197D" w:rsidRDefault="001778CD" w:rsidP="001778CD">
      <w:pPr>
        <w:pStyle w:val="Default"/>
        <w:spacing w:line="360" w:lineRule="auto"/>
        <w:rPr>
          <w:rFonts w:ascii="Arial" w:hAnsi="Arial" w:cs="Arial"/>
          <w:color w:val="auto"/>
          <w:highlight w:val="green"/>
          <w:lang w:val="en"/>
        </w:rPr>
      </w:pPr>
      <w:r>
        <w:rPr>
          <w:rFonts w:ascii="Arial" w:hAnsi="Arial" w:cs="Arial"/>
        </w:rPr>
        <w:t>Despite the strong bi-partisan passage of WIOA and the statutory basis of the regulations, the U.S. Secretary of Education (ED) stated an intent, as recently as the fall of 2018, to open the WIOA regulations regarding the definition of CIE with a particular focus on the integration mandate.</w:t>
      </w:r>
      <w:r>
        <w:rPr>
          <w:rStyle w:val="EndnoteReference"/>
        </w:rPr>
        <w:endnoteReference w:id="90"/>
      </w:r>
      <w:r>
        <w:rPr>
          <w:rFonts w:ascii="Arial" w:hAnsi="Arial" w:cs="Arial"/>
        </w:rPr>
        <w:t xml:space="preserve"> </w:t>
      </w:r>
      <w:r>
        <w:rPr>
          <w:rFonts w:ascii="Arial" w:eastAsiaTheme="minorHAnsi" w:hAnsi="Arial" w:cs="Arial"/>
          <w:color w:val="auto"/>
          <w:lang w:val="en"/>
        </w:rPr>
        <w:t>NCD has, and continues to oppose re-opening the WOIA regulations on CIE.</w:t>
      </w:r>
      <w:r>
        <w:rPr>
          <w:rStyle w:val="EndnoteReference"/>
          <w:rFonts w:eastAsiaTheme="minorHAnsi"/>
          <w:color w:val="auto"/>
          <w:lang w:val="en"/>
        </w:rPr>
        <w:endnoteReference w:id="91"/>
      </w:r>
      <w:r>
        <w:rPr>
          <w:rFonts w:ascii="Arial" w:eastAsiaTheme="minorHAnsi" w:hAnsi="Arial" w:cs="Arial"/>
          <w:color w:val="auto"/>
          <w:lang w:val="en"/>
        </w:rPr>
        <w:t xml:space="preserve"> </w:t>
      </w:r>
      <w:r>
        <w:rPr>
          <w:rFonts w:ascii="Arial" w:hAnsi="Arial" w:cs="Arial"/>
        </w:rPr>
        <w:t xml:space="preserve">The potential ED regulatory action is most likely spurred by the AbilityOne Commission’s interpretation that a Frequently Asked Questions (FAQ) about CIE published by the </w:t>
      </w:r>
      <w:r>
        <w:rPr>
          <w:rFonts w:ascii="Arial" w:eastAsiaTheme="minorHAnsi" w:hAnsi="Arial" w:cs="Arial"/>
          <w:color w:val="auto"/>
          <w:lang w:val="en"/>
        </w:rPr>
        <w:t xml:space="preserve">Rehabilitative Services Administration (RSA) of the </w:t>
      </w:r>
      <w:r>
        <w:rPr>
          <w:rFonts w:ascii="Arial" w:eastAsiaTheme="minorHAnsi" w:hAnsi="Arial" w:cs="Arial"/>
          <w:color w:val="auto"/>
          <w:lang w:val="en"/>
        </w:rPr>
        <w:lastRenderedPageBreak/>
        <w:t xml:space="preserve">Department of Education </w:t>
      </w:r>
      <w:r>
        <w:rPr>
          <w:rFonts w:ascii="Arial" w:hAnsi="Arial" w:cs="Arial"/>
        </w:rPr>
        <w:t>disqualifies, without exception, the use of VR funds to support the employment of people with disabilities by AbilityOne NPAs.</w:t>
      </w:r>
      <w:r>
        <w:rPr>
          <w:rStyle w:val="EndnoteReference"/>
        </w:rPr>
        <w:endnoteReference w:id="92"/>
      </w:r>
      <w:r>
        <w:rPr>
          <w:rFonts w:ascii="Arial" w:hAnsi="Arial" w:cs="Arial"/>
        </w:rPr>
        <w:t xml:space="preserve"> The </w:t>
      </w:r>
      <w:r>
        <w:rPr>
          <w:rFonts w:ascii="Arial" w:eastAsiaTheme="minorHAnsi" w:hAnsi="Arial" w:cs="Arial"/>
          <w:color w:val="auto"/>
          <w:lang w:val="en"/>
        </w:rPr>
        <w:t>FAQ, however, calls for VR counselors to consider employment settings on a case-by-case basis, and does not categorically prohibit referral to AbilityOne employment.</w:t>
      </w:r>
      <w:r>
        <w:rPr>
          <w:rStyle w:val="EndnoteReference"/>
          <w:rFonts w:eastAsiaTheme="minorHAnsi"/>
          <w:color w:val="auto"/>
          <w:lang w:val="en"/>
        </w:rPr>
        <w:endnoteReference w:id="93"/>
      </w:r>
      <w:r>
        <w:rPr>
          <w:rFonts w:ascii="Arial" w:eastAsiaTheme="minorHAnsi" w:hAnsi="Arial" w:cs="Arial"/>
          <w:color w:val="auto"/>
          <w:lang w:val="en"/>
        </w:rPr>
        <w:t xml:space="preserve"> </w:t>
      </w:r>
      <w:r>
        <w:rPr>
          <w:rFonts w:ascii="Arial" w:hAnsi="Arial" w:cs="Arial"/>
          <w:color w:val="auto"/>
          <w:lang w:val="en"/>
        </w:rPr>
        <w:t>This year the minority staff of the U.S. Senate Health Education Labor and Pensions (HELP) also recommended that the WIOA regulations not be opened and that instead technical assistance be offered by RSA to support state implementation of WIOA and existing regulations.</w:t>
      </w:r>
      <w:r>
        <w:rPr>
          <w:rStyle w:val="EndnoteReference"/>
          <w:color w:val="auto"/>
          <w:lang w:val="en"/>
        </w:rPr>
        <w:endnoteReference w:id="94"/>
      </w:r>
      <w:r>
        <w:rPr>
          <w:rFonts w:ascii="Arial" w:hAnsi="Arial" w:cs="Arial"/>
          <w:color w:val="auto"/>
          <w:lang w:val="en"/>
        </w:rPr>
        <w:t xml:space="preserve"> Minority HELP staff recently surveyed state VR agencies, and after a 100 percent response rate, concluded that VR agencies do conduct case-by-case analyses of employers to assess if the setting meets the CIE definition, and do refer clients to AbilityOne NPAs who met the CIE definition.</w:t>
      </w:r>
      <w:r>
        <w:rPr>
          <w:rStyle w:val="EndnoteReference"/>
          <w:color w:val="auto"/>
          <w:lang w:val="en"/>
        </w:rPr>
        <w:endnoteReference w:id="95"/>
      </w:r>
      <w:r>
        <w:rPr>
          <w:rFonts w:ascii="Arial" w:hAnsi="Arial" w:cs="Arial"/>
          <w:color w:val="auto"/>
          <w:lang w:val="en"/>
        </w:rPr>
        <w:t xml:space="preserve"> State VR agencies also responded that they respect the informed choice of people with disabilities regardless of the setting of the employment chosen by the client.</w:t>
      </w:r>
      <w:r>
        <w:rPr>
          <w:rStyle w:val="EndnoteReference"/>
          <w:color w:val="auto"/>
          <w:lang w:val="en"/>
        </w:rPr>
        <w:endnoteReference w:id="96"/>
      </w:r>
      <w:r>
        <w:rPr>
          <w:rFonts w:ascii="Arial" w:hAnsi="Arial" w:cs="Arial"/>
          <w:color w:val="auto"/>
          <w:lang w:val="en"/>
        </w:rPr>
        <w:t xml:space="preserve"> NCD has recommended that ED not open the WIOA regulations, specifically the definition of CIE.</w:t>
      </w:r>
      <w:r>
        <w:rPr>
          <w:rStyle w:val="EndnoteReference"/>
          <w:color w:val="auto"/>
          <w:lang w:val="en"/>
        </w:rPr>
        <w:endnoteReference w:id="97"/>
      </w:r>
      <w:r>
        <w:rPr>
          <w:rFonts w:ascii="Arial" w:hAnsi="Arial" w:cs="Arial"/>
          <w:color w:val="auto"/>
          <w:lang w:val="en"/>
        </w:rPr>
        <w:t xml:space="preserve"> </w:t>
      </w:r>
    </w:p>
    <w:p w14:paraId="261107B0" w14:textId="77777777" w:rsidR="001778CD" w:rsidRPr="00123E6D" w:rsidRDefault="001778CD" w:rsidP="001778CD">
      <w:pPr>
        <w:pStyle w:val="NCDBodyText"/>
        <w:spacing w:after="0"/>
        <w:rPr>
          <w:u w:val="single"/>
        </w:rPr>
      </w:pPr>
    </w:p>
    <w:p w14:paraId="7660B497" w14:textId="77777777" w:rsidR="001778CD" w:rsidRPr="00123E6D" w:rsidRDefault="001778CD" w:rsidP="001778CD">
      <w:pPr>
        <w:pStyle w:val="NCDBodyText"/>
        <w:keepNext/>
        <w:spacing w:after="0"/>
        <w:rPr>
          <w:u w:val="single"/>
        </w:rPr>
      </w:pPr>
      <w:r w:rsidRPr="00123E6D">
        <w:rPr>
          <w:u w:val="single"/>
        </w:rPr>
        <w:t xml:space="preserve">D. AbilityOne </w:t>
      </w:r>
      <w:r>
        <w:rPr>
          <w:u w:val="single"/>
        </w:rPr>
        <w:t xml:space="preserve">Employee </w:t>
      </w:r>
      <w:r w:rsidRPr="00123E6D">
        <w:rPr>
          <w:u w:val="single"/>
        </w:rPr>
        <w:t>Wages</w:t>
      </w:r>
    </w:p>
    <w:p w14:paraId="76FCF3E5" w14:textId="77777777" w:rsidR="001778CD" w:rsidRPr="00123E6D" w:rsidRDefault="001778CD" w:rsidP="001778CD">
      <w:pPr>
        <w:pStyle w:val="NCDBodyText"/>
        <w:keepNext/>
      </w:pPr>
      <w:r w:rsidRPr="00123E6D">
        <w:t xml:space="preserve">AbilityOne employees were paid total wages of $616 million </w:t>
      </w:r>
      <w:r>
        <w:t>working on AbilityOne contracts</w:t>
      </w:r>
      <w:r w:rsidRPr="00123E6D">
        <w:t xml:space="preserve"> in FY 2016</w:t>
      </w:r>
      <w:r>
        <w:t>.</w:t>
      </w:r>
      <w:r w:rsidRPr="00123E6D">
        <w:rPr>
          <w:rStyle w:val="EndnoteReference"/>
        </w:rPr>
        <w:endnoteReference w:id="98"/>
      </w:r>
      <w:r>
        <w:t xml:space="preserve"> Based on these aggregate wages, 18.6 percent</w:t>
      </w:r>
      <w:r w:rsidRPr="00123E6D">
        <w:t xml:space="preserve"> of the $3.3 billion in </w:t>
      </w:r>
      <w:r>
        <w:t xml:space="preserve">annual </w:t>
      </w:r>
      <w:r w:rsidRPr="00123E6D">
        <w:t xml:space="preserve">federal government purchases through </w:t>
      </w:r>
      <w:r>
        <w:t xml:space="preserve">the </w:t>
      </w:r>
      <w:r w:rsidRPr="00123E6D">
        <w:t xml:space="preserve">AbilityOne </w:t>
      </w:r>
      <w:r>
        <w:t>Program went to</w:t>
      </w:r>
      <w:r w:rsidRPr="00123E6D">
        <w:t xml:space="preserve"> wages paid to employees who are blind or have a </w:t>
      </w:r>
      <w:r>
        <w:t>severe disability, or in other words, 81.4 percent of federal government purchases from the AbilityOne Program support expenditures other than the wages of people who are blind or have a severe disability.</w:t>
      </w:r>
    </w:p>
    <w:p w14:paraId="61259FE3" w14:textId="40A29867" w:rsidR="001778CD" w:rsidRPr="00123E6D" w:rsidRDefault="001778CD" w:rsidP="001778CD">
      <w:pPr>
        <w:pStyle w:val="NCDBodyText"/>
      </w:pPr>
      <w:r w:rsidRPr="00123E6D">
        <w:t xml:space="preserve">The Commission reported average AbilityOne employee wages </w:t>
      </w:r>
      <w:r>
        <w:t xml:space="preserve">paid by the NPAs </w:t>
      </w:r>
      <w:r w:rsidRPr="00123E6D">
        <w:t xml:space="preserve">of $12.44 an hour in FY 2014, $13.01 an hour in </w:t>
      </w:r>
      <w:r>
        <w:t xml:space="preserve">FY </w:t>
      </w:r>
      <w:r w:rsidRPr="00123E6D">
        <w:t>2016</w:t>
      </w:r>
      <w:r>
        <w:t>,</w:t>
      </w:r>
      <w:r w:rsidRPr="00123E6D">
        <w:rPr>
          <w:rStyle w:val="EndnoteReference"/>
        </w:rPr>
        <w:endnoteReference w:id="99"/>
      </w:r>
      <w:r w:rsidRPr="00123E6D">
        <w:t xml:space="preserve"> </w:t>
      </w:r>
      <w:r>
        <w:t>and $13.32 an hour in FY 2017.</w:t>
      </w:r>
      <w:r>
        <w:rPr>
          <w:rStyle w:val="EndnoteReference"/>
        </w:rPr>
        <w:endnoteReference w:id="100"/>
      </w:r>
      <w:r>
        <w:t xml:space="preserve"> </w:t>
      </w:r>
      <w:r w:rsidRPr="00123E6D">
        <w:t>Under Executive Order (E.O.) 13658, NPAs wh</w:t>
      </w:r>
      <w:r w:rsidR="003443DD">
        <w:t>ich</w:t>
      </w:r>
      <w:r w:rsidRPr="00123E6D">
        <w:t xml:space="preserve"> provide services under contract to covered federal agencies must currently pay $10.60 an hour to all employees, regardless of whether an employee with a disability could be paid a subminimum wage under </w:t>
      </w:r>
      <w:r>
        <w:t>s</w:t>
      </w:r>
      <w:r w:rsidRPr="00123E6D">
        <w:t xml:space="preserve">ection 14(c) of the </w:t>
      </w:r>
      <w:r>
        <w:t>FLSA</w:t>
      </w:r>
      <w:r w:rsidRPr="00123E6D">
        <w:t>.</w:t>
      </w:r>
      <w:r w:rsidRPr="00123E6D">
        <w:rPr>
          <w:rStyle w:val="EndnoteReference"/>
        </w:rPr>
        <w:endnoteReference w:id="101"/>
      </w:r>
      <w:r w:rsidRPr="00123E6D">
        <w:t xml:space="preserve"> NPA AbilityOne production work, however, is not subject to E.O. 13658</w:t>
      </w:r>
      <w:r>
        <w:t xml:space="preserve"> and </w:t>
      </w:r>
      <w:r w:rsidRPr="00123E6D">
        <w:t>NPAs</w:t>
      </w:r>
      <w:r>
        <w:t xml:space="preserve"> with FLSA section 14(c) certificates may </w:t>
      </w:r>
      <w:r w:rsidRPr="00123E6D">
        <w:t xml:space="preserve">pay wages to employees with </w:t>
      </w:r>
      <w:r>
        <w:t xml:space="preserve">disabilities </w:t>
      </w:r>
      <w:r w:rsidRPr="00123E6D">
        <w:t xml:space="preserve">below the federal minimum wage of $7.25 </w:t>
      </w:r>
      <w:r w:rsidRPr="00123E6D">
        <w:lastRenderedPageBreak/>
        <w:t>an hour.</w:t>
      </w:r>
      <w:r>
        <w:t xml:space="preserve"> The Commission reported to NCD researchers that average wages in FY 2017 were $9.12 an hour for production contracts and $14.30 an hour for service contracts.</w:t>
      </w:r>
      <w:r>
        <w:rPr>
          <w:rStyle w:val="EndnoteReference"/>
        </w:rPr>
        <w:endnoteReference w:id="102"/>
      </w:r>
      <w:r>
        <w:t xml:space="preserve"> The Commission collects aggregate wage data, but does not collect data on wages paid by the NPAs to individual AbilityOne employees.</w:t>
      </w:r>
      <w:r>
        <w:rPr>
          <w:rStyle w:val="EndnoteReference"/>
        </w:rPr>
        <w:endnoteReference w:id="103"/>
      </w:r>
      <w:r>
        <w:t xml:space="preserve"> A calculation is thus not possible of the range of hourly wage rates paid to such employees in order to directly assess the impact of section 14(c) subminimum wages paid by the NPAs.</w:t>
      </w:r>
      <w:r w:rsidRPr="00D53F07">
        <w:rPr>
          <w:rStyle w:val="EndnoteReference"/>
        </w:rPr>
        <w:t xml:space="preserve"> </w:t>
      </w:r>
    </w:p>
    <w:p w14:paraId="7B739F81" w14:textId="77777777" w:rsidR="001778CD" w:rsidRPr="00123E6D" w:rsidRDefault="001778CD" w:rsidP="001778CD">
      <w:pPr>
        <w:pStyle w:val="NCDBodyText"/>
      </w:pPr>
      <w:r w:rsidRPr="00123E6D">
        <w:t>For this report, NCD researchers compared the name and location of the FY 2017 NPAs against entities which h</w:t>
      </w:r>
      <w:r>
        <w:t>e</w:t>
      </w:r>
      <w:r w:rsidRPr="00123E6D">
        <w:t xml:space="preserve">ld a </w:t>
      </w:r>
      <w:r>
        <w:t xml:space="preserve">section </w:t>
      </w:r>
      <w:r w:rsidRPr="00123E6D">
        <w:t xml:space="preserve">14(c) certificate as reported </w:t>
      </w:r>
      <w:r w:rsidRPr="00093AFB">
        <w:t>by the U.S. Department of Labor’s Wage and Hour Division</w:t>
      </w:r>
      <w:r w:rsidRPr="00EE07D6">
        <w:t xml:space="preserve"> </w:t>
      </w:r>
      <w:r w:rsidRPr="00123E6D">
        <w:t xml:space="preserve">in </w:t>
      </w:r>
      <w:r w:rsidRPr="00093AFB">
        <w:t>Oct</w:t>
      </w:r>
      <w:r>
        <w:t>ober</w:t>
      </w:r>
      <w:r w:rsidRPr="00093AFB">
        <w:t xml:space="preserve"> 2017</w:t>
      </w:r>
      <w:r>
        <w:t xml:space="preserve">. NCD </w:t>
      </w:r>
      <w:r w:rsidRPr="00123E6D">
        <w:t>found that between 40 to 44 percent, or as many as 234 of the 527 NPAs, were allowed to pay subminimum wages.</w:t>
      </w:r>
      <w:r w:rsidRPr="00123E6D">
        <w:rPr>
          <w:rStyle w:val="EndnoteReference"/>
        </w:rPr>
        <w:endnoteReference w:id="104"/>
      </w:r>
      <w:r w:rsidRPr="00123E6D">
        <w:t xml:space="preserve"> </w:t>
      </w:r>
      <w:r>
        <w:t xml:space="preserve">Four of the NPAs holding a 14(c) certificate in 2017 were under the responsibility of NIB, with the remaining under the responsibility of SourceAmerica. </w:t>
      </w:r>
      <w:r w:rsidRPr="00123E6D">
        <w:t>Using slightly older data, NCD recently reported that as many as 48 percent of NPAs hold a 14(c) certificate.</w:t>
      </w:r>
      <w:r w:rsidRPr="00123E6D">
        <w:rPr>
          <w:rStyle w:val="EndnoteReference"/>
        </w:rPr>
        <w:endnoteReference w:id="105"/>
      </w:r>
      <w:r w:rsidRPr="00123E6D">
        <w:t xml:space="preserve"> NCD also </w:t>
      </w:r>
      <w:r>
        <w:t xml:space="preserve">reported </w:t>
      </w:r>
      <w:r w:rsidRPr="00123E6D">
        <w:t xml:space="preserve">that more than half of the 50 largest 14(c) certificate holders based on the reported number of employees paid a subminimum wage participate as AbilityOne </w:t>
      </w:r>
      <w:r>
        <w:t xml:space="preserve">Program </w:t>
      </w:r>
      <w:r w:rsidRPr="00123E6D">
        <w:t>NPAs.</w:t>
      </w:r>
      <w:r w:rsidRPr="00123E6D">
        <w:rPr>
          <w:rStyle w:val="EndnoteReference"/>
        </w:rPr>
        <w:endnoteReference w:id="106"/>
      </w:r>
      <w:r w:rsidRPr="00123E6D">
        <w:t xml:space="preserve"> </w:t>
      </w:r>
    </w:p>
    <w:p w14:paraId="1DBB021D" w14:textId="77777777" w:rsidR="001778CD" w:rsidRPr="00123E6D" w:rsidRDefault="001778CD" w:rsidP="001778CD">
      <w:pPr>
        <w:spacing w:after="0" w:line="360" w:lineRule="auto"/>
        <w:rPr>
          <w:rFonts w:ascii="Arial" w:hAnsi="Arial" w:cs="Arial"/>
          <w:szCs w:val="24"/>
        </w:rPr>
      </w:pPr>
      <w:r w:rsidRPr="00123E6D">
        <w:rPr>
          <w:rFonts w:ascii="Arial" w:hAnsi="Arial" w:cs="Arial"/>
          <w:szCs w:val="24"/>
        </w:rPr>
        <w:t xml:space="preserve">The Commission uses various data to determine “which lines of business support the most reliable, highest skilled, highest paying positions for AbilityOne employees, and </w:t>
      </w:r>
      <w:r w:rsidRPr="00550D78">
        <w:rPr>
          <w:rFonts w:ascii="Arial" w:hAnsi="Arial" w:cs="Arial"/>
          <w:szCs w:val="24"/>
        </w:rPr>
        <w:t xml:space="preserve">should </w:t>
      </w:r>
      <w:r>
        <w:rPr>
          <w:rFonts w:ascii="Arial" w:hAnsi="Arial" w:cs="Arial"/>
          <w:szCs w:val="24"/>
        </w:rPr>
        <w:t xml:space="preserve">. . . </w:t>
      </w:r>
      <w:r w:rsidRPr="00550D78">
        <w:rPr>
          <w:rFonts w:ascii="Arial" w:hAnsi="Arial" w:cs="Arial"/>
          <w:szCs w:val="24"/>
        </w:rPr>
        <w:t>be</w:t>
      </w:r>
      <w:r w:rsidRPr="00123E6D">
        <w:rPr>
          <w:rFonts w:ascii="Arial" w:hAnsi="Arial" w:cs="Arial"/>
          <w:szCs w:val="24"/>
        </w:rPr>
        <w:t xml:space="preserve"> the focal points for fostering and growing AbilityOne job opportunities.”</w:t>
      </w:r>
      <w:r w:rsidRPr="00123E6D">
        <w:rPr>
          <w:rStyle w:val="EndnoteReference"/>
          <w:rFonts w:cs="Arial"/>
          <w:szCs w:val="24"/>
        </w:rPr>
        <w:endnoteReference w:id="107"/>
      </w:r>
      <w:r w:rsidRPr="00123E6D">
        <w:rPr>
          <w:rFonts w:ascii="Arial" w:hAnsi="Arial" w:cs="Arial"/>
          <w:szCs w:val="24"/>
        </w:rPr>
        <w:t xml:space="preserve"> A Commission vision further includes that “every AbilityOne employee earns not only the federal minimum wage (or higher applicable state or local minimum wage) but also a living wage and benefits package appropriate to his or her geographic locality.”</w:t>
      </w:r>
      <w:r w:rsidRPr="00123E6D">
        <w:rPr>
          <w:rStyle w:val="EndnoteReference"/>
          <w:rFonts w:cs="Arial"/>
          <w:szCs w:val="24"/>
        </w:rPr>
        <w:endnoteReference w:id="108"/>
      </w:r>
      <w:r w:rsidRPr="00123E6D">
        <w:rPr>
          <w:rFonts w:ascii="Arial" w:hAnsi="Arial" w:cs="Arial"/>
          <w:szCs w:val="24"/>
        </w:rPr>
        <w:t xml:space="preserve"> Despite these aspirational goals, there is limited</w:t>
      </w:r>
      <w:r>
        <w:rPr>
          <w:rFonts w:ascii="Arial" w:hAnsi="Arial" w:cs="Arial"/>
          <w:szCs w:val="24"/>
        </w:rPr>
        <w:t xml:space="preserve"> public</w:t>
      </w:r>
      <w:r w:rsidRPr="00123E6D">
        <w:rPr>
          <w:rFonts w:ascii="Arial" w:hAnsi="Arial" w:cs="Arial"/>
          <w:szCs w:val="24"/>
        </w:rPr>
        <w:t xml:space="preserve"> information to determine if the program results in a livable wage</w:t>
      </w:r>
      <w:r>
        <w:rPr>
          <w:rFonts w:ascii="Arial" w:hAnsi="Arial" w:cs="Arial"/>
          <w:szCs w:val="24"/>
        </w:rPr>
        <w:t xml:space="preserve">, </w:t>
      </w:r>
      <w:r w:rsidRPr="00123E6D">
        <w:rPr>
          <w:rFonts w:ascii="Arial" w:hAnsi="Arial" w:cs="Arial"/>
          <w:szCs w:val="24"/>
        </w:rPr>
        <w:t xml:space="preserve">reducing the need for </w:t>
      </w:r>
      <w:r>
        <w:rPr>
          <w:rFonts w:ascii="Arial" w:hAnsi="Arial" w:cs="Arial"/>
          <w:szCs w:val="24"/>
        </w:rPr>
        <w:t xml:space="preserve">certain </w:t>
      </w:r>
      <w:r w:rsidRPr="00123E6D">
        <w:rPr>
          <w:rFonts w:ascii="Arial" w:hAnsi="Arial" w:cs="Arial"/>
          <w:szCs w:val="24"/>
        </w:rPr>
        <w:t>public benefits for AbilityOne employees.</w:t>
      </w:r>
      <w:r>
        <w:rPr>
          <w:rStyle w:val="EndnoteReference"/>
          <w:rFonts w:cs="Arial"/>
          <w:szCs w:val="24"/>
        </w:rPr>
        <w:endnoteReference w:id="109"/>
      </w:r>
    </w:p>
    <w:p w14:paraId="2A4CDBE4" w14:textId="77777777" w:rsidR="001778CD" w:rsidRPr="00123E6D" w:rsidRDefault="001778CD" w:rsidP="001778CD">
      <w:pPr>
        <w:spacing w:after="0" w:line="360" w:lineRule="auto"/>
        <w:rPr>
          <w:rFonts w:ascii="Arial" w:hAnsi="Arial" w:cs="Arial"/>
          <w:szCs w:val="24"/>
        </w:rPr>
      </w:pPr>
    </w:p>
    <w:p w14:paraId="619C8CFF" w14:textId="77777777" w:rsidR="001778CD" w:rsidRPr="007B002C" w:rsidRDefault="001778CD" w:rsidP="001778CD">
      <w:pPr>
        <w:pStyle w:val="Heading2"/>
        <w:ind w:left="1166" w:hanging="1166"/>
        <w:rPr>
          <w:b/>
          <w:caps w:val="0"/>
          <w:color w:val="auto"/>
          <w:sz w:val="30"/>
          <w:szCs w:val="30"/>
        </w:rPr>
      </w:pPr>
      <w:bookmarkStart w:id="7" w:name="_Toc531584345"/>
      <w:r w:rsidRPr="007B002C">
        <w:rPr>
          <w:b/>
          <w:caps w:val="0"/>
          <w:color w:val="auto"/>
          <w:sz w:val="30"/>
          <w:szCs w:val="30"/>
        </w:rPr>
        <w:t xml:space="preserve">Part III: Responsibilities and Oversight of the AbilityOne Program </w:t>
      </w:r>
      <w:bookmarkEnd w:id="7"/>
    </w:p>
    <w:p w14:paraId="4DDA044D" w14:textId="77777777" w:rsidR="001778CD" w:rsidRPr="00123E6D" w:rsidRDefault="001778CD" w:rsidP="001778CD">
      <w:pPr>
        <w:pStyle w:val="NCDBodyText"/>
        <w:rPr>
          <w:rFonts w:cs="Arial"/>
        </w:rPr>
      </w:pPr>
      <w:r w:rsidRPr="00123E6D">
        <w:rPr>
          <w:rFonts w:cs="Arial"/>
        </w:rPr>
        <w:t>In the past five years, a number of steps have been taken, both directly and indirectly, to increase the oversight of</w:t>
      </w:r>
      <w:r>
        <w:rPr>
          <w:rFonts w:cs="Arial"/>
        </w:rPr>
        <w:t xml:space="preserve"> the AbilityOne P</w:t>
      </w:r>
      <w:r w:rsidRPr="00123E6D">
        <w:rPr>
          <w:rFonts w:cs="Arial"/>
        </w:rPr>
        <w:t>rogram by Congress and the Commission.</w:t>
      </w:r>
    </w:p>
    <w:p w14:paraId="3FE3ECDE" w14:textId="77777777" w:rsidR="001778CD" w:rsidRPr="00123E6D" w:rsidRDefault="001778CD" w:rsidP="001778CD">
      <w:pPr>
        <w:pStyle w:val="NCDBodyText"/>
        <w:keepNext/>
        <w:spacing w:after="0"/>
        <w:rPr>
          <w:rFonts w:cs="Arial"/>
          <w:u w:val="single"/>
        </w:rPr>
      </w:pPr>
      <w:r w:rsidRPr="00123E6D">
        <w:rPr>
          <w:rFonts w:cs="Arial"/>
          <w:u w:val="single"/>
        </w:rPr>
        <w:lastRenderedPageBreak/>
        <w:t>A. Public Reports of Problems</w:t>
      </w:r>
    </w:p>
    <w:p w14:paraId="2602D3E5" w14:textId="77777777" w:rsidR="001778CD" w:rsidRPr="00123E6D" w:rsidRDefault="001778CD" w:rsidP="001778CD">
      <w:pPr>
        <w:pStyle w:val="NCDBodyText"/>
        <w:keepNext/>
        <w:rPr>
          <w:rFonts w:cs="Arial"/>
        </w:rPr>
      </w:pPr>
      <w:r w:rsidRPr="00123E6D">
        <w:rPr>
          <w:rFonts w:cs="Arial"/>
        </w:rPr>
        <w:t xml:space="preserve">The </w:t>
      </w:r>
      <w:r>
        <w:rPr>
          <w:rFonts w:cs="Arial"/>
        </w:rPr>
        <w:t>GAO</w:t>
      </w:r>
      <w:r w:rsidRPr="00123E6D">
        <w:rPr>
          <w:rFonts w:cs="Arial"/>
        </w:rPr>
        <w:t xml:space="preserve"> noted several deficits in the AbilityOne Program in 2013, highlighting the extreme lack of oversight of the CNAs, and a general lack of </w:t>
      </w:r>
      <w:r>
        <w:rPr>
          <w:rFonts w:cs="Arial"/>
        </w:rPr>
        <w:t>transparency in the AbilityOne P</w:t>
      </w:r>
      <w:r w:rsidRPr="00123E6D">
        <w:rPr>
          <w:rFonts w:cs="Arial"/>
        </w:rPr>
        <w:t>rogram.</w:t>
      </w:r>
      <w:r w:rsidRPr="00123E6D">
        <w:rPr>
          <w:rStyle w:val="EndnoteReference"/>
          <w:rFonts w:cs="Arial"/>
        </w:rPr>
        <w:endnoteReference w:id="110"/>
      </w:r>
      <w:r w:rsidRPr="00123E6D">
        <w:rPr>
          <w:rFonts w:cs="Arial"/>
        </w:rPr>
        <w:t xml:space="preserve"> The GAO recommended the establishment of an </w:t>
      </w:r>
      <w:r>
        <w:rPr>
          <w:rFonts w:cs="Arial"/>
        </w:rPr>
        <w:t>OIG for the program</w:t>
      </w:r>
      <w:r w:rsidRPr="00123E6D">
        <w:rPr>
          <w:rFonts w:cs="Arial"/>
        </w:rPr>
        <w:t>, and that the AbilityOne Commission enter into written agreements with the CNAs and improve overall transparency.</w:t>
      </w:r>
      <w:r w:rsidRPr="00123E6D">
        <w:rPr>
          <w:rStyle w:val="EndnoteReference"/>
          <w:rFonts w:cs="Arial"/>
        </w:rPr>
        <w:endnoteReference w:id="111"/>
      </w:r>
    </w:p>
    <w:p w14:paraId="4D66F147" w14:textId="0E658FFD" w:rsidR="001778CD" w:rsidRDefault="001778CD" w:rsidP="001778CD">
      <w:pPr>
        <w:spacing w:after="0" w:line="360" w:lineRule="auto"/>
        <w:rPr>
          <w:rFonts w:ascii="Arial" w:hAnsi="Arial" w:cs="Arial"/>
          <w:color w:val="000000" w:themeColor="text1"/>
          <w:szCs w:val="24"/>
        </w:rPr>
      </w:pPr>
      <w:r w:rsidRPr="00123E6D">
        <w:rPr>
          <w:rFonts w:ascii="Arial" w:hAnsi="Arial" w:cs="Arial"/>
          <w:color w:val="000000" w:themeColor="text1"/>
          <w:szCs w:val="24"/>
        </w:rPr>
        <w:t xml:space="preserve">In 2015 </w:t>
      </w:r>
      <w:r w:rsidRPr="00F01EE6">
        <w:rPr>
          <w:rFonts w:ascii="Arial" w:hAnsi="Arial" w:cs="Arial"/>
          <w:color w:val="000000" w:themeColor="text1"/>
          <w:szCs w:val="24"/>
        </w:rPr>
        <w:t>CNN aired a report examining</w:t>
      </w:r>
      <w:r w:rsidRPr="00123E6D">
        <w:rPr>
          <w:rFonts w:ascii="Arial" w:hAnsi="Arial" w:cs="Arial"/>
          <w:color w:val="000000" w:themeColor="text1"/>
          <w:szCs w:val="24"/>
        </w:rPr>
        <w:t xml:space="preserve"> the AbilityOne </w:t>
      </w:r>
      <w:r>
        <w:rPr>
          <w:rFonts w:ascii="Arial" w:hAnsi="Arial" w:cs="Arial"/>
          <w:color w:val="000000" w:themeColor="text1"/>
          <w:szCs w:val="24"/>
        </w:rPr>
        <w:t>P</w:t>
      </w:r>
      <w:r w:rsidRPr="00123E6D">
        <w:rPr>
          <w:rFonts w:ascii="Arial" w:hAnsi="Arial" w:cs="Arial"/>
          <w:color w:val="000000" w:themeColor="text1"/>
          <w:szCs w:val="24"/>
        </w:rPr>
        <w:t>rog</w:t>
      </w:r>
      <w:r>
        <w:rPr>
          <w:rFonts w:ascii="Arial" w:hAnsi="Arial" w:cs="Arial"/>
          <w:color w:val="000000" w:themeColor="text1"/>
          <w:szCs w:val="24"/>
        </w:rPr>
        <w:t>ram and r</w:t>
      </w:r>
      <w:r w:rsidRPr="00123E6D">
        <w:rPr>
          <w:rFonts w:ascii="Arial" w:hAnsi="Arial" w:cs="Arial"/>
          <w:color w:val="000000" w:themeColor="text1"/>
          <w:szCs w:val="24"/>
        </w:rPr>
        <w:t xml:space="preserve">eported that </w:t>
      </w:r>
      <w:r>
        <w:rPr>
          <w:rFonts w:ascii="Arial" w:hAnsi="Arial" w:cs="Arial"/>
          <w:color w:val="000000" w:themeColor="text1"/>
          <w:szCs w:val="24"/>
        </w:rPr>
        <w:t xml:space="preserve">the program </w:t>
      </w:r>
      <w:r w:rsidRPr="00123E6D">
        <w:rPr>
          <w:rFonts w:ascii="Arial" w:hAnsi="Arial" w:cs="Arial"/>
          <w:color w:val="000000" w:themeColor="text1"/>
          <w:szCs w:val="24"/>
        </w:rPr>
        <w:t>was being investigated “for illegal operations, financial fraud, mismanagement, operating in violation of the law, steering of contracts, and possibly obstruction of justice.”</w:t>
      </w:r>
      <w:r w:rsidRPr="00123E6D">
        <w:rPr>
          <w:rStyle w:val="EndnoteReference"/>
          <w:rFonts w:cs="Arial"/>
          <w:color w:val="000000" w:themeColor="text1"/>
          <w:szCs w:val="24"/>
        </w:rPr>
        <w:endnoteReference w:id="112"/>
      </w:r>
      <w:r>
        <w:rPr>
          <w:rFonts w:ascii="Arial" w:hAnsi="Arial" w:cs="Arial"/>
          <w:color w:val="000000" w:themeColor="text1"/>
          <w:szCs w:val="24"/>
        </w:rPr>
        <w:t xml:space="preserve"> </w:t>
      </w:r>
      <w:r w:rsidRPr="00123E6D">
        <w:rPr>
          <w:rFonts w:ascii="Arial" w:hAnsi="Arial" w:cs="Arial"/>
          <w:color w:val="000000" w:themeColor="text1"/>
          <w:szCs w:val="24"/>
        </w:rPr>
        <w:t>According to CNN, investigative agencies included the Departments of Defense, Justice, State, Veterans Affairs, and the Government Services Administration. The CNN report detail</w:t>
      </w:r>
      <w:r>
        <w:rPr>
          <w:rFonts w:ascii="Arial" w:hAnsi="Arial" w:cs="Arial"/>
          <w:color w:val="000000" w:themeColor="text1"/>
          <w:szCs w:val="24"/>
        </w:rPr>
        <w:t xml:space="preserve">ed </w:t>
      </w:r>
      <w:r w:rsidRPr="00123E6D">
        <w:rPr>
          <w:rFonts w:ascii="Arial" w:hAnsi="Arial" w:cs="Arial"/>
          <w:color w:val="000000" w:themeColor="text1"/>
          <w:szCs w:val="24"/>
        </w:rPr>
        <w:t xml:space="preserve">allegations of conflicts of interest and preferential treatment in NPA selection by SourceAmerica, which SourceAmerica denied. CNN </w:t>
      </w:r>
      <w:r>
        <w:rPr>
          <w:rFonts w:ascii="Arial" w:hAnsi="Arial" w:cs="Arial"/>
          <w:color w:val="000000" w:themeColor="text1"/>
          <w:szCs w:val="24"/>
        </w:rPr>
        <w:t>stated that</w:t>
      </w:r>
      <w:r w:rsidRPr="00123E6D">
        <w:rPr>
          <w:rFonts w:ascii="Arial" w:hAnsi="Arial" w:cs="Arial"/>
          <w:color w:val="000000" w:themeColor="text1"/>
          <w:szCs w:val="24"/>
        </w:rPr>
        <w:t xml:space="preserve"> “there is no real verification process in AbilityOne or SourceAmerica to determine whether severely disabled workers are being hired in the proper ratio and the contracts are operating legally.”</w:t>
      </w:r>
      <w:r w:rsidRPr="00123E6D">
        <w:rPr>
          <w:rStyle w:val="EndnoteReference"/>
          <w:rFonts w:cs="Arial"/>
          <w:color w:val="000000" w:themeColor="text1"/>
          <w:szCs w:val="24"/>
        </w:rPr>
        <w:endnoteReference w:id="113"/>
      </w:r>
    </w:p>
    <w:p w14:paraId="014306F7" w14:textId="77777777" w:rsidR="001778CD" w:rsidRPr="00123E6D" w:rsidRDefault="001778CD" w:rsidP="001778CD">
      <w:pPr>
        <w:spacing w:after="0" w:line="360" w:lineRule="auto"/>
        <w:rPr>
          <w:rFonts w:ascii="Arial" w:hAnsi="Arial" w:cs="Arial"/>
          <w:color w:val="000000" w:themeColor="text1"/>
          <w:szCs w:val="24"/>
        </w:rPr>
      </w:pPr>
    </w:p>
    <w:p w14:paraId="036EE0DD" w14:textId="77777777" w:rsidR="001778CD" w:rsidRPr="002114B0" w:rsidRDefault="001778CD" w:rsidP="001778CD">
      <w:pPr>
        <w:pStyle w:val="NCDBodyText"/>
        <w:spacing w:after="0"/>
        <w:rPr>
          <w:rFonts w:cs="Arial"/>
          <w:u w:val="single"/>
        </w:rPr>
      </w:pPr>
      <w:r w:rsidRPr="002114B0">
        <w:rPr>
          <w:rFonts w:cs="Arial"/>
          <w:u w:val="single"/>
        </w:rPr>
        <w:t>B. Congressional Action</w:t>
      </w:r>
    </w:p>
    <w:p w14:paraId="4FB53B6D" w14:textId="77777777" w:rsidR="001778CD" w:rsidRPr="00123E6D" w:rsidRDefault="001778CD" w:rsidP="001778CD">
      <w:pPr>
        <w:spacing w:after="0" w:line="360" w:lineRule="auto"/>
        <w:rPr>
          <w:rFonts w:ascii="Arial" w:eastAsiaTheme="minorHAnsi" w:hAnsi="Arial" w:cs="Arial"/>
          <w:szCs w:val="24"/>
        </w:rPr>
      </w:pPr>
      <w:r w:rsidRPr="00123E6D">
        <w:rPr>
          <w:rFonts w:ascii="Arial" w:eastAsiaTheme="minorHAnsi" w:hAnsi="Arial" w:cs="Arial"/>
          <w:szCs w:val="24"/>
        </w:rPr>
        <w:t xml:space="preserve">In 2015 and 2016, Congress took steps to increase the oversight of the AbilityOne Program. </w:t>
      </w:r>
      <w:r>
        <w:rPr>
          <w:rFonts w:ascii="Arial" w:eastAsiaTheme="minorHAnsi" w:hAnsi="Arial" w:cs="Arial"/>
          <w:szCs w:val="24"/>
        </w:rPr>
        <w:t>Congress passed the</w:t>
      </w:r>
      <w:r w:rsidRPr="00123E6D">
        <w:rPr>
          <w:rFonts w:ascii="Arial" w:eastAsiaTheme="minorHAnsi" w:hAnsi="Arial" w:cs="Arial"/>
          <w:szCs w:val="24"/>
        </w:rPr>
        <w:t xml:space="preserve"> Consolidated Appropriations Act, 2016 (CAA) in December 2015</w:t>
      </w:r>
      <w:r>
        <w:rPr>
          <w:rFonts w:ascii="Arial" w:eastAsiaTheme="minorHAnsi" w:hAnsi="Arial" w:cs="Arial"/>
          <w:szCs w:val="24"/>
        </w:rPr>
        <w:t xml:space="preserve"> which</w:t>
      </w:r>
      <w:r w:rsidRPr="00123E6D">
        <w:rPr>
          <w:rFonts w:ascii="Arial" w:eastAsiaTheme="minorHAnsi" w:hAnsi="Arial" w:cs="Arial"/>
          <w:szCs w:val="24"/>
        </w:rPr>
        <w:t xml:space="preserve"> appointed an</w:t>
      </w:r>
      <w:r>
        <w:rPr>
          <w:rFonts w:ascii="Arial" w:eastAsiaTheme="minorHAnsi" w:hAnsi="Arial" w:cs="Arial"/>
          <w:szCs w:val="24"/>
        </w:rPr>
        <w:t xml:space="preserve"> Inspector General</w:t>
      </w:r>
      <w:r w:rsidRPr="00123E6D">
        <w:rPr>
          <w:rFonts w:ascii="Arial" w:eastAsiaTheme="minorHAnsi" w:hAnsi="Arial" w:cs="Arial"/>
          <w:szCs w:val="24"/>
        </w:rPr>
        <w:t xml:space="preserve"> for the </w:t>
      </w:r>
      <w:r>
        <w:rPr>
          <w:rFonts w:ascii="Arial" w:eastAsiaTheme="minorHAnsi" w:hAnsi="Arial" w:cs="Arial"/>
          <w:szCs w:val="24"/>
        </w:rPr>
        <w:t>program</w:t>
      </w:r>
      <w:r w:rsidRPr="00123E6D">
        <w:rPr>
          <w:rFonts w:ascii="Arial" w:eastAsiaTheme="minorHAnsi" w:hAnsi="Arial" w:cs="Arial"/>
          <w:szCs w:val="24"/>
        </w:rPr>
        <w:t xml:space="preserve"> and mandated that the Commission enter into written agreements with the CNAs</w:t>
      </w:r>
      <w:r>
        <w:rPr>
          <w:rFonts w:ascii="Arial" w:eastAsiaTheme="minorHAnsi" w:hAnsi="Arial" w:cs="Arial"/>
          <w:szCs w:val="24"/>
        </w:rPr>
        <w:t>.</w:t>
      </w:r>
      <w:r w:rsidRPr="00123E6D">
        <w:rPr>
          <w:rStyle w:val="EndnoteReference"/>
          <w:rFonts w:eastAsiaTheme="minorHAnsi" w:cs="Arial"/>
          <w:szCs w:val="24"/>
        </w:rPr>
        <w:endnoteReference w:id="114"/>
      </w:r>
      <w:r>
        <w:rPr>
          <w:rFonts w:ascii="Arial" w:eastAsiaTheme="minorHAnsi" w:hAnsi="Arial" w:cs="Arial"/>
          <w:szCs w:val="24"/>
        </w:rPr>
        <w:t xml:space="preserve"> </w:t>
      </w:r>
      <w:r w:rsidRPr="00123E6D">
        <w:rPr>
          <w:rFonts w:ascii="Arial" w:eastAsiaTheme="minorHAnsi" w:hAnsi="Arial" w:cs="Arial"/>
          <w:szCs w:val="24"/>
        </w:rPr>
        <w:t>Star</w:t>
      </w:r>
      <w:r>
        <w:rPr>
          <w:rFonts w:ascii="Arial" w:eastAsiaTheme="minorHAnsi" w:hAnsi="Arial" w:cs="Arial"/>
          <w:szCs w:val="24"/>
        </w:rPr>
        <w:t>t</w:t>
      </w:r>
      <w:r w:rsidRPr="00123E6D">
        <w:rPr>
          <w:rFonts w:ascii="Arial" w:eastAsiaTheme="minorHAnsi" w:hAnsi="Arial" w:cs="Arial"/>
          <w:szCs w:val="24"/>
        </w:rPr>
        <w:t xml:space="preserve">ing in FY 2016, </w:t>
      </w:r>
      <w:r>
        <w:rPr>
          <w:rFonts w:ascii="Arial" w:eastAsiaTheme="minorHAnsi" w:hAnsi="Arial" w:cs="Arial"/>
          <w:szCs w:val="24"/>
        </w:rPr>
        <w:t>Congress</w:t>
      </w:r>
      <w:r w:rsidRPr="00123E6D">
        <w:rPr>
          <w:rFonts w:ascii="Arial" w:eastAsiaTheme="minorHAnsi" w:hAnsi="Arial" w:cs="Arial"/>
          <w:szCs w:val="24"/>
        </w:rPr>
        <w:t xml:space="preserve"> also required that the Commission file quarterly reports on the CNA program fees; salaries and benefits; and on travel, lobbying and related expenses.</w:t>
      </w:r>
      <w:r w:rsidRPr="00123E6D">
        <w:rPr>
          <w:rStyle w:val="EndnoteReference"/>
          <w:rFonts w:eastAsiaTheme="minorHAnsi" w:cs="Arial"/>
          <w:szCs w:val="24"/>
        </w:rPr>
        <w:endnoteReference w:id="115"/>
      </w:r>
      <w:r w:rsidRPr="00123E6D">
        <w:rPr>
          <w:rFonts w:ascii="Arial" w:eastAsiaTheme="minorHAnsi" w:hAnsi="Arial" w:cs="Arial"/>
          <w:szCs w:val="24"/>
        </w:rPr>
        <w:t xml:space="preserve"> The requirement was extended in FY 2017 and 2018.</w:t>
      </w:r>
      <w:r w:rsidRPr="00123E6D">
        <w:rPr>
          <w:rStyle w:val="EndnoteReference"/>
          <w:rFonts w:eastAsiaTheme="minorHAnsi" w:cs="Arial"/>
          <w:szCs w:val="24"/>
        </w:rPr>
        <w:endnoteReference w:id="116"/>
      </w:r>
      <w:r w:rsidRPr="00123E6D">
        <w:rPr>
          <w:rFonts w:ascii="Arial" w:eastAsiaTheme="minorHAnsi" w:hAnsi="Arial" w:cs="Arial"/>
          <w:szCs w:val="24"/>
        </w:rPr>
        <w:t xml:space="preserve"> These quarterly reports are not </w:t>
      </w:r>
      <w:r>
        <w:rPr>
          <w:rFonts w:ascii="Arial" w:eastAsiaTheme="minorHAnsi" w:hAnsi="Arial" w:cs="Arial"/>
          <w:szCs w:val="24"/>
        </w:rPr>
        <w:t xml:space="preserve">publicly </w:t>
      </w:r>
      <w:r w:rsidRPr="00123E6D">
        <w:rPr>
          <w:rFonts w:ascii="Arial" w:eastAsiaTheme="minorHAnsi" w:hAnsi="Arial" w:cs="Arial"/>
          <w:szCs w:val="24"/>
        </w:rPr>
        <w:t>available</w:t>
      </w:r>
      <w:r>
        <w:rPr>
          <w:rFonts w:ascii="Arial" w:eastAsiaTheme="minorHAnsi" w:hAnsi="Arial" w:cs="Arial"/>
          <w:szCs w:val="24"/>
        </w:rPr>
        <w:t xml:space="preserve"> as the Commission considers the </w:t>
      </w:r>
      <w:r w:rsidRPr="000A0AAE">
        <w:rPr>
          <w:rFonts w:ascii="Arial" w:eastAsiaTheme="minorHAnsi" w:hAnsi="Arial" w:cs="Arial"/>
          <w:color w:val="000000" w:themeColor="text1"/>
          <w:szCs w:val="24"/>
        </w:rPr>
        <w:t xml:space="preserve">information </w:t>
      </w:r>
      <w:r w:rsidRPr="000A0AAE">
        <w:rPr>
          <w:rFonts w:ascii="Arial" w:hAnsi="Arial" w:cs="Arial"/>
          <w:color w:val="000000" w:themeColor="text1"/>
        </w:rPr>
        <w:t>proprietary and confidential</w:t>
      </w:r>
      <w:r w:rsidRPr="000A0AAE">
        <w:rPr>
          <w:rFonts w:ascii="Arial" w:eastAsiaTheme="minorHAnsi" w:hAnsi="Arial" w:cs="Arial"/>
          <w:color w:val="000000" w:themeColor="text1"/>
          <w:szCs w:val="24"/>
        </w:rPr>
        <w:t>.</w:t>
      </w:r>
      <w:r>
        <w:rPr>
          <w:rStyle w:val="EndnoteReference"/>
          <w:rFonts w:eastAsiaTheme="minorHAnsi" w:cs="Arial"/>
          <w:color w:val="000000" w:themeColor="text1"/>
          <w:szCs w:val="24"/>
        </w:rPr>
        <w:endnoteReference w:id="117"/>
      </w:r>
      <w:r w:rsidRPr="00123E6D">
        <w:rPr>
          <w:rFonts w:ascii="Arial" w:eastAsiaTheme="minorHAnsi" w:hAnsi="Arial" w:cs="Arial"/>
          <w:szCs w:val="24"/>
        </w:rPr>
        <w:t xml:space="preserve"> Congress provided for additional oversight in the National Defense Authorization Act for Fiscal Year 2017 (NDA</w:t>
      </w:r>
      <w:r w:rsidRPr="00123E6D">
        <w:rPr>
          <w:rFonts w:ascii="Arial" w:eastAsiaTheme="minorHAnsi" w:hAnsi="Arial" w:cs="Arial"/>
          <w:color w:val="000000" w:themeColor="text1"/>
          <w:szCs w:val="24"/>
        </w:rPr>
        <w:t>A</w:t>
      </w:r>
      <w:r w:rsidRPr="00123E6D">
        <w:rPr>
          <w:rFonts w:ascii="Arial" w:eastAsiaTheme="minorHAnsi" w:hAnsi="Arial" w:cs="Arial"/>
          <w:szCs w:val="24"/>
        </w:rPr>
        <w:t>), creating under Section 898 a panel to review the program in light of a 2016 DoD Inspector General report and to make appropriate recommendations.</w:t>
      </w:r>
      <w:r w:rsidRPr="00123E6D">
        <w:rPr>
          <w:rStyle w:val="EndnoteReference"/>
          <w:rFonts w:eastAsiaTheme="minorHAnsi" w:cs="Arial"/>
          <w:szCs w:val="24"/>
        </w:rPr>
        <w:endnoteReference w:id="118"/>
      </w:r>
    </w:p>
    <w:p w14:paraId="76B5B253" w14:textId="77777777" w:rsidR="001778CD" w:rsidRPr="00577854" w:rsidRDefault="001778CD" w:rsidP="001778CD">
      <w:pPr>
        <w:spacing w:after="0" w:line="360" w:lineRule="auto"/>
        <w:rPr>
          <w:rFonts w:ascii="Arial" w:hAnsi="Arial" w:cs="Arial"/>
          <w:sz w:val="23"/>
          <w:szCs w:val="23"/>
        </w:rPr>
      </w:pPr>
    </w:p>
    <w:p w14:paraId="3387000E" w14:textId="77777777" w:rsidR="001778CD" w:rsidRPr="00577854" w:rsidRDefault="001778CD" w:rsidP="001778CD">
      <w:pPr>
        <w:keepNext/>
        <w:spacing w:after="0" w:line="360" w:lineRule="auto"/>
        <w:rPr>
          <w:rFonts w:ascii="Arial" w:hAnsi="Arial" w:cs="Arial"/>
          <w:sz w:val="23"/>
          <w:szCs w:val="23"/>
          <w:u w:val="single"/>
        </w:rPr>
      </w:pPr>
      <w:r w:rsidRPr="00577854">
        <w:rPr>
          <w:rFonts w:ascii="Arial" w:hAnsi="Arial" w:cs="Arial"/>
          <w:sz w:val="23"/>
          <w:szCs w:val="23"/>
          <w:u w:val="single"/>
        </w:rPr>
        <w:t>C. Role of the Commission and CNAs</w:t>
      </w:r>
    </w:p>
    <w:p w14:paraId="5D19F41F" w14:textId="77777777" w:rsidR="001778CD" w:rsidRPr="00123E6D" w:rsidRDefault="001778CD" w:rsidP="001778CD">
      <w:pPr>
        <w:spacing w:after="0" w:line="360" w:lineRule="auto"/>
        <w:rPr>
          <w:rFonts w:ascii="Arial" w:eastAsiaTheme="minorHAnsi" w:hAnsi="Arial" w:cs="Arial"/>
          <w:szCs w:val="24"/>
        </w:rPr>
      </w:pPr>
      <w:r w:rsidRPr="00123E6D">
        <w:rPr>
          <w:rFonts w:ascii="Arial" w:eastAsiaTheme="minorHAnsi" w:hAnsi="Arial" w:cs="Arial"/>
          <w:szCs w:val="24"/>
        </w:rPr>
        <w:t xml:space="preserve">While overall oversight of the program remains with the AbilityOne Commission, the CNAs play an important role. The Commission </w:t>
      </w:r>
      <w:r>
        <w:rPr>
          <w:rFonts w:ascii="Arial" w:eastAsiaTheme="minorHAnsi" w:hAnsi="Arial" w:cs="Arial"/>
          <w:szCs w:val="24"/>
        </w:rPr>
        <w:t xml:space="preserve">had never entered into </w:t>
      </w:r>
      <w:r w:rsidRPr="00123E6D">
        <w:rPr>
          <w:rFonts w:ascii="Arial" w:eastAsiaTheme="minorHAnsi" w:hAnsi="Arial" w:cs="Arial"/>
          <w:szCs w:val="24"/>
        </w:rPr>
        <w:t>written agreement</w:t>
      </w:r>
      <w:r>
        <w:rPr>
          <w:rFonts w:ascii="Arial" w:eastAsiaTheme="minorHAnsi" w:hAnsi="Arial" w:cs="Arial"/>
          <w:szCs w:val="24"/>
        </w:rPr>
        <w:t>s</w:t>
      </w:r>
      <w:r w:rsidRPr="00123E6D">
        <w:rPr>
          <w:rFonts w:ascii="Arial" w:eastAsiaTheme="minorHAnsi" w:hAnsi="Arial" w:cs="Arial"/>
          <w:szCs w:val="24"/>
        </w:rPr>
        <w:t xml:space="preserve"> with the CNAs</w:t>
      </w:r>
      <w:r>
        <w:rPr>
          <w:rFonts w:ascii="Arial" w:eastAsiaTheme="minorHAnsi" w:hAnsi="Arial" w:cs="Arial"/>
          <w:szCs w:val="24"/>
        </w:rPr>
        <w:t xml:space="preserve"> </w:t>
      </w:r>
      <w:r w:rsidRPr="00123E6D">
        <w:rPr>
          <w:rFonts w:ascii="Arial" w:eastAsiaTheme="minorHAnsi" w:hAnsi="Arial" w:cs="Arial"/>
          <w:szCs w:val="24"/>
        </w:rPr>
        <w:t>co</w:t>
      </w:r>
      <w:r>
        <w:rPr>
          <w:rFonts w:ascii="Arial" w:eastAsiaTheme="minorHAnsi" w:hAnsi="Arial" w:cs="Arial"/>
          <w:szCs w:val="24"/>
        </w:rPr>
        <w:t xml:space="preserve">ncerning CNA performance in the history of the program </w:t>
      </w:r>
      <w:r w:rsidRPr="00123E6D">
        <w:rPr>
          <w:rFonts w:ascii="Arial" w:eastAsiaTheme="minorHAnsi" w:hAnsi="Arial" w:cs="Arial"/>
          <w:szCs w:val="24"/>
        </w:rPr>
        <w:t>until</w:t>
      </w:r>
      <w:r w:rsidRPr="00123E6D">
        <w:rPr>
          <w:rFonts w:ascii="Arial" w:eastAsiaTheme="minorHAnsi" w:hAnsi="Arial" w:cs="Arial"/>
          <w:color w:val="000000" w:themeColor="text1"/>
          <w:szCs w:val="24"/>
        </w:rPr>
        <w:t xml:space="preserve"> i</w:t>
      </w:r>
      <w:r w:rsidRPr="00123E6D">
        <w:rPr>
          <w:rFonts w:ascii="Arial" w:eastAsiaTheme="minorHAnsi" w:hAnsi="Arial" w:cs="Arial"/>
          <w:szCs w:val="24"/>
        </w:rPr>
        <w:t>mposed by Congress under the CAA.</w:t>
      </w:r>
      <w:r w:rsidRPr="00123E6D">
        <w:rPr>
          <w:rStyle w:val="EndnoteReference"/>
          <w:rFonts w:eastAsiaTheme="minorHAnsi" w:cs="Arial"/>
          <w:szCs w:val="24"/>
        </w:rPr>
        <w:endnoteReference w:id="119"/>
      </w:r>
      <w:r w:rsidRPr="00123E6D">
        <w:rPr>
          <w:rFonts w:ascii="Arial" w:eastAsiaTheme="minorHAnsi" w:hAnsi="Arial" w:cs="Arial"/>
          <w:szCs w:val="24"/>
        </w:rPr>
        <w:t xml:space="preserve"> </w:t>
      </w:r>
      <w:r w:rsidRPr="00123E6D">
        <w:rPr>
          <w:rFonts w:ascii="Arial" w:eastAsiaTheme="minorHAnsi" w:hAnsi="Arial" w:cs="Arial"/>
          <w:color w:val="000000" w:themeColor="text1"/>
          <w:szCs w:val="24"/>
        </w:rPr>
        <w:t xml:space="preserve">The first cooperative </w:t>
      </w:r>
      <w:r w:rsidRPr="00123E6D">
        <w:rPr>
          <w:rFonts w:ascii="Arial" w:eastAsiaTheme="minorHAnsi" w:hAnsi="Arial" w:cs="Arial"/>
          <w:szCs w:val="24"/>
        </w:rPr>
        <w:t>agreements</w:t>
      </w:r>
      <w:r>
        <w:rPr>
          <w:rFonts w:ascii="Arial" w:eastAsiaTheme="minorHAnsi" w:hAnsi="Arial" w:cs="Arial"/>
          <w:szCs w:val="24"/>
        </w:rPr>
        <w:t xml:space="preserve"> </w:t>
      </w:r>
      <w:r w:rsidRPr="00123E6D">
        <w:rPr>
          <w:rFonts w:ascii="Arial" w:eastAsiaTheme="minorHAnsi" w:hAnsi="Arial" w:cs="Arial"/>
          <w:szCs w:val="24"/>
        </w:rPr>
        <w:t xml:space="preserve">commenced in 2016 </w:t>
      </w:r>
      <w:r>
        <w:rPr>
          <w:rFonts w:ascii="Arial" w:eastAsiaTheme="minorHAnsi" w:hAnsi="Arial" w:cs="Arial"/>
          <w:szCs w:val="24"/>
        </w:rPr>
        <w:t>with six modifications through</w:t>
      </w:r>
      <w:r w:rsidRPr="00123E6D">
        <w:rPr>
          <w:rFonts w:ascii="Arial" w:eastAsiaTheme="minorHAnsi" w:hAnsi="Arial" w:cs="Arial"/>
          <w:szCs w:val="24"/>
        </w:rPr>
        <w:t xml:space="preserve"> July 2018.</w:t>
      </w:r>
      <w:r w:rsidRPr="00123E6D">
        <w:rPr>
          <w:rStyle w:val="EndnoteReference"/>
          <w:rFonts w:eastAsiaTheme="minorHAnsi" w:cs="Arial"/>
          <w:szCs w:val="24"/>
        </w:rPr>
        <w:endnoteReference w:id="120"/>
      </w:r>
      <w:r w:rsidRPr="00123E6D">
        <w:rPr>
          <w:rFonts w:ascii="Arial" w:eastAsiaTheme="minorHAnsi" w:hAnsi="Arial" w:cs="Arial"/>
          <w:szCs w:val="24"/>
        </w:rPr>
        <w:t xml:space="preserve"> </w:t>
      </w:r>
    </w:p>
    <w:p w14:paraId="47B73DB3" w14:textId="77777777" w:rsidR="001778CD" w:rsidRPr="00123E6D" w:rsidRDefault="001778CD" w:rsidP="001778CD">
      <w:pPr>
        <w:spacing w:after="0" w:line="360" w:lineRule="auto"/>
        <w:rPr>
          <w:rFonts w:ascii="Arial" w:eastAsiaTheme="minorHAnsi" w:hAnsi="Arial" w:cs="Arial"/>
          <w:szCs w:val="24"/>
        </w:rPr>
      </w:pPr>
    </w:p>
    <w:p w14:paraId="5BC6E035" w14:textId="77777777" w:rsidR="001778CD" w:rsidRPr="00123E6D" w:rsidRDefault="001778CD" w:rsidP="001778CD">
      <w:pPr>
        <w:spacing w:after="0" w:line="360" w:lineRule="auto"/>
        <w:rPr>
          <w:rFonts w:ascii="Arial" w:eastAsiaTheme="minorHAnsi" w:hAnsi="Arial" w:cs="Arial"/>
          <w:szCs w:val="24"/>
        </w:rPr>
      </w:pPr>
      <w:r w:rsidRPr="00123E6D">
        <w:rPr>
          <w:rFonts w:ascii="Arial" w:eastAsiaTheme="minorHAnsi" w:hAnsi="Arial" w:cs="Arial"/>
          <w:color w:val="000000" w:themeColor="text1"/>
          <w:szCs w:val="24"/>
        </w:rPr>
        <w:t xml:space="preserve">The CNA agreements are performance based, with key performance indicators </w:t>
      </w:r>
      <w:r w:rsidRPr="00123E6D">
        <w:rPr>
          <w:rFonts w:ascii="Arial" w:eastAsiaTheme="minorHAnsi" w:hAnsi="Arial" w:cs="Arial"/>
          <w:szCs w:val="24"/>
        </w:rPr>
        <w:t>of employment growth; program administration, oversight</w:t>
      </w:r>
      <w:r>
        <w:rPr>
          <w:rFonts w:ascii="Arial" w:eastAsiaTheme="minorHAnsi" w:hAnsi="Arial" w:cs="Arial"/>
          <w:szCs w:val="24"/>
        </w:rPr>
        <w:t xml:space="preserve"> </w:t>
      </w:r>
      <w:r w:rsidRPr="00123E6D">
        <w:rPr>
          <w:rFonts w:ascii="Arial" w:eastAsiaTheme="minorHAnsi" w:hAnsi="Arial" w:cs="Arial"/>
          <w:szCs w:val="24"/>
        </w:rPr>
        <w:t>and int</w:t>
      </w:r>
      <w:r>
        <w:rPr>
          <w:rFonts w:ascii="Arial" w:eastAsiaTheme="minorHAnsi" w:hAnsi="Arial" w:cs="Arial"/>
          <w:szCs w:val="24"/>
        </w:rPr>
        <w:t>egrity; NPA support, assistance</w:t>
      </w:r>
      <w:r w:rsidRPr="00123E6D">
        <w:rPr>
          <w:rFonts w:ascii="Arial" w:eastAsiaTheme="minorHAnsi" w:hAnsi="Arial" w:cs="Arial"/>
          <w:szCs w:val="24"/>
        </w:rPr>
        <w:t xml:space="preserve"> and development; and training and strategic communications.</w:t>
      </w:r>
      <w:r w:rsidRPr="00123E6D">
        <w:rPr>
          <w:rStyle w:val="EndnoteReference"/>
          <w:rFonts w:eastAsiaTheme="minorHAnsi" w:cs="Arial"/>
          <w:szCs w:val="24"/>
        </w:rPr>
        <w:endnoteReference w:id="121"/>
      </w:r>
      <w:r w:rsidRPr="00123E6D">
        <w:rPr>
          <w:rFonts w:ascii="Arial" w:eastAsiaTheme="minorHAnsi" w:hAnsi="Arial" w:cs="Arial"/>
          <w:szCs w:val="24"/>
        </w:rPr>
        <w:t xml:space="preserve"> The agreements place a “high value” on “sustaining and increasing employment growth” and developing new business.</w:t>
      </w:r>
      <w:r w:rsidRPr="00123E6D">
        <w:rPr>
          <w:rStyle w:val="EndnoteReference"/>
          <w:rFonts w:eastAsiaTheme="minorHAnsi" w:cs="Arial"/>
          <w:szCs w:val="24"/>
        </w:rPr>
        <w:endnoteReference w:id="122"/>
      </w:r>
      <w:r w:rsidRPr="00123E6D">
        <w:rPr>
          <w:rFonts w:ascii="Arial" w:eastAsiaTheme="minorHAnsi" w:hAnsi="Arial" w:cs="Arial"/>
          <w:szCs w:val="24"/>
        </w:rPr>
        <w:t xml:space="preserve"> The CNAs must develop an annual employment growth plan indicating expected new business lines and levels of employment growth.</w:t>
      </w:r>
      <w:r w:rsidRPr="00123E6D">
        <w:rPr>
          <w:rStyle w:val="EndnoteReference"/>
          <w:rFonts w:eastAsiaTheme="minorHAnsi" w:cs="Arial"/>
          <w:szCs w:val="24"/>
        </w:rPr>
        <w:endnoteReference w:id="123"/>
      </w:r>
      <w:r w:rsidRPr="00123E6D">
        <w:rPr>
          <w:rFonts w:ascii="Arial" w:eastAsiaTheme="minorHAnsi" w:hAnsi="Arial" w:cs="Arial"/>
          <w:szCs w:val="24"/>
        </w:rPr>
        <w:t xml:space="preserve"> The growth plan needs to address a number of elements based on market research and analysis, including the placement of employees into “indirect labor, supervision, management or competitive employment.”</w:t>
      </w:r>
      <w:r w:rsidRPr="00123E6D">
        <w:rPr>
          <w:rStyle w:val="EndnoteReference"/>
          <w:rFonts w:eastAsiaTheme="minorHAnsi" w:cs="Arial"/>
          <w:szCs w:val="24"/>
        </w:rPr>
        <w:endnoteReference w:id="124"/>
      </w:r>
      <w:r>
        <w:rPr>
          <w:rFonts w:ascii="Arial" w:eastAsiaTheme="minorHAnsi" w:hAnsi="Arial" w:cs="Arial"/>
          <w:szCs w:val="24"/>
        </w:rPr>
        <w:t xml:space="preserve"> P</w:t>
      </w:r>
      <w:r w:rsidRPr="00123E6D">
        <w:rPr>
          <w:rFonts w:ascii="Arial" w:eastAsiaTheme="minorHAnsi" w:hAnsi="Arial" w:cs="Arial"/>
          <w:szCs w:val="24"/>
        </w:rPr>
        <w:t>lan</w:t>
      </w:r>
      <w:r>
        <w:rPr>
          <w:rFonts w:ascii="Arial" w:eastAsiaTheme="minorHAnsi" w:hAnsi="Arial" w:cs="Arial"/>
          <w:szCs w:val="24"/>
        </w:rPr>
        <w:t>s</w:t>
      </w:r>
      <w:r w:rsidRPr="00123E6D">
        <w:rPr>
          <w:rFonts w:ascii="Arial" w:eastAsiaTheme="minorHAnsi" w:hAnsi="Arial" w:cs="Arial"/>
          <w:szCs w:val="24"/>
        </w:rPr>
        <w:t xml:space="preserve"> for “integrated placement,” however, do not impact the requirement </w:t>
      </w:r>
      <w:r>
        <w:rPr>
          <w:rFonts w:ascii="Arial" w:eastAsiaTheme="minorHAnsi" w:hAnsi="Arial" w:cs="Arial"/>
          <w:szCs w:val="24"/>
        </w:rPr>
        <w:t xml:space="preserve">that NPAs meet the </w:t>
      </w:r>
      <w:r w:rsidRPr="00123E6D">
        <w:rPr>
          <w:rFonts w:ascii="Arial" w:eastAsiaTheme="minorHAnsi" w:hAnsi="Arial" w:cs="Arial"/>
          <w:szCs w:val="24"/>
        </w:rPr>
        <w:t xml:space="preserve">75 percent direct labor </w:t>
      </w:r>
      <w:r>
        <w:rPr>
          <w:rFonts w:ascii="Arial" w:eastAsiaTheme="minorHAnsi" w:hAnsi="Arial" w:cs="Arial"/>
          <w:szCs w:val="24"/>
        </w:rPr>
        <w:t xml:space="preserve">hour </w:t>
      </w:r>
      <w:r w:rsidRPr="00123E6D">
        <w:rPr>
          <w:rFonts w:ascii="Arial" w:eastAsiaTheme="minorHAnsi" w:hAnsi="Arial" w:cs="Arial"/>
          <w:szCs w:val="24"/>
        </w:rPr>
        <w:t>ratio.</w:t>
      </w:r>
      <w:r w:rsidRPr="00123E6D">
        <w:rPr>
          <w:rStyle w:val="EndnoteReference"/>
          <w:rFonts w:eastAsiaTheme="minorHAnsi" w:cs="Arial"/>
          <w:szCs w:val="24"/>
        </w:rPr>
        <w:endnoteReference w:id="125"/>
      </w:r>
      <w:r w:rsidRPr="00123E6D">
        <w:rPr>
          <w:rFonts w:ascii="Arial" w:eastAsiaTheme="minorHAnsi" w:hAnsi="Arial" w:cs="Arial"/>
          <w:szCs w:val="24"/>
        </w:rPr>
        <w:t xml:space="preserve"> </w:t>
      </w:r>
    </w:p>
    <w:p w14:paraId="77942578" w14:textId="77777777" w:rsidR="001778CD" w:rsidRPr="00123E6D" w:rsidRDefault="001778CD" w:rsidP="001778CD">
      <w:pPr>
        <w:spacing w:after="0" w:line="360" w:lineRule="auto"/>
        <w:rPr>
          <w:rFonts w:ascii="Arial" w:eastAsiaTheme="minorHAnsi" w:hAnsi="Arial" w:cs="Arial"/>
          <w:szCs w:val="24"/>
        </w:rPr>
      </w:pPr>
    </w:p>
    <w:p w14:paraId="096E7318" w14:textId="77777777" w:rsidR="001778CD" w:rsidRPr="00123E6D" w:rsidRDefault="001778CD" w:rsidP="001778CD">
      <w:pPr>
        <w:spacing w:after="0" w:line="360" w:lineRule="auto"/>
        <w:rPr>
          <w:rFonts w:ascii="Arial" w:eastAsiaTheme="minorHAnsi" w:hAnsi="Arial" w:cs="Arial"/>
          <w:szCs w:val="24"/>
        </w:rPr>
      </w:pPr>
      <w:r w:rsidRPr="00123E6D">
        <w:rPr>
          <w:rFonts w:ascii="Arial" w:eastAsiaTheme="minorHAnsi" w:hAnsi="Arial" w:cs="Arial"/>
          <w:szCs w:val="24"/>
        </w:rPr>
        <w:t>The CNA agreements emphasize certain regulatory responsibilities divided between the Commission and the CNAs.</w:t>
      </w:r>
      <w:r w:rsidRPr="00123E6D">
        <w:rPr>
          <w:rStyle w:val="EndnoteReference"/>
          <w:rFonts w:eastAsiaTheme="minorHAnsi" w:cs="Arial"/>
          <w:szCs w:val="24"/>
        </w:rPr>
        <w:endnoteReference w:id="126"/>
      </w:r>
      <w:r w:rsidRPr="00123E6D">
        <w:rPr>
          <w:rFonts w:ascii="Arial" w:eastAsiaTheme="minorHAnsi" w:hAnsi="Arial" w:cs="Arial"/>
          <w:szCs w:val="24"/>
        </w:rPr>
        <w:t xml:space="preserve"> The CNAs must evaluate NPA qualifications; assist the NPAs achieve successful federal contract performance; provide technical assistance to the NPAs, and recommend to the Commission new products and services for the procurement list, including a recommended fair market price.</w:t>
      </w:r>
      <w:r w:rsidRPr="00123E6D">
        <w:rPr>
          <w:rStyle w:val="EndnoteReference"/>
          <w:rFonts w:eastAsiaTheme="minorHAnsi" w:cs="Arial"/>
          <w:szCs w:val="24"/>
        </w:rPr>
        <w:endnoteReference w:id="127"/>
      </w:r>
      <w:r w:rsidRPr="00123E6D">
        <w:rPr>
          <w:rFonts w:ascii="Arial" w:eastAsiaTheme="minorHAnsi" w:hAnsi="Arial" w:cs="Arial"/>
          <w:szCs w:val="24"/>
        </w:rPr>
        <w:t xml:space="preserve"> Of significance, using Commission guidelines the CNAs “facilitate distribution of order</w:t>
      </w:r>
      <w:r>
        <w:rPr>
          <w:rFonts w:ascii="Arial" w:eastAsiaTheme="minorHAnsi" w:hAnsi="Arial" w:cs="Arial"/>
          <w:szCs w:val="24"/>
        </w:rPr>
        <w:t>s</w:t>
      </w:r>
      <w:r w:rsidRPr="00123E6D">
        <w:rPr>
          <w:rFonts w:ascii="Arial" w:eastAsiaTheme="minorHAnsi" w:hAnsi="Arial" w:cs="Arial"/>
          <w:szCs w:val="24"/>
        </w:rPr>
        <w:t xml:space="preserve"> from [government agencies] among the NPAs with an emphasis on employment growth.”</w:t>
      </w:r>
      <w:r w:rsidRPr="00123E6D">
        <w:rPr>
          <w:rStyle w:val="EndnoteReference"/>
          <w:rFonts w:eastAsiaTheme="minorHAnsi" w:cs="Arial"/>
          <w:szCs w:val="24"/>
        </w:rPr>
        <w:endnoteReference w:id="128"/>
      </w:r>
      <w:r w:rsidRPr="00123E6D">
        <w:rPr>
          <w:rFonts w:ascii="Arial" w:eastAsiaTheme="minorHAnsi" w:hAnsi="Arial" w:cs="Arial"/>
          <w:szCs w:val="24"/>
        </w:rPr>
        <w:t xml:space="preserve"> This </w:t>
      </w:r>
      <w:r>
        <w:rPr>
          <w:rFonts w:ascii="Arial" w:eastAsiaTheme="minorHAnsi" w:hAnsi="Arial" w:cs="Arial"/>
          <w:szCs w:val="24"/>
        </w:rPr>
        <w:t xml:space="preserve">provision grants the CNAs with certain </w:t>
      </w:r>
      <w:r w:rsidRPr="00123E6D">
        <w:rPr>
          <w:rFonts w:ascii="Arial" w:eastAsiaTheme="minorHAnsi" w:hAnsi="Arial" w:cs="Arial"/>
          <w:szCs w:val="24"/>
        </w:rPr>
        <w:t xml:space="preserve">financial </w:t>
      </w:r>
      <w:r>
        <w:rPr>
          <w:rFonts w:ascii="Arial" w:eastAsiaTheme="minorHAnsi" w:hAnsi="Arial" w:cs="Arial"/>
          <w:szCs w:val="24"/>
        </w:rPr>
        <w:t>leverage over the NPA</w:t>
      </w:r>
      <w:r w:rsidRPr="00123E6D">
        <w:rPr>
          <w:rFonts w:ascii="Arial" w:eastAsiaTheme="minorHAnsi" w:hAnsi="Arial" w:cs="Arial"/>
          <w:szCs w:val="24"/>
        </w:rPr>
        <w:t xml:space="preserve">s, </w:t>
      </w:r>
      <w:r>
        <w:rPr>
          <w:rFonts w:ascii="Arial" w:eastAsiaTheme="minorHAnsi" w:hAnsi="Arial" w:cs="Arial"/>
          <w:szCs w:val="24"/>
        </w:rPr>
        <w:t>while further highlighting t</w:t>
      </w:r>
      <w:r w:rsidRPr="00123E6D">
        <w:rPr>
          <w:rFonts w:ascii="Arial" w:eastAsiaTheme="minorHAnsi" w:hAnsi="Arial" w:cs="Arial"/>
          <w:szCs w:val="24"/>
        </w:rPr>
        <w:t>he Commission’s emphasis on employment growth.</w:t>
      </w:r>
    </w:p>
    <w:p w14:paraId="6D4214FE" w14:textId="77777777" w:rsidR="001778CD" w:rsidRPr="00123E6D" w:rsidRDefault="001778CD" w:rsidP="001778CD">
      <w:pPr>
        <w:spacing w:after="0" w:line="360" w:lineRule="auto"/>
        <w:rPr>
          <w:rFonts w:ascii="Arial" w:eastAsiaTheme="minorHAnsi" w:hAnsi="Arial" w:cs="Arial"/>
          <w:szCs w:val="24"/>
        </w:rPr>
      </w:pPr>
    </w:p>
    <w:p w14:paraId="1B2C33BC" w14:textId="050BEF4C" w:rsidR="001778CD" w:rsidRPr="00123E6D" w:rsidRDefault="001778CD" w:rsidP="001778CD">
      <w:pPr>
        <w:spacing w:after="0" w:line="360" w:lineRule="auto"/>
        <w:rPr>
          <w:rFonts w:ascii="Arial" w:eastAsiaTheme="minorHAnsi" w:hAnsi="Arial" w:cs="Arial"/>
          <w:szCs w:val="24"/>
        </w:rPr>
      </w:pPr>
      <w:r w:rsidRPr="00123E6D">
        <w:rPr>
          <w:rFonts w:ascii="Arial" w:eastAsiaTheme="minorHAnsi" w:hAnsi="Arial" w:cs="Arial"/>
          <w:szCs w:val="24"/>
        </w:rPr>
        <w:t xml:space="preserve">The Commission maintains oversight of, and involvement with, the CNAs internal and external relations. Under strategic communications, the CNAs need to consult with the </w:t>
      </w:r>
      <w:r w:rsidRPr="00123E6D">
        <w:rPr>
          <w:rFonts w:ascii="Arial" w:eastAsiaTheme="minorHAnsi" w:hAnsi="Arial" w:cs="Arial"/>
          <w:szCs w:val="24"/>
        </w:rPr>
        <w:lastRenderedPageBreak/>
        <w:t>Commission on messaging, and provide technical support and assistance with the AbilityOne website and social media.</w:t>
      </w:r>
      <w:r w:rsidRPr="00123E6D">
        <w:rPr>
          <w:rStyle w:val="EndnoteReference"/>
          <w:rFonts w:eastAsiaTheme="minorHAnsi" w:cs="Arial"/>
          <w:szCs w:val="24"/>
        </w:rPr>
        <w:endnoteReference w:id="129"/>
      </w:r>
      <w:r w:rsidRPr="00123E6D">
        <w:rPr>
          <w:rFonts w:ascii="Arial" w:eastAsiaTheme="minorHAnsi" w:hAnsi="Arial" w:cs="Arial"/>
          <w:szCs w:val="24"/>
        </w:rPr>
        <w:t xml:space="preserve"> The CNAs must provide 10 days prior notice to the Commission, unless not practicable, of a “significant meeting,” and work to resolve any Commission concerns.</w:t>
      </w:r>
      <w:r w:rsidRPr="00123E6D">
        <w:rPr>
          <w:rStyle w:val="EndnoteReference"/>
          <w:rFonts w:eastAsiaTheme="minorHAnsi" w:cs="Arial"/>
          <w:szCs w:val="24"/>
        </w:rPr>
        <w:endnoteReference w:id="130"/>
      </w:r>
      <w:r w:rsidRPr="00123E6D">
        <w:rPr>
          <w:rFonts w:ascii="Arial" w:eastAsiaTheme="minorHAnsi" w:hAnsi="Arial" w:cs="Arial"/>
          <w:szCs w:val="24"/>
        </w:rPr>
        <w:t xml:space="preserve"> A significant meeting includes meetings or events by the CNA with members of the disability community, Congress, the White House and </w:t>
      </w:r>
      <w:r>
        <w:rPr>
          <w:rFonts w:ascii="Arial" w:eastAsiaTheme="minorHAnsi" w:hAnsi="Arial" w:cs="Arial"/>
          <w:szCs w:val="24"/>
        </w:rPr>
        <w:t xml:space="preserve">the </w:t>
      </w:r>
      <w:r w:rsidRPr="00123E6D">
        <w:rPr>
          <w:rFonts w:ascii="Arial" w:eastAsiaTheme="minorHAnsi" w:hAnsi="Arial" w:cs="Arial"/>
          <w:szCs w:val="24"/>
        </w:rPr>
        <w:t>Executive Office of the President, or key stakeholders. While the involvement of certain senior managers or executives likely make</w:t>
      </w:r>
      <w:r>
        <w:rPr>
          <w:rFonts w:ascii="Arial" w:eastAsiaTheme="minorHAnsi" w:hAnsi="Arial" w:cs="Arial"/>
          <w:szCs w:val="24"/>
        </w:rPr>
        <w:t>s</w:t>
      </w:r>
      <w:r w:rsidRPr="00123E6D">
        <w:rPr>
          <w:rFonts w:ascii="Arial" w:eastAsiaTheme="minorHAnsi" w:hAnsi="Arial" w:cs="Arial"/>
          <w:szCs w:val="24"/>
        </w:rPr>
        <w:t xml:space="preserve"> </w:t>
      </w:r>
      <w:r>
        <w:rPr>
          <w:rFonts w:ascii="Arial" w:eastAsiaTheme="minorHAnsi" w:hAnsi="Arial" w:cs="Arial"/>
          <w:szCs w:val="24"/>
        </w:rPr>
        <w:t>a</w:t>
      </w:r>
      <w:r w:rsidRPr="00123E6D">
        <w:rPr>
          <w:rFonts w:ascii="Arial" w:eastAsiaTheme="minorHAnsi" w:hAnsi="Arial" w:cs="Arial"/>
          <w:szCs w:val="24"/>
        </w:rPr>
        <w:t xml:space="preserve"> meeting significant, a meeting can be significant without such individuals.</w:t>
      </w:r>
      <w:r w:rsidRPr="00123E6D">
        <w:rPr>
          <w:rStyle w:val="EndnoteReference"/>
          <w:rFonts w:eastAsiaTheme="minorHAnsi" w:cs="Arial"/>
          <w:szCs w:val="24"/>
        </w:rPr>
        <w:endnoteReference w:id="131"/>
      </w:r>
      <w:r w:rsidRPr="00123E6D">
        <w:rPr>
          <w:rFonts w:ascii="Arial" w:eastAsiaTheme="minorHAnsi" w:hAnsi="Arial" w:cs="Arial"/>
          <w:szCs w:val="24"/>
        </w:rPr>
        <w:t xml:space="preserve"> </w:t>
      </w:r>
      <w:r>
        <w:rPr>
          <w:rFonts w:ascii="Arial" w:eastAsiaTheme="minorHAnsi" w:hAnsi="Arial" w:cs="Arial"/>
          <w:szCs w:val="24"/>
        </w:rPr>
        <w:t>For example, a</w:t>
      </w:r>
      <w:r w:rsidRPr="00123E6D">
        <w:rPr>
          <w:rFonts w:ascii="Arial" w:eastAsiaTheme="minorHAnsi" w:hAnsi="Arial" w:cs="Arial"/>
          <w:szCs w:val="24"/>
        </w:rPr>
        <w:t xml:space="preserve"> meeting is significant if the disability community, which includes consumers, advocates, or activists, are participants</w:t>
      </w:r>
      <w:r>
        <w:rPr>
          <w:rFonts w:ascii="Arial" w:eastAsiaTheme="minorHAnsi" w:hAnsi="Arial" w:cs="Arial"/>
          <w:szCs w:val="24"/>
        </w:rPr>
        <w:t>.</w:t>
      </w:r>
      <w:r>
        <w:rPr>
          <w:rStyle w:val="EndnoteReference"/>
          <w:rFonts w:eastAsiaTheme="minorHAnsi" w:cs="Arial"/>
          <w:szCs w:val="24"/>
        </w:rPr>
        <w:endnoteReference w:id="132"/>
      </w:r>
      <w:r>
        <w:rPr>
          <w:rFonts w:ascii="Arial" w:eastAsiaTheme="minorHAnsi" w:hAnsi="Arial" w:cs="Arial"/>
          <w:szCs w:val="24"/>
        </w:rPr>
        <w:t xml:space="preserve"> </w:t>
      </w:r>
      <w:r w:rsidRPr="0030158B">
        <w:rPr>
          <w:rFonts w:ascii="Arial" w:eastAsiaTheme="minorHAnsi" w:hAnsi="Arial" w:cs="Arial"/>
          <w:szCs w:val="24"/>
        </w:rPr>
        <w:t xml:space="preserve">NCD researchers sought to interview </w:t>
      </w:r>
      <w:r>
        <w:rPr>
          <w:rFonts w:ascii="Arial" w:eastAsiaTheme="minorHAnsi" w:hAnsi="Arial" w:cs="Arial"/>
          <w:szCs w:val="24"/>
        </w:rPr>
        <w:t>SourceAmerica staff but SourceAmerica declined with a reference to the CNA cooperative agreement stating that SourceAmerica’s participation would require direction from the AbilityOne Commission</w:t>
      </w:r>
      <w:r w:rsidR="00A566A1">
        <w:rPr>
          <w:rFonts w:ascii="Arial" w:eastAsiaTheme="minorHAnsi" w:hAnsi="Arial" w:cs="Arial"/>
          <w:szCs w:val="24"/>
        </w:rPr>
        <w:t>.</w:t>
      </w:r>
      <w:r>
        <w:rPr>
          <w:rFonts w:ascii="Arial" w:eastAsiaTheme="minorHAnsi" w:hAnsi="Arial" w:cs="Arial"/>
          <w:szCs w:val="24"/>
        </w:rPr>
        <w:t xml:space="preserve"> While the CNA agreement may not have prohibited an interview, SourceAmerica appears to take a strict interpretation of the agreement.  Given the concerns raised by the GAO and others about transparency, the perceived or real restrictions placed on the CNAs to meet with the disability community about the program hinders the improvement of the transparency of the program.</w:t>
      </w:r>
    </w:p>
    <w:p w14:paraId="09C976A9" w14:textId="77777777" w:rsidR="001778CD" w:rsidRPr="00123E6D" w:rsidRDefault="001778CD" w:rsidP="001778CD">
      <w:pPr>
        <w:spacing w:after="0" w:line="360" w:lineRule="auto"/>
        <w:rPr>
          <w:rFonts w:ascii="Arial" w:eastAsiaTheme="minorHAnsi" w:hAnsi="Arial" w:cs="Arial"/>
          <w:szCs w:val="24"/>
          <w:u w:val="single"/>
        </w:rPr>
      </w:pPr>
    </w:p>
    <w:p w14:paraId="10D9F030" w14:textId="77777777" w:rsidR="001778CD" w:rsidRPr="00123E6D" w:rsidRDefault="001778CD" w:rsidP="001778CD">
      <w:pPr>
        <w:spacing w:after="0" w:line="360" w:lineRule="auto"/>
        <w:rPr>
          <w:rFonts w:ascii="Arial" w:eastAsiaTheme="minorHAnsi" w:hAnsi="Arial" w:cs="Arial"/>
          <w:szCs w:val="24"/>
        </w:rPr>
      </w:pPr>
      <w:r w:rsidRPr="00123E6D">
        <w:rPr>
          <w:rFonts w:ascii="Arial" w:eastAsiaTheme="minorHAnsi" w:hAnsi="Arial" w:cs="Arial"/>
          <w:szCs w:val="24"/>
        </w:rPr>
        <w:t>The Commission is responsible for NPA compliance with the direct labor ratio, and a three-person compliance team is assigned to the inspection and training of the NPAs.</w:t>
      </w:r>
      <w:r w:rsidRPr="00123E6D">
        <w:rPr>
          <w:rStyle w:val="EndnoteReference"/>
          <w:rFonts w:eastAsiaTheme="minorHAnsi" w:cs="Arial"/>
          <w:szCs w:val="24"/>
        </w:rPr>
        <w:endnoteReference w:id="133"/>
      </w:r>
      <w:r w:rsidRPr="00123E6D">
        <w:rPr>
          <w:rFonts w:ascii="Arial" w:eastAsiaTheme="minorHAnsi" w:hAnsi="Arial" w:cs="Arial"/>
          <w:szCs w:val="24"/>
        </w:rPr>
        <w:t xml:space="preserve"> Since FY 2014, the Commission annually reports between 21 and 25 </w:t>
      </w:r>
      <w:r w:rsidRPr="00123E6D">
        <w:rPr>
          <w:rFonts w:ascii="Arial" w:eastAsiaTheme="minorHAnsi" w:hAnsi="Arial" w:cs="Arial"/>
          <w:color w:val="000000" w:themeColor="text1"/>
          <w:szCs w:val="24"/>
        </w:rPr>
        <w:t xml:space="preserve">NPAs being </w:t>
      </w:r>
      <w:r w:rsidRPr="00123E6D">
        <w:rPr>
          <w:rFonts w:ascii="Arial" w:eastAsiaTheme="minorHAnsi" w:hAnsi="Arial" w:cs="Arial"/>
          <w:szCs w:val="24"/>
        </w:rPr>
        <w:t>out of compliance with the direct labor ratio, or about 4 percent of all NPAs.</w:t>
      </w:r>
      <w:r w:rsidRPr="00123E6D">
        <w:rPr>
          <w:rStyle w:val="EndnoteReference"/>
          <w:rFonts w:eastAsiaTheme="minorHAnsi" w:cs="Arial"/>
          <w:szCs w:val="24"/>
        </w:rPr>
        <w:endnoteReference w:id="134"/>
      </w:r>
      <w:r w:rsidRPr="00123E6D">
        <w:rPr>
          <w:rFonts w:ascii="Arial" w:eastAsiaTheme="minorHAnsi" w:hAnsi="Arial" w:cs="Arial"/>
          <w:szCs w:val="24"/>
        </w:rPr>
        <w:t xml:space="preserve"> </w:t>
      </w:r>
    </w:p>
    <w:p w14:paraId="13E01D29" w14:textId="77777777" w:rsidR="001778CD" w:rsidRDefault="001778CD" w:rsidP="001778CD">
      <w:pPr>
        <w:spacing w:after="0" w:line="360" w:lineRule="auto"/>
        <w:rPr>
          <w:rFonts w:ascii="Arial" w:eastAsiaTheme="minorHAnsi" w:hAnsi="Arial" w:cs="Arial"/>
          <w:szCs w:val="24"/>
          <w:u w:val="single"/>
        </w:rPr>
      </w:pPr>
    </w:p>
    <w:p w14:paraId="17CB5875" w14:textId="77777777" w:rsidR="001778CD" w:rsidRPr="00105F66" w:rsidRDefault="001778CD" w:rsidP="001778CD">
      <w:pPr>
        <w:spacing w:after="0" w:line="360" w:lineRule="auto"/>
        <w:rPr>
          <w:rFonts w:ascii="Arial" w:eastAsiaTheme="minorHAnsi" w:hAnsi="Arial" w:cs="Arial"/>
          <w:szCs w:val="24"/>
          <w:u w:val="single"/>
        </w:rPr>
      </w:pPr>
      <w:r w:rsidRPr="00105F66">
        <w:rPr>
          <w:rFonts w:ascii="Arial" w:eastAsiaTheme="minorHAnsi" w:hAnsi="Arial" w:cs="Arial"/>
          <w:szCs w:val="24"/>
          <w:u w:val="single"/>
        </w:rPr>
        <w:t xml:space="preserve">D. </w:t>
      </w:r>
      <w:r>
        <w:rPr>
          <w:rFonts w:ascii="Arial" w:eastAsiaTheme="minorHAnsi" w:hAnsi="Arial" w:cs="Arial"/>
          <w:szCs w:val="24"/>
          <w:u w:val="single"/>
        </w:rPr>
        <w:t xml:space="preserve">CNA </w:t>
      </w:r>
      <w:r w:rsidRPr="00105F66">
        <w:rPr>
          <w:rFonts w:ascii="Arial" w:eastAsiaTheme="minorHAnsi" w:hAnsi="Arial" w:cs="Arial"/>
          <w:szCs w:val="24"/>
          <w:u w:val="single"/>
        </w:rPr>
        <w:t>Program Fee</w:t>
      </w:r>
      <w:r>
        <w:rPr>
          <w:rFonts w:ascii="Arial" w:eastAsiaTheme="minorHAnsi" w:hAnsi="Arial" w:cs="Arial"/>
          <w:szCs w:val="24"/>
          <w:u w:val="single"/>
        </w:rPr>
        <w:t>s</w:t>
      </w:r>
    </w:p>
    <w:p w14:paraId="6F0D3A92" w14:textId="77777777" w:rsidR="001778CD" w:rsidRDefault="001778CD" w:rsidP="001778CD">
      <w:pPr>
        <w:spacing w:after="0" w:line="360" w:lineRule="auto"/>
        <w:rPr>
          <w:rFonts w:ascii="Arial" w:eastAsiaTheme="minorHAnsi" w:hAnsi="Arial" w:cs="Arial"/>
          <w:szCs w:val="24"/>
        </w:rPr>
      </w:pPr>
      <w:r>
        <w:rPr>
          <w:rFonts w:ascii="Arial" w:eastAsiaTheme="minorHAnsi" w:hAnsi="Arial" w:cs="Arial"/>
          <w:szCs w:val="24"/>
        </w:rPr>
        <w:t>Many terms in the CNA cooperative agreement involve the program fee the CNAs charge the NPAs as a percentage of each government contract. The JWOD Act does not mention a program fee, nor any payment mechanism for the CNAs. The program fee ceiling set annually by the Commission is now based on quality outcomes and performance measures.</w:t>
      </w:r>
      <w:r>
        <w:rPr>
          <w:rStyle w:val="EndnoteReference"/>
          <w:rFonts w:eastAsiaTheme="minorHAnsi" w:cs="Arial"/>
          <w:szCs w:val="24"/>
        </w:rPr>
        <w:endnoteReference w:id="135"/>
      </w:r>
      <w:r>
        <w:rPr>
          <w:rFonts w:ascii="Arial" w:eastAsiaTheme="minorHAnsi" w:hAnsi="Arial" w:cs="Arial"/>
          <w:szCs w:val="24"/>
        </w:rPr>
        <w:t xml:space="preserve"> The CNAs must enter into agreements with the NPAs regarding payment of the program fee, but the CNAs may charge the NPAs other “customary fees” for conferences and trainings, sponsorships, and advertising.</w:t>
      </w:r>
      <w:r>
        <w:rPr>
          <w:rStyle w:val="EndnoteReference"/>
          <w:rFonts w:eastAsiaTheme="minorHAnsi" w:cs="Arial"/>
          <w:szCs w:val="24"/>
        </w:rPr>
        <w:endnoteReference w:id="136"/>
      </w:r>
      <w:r>
        <w:rPr>
          <w:rFonts w:ascii="Arial" w:eastAsiaTheme="minorHAnsi" w:hAnsi="Arial" w:cs="Arial"/>
          <w:szCs w:val="24"/>
        </w:rPr>
        <w:t xml:space="preserve"> The </w:t>
      </w:r>
      <w:r>
        <w:rPr>
          <w:rFonts w:ascii="Arial" w:eastAsiaTheme="minorHAnsi" w:hAnsi="Arial" w:cs="Arial"/>
          <w:szCs w:val="24"/>
        </w:rPr>
        <w:lastRenderedPageBreak/>
        <w:t xml:space="preserve">CNAs may use program fees for costs which are necessary and reasonable to perform the cooperative </w:t>
      </w:r>
      <w:r w:rsidRPr="00527B4D">
        <w:rPr>
          <w:rFonts w:ascii="Arial" w:eastAsiaTheme="minorHAnsi" w:hAnsi="Arial" w:cs="Arial"/>
          <w:szCs w:val="24"/>
        </w:rPr>
        <w:t>agreement, and</w:t>
      </w:r>
      <w:r>
        <w:rPr>
          <w:rFonts w:ascii="Arial" w:eastAsiaTheme="minorHAnsi" w:hAnsi="Arial" w:cs="Arial"/>
          <w:szCs w:val="24"/>
        </w:rPr>
        <w:t xml:space="preserve"> “[</w:t>
      </w:r>
      <w:r w:rsidRPr="00527B4D">
        <w:rPr>
          <w:rFonts w:ascii="Arial" w:eastAsiaTheme="minorHAnsi" w:hAnsi="Arial" w:cs="Arial"/>
          <w:szCs w:val="24"/>
        </w:rPr>
        <w:t>b</w:t>
      </w:r>
      <w:r>
        <w:rPr>
          <w:rFonts w:ascii="Arial" w:eastAsiaTheme="minorHAnsi" w:hAnsi="Arial" w:cs="Arial"/>
          <w:szCs w:val="24"/>
        </w:rPr>
        <w:t>]</w:t>
      </w:r>
      <w:r w:rsidRPr="00527B4D">
        <w:rPr>
          <w:rFonts w:ascii="Arial" w:eastAsiaTheme="minorHAnsi" w:hAnsi="Arial" w:cs="Arial"/>
          <w:szCs w:val="24"/>
        </w:rPr>
        <w:t xml:space="preserve">e consistent with policies and procedures that apply uniformly to </w:t>
      </w:r>
      <w:r>
        <w:rPr>
          <w:rFonts w:ascii="Arial" w:eastAsiaTheme="minorHAnsi" w:hAnsi="Arial" w:cs="Arial"/>
          <w:szCs w:val="24"/>
        </w:rPr>
        <w:t>both P</w:t>
      </w:r>
      <w:r w:rsidRPr="00527B4D">
        <w:rPr>
          <w:rFonts w:ascii="Arial" w:eastAsiaTheme="minorHAnsi" w:hAnsi="Arial" w:cs="Arial"/>
          <w:szCs w:val="24"/>
        </w:rPr>
        <w:t xml:space="preserve">rogram and </w:t>
      </w:r>
      <w:r>
        <w:rPr>
          <w:rFonts w:ascii="Arial" w:eastAsiaTheme="minorHAnsi" w:hAnsi="Arial" w:cs="Arial"/>
          <w:szCs w:val="24"/>
        </w:rPr>
        <w:t xml:space="preserve">other </w:t>
      </w:r>
      <w:r w:rsidRPr="00527B4D">
        <w:rPr>
          <w:rFonts w:ascii="Arial" w:eastAsiaTheme="minorHAnsi" w:hAnsi="Arial" w:cs="Arial"/>
          <w:szCs w:val="24"/>
        </w:rPr>
        <w:t>activities of the CNA.</w:t>
      </w:r>
      <w:r>
        <w:rPr>
          <w:rFonts w:ascii="Arial" w:eastAsiaTheme="minorHAnsi" w:hAnsi="Arial" w:cs="Arial"/>
          <w:szCs w:val="24"/>
        </w:rPr>
        <w:t>”</w:t>
      </w:r>
      <w:r w:rsidRPr="00527B4D">
        <w:rPr>
          <w:rStyle w:val="EndnoteReference"/>
          <w:rFonts w:eastAsiaTheme="minorHAnsi" w:cs="Arial"/>
          <w:szCs w:val="24"/>
        </w:rPr>
        <w:endnoteReference w:id="137"/>
      </w:r>
      <w:r>
        <w:rPr>
          <w:rFonts w:ascii="Arial" w:eastAsiaTheme="minorHAnsi" w:hAnsi="Arial" w:cs="Arial"/>
          <w:szCs w:val="24"/>
        </w:rPr>
        <w:t xml:space="preserve"> The fee may not be used for such items as personal expenses for CNA board members or staff, to cover bad debts, for taxes, to purchase alcoholic beverages, and other similar restrictions.</w:t>
      </w:r>
      <w:r>
        <w:rPr>
          <w:rStyle w:val="EndnoteReference"/>
          <w:rFonts w:eastAsiaTheme="minorHAnsi" w:cs="Arial"/>
          <w:szCs w:val="24"/>
        </w:rPr>
        <w:endnoteReference w:id="138"/>
      </w:r>
    </w:p>
    <w:p w14:paraId="698CEA79" w14:textId="77777777" w:rsidR="001778CD" w:rsidRDefault="001778CD" w:rsidP="001778CD">
      <w:pPr>
        <w:spacing w:after="0" w:line="360" w:lineRule="auto"/>
        <w:rPr>
          <w:rFonts w:ascii="Arial" w:eastAsiaTheme="minorHAnsi" w:hAnsi="Arial" w:cs="Arial"/>
          <w:szCs w:val="24"/>
        </w:rPr>
      </w:pPr>
      <w:r>
        <w:rPr>
          <w:rFonts w:ascii="Arial" w:eastAsiaTheme="minorHAnsi" w:hAnsi="Arial" w:cs="Arial"/>
          <w:szCs w:val="24"/>
        </w:rPr>
        <w:t xml:space="preserve"> </w:t>
      </w:r>
    </w:p>
    <w:p w14:paraId="102DA917" w14:textId="731340ED" w:rsidR="001778CD" w:rsidRDefault="001778CD" w:rsidP="001778CD">
      <w:pPr>
        <w:spacing w:after="0" w:line="360" w:lineRule="auto"/>
        <w:rPr>
          <w:rFonts w:ascii="Arial" w:hAnsi="Arial" w:cs="Arial"/>
          <w:szCs w:val="24"/>
        </w:rPr>
      </w:pPr>
      <w:r>
        <w:rPr>
          <w:rFonts w:ascii="Arial" w:eastAsiaTheme="minorHAnsi" w:hAnsi="Arial" w:cs="Arial"/>
          <w:szCs w:val="24"/>
        </w:rPr>
        <w:t>CNAs may use the program fee to lobby. Even though the program fees are derived from federal procurement contracts, the fee is not a direct appropriation subject to lobby restrictions on appropriated funds.</w:t>
      </w:r>
      <w:r>
        <w:rPr>
          <w:rStyle w:val="EndnoteReference"/>
          <w:rFonts w:eastAsiaTheme="minorHAnsi" w:cs="Arial"/>
          <w:szCs w:val="24"/>
        </w:rPr>
        <w:endnoteReference w:id="139"/>
      </w:r>
      <w:r w:rsidRPr="00D0031F">
        <w:rPr>
          <w:sz w:val="22"/>
        </w:rPr>
        <w:t xml:space="preserve"> </w:t>
      </w:r>
      <w:r w:rsidRPr="00A262ED">
        <w:rPr>
          <w:rFonts w:ascii="Arial" w:hAnsi="Arial" w:cs="Arial"/>
          <w:szCs w:val="24"/>
        </w:rPr>
        <w:t>According to the GAO, between 2008 and 2012 NIB spent $976,729 and SourceAmerica (then known as NISH) spent $3.5 million on lobbying.</w:t>
      </w:r>
      <w:r>
        <w:rPr>
          <w:rStyle w:val="EndnoteReference"/>
          <w:rFonts w:cs="Arial"/>
          <w:szCs w:val="24"/>
        </w:rPr>
        <w:endnoteReference w:id="140"/>
      </w:r>
      <w:r>
        <w:rPr>
          <w:rFonts w:ascii="Arial" w:hAnsi="Arial" w:cs="Arial"/>
          <w:szCs w:val="24"/>
        </w:rPr>
        <w:t xml:space="preserve"> Similar to lobbying, CNAs are also not bound by federal restrictions on salaries since the CNAs do not receive direct federal appropriations.</w:t>
      </w:r>
      <w:r>
        <w:rPr>
          <w:rStyle w:val="EndnoteReference"/>
          <w:rFonts w:cs="Arial"/>
          <w:szCs w:val="24"/>
        </w:rPr>
        <w:endnoteReference w:id="141"/>
      </w:r>
      <w:r>
        <w:rPr>
          <w:rFonts w:ascii="Arial" w:hAnsi="Arial" w:cs="Arial"/>
          <w:szCs w:val="24"/>
        </w:rPr>
        <w:t xml:space="preserve"> According to the GAO, a Commission attempt in 2004 to create reasonable standards on CNA executive and employee compensation </w:t>
      </w:r>
      <w:r w:rsidRPr="006A60F4">
        <w:rPr>
          <w:rFonts w:ascii="Arial" w:hAnsi="Arial" w:cs="Arial"/>
          <w:szCs w:val="24"/>
        </w:rPr>
        <w:t>was withdrawn</w:t>
      </w:r>
      <w:r>
        <w:rPr>
          <w:rFonts w:ascii="Arial" w:hAnsi="Arial" w:cs="Arial"/>
          <w:szCs w:val="24"/>
        </w:rPr>
        <w:t xml:space="preserve"> because of the number and nature of issues raised by commenters to the proposed regulations.</w:t>
      </w:r>
      <w:r>
        <w:rPr>
          <w:rStyle w:val="EndnoteReference"/>
          <w:rFonts w:cs="Arial"/>
          <w:szCs w:val="24"/>
        </w:rPr>
        <w:endnoteReference w:id="142"/>
      </w:r>
      <w:r>
        <w:rPr>
          <w:rFonts w:ascii="Arial" w:hAnsi="Arial" w:cs="Arial"/>
          <w:szCs w:val="24"/>
        </w:rPr>
        <w:t xml:space="preserve"> As mentioned, Congress now requires quarterly reports on CNA expenditures on salaries and </w:t>
      </w:r>
      <w:r w:rsidRPr="000A0AAE">
        <w:rPr>
          <w:rFonts w:ascii="Arial" w:hAnsi="Arial" w:cs="Arial"/>
          <w:szCs w:val="24"/>
        </w:rPr>
        <w:t>lobbying.</w:t>
      </w:r>
      <w:r>
        <w:rPr>
          <w:rStyle w:val="EndnoteReference"/>
          <w:rFonts w:cs="Arial"/>
          <w:szCs w:val="24"/>
        </w:rPr>
        <w:endnoteReference w:id="143"/>
      </w:r>
      <w:r>
        <w:rPr>
          <w:rFonts w:ascii="Arial" w:hAnsi="Arial" w:cs="Arial"/>
          <w:szCs w:val="24"/>
        </w:rPr>
        <w:t xml:space="preserve"> </w:t>
      </w:r>
    </w:p>
    <w:p w14:paraId="44AEB95C" w14:textId="77777777" w:rsidR="0012461E" w:rsidRDefault="0012461E" w:rsidP="001778CD">
      <w:pPr>
        <w:spacing w:after="0" w:line="360" w:lineRule="auto"/>
        <w:rPr>
          <w:rFonts w:ascii="Arial" w:eastAsiaTheme="minorHAnsi" w:hAnsi="Arial" w:cs="Arial"/>
          <w:szCs w:val="24"/>
        </w:rPr>
      </w:pPr>
    </w:p>
    <w:p w14:paraId="42BC97DE" w14:textId="77777777" w:rsidR="001778CD" w:rsidRPr="003E6A0F" w:rsidRDefault="001778CD" w:rsidP="001778CD">
      <w:pPr>
        <w:spacing w:after="0" w:line="360" w:lineRule="auto"/>
        <w:rPr>
          <w:rFonts w:ascii="Arial" w:eastAsiaTheme="minorHAnsi" w:hAnsi="Arial" w:cs="Arial"/>
          <w:szCs w:val="24"/>
          <w:u w:val="single"/>
        </w:rPr>
      </w:pPr>
      <w:r w:rsidRPr="003E6A0F">
        <w:rPr>
          <w:rFonts w:ascii="Arial" w:eastAsiaTheme="minorHAnsi" w:hAnsi="Arial" w:cs="Arial"/>
          <w:szCs w:val="24"/>
          <w:u w:val="single"/>
        </w:rPr>
        <w:t>E. Office of Inspector General</w:t>
      </w:r>
    </w:p>
    <w:p w14:paraId="581B088C" w14:textId="77777777" w:rsidR="001778CD" w:rsidRDefault="001778CD" w:rsidP="001778CD">
      <w:pPr>
        <w:spacing w:after="0" w:line="360" w:lineRule="auto"/>
        <w:rPr>
          <w:rFonts w:ascii="Arial" w:eastAsiaTheme="minorHAnsi" w:hAnsi="Arial" w:cs="Arial"/>
          <w:szCs w:val="24"/>
        </w:rPr>
      </w:pPr>
      <w:r>
        <w:rPr>
          <w:rFonts w:ascii="Arial" w:eastAsiaTheme="minorHAnsi" w:hAnsi="Arial" w:cs="Arial"/>
          <w:szCs w:val="24"/>
        </w:rPr>
        <w:t>The new AbilityOne OIG has issued three semiannual reports. The OIG consists of an Inspector General, presently Thomas Lehrich, a general and investigative counsel, two assistant inspectors general, and an administrative officer.</w:t>
      </w:r>
      <w:r>
        <w:rPr>
          <w:rStyle w:val="EndnoteReference"/>
          <w:rFonts w:eastAsiaTheme="minorHAnsi" w:cs="Arial"/>
          <w:szCs w:val="24"/>
        </w:rPr>
        <w:endnoteReference w:id="144"/>
      </w:r>
      <w:r>
        <w:rPr>
          <w:rFonts w:ascii="Arial" w:eastAsiaTheme="minorHAnsi" w:hAnsi="Arial" w:cs="Arial"/>
          <w:szCs w:val="24"/>
        </w:rPr>
        <w:t xml:space="preserve"> </w:t>
      </w:r>
      <w:r w:rsidRPr="00880E68">
        <w:rPr>
          <w:rFonts w:ascii="Arial" w:eastAsiaTheme="minorHAnsi" w:hAnsi="Arial" w:cs="Arial"/>
          <w:szCs w:val="24"/>
        </w:rPr>
        <w:t>The OIG developed an FY 2018 – 2019 CNA audit job plan which focuses on seven areas concerning the NPAs and NPA interactions with the CNAs.</w:t>
      </w:r>
      <w:r w:rsidRPr="00880E68">
        <w:rPr>
          <w:rStyle w:val="EndnoteReference"/>
          <w:rFonts w:eastAsiaTheme="minorHAnsi" w:cs="Arial"/>
          <w:szCs w:val="24"/>
        </w:rPr>
        <w:endnoteReference w:id="145"/>
      </w:r>
      <w:r w:rsidRPr="00880E68">
        <w:rPr>
          <w:rFonts w:ascii="Arial" w:eastAsiaTheme="minorHAnsi" w:hAnsi="Arial" w:cs="Arial"/>
          <w:szCs w:val="24"/>
        </w:rPr>
        <w:t xml:space="preserve"> </w:t>
      </w:r>
      <w:r w:rsidRPr="00A5270C">
        <w:rPr>
          <w:rFonts w:ascii="Arial" w:eastAsiaTheme="minorHAnsi" w:hAnsi="Arial" w:cs="Arial"/>
          <w:szCs w:val="24"/>
        </w:rPr>
        <w:t>Much of the audit is not directly related to the employment of people with disabilities, but focuses on the relati</w:t>
      </w:r>
      <w:r>
        <w:rPr>
          <w:rFonts w:ascii="Arial" w:eastAsiaTheme="minorHAnsi" w:hAnsi="Arial" w:cs="Arial"/>
          <w:szCs w:val="24"/>
        </w:rPr>
        <w:t>onship of the CNAs with the NPA</w:t>
      </w:r>
      <w:r w:rsidRPr="00A5270C">
        <w:rPr>
          <w:rFonts w:ascii="Arial" w:eastAsiaTheme="minorHAnsi" w:hAnsi="Arial" w:cs="Arial"/>
          <w:szCs w:val="24"/>
        </w:rPr>
        <w:t>s</w:t>
      </w:r>
      <w:r>
        <w:rPr>
          <w:rFonts w:ascii="Arial" w:eastAsiaTheme="minorHAnsi" w:hAnsi="Arial" w:cs="Arial"/>
          <w:szCs w:val="24"/>
        </w:rPr>
        <w:t xml:space="preserve"> </w:t>
      </w:r>
      <w:r w:rsidRPr="00A5270C">
        <w:rPr>
          <w:rFonts w:ascii="Arial" w:eastAsiaTheme="minorHAnsi" w:hAnsi="Arial" w:cs="Arial"/>
          <w:szCs w:val="24"/>
        </w:rPr>
        <w:t>and the Co</w:t>
      </w:r>
      <w:r>
        <w:rPr>
          <w:rFonts w:ascii="Arial" w:eastAsiaTheme="minorHAnsi" w:hAnsi="Arial" w:cs="Arial"/>
          <w:szCs w:val="24"/>
        </w:rPr>
        <w:t>mmission, such as</w:t>
      </w:r>
      <w:r w:rsidRPr="00A5270C">
        <w:rPr>
          <w:rFonts w:ascii="Arial" w:eastAsiaTheme="minorHAnsi" w:hAnsi="Arial" w:cs="Arial"/>
          <w:szCs w:val="24"/>
        </w:rPr>
        <w:t xml:space="preserve"> order allocation and project assignment of federal contracts to the NPAs, the program fee, market growth, and the quality of the products delivered to the government.</w:t>
      </w:r>
      <w:r>
        <w:rPr>
          <w:rFonts w:ascii="Arial" w:eastAsiaTheme="minorHAnsi" w:hAnsi="Arial" w:cs="Arial"/>
          <w:szCs w:val="24"/>
        </w:rPr>
        <w:t xml:space="preserve"> T</w:t>
      </w:r>
      <w:r w:rsidRPr="00A5270C">
        <w:rPr>
          <w:rFonts w:ascii="Arial" w:eastAsiaTheme="minorHAnsi" w:hAnsi="Arial" w:cs="Arial"/>
          <w:szCs w:val="24"/>
        </w:rPr>
        <w:t>he plan does include a review of the CNA agreement “to determine the effectiveness of employment growth and program accountability as a result of [the agreement’s] oversight requirements in the areas of direct labor hours, program fees, and reportable expenditures.”</w:t>
      </w:r>
      <w:r w:rsidRPr="00A5270C">
        <w:rPr>
          <w:rStyle w:val="EndnoteReference"/>
          <w:rFonts w:eastAsiaTheme="minorHAnsi" w:cs="Arial"/>
          <w:szCs w:val="24"/>
        </w:rPr>
        <w:endnoteReference w:id="146"/>
      </w:r>
      <w:r w:rsidRPr="00A5270C">
        <w:rPr>
          <w:rFonts w:ascii="Arial" w:eastAsiaTheme="minorHAnsi" w:hAnsi="Arial" w:cs="Arial"/>
          <w:szCs w:val="24"/>
        </w:rPr>
        <w:t xml:space="preserve"> </w:t>
      </w:r>
      <w:r>
        <w:rPr>
          <w:rFonts w:ascii="Arial" w:eastAsiaTheme="minorHAnsi" w:hAnsi="Arial" w:cs="Arial"/>
          <w:szCs w:val="24"/>
        </w:rPr>
        <w:t xml:space="preserve">Absent from the OIG audit plan is consideration of how the CNAs assist the NPAs in the assessment process </w:t>
      </w:r>
      <w:r>
        <w:rPr>
          <w:rFonts w:ascii="Arial" w:eastAsiaTheme="minorHAnsi" w:hAnsi="Arial" w:cs="Arial"/>
          <w:szCs w:val="24"/>
        </w:rPr>
        <w:lastRenderedPageBreak/>
        <w:t>to determine if a person with a severe disability can engage in normal competitive employment. Since the OIG did not respond to NCD researcher’s attempts to schedule an interview, it is not known what specific factors the OIG considered to develop the audit plan.</w:t>
      </w:r>
    </w:p>
    <w:p w14:paraId="2023C817" w14:textId="77777777" w:rsidR="001778CD" w:rsidRDefault="001778CD" w:rsidP="001778CD">
      <w:pPr>
        <w:spacing w:after="0" w:line="360" w:lineRule="auto"/>
        <w:rPr>
          <w:rFonts w:ascii="Arial" w:eastAsiaTheme="minorHAnsi" w:hAnsi="Arial" w:cs="Arial"/>
          <w:szCs w:val="24"/>
        </w:rPr>
      </w:pPr>
    </w:p>
    <w:p w14:paraId="17BFDD0B" w14:textId="77777777" w:rsidR="001778CD" w:rsidRDefault="001778CD" w:rsidP="001778CD">
      <w:pPr>
        <w:spacing w:after="0" w:line="360" w:lineRule="auto"/>
        <w:rPr>
          <w:rFonts w:ascii="Arial" w:eastAsiaTheme="minorHAnsi" w:hAnsi="Arial" w:cs="Arial"/>
          <w:szCs w:val="24"/>
        </w:rPr>
      </w:pPr>
      <w:r w:rsidRPr="00723850">
        <w:rPr>
          <w:rFonts w:ascii="Arial" w:eastAsiaTheme="minorHAnsi" w:hAnsi="Arial" w:cs="Arial"/>
          <w:szCs w:val="24"/>
        </w:rPr>
        <w:t xml:space="preserve">During the </w:t>
      </w:r>
      <w:r>
        <w:rPr>
          <w:rFonts w:ascii="Arial" w:eastAsiaTheme="minorHAnsi" w:hAnsi="Arial" w:cs="Arial"/>
          <w:szCs w:val="24"/>
        </w:rPr>
        <w:t xml:space="preserve">last </w:t>
      </w:r>
      <w:r w:rsidRPr="00723850">
        <w:rPr>
          <w:rFonts w:ascii="Arial" w:eastAsiaTheme="minorHAnsi" w:hAnsi="Arial" w:cs="Arial"/>
          <w:szCs w:val="24"/>
        </w:rPr>
        <w:t>reporting period, the OIG supported investigations into allegations of fraud and violations of federal law in the program, with the amount of government funds under investigation estimated to be over $300 million.</w:t>
      </w:r>
      <w:r w:rsidRPr="00723850">
        <w:rPr>
          <w:rStyle w:val="EndnoteReference"/>
          <w:rFonts w:eastAsiaTheme="minorHAnsi" w:cs="Arial"/>
          <w:szCs w:val="24"/>
        </w:rPr>
        <w:endnoteReference w:id="147"/>
      </w:r>
      <w:r w:rsidRPr="00723850">
        <w:rPr>
          <w:rFonts w:ascii="Arial" w:eastAsiaTheme="minorHAnsi" w:hAnsi="Arial" w:cs="Arial"/>
          <w:szCs w:val="24"/>
        </w:rPr>
        <w:t xml:space="preserve"> The OIG </w:t>
      </w:r>
      <w:r>
        <w:rPr>
          <w:rFonts w:ascii="Arial" w:eastAsiaTheme="minorHAnsi" w:hAnsi="Arial" w:cs="Arial"/>
          <w:szCs w:val="24"/>
        </w:rPr>
        <w:t xml:space="preserve">also </w:t>
      </w:r>
      <w:r w:rsidRPr="00723850">
        <w:rPr>
          <w:rFonts w:ascii="Arial" w:eastAsiaTheme="minorHAnsi" w:hAnsi="Arial" w:cs="Arial"/>
          <w:szCs w:val="24"/>
        </w:rPr>
        <w:t>identified six management challenges</w:t>
      </w:r>
      <w:r>
        <w:rPr>
          <w:rFonts w:ascii="Arial" w:eastAsiaTheme="minorHAnsi" w:hAnsi="Arial" w:cs="Arial"/>
          <w:szCs w:val="24"/>
        </w:rPr>
        <w:t xml:space="preserve"> for the AbilityOne P</w:t>
      </w:r>
      <w:r w:rsidRPr="00723850">
        <w:rPr>
          <w:rFonts w:ascii="Arial" w:eastAsiaTheme="minorHAnsi" w:hAnsi="Arial" w:cs="Arial"/>
          <w:szCs w:val="24"/>
        </w:rPr>
        <w:t xml:space="preserve">rogram,1) </w:t>
      </w:r>
      <w:r>
        <w:rPr>
          <w:rFonts w:ascii="Arial" w:eastAsiaTheme="minorHAnsi" w:hAnsi="Arial" w:cs="Arial"/>
          <w:szCs w:val="24"/>
        </w:rPr>
        <w:t>e</w:t>
      </w:r>
      <w:r w:rsidRPr="00723850">
        <w:rPr>
          <w:rFonts w:ascii="Arial" w:eastAsiaTheme="minorHAnsi" w:hAnsi="Arial" w:cs="Arial"/>
          <w:szCs w:val="24"/>
        </w:rPr>
        <w:t xml:space="preserve">rosion of </w:t>
      </w:r>
      <w:r>
        <w:rPr>
          <w:rFonts w:ascii="Arial" w:eastAsiaTheme="minorHAnsi" w:hAnsi="Arial" w:cs="Arial"/>
          <w:szCs w:val="24"/>
        </w:rPr>
        <w:t>s</w:t>
      </w:r>
      <w:r w:rsidRPr="00723850">
        <w:rPr>
          <w:rFonts w:ascii="Arial" w:eastAsiaTheme="minorHAnsi" w:hAnsi="Arial" w:cs="Arial"/>
          <w:szCs w:val="24"/>
        </w:rPr>
        <w:t xml:space="preserve">tatutory </w:t>
      </w:r>
      <w:r>
        <w:rPr>
          <w:rFonts w:ascii="Arial" w:eastAsiaTheme="minorHAnsi" w:hAnsi="Arial" w:cs="Arial"/>
          <w:szCs w:val="24"/>
        </w:rPr>
        <w:t>p</w:t>
      </w:r>
      <w:r w:rsidRPr="00723850">
        <w:rPr>
          <w:rFonts w:ascii="Arial" w:eastAsiaTheme="minorHAnsi" w:hAnsi="Arial" w:cs="Arial"/>
          <w:szCs w:val="24"/>
        </w:rPr>
        <w:t xml:space="preserve">rogram </w:t>
      </w:r>
      <w:r>
        <w:rPr>
          <w:rFonts w:ascii="Arial" w:eastAsiaTheme="minorHAnsi" w:hAnsi="Arial" w:cs="Arial"/>
          <w:szCs w:val="24"/>
        </w:rPr>
        <w:t>a</w:t>
      </w:r>
      <w:r w:rsidRPr="00723850">
        <w:rPr>
          <w:rFonts w:ascii="Arial" w:eastAsiaTheme="minorHAnsi" w:hAnsi="Arial" w:cs="Arial"/>
          <w:szCs w:val="24"/>
        </w:rPr>
        <w:t xml:space="preserve">uthority; 2) </w:t>
      </w:r>
      <w:r>
        <w:rPr>
          <w:rFonts w:ascii="Arial" w:eastAsiaTheme="minorHAnsi" w:hAnsi="Arial" w:cs="Arial"/>
          <w:szCs w:val="24"/>
        </w:rPr>
        <w:t>higher level of transparency needed to enhance program c</w:t>
      </w:r>
      <w:r w:rsidRPr="00723850">
        <w:rPr>
          <w:rFonts w:ascii="Arial" w:eastAsiaTheme="minorHAnsi" w:hAnsi="Arial" w:cs="Arial"/>
          <w:szCs w:val="24"/>
        </w:rPr>
        <w:t xml:space="preserve">onfidence; 3) </w:t>
      </w:r>
      <w:r>
        <w:rPr>
          <w:rFonts w:ascii="Arial" w:eastAsiaTheme="minorHAnsi" w:hAnsi="Arial" w:cs="Arial"/>
          <w:szCs w:val="24"/>
        </w:rPr>
        <w:t>implementation of cooperative agreements given CNA g</w:t>
      </w:r>
      <w:r w:rsidRPr="00723850">
        <w:rPr>
          <w:rFonts w:ascii="Arial" w:eastAsiaTheme="minorHAnsi" w:hAnsi="Arial" w:cs="Arial"/>
          <w:szCs w:val="24"/>
        </w:rPr>
        <w:t xml:space="preserve">rowth; </w:t>
      </w:r>
      <w:r>
        <w:rPr>
          <w:rFonts w:ascii="Arial" w:eastAsiaTheme="minorHAnsi" w:hAnsi="Arial" w:cs="Arial"/>
          <w:szCs w:val="24"/>
        </w:rPr>
        <w:t>4) l</w:t>
      </w:r>
      <w:r w:rsidRPr="00723850">
        <w:rPr>
          <w:rFonts w:ascii="Arial" w:eastAsiaTheme="minorHAnsi" w:hAnsi="Arial" w:cs="Arial"/>
          <w:szCs w:val="24"/>
        </w:rPr>
        <w:t xml:space="preserve">ack of </w:t>
      </w:r>
      <w:r>
        <w:rPr>
          <w:rFonts w:ascii="Arial" w:eastAsiaTheme="minorHAnsi" w:hAnsi="Arial" w:cs="Arial"/>
          <w:szCs w:val="24"/>
        </w:rPr>
        <w:t>a</w:t>
      </w:r>
      <w:r w:rsidRPr="00723850">
        <w:rPr>
          <w:rFonts w:ascii="Arial" w:eastAsiaTheme="minorHAnsi" w:hAnsi="Arial" w:cs="Arial"/>
          <w:szCs w:val="24"/>
        </w:rPr>
        <w:t xml:space="preserve">dequate </w:t>
      </w:r>
      <w:r>
        <w:rPr>
          <w:rFonts w:ascii="Arial" w:eastAsiaTheme="minorHAnsi" w:hAnsi="Arial" w:cs="Arial"/>
          <w:szCs w:val="24"/>
        </w:rPr>
        <w:t>r</w:t>
      </w:r>
      <w:r w:rsidRPr="00723850">
        <w:rPr>
          <w:rFonts w:ascii="Arial" w:eastAsiaTheme="minorHAnsi" w:hAnsi="Arial" w:cs="Arial"/>
          <w:szCs w:val="24"/>
        </w:rPr>
        <w:t xml:space="preserve">esources </w:t>
      </w:r>
      <w:r>
        <w:rPr>
          <w:rFonts w:ascii="Arial" w:eastAsiaTheme="minorHAnsi" w:hAnsi="Arial" w:cs="Arial"/>
          <w:szCs w:val="24"/>
        </w:rPr>
        <w:t>i</w:t>
      </w:r>
      <w:r w:rsidRPr="00723850">
        <w:rPr>
          <w:rFonts w:ascii="Arial" w:eastAsiaTheme="minorHAnsi" w:hAnsi="Arial" w:cs="Arial"/>
          <w:szCs w:val="24"/>
        </w:rPr>
        <w:t xml:space="preserve">mpacts </w:t>
      </w:r>
      <w:r>
        <w:rPr>
          <w:rFonts w:ascii="Arial" w:eastAsiaTheme="minorHAnsi" w:hAnsi="Arial" w:cs="Arial"/>
          <w:szCs w:val="24"/>
        </w:rPr>
        <w:t>p</w:t>
      </w:r>
      <w:r w:rsidRPr="00723850">
        <w:rPr>
          <w:rFonts w:ascii="Arial" w:eastAsiaTheme="minorHAnsi" w:hAnsi="Arial" w:cs="Arial"/>
          <w:szCs w:val="24"/>
        </w:rPr>
        <w:t xml:space="preserve">rogram </w:t>
      </w:r>
      <w:r>
        <w:rPr>
          <w:rFonts w:ascii="Arial" w:eastAsiaTheme="minorHAnsi" w:hAnsi="Arial" w:cs="Arial"/>
          <w:szCs w:val="24"/>
        </w:rPr>
        <w:t>e</w:t>
      </w:r>
      <w:r w:rsidRPr="00723850">
        <w:rPr>
          <w:rFonts w:ascii="Arial" w:eastAsiaTheme="minorHAnsi" w:hAnsi="Arial" w:cs="Arial"/>
          <w:szCs w:val="24"/>
        </w:rPr>
        <w:t xml:space="preserve">ffectiveness; 5) </w:t>
      </w:r>
      <w:r>
        <w:rPr>
          <w:rFonts w:ascii="Arial" w:eastAsiaTheme="minorHAnsi" w:hAnsi="Arial" w:cs="Arial"/>
          <w:szCs w:val="24"/>
        </w:rPr>
        <w:t>l</w:t>
      </w:r>
      <w:r w:rsidRPr="00723850">
        <w:rPr>
          <w:rFonts w:ascii="Arial" w:eastAsiaTheme="minorHAnsi" w:hAnsi="Arial" w:cs="Arial"/>
          <w:szCs w:val="24"/>
        </w:rPr>
        <w:t xml:space="preserve">ack of </w:t>
      </w:r>
      <w:r>
        <w:rPr>
          <w:rFonts w:ascii="Arial" w:eastAsiaTheme="minorHAnsi" w:hAnsi="Arial" w:cs="Arial"/>
          <w:szCs w:val="24"/>
        </w:rPr>
        <w:t>enterprise-wide risk m</w:t>
      </w:r>
      <w:r w:rsidRPr="00723850">
        <w:rPr>
          <w:rFonts w:ascii="Arial" w:eastAsiaTheme="minorHAnsi" w:hAnsi="Arial" w:cs="Arial"/>
          <w:szCs w:val="24"/>
        </w:rPr>
        <w:t xml:space="preserve">anagement </w:t>
      </w:r>
      <w:r>
        <w:rPr>
          <w:rFonts w:ascii="Arial" w:eastAsiaTheme="minorHAnsi" w:hAnsi="Arial" w:cs="Arial"/>
          <w:szCs w:val="24"/>
        </w:rPr>
        <w:t>f</w:t>
      </w:r>
      <w:r w:rsidRPr="00723850">
        <w:rPr>
          <w:rFonts w:ascii="Arial" w:eastAsiaTheme="minorHAnsi" w:hAnsi="Arial" w:cs="Arial"/>
          <w:szCs w:val="24"/>
        </w:rPr>
        <w:t xml:space="preserve">ramework; and 6) </w:t>
      </w:r>
      <w:r>
        <w:rPr>
          <w:rFonts w:ascii="Arial" w:eastAsiaTheme="minorHAnsi" w:hAnsi="Arial" w:cs="Arial"/>
          <w:szCs w:val="24"/>
        </w:rPr>
        <w:t>e</w:t>
      </w:r>
      <w:r w:rsidRPr="00723850">
        <w:rPr>
          <w:rFonts w:ascii="Arial" w:eastAsiaTheme="minorHAnsi" w:hAnsi="Arial" w:cs="Arial"/>
          <w:szCs w:val="24"/>
        </w:rPr>
        <w:t xml:space="preserve">nhancement of </w:t>
      </w:r>
      <w:r>
        <w:rPr>
          <w:rFonts w:ascii="Arial" w:eastAsiaTheme="minorHAnsi" w:hAnsi="Arial" w:cs="Arial"/>
          <w:szCs w:val="24"/>
        </w:rPr>
        <w:t>p</w:t>
      </w:r>
      <w:r w:rsidRPr="00723850">
        <w:rPr>
          <w:rFonts w:ascii="Arial" w:eastAsiaTheme="minorHAnsi" w:hAnsi="Arial" w:cs="Arial"/>
          <w:szCs w:val="24"/>
        </w:rPr>
        <w:t xml:space="preserve">rogram </w:t>
      </w:r>
      <w:r>
        <w:rPr>
          <w:rFonts w:ascii="Arial" w:eastAsiaTheme="minorHAnsi" w:hAnsi="Arial" w:cs="Arial"/>
          <w:szCs w:val="24"/>
        </w:rPr>
        <w:t>c</w:t>
      </w:r>
      <w:r w:rsidRPr="00723850">
        <w:rPr>
          <w:rFonts w:ascii="Arial" w:eastAsiaTheme="minorHAnsi" w:hAnsi="Arial" w:cs="Arial"/>
          <w:szCs w:val="24"/>
        </w:rPr>
        <w:t>ompliance.</w:t>
      </w:r>
      <w:r w:rsidRPr="00723850">
        <w:rPr>
          <w:rStyle w:val="EndnoteReference"/>
          <w:rFonts w:eastAsiaTheme="minorHAnsi" w:cs="Arial"/>
          <w:szCs w:val="24"/>
        </w:rPr>
        <w:endnoteReference w:id="148"/>
      </w:r>
      <w:r w:rsidRPr="00723850">
        <w:rPr>
          <w:rFonts w:ascii="Arial" w:eastAsiaTheme="minorHAnsi" w:hAnsi="Arial" w:cs="Arial"/>
          <w:szCs w:val="24"/>
        </w:rPr>
        <w:t xml:space="preserve"> </w:t>
      </w:r>
    </w:p>
    <w:p w14:paraId="368FBBCC" w14:textId="77777777" w:rsidR="001778CD" w:rsidRDefault="001778CD" w:rsidP="001778CD">
      <w:pPr>
        <w:spacing w:after="0" w:line="360" w:lineRule="auto"/>
        <w:rPr>
          <w:rFonts w:ascii="Arial" w:hAnsi="Arial" w:cs="Arial"/>
          <w:u w:val="single"/>
        </w:rPr>
      </w:pPr>
    </w:p>
    <w:p w14:paraId="432461EB" w14:textId="77777777" w:rsidR="001778CD" w:rsidRPr="003E6A0F" w:rsidRDefault="001778CD" w:rsidP="001778CD">
      <w:pPr>
        <w:spacing w:after="0" w:line="360" w:lineRule="auto"/>
        <w:rPr>
          <w:rFonts w:ascii="Arial" w:hAnsi="Arial" w:cs="Arial"/>
          <w:u w:val="single"/>
        </w:rPr>
      </w:pPr>
      <w:r>
        <w:rPr>
          <w:rFonts w:ascii="Arial" w:hAnsi="Arial" w:cs="Arial"/>
          <w:u w:val="single"/>
        </w:rPr>
        <w:t>F</w:t>
      </w:r>
      <w:r w:rsidRPr="003E6A0F">
        <w:rPr>
          <w:rFonts w:ascii="Arial" w:hAnsi="Arial" w:cs="Arial"/>
          <w:u w:val="single"/>
        </w:rPr>
        <w:t>. Commercialization of AbilityOne Products</w:t>
      </w:r>
      <w:r>
        <w:rPr>
          <w:rFonts w:ascii="Arial" w:hAnsi="Arial" w:cs="Arial"/>
          <w:u w:val="single"/>
        </w:rPr>
        <w:t xml:space="preserve"> and Employment Growth</w:t>
      </w:r>
    </w:p>
    <w:p w14:paraId="65CD41EB" w14:textId="77777777" w:rsidR="001778CD" w:rsidRDefault="001778CD" w:rsidP="001778CD">
      <w:pPr>
        <w:spacing w:after="0" w:line="360" w:lineRule="auto"/>
        <w:rPr>
          <w:rFonts w:ascii="Arial" w:eastAsiaTheme="minorHAnsi" w:hAnsi="Arial" w:cs="Arial"/>
          <w:szCs w:val="24"/>
        </w:rPr>
      </w:pPr>
      <w:r>
        <w:rPr>
          <w:rFonts w:ascii="Arial" w:eastAsiaTheme="minorHAnsi" w:hAnsi="Arial" w:cs="Arial"/>
          <w:szCs w:val="24"/>
        </w:rPr>
        <w:t>Of significant interest for the future of the program, the OIG noted that in August 2017 the Commission and Amazon agreed to allow federal agencies to purchase AbilityOne products through the Amazon website.</w:t>
      </w:r>
      <w:r>
        <w:rPr>
          <w:rStyle w:val="EndnoteReference"/>
          <w:rFonts w:eastAsiaTheme="minorHAnsi" w:cs="Arial"/>
          <w:szCs w:val="24"/>
        </w:rPr>
        <w:endnoteReference w:id="149"/>
      </w:r>
      <w:r>
        <w:rPr>
          <w:rFonts w:ascii="Arial" w:eastAsiaTheme="minorHAnsi" w:hAnsi="Arial" w:cs="Arial"/>
          <w:szCs w:val="24"/>
        </w:rPr>
        <w:t xml:space="preserve"> The OIG found this agreement consistent with Congressional and other federal efforts to conduct government commercial purchases through e-commerce.</w:t>
      </w:r>
      <w:r>
        <w:rPr>
          <w:rStyle w:val="EndnoteReference"/>
          <w:rFonts w:eastAsiaTheme="minorHAnsi" w:cs="Arial"/>
          <w:szCs w:val="24"/>
        </w:rPr>
        <w:endnoteReference w:id="150"/>
      </w:r>
      <w:r>
        <w:rPr>
          <w:rFonts w:ascii="Arial" w:eastAsiaTheme="minorHAnsi" w:hAnsi="Arial" w:cs="Arial"/>
          <w:szCs w:val="24"/>
        </w:rPr>
        <w:t xml:space="preserve"> In addition, any private business or individual may purchase AbilityOne products directly through Amazon. A simple search of Amazon.com results in over two thousand AbilityOne products available to the general public. Further, CNAs are specifically authorized to use the program fee “for commercial efforts to the extent that the commercial efforts are intended to have a direct benefit to the Program.”</w:t>
      </w:r>
      <w:r>
        <w:rPr>
          <w:rStyle w:val="EndnoteReference"/>
          <w:rFonts w:eastAsiaTheme="minorHAnsi" w:cs="Arial"/>
          <w:szCs w:val="24"/>
        </w:rPr>
        <w:endnoteReference w:id="151"/>
      </w:r>
      <w:r>
        <w:rPr>
          <w:rFonts w:ascii="Arial" w:eastAsiaTheme="minorHAnsi" w:hAnsi="Arial" w:cs="Arial"/>
          <w:szCs w:val="24"/>
        </w:rPr>
        <w:t xml:space="preserve"> </w:t>
      </w:r>
    </w:p>
    <w:p w14:paraId="0E66D480" w14:textId="77777777" w:rsidR="001778CD" w:rsidRDefault="001778CD" w:rsidP="001778CD">
      <w:pPr>
        <w:spacing w:after="0" w:line="360" w:lineRule="auto"/>
        <w:rPr>
          <w:rFonts w:ascii="Arial" w:eastAsiaTheme="minorHAnsi" w:hAnsi="Arial" w:cs="Arial"/>
          <w:szCs w:val="24"/>
        </w:rPr>
      </w:pPr>
    </w:p>
    <w:p w14:paraId="19F2FD35" w14:textId="77777777" w:rsidR="001778CD" w:rsidRDefault="001778CD" w:rsidP="001778CD">
      <w:pPr>
        <w:spacing w:after="0" w:line="360" w:lineRule="auto"/>
        <w:rPr>
          <w:rFonts w:ascii="Arial" w:eastAsiaTheme="minorHAnsi" w:hAnsi="Arial" w:cs="Arial"/>
          <w:szCs w:val="24"/>
        </w:rPr>
      </w:pPr>
      <w:r>
        <w:rPr>
          <w:rFonts w:ascii="Arial" w:eastAsiaTheme="minorHAnsi" w:hAnsi="Arial" w:cs="Arial"/>
          <w:szCs w:val="24"/>
        </w:rPr>
        <w:t xml:space="preserve">The commercialization of AbilityOne products and services to private entities has significant ramifications for federal disability policy, especially in the rapidly expanding era of e-commerce. While sales of AbilityOne products and services to the private sector have likely occurred for decades, the impact of such sales on the advancement of competitive integrated employment has received apparently little study or attention. For example, to what extent are the CNAs and NPAs able to continue a segregated </w:t>
      </w:r>
      <w:r>
        <w:rPr>
          <w:rFonts w:ascii="Arial" w:eastAsiaTheme="minorHAnsi" w:hAnsi="Arial" w:cs="Arial"/>
          <w:szCs w:val="24"/>
        </w:rPr>
        <w:lastRenderedPageBreak/>
        <w:t>workshop model into private production because of the support received through mandatory federal procurement? To what extent are reduced wages paid to employees with disabilities at the NPAs, either below the federal minimum wage or below the prevailing wage, enabling the NPAs to compete more strongly in the private market to the detriment of the workers with disabilities paid such lower wages?</w:t>
      </w:r>
    </w:p>
    <w:p w14:paraId="19E89167" w14:textId="77777777" w:rsidR="001778CD" w:rsidRDefault="001778CD" w:rsidP="001778CD">
      <w:pPr>
        <w:shd w:val="clear" w:color="auto" w:fill="FFFFFF"/>
        <w:spacing w:after="0" w:line="360" w:lineRule="auto"/>
        <w:rPr>
          <w:rFonts w:ascii="Arial" w:eastAsiaTheme="minorHAnsi" w:hAnsi="Arial" w:cs="Arial"/>
          <w:szCs w:val="24"/>
        </w:rPr>
      </w:pPr>
    </w:p>
    <w:p w14:paraId="0A1EEA46" w14:textId="77777777" w:rsidR="001778CD" w:rsidRPr="00CD177E" w:rsidRDefault="001778CD" w:rsidP="001778CD">
      <w:pPr>
        <w:shd w:val="clear" w:color="auto" w:fill="FFFFFF"/>
        <w:spacing w:after="0" w:line="360" w:lineRule="auto"/>
        <w:rPr>
          <w:rFonts w:ascii="Arial" w:eastAsia="Times New Roman" w:hAnsi="Arial" w:cs="Arial"/>
          <w:color w:val="000000"/>
          <w:szCs w:val="24"/>
          <w:highlight w:val="yellow"/>
        </w:rPr>
      </w:pPr>
      <w:r>
        <w:rPr>
          <w:rFonts w:ascii="Arial" w:eastAsiaTheme="minorHAnsi" w:hAnsi="Arial" w:cs="Arial"/>
          <w:szCs w:val="24"/>
        </w:rPr>
        <w:t xml:space="preserve">A central theme throughout AbilityOne Commission reports, manuals, and agreements is employment growth and business development. While employment growth is a logical aim for the program, it is not a statutory requirement. The JWOD Act allows the </w:t>
      </w:r>
      <w:r>
        <w:rPr>
          <w:rFonts w:ascii="Arial" w:eastAsia="Times New Roman" w:hAnsi="Arial" w:cs="Arial"/>
          <w:color w:val="000000"/>
          <w:szCs w:val="24"/>
        </w:rPr>
        <w:t xml:space="preserve">Commission </w:t>
      </w:r>
      <w:r w:rsidRPr="00CD177E">
        <w:rPr>
          <w:rFonts w:ascii="Arial" w:eastAsia="Times New Roman" w:hAnsi="Arial" w:cs="Arial"/>
          <w:color w:val="000000"/>
          <w:szCs w:val="24"/>
        </w:rPr>
        <w:t xml:space="preserve">“on its own or in cooperation with other public or nonprofit private agencies </w:t>
      </w:r>
      <w:r>
        <w:rPr>
          <w:rFonts w:ascii="Arial" w:eastAsia="Times New Roman" w:hAnsi="Arial" w:cs="Arial"/>
          <w:color w:val="000000"/>
          <w:szCs w:val="24"/>
        </w:rPr>
        <w:t xml:space="preserve">[to] -- study </w:t>
      </w:r>
      <w:r w:rsidRPr="00CD177E">
        <w:rPr>
          <w:rFonts w:ascii="Arial" w:eastAsia="Times New Roman" w:hAnsi="Arial" w:cs="Arial"/>
          <w:color w:val="000000"/>
          <w:szCs w:val="24"/>
        </w:rPr>
        <w:t xml:space="preserve">1) problems related to the employment of the blind and other severely disabled individuals; and </w:t>
      </w:r>
      <w:r w:rsidRPr="00CD177E">
        <w:rPr>
          <w:rFonts w:ascii="Arial" w:eastAsia="Times New Roman" w:hAnsi="Arial" w:cs="Arial"/>
          <w:bCs/>
          <w:color w:val="000000"/>
          <w:szCs w:val="24"/>
          <w:shd w:val="clear" w:color="auto" w:fill="FFFFFF"/>
        </w:rPr>
        <w:t>2)</w:t>
      </w:r>
      <w:r w:rsidRPr="00CD177E">
        <w:rPr>
          <w:rFonts w:ascii="Arial" w:eastAsia="Times New Roman" w:hAnsi="Arial" w:cs="Arial"/>
          <w:color w:val="000000"/>
          <w:szCs w:val="24"/>
        </w:rPr>
        <w:t xml:space="preserve"> the development and adaptation of production methods that would enable a greater utilization of the blind and other severely disabled individuals.</w:t>
      </w:r>
      <w:r>
        <w:rPr>
          <w:rFonts w:ascii="Arial" w:eastAsia="Times New Roman" w:hAnsi="Arial" w:cs="Arial"/>
          <w:color w:val="000000"/>
          <w:szCs w:val="24"/>
        </w:rPr>
        <w:t>”</w:t>
      </w:r>
      <w:r>
        <w:rPr>
          <w:rStyle w:val="EndnoteReference"/>
          <w:rFonts w:eastAsia="Times New Roman" w:cs="Arial"/>
          <w:color w:val="000000"/>
          <w:szCs w:val="24"/>
        </w:rPr>
        <w:endnoteReference w:id="152"/>
      </w:r>
      <w:r>
        <w:rPr>
          <w:rFonts w:ascii="Arial" w:eastAsia="Times New Roman" w:hAnsi="Arial" w:cs="Arial"/>
          <w:color w:val="000000"/>
          <w:szCs w:val="24"/>
        </w:rPr>
        <w:t xml:space="preserve"> The use of the language “development and adoption of production methods” in the JWOD Act, however, pre-dates by 20 years the ADA which now requires that employers provide reasonable accommodations to people with disabilities. The Commission’s emphasis on employment growth is neither a requirement under the JWOD Act, nor is fully consistent with federal law which now seeks employment growth for people with disabilities within the community, and legally requires private employers to find ways to adopt methods for people with disabilities as a reasonable accommodation. </w:t>
      </w:r>
    </w:p>
    <w:p w14:paraId="5F0E2857" w14:textId="77777777" w:rsidR="001778CD" w:rsidRPr="00CD177E" w:rsidRDefault="001778CD" w:rsidP="001778CD">
      <w:pPr>
        <w:spacing w:after="0" w:line="360" w:lineRule="auto"/>
        <w:rPr>
          <w:rFonts w:ascii="Arial" w:eastAsiaTheme="minorHAnsi" w:hAnsi="Arial" w:cs="Arial"/>
          <w:szCs w:val="24"/>
        </w:rPr>
      </w:pPr>
    </w:p>
    <w:p w14:paraId="3D2E7230" w14:textId="77777777" w:rsidR="001778CD" w:rsidRPr="00A135EC" w:rsidRDefault="001778CD" w:rsidP="001778CD">
      <w:pPr>
        <w:keepNext/>
        <w:spacing w:after="0" w:line="360" w:lineRule="auto"/>
        <w:rPr>
          <w:rFonts w:ascii="Arial" w:eastAsiaTheme="minorHAnsi" w:hAnsi="Arial" w:cs="Arial"/>
          <w:color w:val="000000" w:themeColor="text1"/>
          <w:szCs w:val="24"/>
          <w:u w:val="single"/>
        </w:rPr>
      </w:pPr>
      <w:r>
        <w:rPr>
          <w:rFonts w:ascii="Arial" w:eastAsiaTheme="minorHAnsi" w:hAnsi="Arial" w:cs="Arial"/>
          <w:color w:val="000000" w:themeColor="text1"/>
          <w:szCs w:val="24"/>
          <w:u w:val="single"/>
        </w:rPr>
        <w:t>G. NDAA</w:t>
      </w:r>
      <w:r w:rsidRPr="00A135EC">
        <w:rPr>
          <w:rFonts w:ascii="Arial" w:eastAsiaTheme="minorHAnsi" w:hAnsi="Arial" w:cs="Arial"/>
          <w:color w:val="000000" w:themeColor="text1"/>
          <w:szCs w:val="24"/>
          <w:u w:val="single"/>
        </w:rPr>
        <w:t xml:space="preserve"> Section 898 Panel</w:t>
      </w:r>
      <w:r>
        <w:rPr>
          <w:rFonts w:ascii="Arial" w:eastAsiaTheme="minorHAnsi" w:hAnsi="Arial" w:cs="Arial"/>
          <w:color w:val="000000" w:themeColor="text1"/>
          <w:szCs w:val="24"/>
          <w:u w:val="single"/>
        </w:rPr>
        <w:t xml:space="preserve"> on AbilityOne</w:t>
      </w:r>
    </w:p>
    <w:p w14:paraId="39DF7A73" w14:textId="77777777" w:rsidR="001778CD" w:rsidRDefault="001778CD" w:rsidP="001778CD">
      <w:pPr>
        <w:keepNext/>
        <w:spacing w:after="0" w:line="360" w:lineRule="auto"/>
        <w:rPr>
          <w:rFonts w:ascii="Arial" w:eastAsiaTheme="minorHAnsi" w:hAnsi="Arial" w:cs="Arial"/>
          <w:color w:val="000000" w:themeColor="text1"/>
          <w:szCs w:val="24"/>
        </w:rPr>
      </w:pPr>
      <w:r>
        <w:rPr>
          <w:rFonts w:ascii="Arial" w:eastAsiaTheme="minorHAnsi" w:hAnsi="Arial" w:cs="Arial"/>
          <w:color w:val="000000" w:themeColor="text1"/>
          <w:szCs w:val="24"/>
        </w:rPr>
        <w:t>The DoD</w:t>
      </w:r>
      <w:r w:rsidRPr="000C7DC4">
        <w:rPr>
          <w:rFonts w:ascii="Arial" w:eastAsiaTheme="minorHAnsi" w:hAnsi="Arial" w:cs="Arial"/>
          <w:color w:val="000000" w:themeColor="text1"/>
          <w:szCs w:val="24"/>
        </w:rPr>
        <w:t xml:space="preserve"> and AbilityOne Contracting, Oversight Accountability and Integrity</w:t>
      </w:r>
      <w:r>
        <w:rPr>
          <w:rFonts w:ascii="Arial" w:eastAsiaTheme="minorHAnsi" w:hAnsi="Arial" w:cs="Arial"/>
          <w:color w:val="000000" w:themeColor="text1"/>
          <w:szCs w:val="24"/>
        </w:rPr>
        <w:t xml:space="preserve"> Panel</w:t>
      </w:r>
    </w:p>
    <w:p w14:paraId="4D694D8A" w14:textId="77777777" w:rsidR="001778CD" w:rsidRPr="000C7DC4" w:rsidRDefault="001778CD" w:rsidP="001778CD">
      <w:pPr>
        <w:spacing w:after="0" w:line="360" w:lineRule="auto"/>
        <w:rPr>
          <w:rFonts w:ascii="Arial" w:hAnsi="Arial" w:cs="Arial"/>
          <w:color w:val="000000" w:themeColor="text1"/>
          <w:szCs w:val="24"/>
        </w:rPr>
      </w:pPr>
      <w:r>
        <w:rPr>
          <w:rFonts w:ascii="Arial" w:eastAsiaTheme="minorHAnsi" w:hAnsi="Arial" w:cs="Arial"/>
          <w:color w:val="000000" w:themeColor="text1"/>
          <w:szCs w:val="24"/>
        </w:rPr>
        <w:t xml:space="preserve">(Panel) established under </w:t>
      </w:r>
      <w:r w:rsidRPr="000C7DC4">
        <w:rPr>
          <w:rFonts w:ascii="Arial" w:eastAsiaTheme="minorHAnsi" w:hAnsi="Arial" w:cs="Arial"/>
          <w:color w:val="000000" w:themeColor="text1"/>
          <w:szCs w:val="24"/>
        </w:rPr>
        <w:t>NDAA</w:t>
      </w:r>
      <w:r>
        <w:rPr>
          <w:rFonts w:ascii="Arial" w:eastAsiaTheme="minorHAnsi" w:hAnsi="Arial" w:cs="Arial"/>
          <w:color w:val="000000" w:themeColor="text1"/>
          <w:szCs w:val="24"/>
        </w:rPr>
        <w:t xml:space="preserve"> section 898 is the most recent Congressionally established entity to consider the Ability One Program</w:t>
      </w:r>
      <w:r w:rsidRPr="000C7DC4">
        <w:rPr>
          <w:rFonts w:ascii="Arial" w:eastAsiaTheme="minorHAnsi" w:hAnsi="Arial" w:cs="Arial"/>
          <w:color w:val="000000" w:themeColor="text1"/>
          <w:szCs w:val="24"/>
        </w:rPr>
        <w:t>.</w:t>
      </w:r>
      <w:r w:rsidRPr="000C7DC4">
        <w:rPr>
          <w:rStyle w:val="EndnoteReference"/>
          <w:rFonts w:cs="Arial"/>
          <w:color w:val="000000" w:themeColor="text1"/>
        </w:rPr>
        <w:endnoteReference w:id="153"/>
      </w:r>
      <w:r w:rsidRPr="000C7DC4">
        <w:rPr>
          <w:rFonts w:ascii="Arial" w:hAnsi="Arial" w:cs="Arial"/>
          <w:color w:val="000000" w:themeColor="text1"/>
          <w:szCs w:val="24"/>
        </w:rPr>
        <w:t xml:space="preserve"> </w:t>
      </w:r>
      <w:r>
        <w:rPr>
          <w:rFonts w:ascii="Arial" w:hAnsi="Arial" w:cs="Arial"/>
          <w:color w:val="000000" w:themeColor="text1"/>
          <w:szCs w:val="24"/>
        </w:rPr>
        <w:t>The overall goal</w:t>
      </w:r>
      <w:r w:rsidRPr="000C7DC4">
        <w:rPr>
          <w:rFonts w:ascii="Arial" w:hAnsi="Arial" w:cs="Arial"/>
          <w:color w:val="000000" w:themeColor="text1"/>
          <w:szCs w:val="24"/>
        </w:rPr>
        <w:t xml:space="preserve"> of </w:t>
      </w:r>
      <w:r>
        <w:rPr>
          <w:rFonts w:ascii="Arial" w:hAnsi="Arial" w:cs="Arial"/>
          <w:color w:val="000000" w:themeColor="text1"/>
          <w:szCs w:val="24"/>
        </w:rPr>
        <w:t xml:space="preserve">the Panel is to </w:t>
      </w:r>
      <w:r w:rsidRPr="000C7DC4">
        <w:rPr>
          <w:rFonts w:ascii="Arial" w:hAnsi="Arial" w:cs="Arial"/>
          <w:color w:val="000000" w:themeColor="text1"/>
          <w:szCs w:val="24"/>
        </w:rPr>
        <w:t>address</w:t>
      </w:r>
      <w:r>
        <w:rPr>
          <w:rFonts w:ascii="Arial" w:hAnsi="Arial" w:cs="Arial"/>
          <w:color w:val="000000" w:themeColor="text1"/>
          <w:szCs w:val="24"/>
        </w:rPr>
        <w:t xml:space="preserve"> </w:t>
      </w:r>
      <w:r w:rsidRPr="000C7DC4">
        <w:rPr>
          <w:rFonts w:ascii="Arial" w:hAnsi="Arial" w:cs="Arial"/>
          <w:color w:val="000000" w:themeColor="text1"/>
          <w:szCs w:val="24"/>
        </w:rPr>
        <w:t xml:space="preserve">“the effectiveness and internal controls of the AbilityOne Program related to </w:t>
      </w:r>
      <w:r>
        <w:rPr>
          <w:rFonts w:ascii="Arial" w:hAnsi="Arial" w:cs="Arial"/>
          <w:color w:val="000000" w:themeColor="text1"/>
          <w:szCs w:val="24"/>
        </w:rPr>
        <w:t>DoD contracts.</w:t>
      </w:r>
      <w:r w:rsidRPr="000C7DC4">
        <w:rPr>
          <w:rFonts w:ascii="Arial" w:hAnsi="Arial" w:cs="Arial"/>
          <w:color w:val="000000" w:themeColor="text1"/>
          <w:szCs w:val="24"/>
        </w:rPr>
        <w:t>”</w:t>
      </w:r>
      <w:r w:rsidRPr="000C7DC4">
        <w:rPr>
          <w:rStyle w:val="EndnoteReference"/>
          <w:rFonts w:cs="Arial"/>
          <w:color w:val="000000" w:themeColor="text1"/>
          <w:szCs w:val="24"/>
        </w:rPr>
        <w:endnoteReference w:id="154"/>
      </w:r>
      <w:r w:rsidRPr="000C7DC4">
        <w:rPr>
          <w:rFonts w:ascii="Arial" w:hAnsi="Arial" w:cs="Arial"/>
          <w:color w:val="000000" w:themeColor="text1"/>
          <w:szCs w:val="24"/>
        </w:rPr>
        <w:t xml:space="preserve"> </w:t>
      </w:r>
      <w:r>
        <w:rPr>
          <w:rFonts w:ascii="Arial" w:hAnsi="Arial" w:cs="Arial"/>
          <w:color w:val="000000" w:themeColor="text1"/>
          <w:szCs w:val="24"/>
        </w:rPr>
        <w:t>T</w:t>
      </w:r>
      <w:r w:rsidRPr="000C7DC4">
        <w:rPr>
          <w:rFonts w:ascii="Arial" w:hAnsi="Arial" w:cs="Arial"/>
          <w:color w:val="000000" w:themeColor="text1"/>
          <w:szCs w:val="24"/>
        </w:rPr>
        <w:t>he Panel established seven subcommittees</w:t>
      </w:r>
      <w:r>
        <w:rPr>
          <w:rFonts w:ascii="Arial" w:hAnsi="Arial" w:cs="Arial"/>
          <w:color w:val="000000" w:themeColor="text1"/>
          <w:szCs w:val="24"/>
        </w:rPr>
        <w:t xml:space="preserve"> and</w:t>
      </w:r>
      <w:r w:rsidRPr="000C7DC4">
        <w:rPr>
          <w:rFonts w:ascii="Arial" w:hAnsi="Arial" w:cs="Arial"/>
          <w:color w:val="000000" w:themeColor="text1"/>
          <w:szCs w:val="24"/>
        </w:rPr>
        <w:t xml:space="preserve"> released its</w:t>
      </w:r>
      <w:r>
        <w:rPr>
          <w:rFonts w:ascii="Arial" w:hAnsi="Arial" w:cs="Arial"/>
          <w:color w:val="000000" w:themeColor="text1"/>
          <w:szCs w:val="24"/>
        </w:rPr>
        <w:t xml:space="preserve"> first report in July 2018. F</w:t>
      </w:r>
      <w:r w:rsidRPr="000C7DC4">
        <w:rPr>
          <w:rFonts w:ascii="Arial" w:hAnsi="Arial" w:cs="Arial"/>
          <w:color w:val="000000" w:themeColor="text1"/>
          <w:szCs w:val="24"/>
        </w:rPr>
        <w:t>indings and recommendations</w:t>
      </w:r>
      <w:r>
        <w:rPr>
          <w:rFonts w:ascii="Arial" w:hAnsi="Arial" w:cs="Arial"/>
          <w:color w:val="000000" w:themeColor="text1"/>
          <w:szCs w:val="24"/>
        </w:rPr>
        <w:t xml:space="preserve"> directly relevant to this assessment from the </w:t>
      </w:r>
      <w:r w:rsidRPr="000C7DC4">
        <w:rPr>
          <w:rFonts w:ascii="Arial" w:hAnsi="Arial" w:cs="Arial"/>
          <w:color w:val="000000" w:themeColor="text1"/>
          <w:szCs w:val="24"/>
        </w:rPr>
        <w:t>subcommittees</w:t>
      </w:r>
      <w:r>
        <w:rPr>
          <w:rFonts w:ascii="Arial" w:hAnsi="Arial" w:cs="Arial"/>
          <w:color w:val="000000" w:themeColor="text1"/>
          <w:szCs w:val="24"/>
        </w:rPr>
        <w:t xml:space="preserve"> on Fraud, Waste and Abuse; </w:t>
      </w:r>
      <w:r w:rsidRPr="000C7DC4">
        <w:rPr>
          <w:rFonts w:ascii="Arial" w:hAnsi="Arial" w:cs="Arial"/>
          <w:color w:val="000000" w:themeColor="text1"/>
          <w:szCs w:val="24"/>
        </w:rPr>
        <w:t>Employment Initiatives</w:t>
      </w:r>
      <w:r>
        <w:rPr>
          <w:rFonts w:ascii="Arial" w:hAnsi="Arial" w:cs="Arial"/>
          <w:color w:val="000000" w:themeColor="text1"/>
          <w:szCs w:val="24"/>
        </w:rPr>
        <w:t xml:space="preserve">; and </w:t>
      </w:r>
      <w:r w:rsidRPr="000C7DC4">
        <w:rPr>
          <w:rFonts w:ascii="Arial" w:hAnsi="Arial" w:cs="Arial"/>
          <w:color w:val="000000" w:themeColor="text1"/>
          <w:szCs w:val="24"/>
        </w:rPr>
        <w:t>Laws and Regulations</w:t>
      </w:r>
      <w:r>
        <w:rPr>
          <w:rFonts w:ascii="Arial" w:hAnsi="Arial" w:cs="Arial"/>
          <w:color w:val="000000" w:themeColor="text1"/>
          <w:szCs w:val="24"/>
        </w:rPr>
        <w:t xml:space="preserve"> are reviewed below</w:t>
      </w:r>
      <w:r w:rsidRPr="000C7DC4">
        <w:rPr>
          <w:rFonts w:ascii="Arial" w:hAnsi="Arial" w:cs="Arial"/>
          <w:color w:val="000000" w:themeColor="text1"/>
          <w:szCs w:val="24"/>
        </w:rPr>
        <w:t>.</w:t>
      </w:r>
    </w:p>
    <w:p w14:paraId="5BD09713" w14:textId="77777777" w:rsidR="001778CD" w:rsidRDefault="001778CD" w:rsidP="001778CD">
      <w:pPr>
        <w:spacing w:after="0" w:line="360" w:lineRule="auto"/>
        <w:rPr>
          <w:rFonts w:ascii="Arial" w:hAnsi="Arial" w:cs="Arial"/>
          <w:color w:val="FF0000"/>
          <w:szCs w:val="24"/>
        </w:rPr>
      </w:pPr>
    </w:p>
    <w:p w14:paraId="6C409BFA" w14:textId="77777777" w:rsidR="001778CD" w:rsidRDefault="001778CD" w:rsidP="001778CD">
      <w:pPr>
        <w:spacing w:after="0" w:line="360" w:lineRule="auto"/>
        <w:rPr>
          <w:rFonts w:ascii="Arial" w:hAnsi="Arial" w:cs="Arial"/>
          <w:color w:val="000000" w:themeColor="text1"/>
          <w:szCs w:val="24"/>
        </w:rPr>
      </w:pPr>
      <w:r w:rsidRPr="004D1863">
        <w:rPr>
          <w:rFonts w:ascii="Arial" w:hAnsi="Arial" w:cs="Arial"/>
          <w:color w:val="000000" w:themeColor="text1"/>
          <w:szCs w:val="24"/>
        </w:rPr>
        <w:lastRenderedPageBreak/>
        <w:t xml:space="preserve">The Eliminate Waste, Fraud and Abuse Subcommittee </w:t>
      </w:r>
      <w:r>
        <w:rPr>
          <w:rFonts w:ascii="Arial" w:hAnsi="Arial" w:cs="Arial"/>
          <w:color w:val="000000" w:themeColor="text1"/>
          <w:szCs w:val="24"/>
        </w:rPr>
        <w:t>focused on recommendations to DoD and the AbilityOne Commission.</w:t>
      </w:r>
      <w:r w:rsidRPr="004D1863">
        <w:rPr>
          <w:rFonts w:ascii="Arial" w:hAnsi="Arial" w:cs="Arial"/>
          <w:color w:val="000000" w:themeColor="text1"/>
          <w:szCs w:val="24"/>
        </w:rPr>
        <w:t xml:space="preserve"> </w:t>
      </w:r>
      <w:r>
        <w:rPr>
          <w:rFonts w:ascii="Arial" w:hAnsi="Arial" w:cs="Arial"/>
          <w:color w:val="000000" w:themeColor="text1"/>
          <w:szCs w:val="24"/>
        </w:rPr>
        <w:t xml:space="preserve">The subcommittees worked on five identified vulnerabilities in the program and developed corresponding recommendations. The first vulnerability focused on the need for more oversight of both the CNAs and the NPAs, and the subcommittee recommended increased oversight and strengthened audit coverage. The second vulnerability concerned the complexity of verifying the direct labor ratio and the methodology used by NPAs to determine severe disability. The subcommittee recommended stricter requirements for NPA disability determinations, a concern the CNN report highlighted in 2015. A third vulnerability addressed the use of program fee revenues by the CNAs to lobby and the subcommittee recommended elimination of the practice. </w:t>
      </w:r>
      <w:r w:rsidRPr="006C2085">
        <w:rPr>
          <w:rFonts w:ascii="Arial" w:hAnsi="Arial" w:cs="Arial"/>
          <w:color w:val="000000" w:themeColor="text1"/>
          <w:szCs w:val="24"/>
        </w:rPr>
        <w:t>Finally, the Panel recommended that the process by which the CNAs assign projects to NPAs be structured to eliminate bias through increased transparency complete with mandatory criteria and certifications.</w:t>
      </w:r>
      <w:r>
        <w:rPr>
          <w:rStyle w:val="EndnoteReference"/>
          <w:rFonts w:cs="Arial"/>
          <w:color w:val="000000" w:themeColor="text1"/>
          <w:szCs w:val="24"/>
        </w:rPr>
        <w:endnoteReference w:id="155"/>
      </w:r>
      <w:r w:rsidRPr="006C2085">
        <w:rPr>
          <w:rFonts w:ascii="Arial" w:hAnsi="Arial" w:cs="Arial"/>
          <w:color w:val="000000" w:themeColor="text1"/>
          <w:szCs w:val="24"/>
        </w:rPr>
        <w:t xml:space="preserve"> </w:t>
      </w:r>
    </w:p>
    <w:p w14:paraId="05ACAB21" w14:textId="77777777" w:rsidR="001778CD" w:rsidRPr="004D1863" w:rsidRDefault="001778CD" w:rsidP="001778CD">
      <w:pPr>
        <w:spacing w:after="0" w:line="360" w:lineRule="auto"/>
        <w:rPr>
          <w:rFonts w:ascii="Arial" w:hAnsi="Arial" w:cs="Arial"/>
          <w:color w:val="000000" w:themeColor="text1"/>
          <w:szCs w:val="24"/>
        </w:rPr>
      </w:pPr>
    </w:p>
    <w:p w14:paraId="4C2DB447" w14:textId="77777777" w:rsidR="001778CD" w:rsidRDefault="001778CD" w:rsidP="001778CD">
      <w:pPr>
        <w:spacing w:after="0" w:line="360" w:lineRule="auto"/>
        <w:rPr>
          <w:rFonts w:ascii="Arial" w:hAnsi="Arial" w:cs="Arial"/>
          <w:color w:val="000000" w:themeColor="text1"/>
          <w:szCs w:val="24"/>
        </w:rPr>
      </w:pPr>
      <w:r w:rsidRPr="004D1863">
        <w:rPr>
          <w:rFonts w:ascii="Arial" w:hAnsi="Arial" w:cs="Arial"/>
          <w:color w:val="000000" w:themeColor="text1"/>
          <w:szCs w:val="24"/>
        </w:rPr>
        <w:t xml:space="preserve">The Employment Initiatives subcommittee </w:t>
      </w:r>
      <w:r>
        <w:rPr>
          <w:rFonts w:ascii="Arial" w:hAnsi="Arial" w:cs="Arial"/>
          <w:color w:val="000000" w:themeColor="text1"/>
          <w:szCs w:val="24"/>
        </w:rPr>
        <w:t xml:space="preserve">focused on ways DoD and the Commission can further employment opportunities within AbilityOne for service connected veterans, as well as people who are blind and people who have significant disabilities. The subcommittee explored employment options, support services for employees, individualized career planning and training opportunities. </w:t>
      </w:r>
      <w:r w:rsidRPr="007166BC">
        <w:rPr>
          <w:rFonts w:ascii="Arial" w:hAnsi="Arial" w:cs="Arial"/>
          <w:color w:val="000000" w:themeColor="text1"/>
          <w:szCs w:val="24"/>
        </w:rPr>
        <w:t xml:space="preserve">The subcommittee also focused on </w:t>
      </w:r>
      <w:r w:rsidRPr="00AE3BAC">
        <w:rPr>
          <w:rFonts w:ascii="Arial" w:hAnsi="Arial" w:cs="Arial"/>
          <w:color w:val="000000" w:themeColor="text1"/>
          <w:szCs w:val="24"/>
        </w:rPr>
        <w:t xml:space="preserve">how employees can progress </w:t>
      </w:r>
      <w:r w:rsidRPr="007166BC">
        <w:rPr>
          <w:rFonts w:ascii="Arial" w:hAnsi="Arial" w:cs="Arial"/>
          <w:color w:val="000000" w:themeColor="text1"/>
          <w:szCs w:val="24"/>
        </w:rPr>
        <w:t xml:space="preserve">from direct labor into competitive employment and noted that currently there is a lack of data to evaluate the extent to which case management and/or guidance on career goals are provided. The subcommittee recommended that </w:t>
      </w:r>
      <w:r>
        <w:rPr>
          <w:rFonts w:ascii="Arial" w:hAnsi="Arial" w:cs="Arial"/>
          <w:color w:val="000000" w:themeColor="text1"/>
          <w:szCs w:val="24"/>
        </w:rPr>
        <w:t xml:space="preserve">the </w:t>
      </w:r>
      <w:r w:rsidRPr="007166BC">
        <w:rPr>
          <w:rFonts w:ascii="Arial" w:hAnsi="Arial" w:cs="Arial"/>
          <w:color w:val="000000" w:themeColor="text1"/>
          <w:szCs w:val="24"/>
        </w:rPr>
        <w:t>Abilit</w:t>
      </w:r>
      <w:r>
        <w:rPr>
          <w:rFonts w:ascii="Arial" w:hAnsi="Arial" w:cs="Arial"/>
          <w:color w:val="000000" w:themeColor="text1"/>
          <w:szCs w:val="24"/>
        </w:rPr>
        <w:t>y</w:t>
      </w:r>
      <w:r w:rsidRPr="007166BC">
        <w:rPr>
          <w:rFonts w:ascii="Arial" w:hAnsi="Arial" w:cs="Arial"/>
          <w:color w:val="000000" w:themeColor="text1"/>
          <w:szCs w:val="24"/>
        </w:rPr>
        <w:t>One</w:t>
      </w:r>
      <w:r>
        <w:rPr>
          <w:rFonts w:ascii="Arial" w:hAnsi="Arial" w:cs="Arial"/>
          <w:color w:val="000000" w:themeColor="text1"/>
          <w:szCs w:val="24"/>
        </w:rPr>
        <w:t xml:space="preserve"> Commission</w:t>
      </w:r>
      <w:r w:rsidRPr="007166BC">
        <w:rPr>
          <w:rFonts w:ascii="Arial" w:hAnsi="Arial" w:cs="Arial"/>
          <w:color w:val="000000" w:themeColor="text1"/>
          <w:szCs w:val="24"/>
        </w:rPr>
        <w:t xml:space="preserve"> develop more robust means by which to measure AbilityOne employees who transition from direct labor into competitive employment.</w:t>
      </w:r>
      <w:r w:rsidRPr="007166BC">
        <w:rPr>
          <w:rStyle w:val="EndnoteReference"/>
          <w:rFonts w:cs="Arial"/>
          <w:color w:val="000000" w:themeColor="text1"/>
          <w:szCs w:val="24"/>
        </w:rPr>
        <w:endnoteReference w:id="156"/>
      </w:r>
      <w:r w:rsidRPr="007166BC">
        <w:rPr>
          <w:rFonts w:ascii="Arial" w:hAnsi="Arial" w:cs="Arial"/>
          <w:color w:val="000000" w:themeColor="text1"/>
          <w:szCs w:val="24"/>
        </w:rPr>
        <w:t xml:space="preserve"> The subcommittee further recommended that the Commission establish</w:t>
      </w:r>
      <w:r>
        <w:rPr>
          <w:rFonts w:ascii="Arial" w:hAnsi="Arial" w:cs="Arial"/>
          <w:color w:val="000000" w:themeColor="text1"/>
          <w:szCs w:val="24"/>
        </w:rPr>
        <w:t xml:space="preserve"> an “eligibility and employment ‘cell’</w:t>
      </w:r>
      <w:r w:rsidRPr="007166BC">
        <w:rPr>
          <w:rFonts w:ascii="Arial" w:hAnsi="Arial" w:cs="Arial"/>
          <w:color w:val="000000" w:themeColor="text1"/>
          <w:szCs w:val="24"/>
        </w:rPr>
        <w:t xml:space="preserve"> of qualified personnel, to include occupational therapists</w:t>
      </w:r>
      <w:r>
        <w:rPr>
          <w:rFonts w:ascii="Arial" w:hAnsi="Arial" w:cs="Arial"/>
          <w:color w:val="000000" w:themeColor="text1"/>
          <w:szCs w:val="24"/>
        </w:rPr>
        <w:t>, Vocational R</w:t>
      </w:r>
      <w:r w:rsidRPr="007166BC">
        <w:rPr>
          <w:rFonts w:ascii="Arial" w:hAnsi="Arial" w:cs="Arial"/>
          <w:color w:val="000000" w:themeColor="text1"/>
          <w:szCs w:val="24"/>
        </w:rPr>
        <w:t>ehabi</w:t>
      </w:r>
      <w:r>
        <w:rPr>
          <w:rFonts w:ascii="Arial" w:hAnsi="Arial" w:cs="Arial"/>
          <w:color w:val="000000" w:themeColor="text1"/>
          <w:szCs w:val="24"/>
        </w:rPr>
        <w:t>litation C</w:t>
      </w:r>
      <w:r w:rsidRPr="007166BC">
        <w:rPr>
          <w:rFonts w:ascii="Arial" w:hAnsi="Arial" w:cs="Arial"/>
          <w:color w:val="000000" w:themeColor="text1"/>
          <w:szCs w:val="24"/>
        </w:rPr>
        <w:t>ounselors</w:t>
      </w:r>
      <w:r>
        <w:rPr>
          <w:rFonts w:ascii="Arial" w:hAnsi="Arial" w:cs="Arial"/>
          <w:color w:val="000000" w:themeColor="text1"/>
          <w:szCs w:val="24"/>
        </w:rPr>
        <w:t xml:space="preserve"> (VRCs), L</w:t>
      </w:r>
      <w:r w:rsidRPr="007166BC">
        <w:rPr>
          <w:rFonts w:ascii="Arial" w:hAnsi="Arial" w:cs="Arial"/>
          <w:color w:val="000000" w:themeColor="text1"/>
          <w:szCs w:val="24"/>
        </w:rPr>
        <w:t>icensed</w:t>
      </w:r>
      <w:r>
        <w:rPr>
          <w:rFonts w:ascii="Arial" w:hAnsi="Arial" w:cs="Arial"/>
          <w:color w:val="000000" w:themeColor="text1"/>
          <w:szCs w:val="24"/>
        </w:rPr>
        <w:t xml:space="preserve"> Clinical S</w:t>
      </w:r>
      <w:r w:rsidRPr="007166BC">
        <w:rPr>
          <w:rFonts w:ascii="Arial" w:hAnsi="Arial" w:cs="Arial"/>
          <w:color w:val="000000" w:themeColor="text1"/>
          <w:szCs w:val="24"/>
        </w:rPr>
        <w:t xml:space="preserve">ocial </w:t>
      </w:r>
      <w:r>
        <w:rPr>
          <w:rFonts w:ascii="Arial" w:hAnsi="Arial" w:cs="Arial"/>
          <w:color w:val="000000" w:themeColor="text1"/>
          <w:szCs w:val="24"/>
        </w:rPr>
        <w:t>W</w:t>
      </w:r>
      <w:r w:rsidRPr="007166BC">
        <w:rPr>
          <w:rFonts w:ascii="Arial" w:hAnsi="Arial" w:cs="Arial"/>
          <w:color w:val="000000" w:themeColor="text1"/>
          <w:szCs w:val="24"/>
        </w:rPr>
        <w:t>orkers, and other similar qualifications</w:t>
      </w:r>
      <w:r>
        <w:rPr>
          <w:rFonts w:ascii="Arial" w:hAnsi="Arial" w:cs="Arial"/>
          <w:color w:val="000000" w:themeColor="text1"/>
          <w:szCs w:val="24"/>
        </w:rPr>
        <w:t>,”</w:t>
      </w:r>
      <w:r>
        <w:rPr>
          <w:rStyle w:val="EndnoteReference"/>
          <w:rFonts w:cs="Arial"/>
          <w:color w:val="000000" w:themeColor="text1"/>
          <w:szCs w:val="24"/>
        </w:rPr>
        <w:endnoteReference w:id="157"/>
      </w:r>
      <w:r>
        <w:rPr>
          <w:rFonts w:ascii="Arial" w:hAnsi="Arial" w:cs="Arial"/>
          <w:color w:val="000000" w:themeColor="text1"/>
          <w:szCs w:val="24"/>
        </w:rPr>
        <w:t xml:space="preserve"> </w:t>
      </w:r>
      <w:r w:rsidRPr="007166BC">
        <w:rPr>
          <w:rFonts w:ascii="Arial" w:hAnsi="Arial" w:cs="Arial"/>
          <w:color w:val="000000" w:themeColor="text1"/>
          <w:szCs w:val="24"/>
        </w:rPr>
        <w:t>to better define, measure and track AbilityO</w:t>
      </w:r>
      <w:r>
        <w:rPr>
          <w:rFonts w:ascii="Arial" w:hAnsi="Arial" w:cs="Arial"/>
          <w:color w:val="000000" w:themeColor="text1"/>
          <w:szCs w:val="24"/>
        </w:rPr>
        <w:t>ne P</w:t>
      </w:r>
      <w:r w:rsidRPr="007166BC">
        <w:rPr>
          <w:rFonts w:ascii="Arial" w:hAnsi="Arial" w:cs="Arial"/>
          <w:color w:val="000000" w:themeColor="text1"/>
          <w:szCs w:val="24"/>
        </w:rPr>
        <w:t xml:space="preserve">rogram employment outcomes. </w:t>
      </w:r>
    </w:p>
    <w:p w14:paraId="1069F6D7" w14:textId="77777777" w:rsidR="001778CD" w:rsidRDefault="001778CD" w:rsidP="001778CD">
      <w:pPr>
        <w:spacing w:after="0" w:line="360" w:lineRule="auto"/>
        <w:rPr>
          <w:rFonts w:ascii="Arial" w:hAnsi="Arial" w:cs="Arial"/>
          <w:color w:val="000000" w:themeColor="text1"/>
          <w:szCs w:val="24"/>
        </w:rPr>
      </w:pPr>
    </w:p>
    <w:p w14:paraId="4C2F50EC" w14:textId="77777777" w:rsidR="001778CD" w:rsidRDefault="001778CD" w:rsidP="001778CD">
      <w:pPr>
        <w:spacing w:after="0" w:line="360" w:lineRule="auto"/>
        <w:rPr>
          <w:rFonts w:ascii="Arial" w:hAnsi="Arial" w:cs="Arial"/>
          <w:color w:val="000000" w:themeColor="text1"/>
          <w:szCs w:val="24"/>
        </w:rPr>
      </w:pPr>
      <w:r w:rsidRPr="004D1863">
        <w:rPr>
          <w:rFonts w:ascii="Arial" w:hAnsi="Arial" w:cs="Arial"/>
          <w:color w:val="000000" w:themeColor="text1"/>
          <w:szCs w:val="24"/>
        </w:rPr>
        <w:lastRenderedPageBreak/>
        <w:t xml:space="preserve">The subcommittee on Laws and Regulations examined the </w:t>
      </w:r>
      <w:r>
        <w:rPr>
          <w:rFonts w:ascii="Arial" w:hAnsi="Arial" w:cs="Arial"/>
          <w:color w:val="000000" w:themeColor="text1"/>
          <w:szCs w:val="24"/>
        </w:rPr>
        <w:t xml:space="preserve">underlying </w:t>
      </w:r>
      <w:r w:rsidRPr="004D1863">
        <w:rPr>
          <w:rFonts w:ascii="Arial" w:hAnsi="Arial" w:cs="Arial"/>
          <w:color w:val="000000" w:themeColor="text1"/>
          <w:szCs w:val="24"/>
        </w:rPr>
        <w:t xml:space="preserve">laws </w:t>
      </w:r>
      <w:r>
        <w:rPr>
          <w:rFonts w:ascii="Arial" w:hAnsi="Arial" w:cs="Arial"/>
          <w:color w:val="000000" w:themeColor="text1"/>
          <w:szCs w:val="24"/>
        </w:rPr>
        <w:t>and regulations which govern the</w:t>
      </w:r>
      <w:r w:rsidRPr="004D1863">
        <w:rPr>
          <w:rFonts w:ascii="Arial" w:hAnsi="Arial" w:cs="Arial"/>
          <w:color w:val="000000" w:themeColor="text1"/>
          <w:szCs w:val="24"/>
        </w:rPr>
        <w:t xml:space="preserve"> AbilityOne</w:t>
      </w:r>
      <w:r>
        <w:rPr>
          <w:rFonts w:ascii="Arial" w:hAnsi="Arial" w:cs="Arial"/>
          <w:color w:val="000000" w:themeColor="text1"/>
          <w:szCs w:val="24"/>
        </w:rPr>
        <w:t xml:space="preserve"> Program. </w:t>
      </w:r>
      <w:r w:rsidRPr="004D1863">
        <w:rPr>
          <w:rFonts w:ascii="Arial" w:hAnsi="Arial" w:cs="Arial"/>
          <w:color w:val="000000" w:themeColor="text1"/>
          <w:szCs w:val="24"/>
        </w:rPr>
        <w:t>Specifically, the subcommittee noted that “[b]y its nature, the 75% requirement reduces the chance for the NPAs to build an integrated workforce.”</w:t>
      </w:r>
      <w:r w:rsidRPr="004D1863">
        <w:rPr>
          <w:rStyle w:val="EndnoteReference"/>
          <w:rFonts w:cs="Arial"/>
          <w:color w:val="000000" w:themeColor="text1"/>
          <w:szCs w:val="24"/>
        </w:rPr>
        <w:endnoteReference w:id="158"/>
      </w:r>
      <w:r w:rsidRPr="004D1863">
        <w:rPr>
          <w:rFonts w:ascii="Arial" w:hAnsi="Arial" w:cs="Arial"/>
          <w:color w:val="000000" w:themeColor="text1"/>
          <w:szCs w:val="24"/>
        </w:rPr>
        <w:t xml:space="preserve"> The subcommittee recommended amending</w:t>
      </w:r>
      <w:r>
        <w:rPr>
          <w:rFonts w:ascii="Arial" w:hAnsi="Arial" w:cs="Arial"/>
          <w:color w:val="000000" w:themeColor="text1"/>
          <w:szCs w:val="24"/>
        </w:rPr>
        <w:t xml:space="preserve"> the</w:t>
      </w:r>
      <w:r w:rsidRPr="004D1863">
        <w:rPr>
          <w:rFonts w:ascii="Arial" w:hAnsi="Arial" w:cs="Arial"/>
          <w:color w:val="000000" w:themeColor="text1"/>
          <w:szCs w:val="24"/>
        </w:rPr>
        <w:t xml:space="preserve"> JWOD </w:t>
      </w:r>
      <w:r>
        <w:rPr>
          <w:rFonts w:ascii="Arial" w:hAnsi="Arial" w:cs="Arial"/>
          <w:color w:val="000000" w:themeColor="text1"/>
          <w:szCs w:val="24"/>
        </w:rPr>
        <w:t xml:space="preserve">Act </w:t>
      </w:r>
      <w:r w:rsidRPr="004D1863">
        <w:rPr>
          <w:rFonts w:ascii="Arial" w:hAnsi="Arial" w:cs="Arial"/>
          <w:color w:val="000000" w:themeColor="text1"/>
          <w:szCs w:val="24"/>
        </w:rPr>
        <w:t xml:space="preserve">to reduce the </w:t>
      </w:r>
      <w:r>
        <w:rPr>
          <w:rFonts w:ascii="Arial" w:hAnsi="Arial" w:cs="Arial"/>
          <w:color w:val="000000" w:themeColor="text1"/>
          <w:szCs w:val="24"/>
        </w:rPr>
        <w:t xml:space="preserve">direct </w:t>
      </w:r>
      <w:r w:rsidRPr="004D1863">
        <w:rPr>
          <w:rFonts w:ascii="Arial" w:hAnsi="Arial" w:cs="Arial"/>
          <w:color w:val="000000" w:themeColor="text1"/>
          <w:szCs w:val="24"/>
        </w:rPr>
        <w:t xml:space="preserve">labor ratio and to change the definition of direct labor to include indirect </w:t>
      </w:r>
      <w:r>
        <w:rPr>
          <w:rFonts w:ascii="Arial" w:hAnsi="Arial" w:cs="Arial"/>
          <w:color w:val="000000" w:themeColor="text1"/>
          <w:szCs w:val="24"/>
        </w:rPr>
        <w:t>labor.</w:t>
      </w:r>
      <w:r w:rsidRPr="004D1863">
        <w:rPr>
          <w:rFonts w:ascii="Arial" w:hAnsi="Arial" w:cs="Arial"/>
          <w:color w:val="000000" w:themeColor="text1"/>
          <w:szCs w:val="24"/>
        </w:rPr>
        <w:t xml:space="preserve"> </w:t>
      </w:r>
      <w:r>
        <w:rPr>
          <w:rFonts w:ascii="Arial" w:hAnsi="Arial" w:cs="Arial"/>
          <w:color w:val="000000" w:themeColor="text1"/>
          <w:szCs w:val="24"/>
        </w:rPr>
        <w:t xml:space="preserve">The </w:t>
      </w:r>
      <w:r w:rsidRPr="004D1863">
        <w:rPr>
          <w:rFonts w:ascii="Arial" w:hAnsi="Arial" w:cs="Arial"/>
          <w:color w:val="000000" w:themeColor="text1"/>
          <w:szCs w:val="24"/>
        </w:rPr>
        <w:t xml:space="preserve">subcommittee believes </w:t>
      </w:r>
      <w:r>
        <w:rPr>
          <w:rFonts w:ascii="Arial" w:hAnsi="Arial" w:cs="Arial"/>
          <w:color w:val="000000" w:themeColor="text1"/>
          <w:szCs w:val="24"/>
        </w:rPr>
        <w:t xml:space="preserve">both changes </w:t>
      </w:r>
      <w:r w:rsidRPr="004D1863">
        <w:rPr>
          <w:rFonts w:ascii="Arial" w:hAnsi="Arial" w:cs="Arial"/>
          <w:color w:val="000000" w:themeColor="text1"/>
          <w:szCs w:val="24"/>
        </w:rPr>
        <w:t>would encourage and enable integration</w:t>
      </w:r>
      <w:r>
        <w:rPr>
          <w:rFonts w:ascii="Arial" w:hAnsi="Arial" w:cs="Arial"/>
          <w:color w:val="000000" w:themeColor="text1"/>
          <w:szCs w:val="24"/>
        </w:rPr>
        <w:t xml:space="preserve"> of employees with disabilities</w:t>
      </w:r>
      <w:r w:rsidRPr="004D1863">
        <w:rPr>
          <w:rFonts w:ascii="Arial" w:hAnsi="Arial" w:cs="Arial"/>
          <w:color w:val="000000" w:themeColor="text1"/>
          <w:szCs w:val="24"/>
        </w:rPr>
        <w:t>.</w:t>
      </w:r>
      <w:bookmarkStart w:id="8" w:name="_Toc531584347"/>
      <w:r>
        <w:rPr>
          <w:rStyle w:val="EndnoteReference"/>
          <w:rFonts w:cs="Arial"/>
          <w:color w:val="000000" w:themeColor="text1"/>
          <w:szCs w:val="24"/>
        </w:rPr>
        <w:endnoteReference w:id="159"/>
      </w:r>
    </w:p>
    <w:p w14:paraId="4E405E20" w14:textId="77777777" w:rsidR="001778CD" w:rsidRDefault="001778CD" w:rsidP="001778CD">
      <w:pPr>
        <w:spacing w:after="0" w:line="360" w:lineRule="auto"/>
        <w:rPr>
          <w:rFonts w:ascii="Arial" w:hAnsi="Arial" w:cs="Arial"/>
          <w:color w:val="000000" w:themeColor="text1"/>
          <w:szCs w:val="24"/>
        </w:rPr>
      </w:pPr>
    </w:p>
    <w:p w14:paraId="1667DD26" w14:textId="77777777" w:rsidR="001778CD" w:rsidRPr="006E3FB0" w:rsidRDefault="001778CD" w:rsidP="001778CD">
      <w:pPr>
        <w:keepNext/>
        <w:spacing w:after="360" w:line="240" w:lineRule="auto"/>
        <w:rPr>
          <w:rFonts w:ascii="Arial Bold" w:hAnsi="Arial Bold" w:cs="Arial"/>
          <w:b/>
          <w:sz w:val="30"/>
          <w:szCs w:val="30"/>
        </w:rPr>
      </w:pPr>
      <w:r w:rsidRPr="006E3FB0">
        <w:rPr>
          <w:rFonts w:ascii="Arial Bold" w:hAnsi="Arial Bold" w:cs="Arial"/>
          <w:b/>
          <w:sz w:val="30"/>
          <w:szCs w:val="30"/>
        </w:rPr>
        <w:t>F</w:t>
      </w:r>
      <w:bookmarkEnd w:id="8"/>
      <w:r>
        <w:rPr>
          <w:rFonts w:ascii="Arial Bold" w:hAnsi="Arial Bold" w:cs="Arial"/>
          <w:b/>
          <w:sz w:val="30"/>
          <w:szCs w:val="30"/>
        </w:rPr>
        <w:t>indings and Recommendations</w:t>
      </w:r>
      <w:r w:rsidRPr="006E3FB0">
        <w:rPr>
          <w:rFonts w:ascii="Arial Bold" w:hAnsi="Arial Bold" w:cs="Arial"/>
          <w:b/>
          <w:sz w:val="30"/>
          <w:szCs w:val="30"/>
        </w:rPr>
        <w:t xml:space="preserve"> </w:t>
      </w:r>
    </w:p>
    <w:p w14:paraId="299BC762" w14:textId="77777777" w:rsidR="001778CD" w:rsidRPr="00E94812" w:rsidRDefault="001778CD" w:rsidP="001778CD">
      <w:pPr>
        <w:keepNext/>
        <w:spacing w:after="0" w:line="360" w:lineRule="auto"/>
        <w:rPr>
          <w:rFonts w:ascii="Arial" w:hAnsi="Arial" w:cs="Arial"/>
          <w:color w:val="000000" w:themeColor="text1"/>
          <w:szCs w:val="24"/>
        </w:rPr>
      </w:pPr>
      <w:r>
        <w:rPr>
          <w:rFonts w:ascii="Arial" w:hAnsi="Arial" w:cs="Arial"/>
          <w:szCs w:val="24"/>
        </w:rPr>
        <w:t>In this brief assessment of the AbilityOne Program, NCD believes that Congress, the Departments of Labor and Education, and the AbilityOne Commission need to take a deeper look into the alignment of the program with broader federal disability policies. No major Congressional changes to the AbilityOne Program have occurred in 47 years despite tremendous changes in disability rights and the U.S. economy since that time. Furthermore, with the AbilityOne non-profit agencies branching out into e-commerce, and with only 18.6 percent of AbilityOne government purchases going to the wages of people with disabilities, the federal government needs a much clearer picture of whether employees who are blind or have a severe disability benefit from the current system. NCD believes that the emphasis placed on employment growth in the AbilityOne Program – a program with a built-in mechanism for segregation and for low wages for production work – is inconsistent with the ADA, WIOA, and other laws and policies that seek to ensure the full participation of people with disabilities.</w:t>
      </w:r>
    </w:p>
    <w:p w14:paraId="583CC681" w14:textId="77777777" w:rsidR="001778CD" w:rsidRDefault="001778CD" w:rsidP="001778CD">
      <w:pPr>
        <w:keepNext/>
        <w:keepLines/>
        <w:spacing w:after="0" w:line="360" w:lineRule="auto"/>
        <w:rPr>
          <w:rFonts w:ascii="Arial" w:hAnsi="Arial" w:cs="Arial"/>
          <w:szCs w:val="24"/>
        </w:rPr>
      </w:pPr>
    </w:p>
    <w:p w14:paraId="2E981CC7" w14:textId="77777777" w:rsidR="001778CD" w:rsidRDefault="001778CD" w:rsidP="001778CD">
      <w:pPr>
        <w:keepNext/>
        <w:keepLines/>
        <w:spacing w:after="0" w:line="360" w:lineRule="auto"/>
        <w:rPr>
          <w:rFonts w:ascii="Arial" w:hAnsi="Arial" w:cs="Arial"/>
          <w:szCs w:val="24"/>
        </w:rPr>
      </w:pPr>
      <w:r>
        <w:rPr>
          <w:rFonts w:ascii="Arial" w:hAnsi="Arial" w:cs="Arial"/>
          <w:szCs w:val="24"/>
        </w:rPr>
        <w:t>NCD therefore makes the following recommendations to Congress.</w:t>
      </w:r>
    </w:p>
    <w:p w14:paraId="1C94D6F0" w14:textId="77777777" w:rsidR="001778CD" w:rsidRDefault="001778CD" w:rsidP="001778CD">
      <w:pPr>
        <w:keepNext/>
        <w:keepLines/>
        <w:spacing w:after="0" w:line="360" w:lineRule="auto"/>
        <w:rPr>
          <w:rFonts w:ascii="Arial" w:hAnsi="Arial" w:cs="Arial"/>
          <w:szCs w:val="24"/>
        </w:rPr>
      </w:pPr>
    </w:p>
    <w:p w14:paraId="15066418" w14:textId="77777777" w:rsidR="001778CD" w:rsidRDefault="001778CD" w:rsidP="001778CD">
      <w:pPr>
        <w:pStyle w:val="ListParagraph"/>
        <w:numPr>
          <w:ilvl w:val="0"/>
          <w:numId w:val="29"/>
        </w:numPr>
        <w:spacing w:after="0" w:line="360" w:lineRule="auto"/>
        <w:rPr>
          <w:rFonts w:ascii="Arial" w:hAnsi="Arial" w:cs="Arial"/>
          <w:szCs w:val="24"/>
        </w:rPr>
      </w:pPr>
      <w:r w:rsidRPr="00D3180B">
        <w:rPr>
          <w:rFonts w:ascii="Arial" w:hAnsi="Arial" w:cs="Arial"/>
          <w:szCs w:val="24"/>
        </w:rPr>
        <w:t xml:space="preserve">Congress should direct the U.S. Departments of Defense, Education, and Labor </w:t>
      </w:r>
      <w:r>
        <w:rPr>
          <w:rFonts w:ascii="Arial" w:hAnsi="Arial" w:cs="Arial"/>
          <w:szCs w:val="24"/>
        </w:rPr>
        <w:t xml:space="preserve">to </w:t>
      </w:r>
      <w:r w:rsidRPr="00D3180B">
        <w:rPr>
          <w:rFonts w:ascii="Arial" w:hAnsi="Arial" w:cs="Arial"/>
          <w:szCs w:val="24"/>
        </w:rPr>
        <w:t xml:space="preserve">convene a transformational advisory committee to include </w:t>
      </w:r>
      <w:r>
        <w:rPr>
          <w:rFonts w:ascii="Arial" w:hAnsi="Arial" w:cs="Arial"/>
          <w:szCs w:val="24"/>
        </w:rPr>
        <w:t xml:space="preserve">advocates from the </w:t>
      </w:r>
      <w:r w:rsidRPr="00D3180B">
        <w:rPr>
          <w:rFonts w:ascii="Arial" w:hAnsi="Arial" w:cs="Arial"/>
          <w:szCs w:val="24"/>
        </w:rPr>
        <w:t>disability community, experts on the employment of people with disabilities, representative</w:t>
      </w:r>
      <w:r>
        <w:rPr>
          <w:rFonts w:ascii="Arial" w:hAnsi="Arial" w:cs="Arial"/>
          <w:szCs w:val="24"/>
        </w:rPr>
        <w:t>s</w:t>
      </w:r>
      <w:r w:rsidRPr="00D3180B">
        <w:rPr>
          <w:rFonts w:ascii="Arial" w:hAnsi="Arial" w:cs="Arial"/>
          <w:szCs w:val="24"/>
        </w:rPr>
        <w:t xml:space="preserve"> from federal procurement offices, and other stakeholders to explore a new system to employ people who are blind or have severe disabilities </w:t>
      </w:r>
      <w:r w:rsidRPr="00D3180B">
        <w:rPr>
          <w:rFonts w:ascii="Arial" w:hAnsi="Arial" w:cs="Arial"/>
          <w:szCs w:val="24"/>
        </w:rPr>
        <w:lastRenderedPageBreak/>
        <w:t>through the federal procurement process that fully aligns with the ten</w:t>
      </w:r>
      <w:r>
        <w:rPr>
          <w:rFonts w:ascii="Arial" w:hAnsi="Arial" w:cs="Arial"/>
          <w:szCs w:val="24"/>
        </w:rPr>
        <w:t>e</w:t>
      </w:r>
      <w:r w:rsidRPr="00D3180B">
        <w:rPr>
          <w:rFonts w:ascii="Arial" w:hAnsi="Arial" w:cs="Arial"/>
          <w:szCs w:val="24"/>
        </w:rPr>
        <w:t xml:space="preserve">ts of CIE, and is designed foremost to advance the employment opportunities of </w:t>
      </w:r>
      <w:r>
        <w:rPr>
          <w:rFonts w:ascii="Arial" w:hAnsi="Arial" w:cs="Arial"/>
          <w:szCs w:val="24"/>
        </w:rPr>
        <w:t>people</w:t>
      </w:r>
      <w:r w:rsidRPr="00D3180B">
        <w:rPr>
          <w:rFonts w:ascii="Arial" w:hAnsi="Arial" w:cs="Arial"/>
          <w:szCs w:val="24"/>
        </w:rPr>
        <w:t xml:space="preserve"> with disabilities. The Department of Labor should complete a comprehensive study on job prospects </w:t>
      </w:r>
      <w:r>
        <w:rPr>
          <w:rFonts w:ascii="Arial" w:hAnsi="Arial" w:cs="Arial"/>
          <w:szCs w:val="24"/>
        </w:rPr>
        <w:t>f</w:t>
      </w:r>
      <w:r w:rsidRPr="00D3180B">
        <w:rPr>
          <w:rFonts w:ascii="Arial" w:hAnsi="Arial" w:cs="Arial"/>
          <w:szCs w:val="24"/>
        </w:rPr>
        <w:t xml:space="preserve">or </w:t>
      </w:r>
      <w:r>
        <w:rPr>
          <w:rFonts w:ascii="Arial" w:hAnsi="Arial" w:cs="Arial"/>
          <w:szCs w:val="24"/>
        </w:rPr>
        <w:t>people</w:t>
      </w:r>
      <w:r w:rsidRPr="00D3180B">
        <w:rPr>
          <w:rFonts w:ascii="Arial" w:hAnsi="Arial" w:cs="Arial"/>
          <w:szCs w:val="24"/>
        </w:rPr>
        <w:t xml:space="preserve"> who are blind or have severe disabilities as part of this process. </w:t>
      </w:r>
    </w:p>
    <w:p w14:paraId="313ABB52" w14:textId="77777777" w:rsidR="001778CD" w:rsidRDefault="001778CD" w:rsidP="001778CD">
      <w:pPr>
        <w:pStyle w:val="ListParagraph"/>
        <w:spacing w:after="0" w:line="360" w:lineRule="auto"/>
        <w:rPr>
          <w:rFonts w:ascii="Arial" w:hAnsi="Arial" w:cs="Arial"/>
          <w:szCs w:val="24"/>
        </w:rPr>
      </w:pPr>
    </w:p>
    <w:p w14:paraId="35310105" w14:textId="77777777" w:rsidR="001778CD" w:rsidRPr="00723850" w:rsidRDefault="001778CD" w:rsidP="001778CD">
      <w:pPr>
        <w:pStyle w:val="ListParagraph"/>
        <w:numPr>
          <w:ilvl w:val="0"/>
          <w:numId w:val="29"/>
        </w:numPr>
        <w:spacing w:after="0" w:line="360" w:lineRule="auto"/>
        <w:rPr>
          <w:rFonts w:ascii="Arial" w:hAnsi="Arial" w:cs="Arial"/>
          <w:szCs w:val="24"/>
        </w:rPr>
      </w:pPr>
      <w:r>
        <w:rPr>
          <w:rFonts w:ascii="Arial" w:hAnsi="Arial" w:cs="Arial"/>
          <w:szCs w:val="24"/>
        </w:rPr>
        <w:t>Congress should develop appropriate legislation based upon the report of the transformational advisory committee.</w:t>
      </w:r>
    </w:p>
    <w:p w14:paraId="3400FA8E" w14:textId="77777777" w:rsidR="001778CD" w:rsidRDefault="001778CD" w:rsidP="001778CD">
      <w:pPr>
        <w:spacing w:after="0" w:line="360" w:lineRule="auto"/>
        <w:rPr>
          <w:rFonts w:ascii="Arial" w:hAnsi="Arial" w:cs="Arial"/>
          <w:b/>
          <w:szCs w:val="24"/>
        </w:rPr>
      </w:pPr>
    </w:p>
    <w:p w14:paraId="2498D5FB" w14:textId="77777777" w:rsidR="001778CD" w:rsidRDefault="001778CD" w:rsidP="001778CD">
      <w:pPr>
        <w:spacing w:after="0" w:line="360" w:lineRule="auto"/>
        <w:rPr>
          <w:rFonts w:ascii="Arial" w:hAnsi="Arial" w:cs="Arial"/>
          <w:szCs w:val="24"/>
        </w:rPr>
      </w:pPr>
      <w:r>
        <w:rPr>
          <w:rFonts w:ascii="Arial" w:hAnsi="Arial" w:cs="Arial"/>
          <w:szCs w:val="24"/>
        </w:rPr>
        <w:t>In the period necessary to develop and implement a new system, additional information, increased oversight, and initial reforms of the current system are necessary. NCD makes the following recommendations.</w:t>
      </w:r>
    </w:p>
    <w:p w14:paraId="1655C119" w14:textId="77777777" w:rsidR="001778CD" w:rsidRPr="00093AFB" w:rsidRDefault="001778CD" w:rsidP="001778CD">
      <w:pPr>
        <w:keepNext/>
        <w:spacing w:after="0" w:line="360" w:lineRule="auto"/>
        <w:rPr>
          <w:rFonts w:ascii="Arial" w:hAnsi="Arial" w:cs="Arial"/>
          <w:b/>
          <w:szCs w:val="24"/>
          <w:u w:val="single"/>
        </w:rPr>
      </w:pPr>
    </w:p>
    <w:p w14:paraId="72DD976C" w14:textId="6A698920" w:rsidR="001778CD" w:rsidRPr="00FC5EC4" w:rsidRDefault="001778CD" w:rsidP="00FC5EC4">
      <w:pPr>
        <w:pStyle w:val="ListParagraph"/>
        <w:keepNext/>
        <w:numPr>
          <w:ilvl w:val="0"/>
          <w:numId w:val="28"/>
        </w:numPr>
        <w:spacing w:after="0" w:line="360" w:lineRule="auto"/>
        <w:rPr>
          <w:rFonts w:ascii="Arial" w:hAnsi="Arial" w:cs="Arial"/>
          <w:szCs w:val="24"/>
        </w:rPr>
      </w:pPr>
      <w:r w:rsidRPr="00D3180B">
        <w:rPr>
          <w:rFonts w:ascii="Arial" w:hAnsi="Arial" w:cs="Arial"/>
          <w:szCs w:val="24"/>
        </w:rPr>
        <w:t>Congress should direct the Government Accountability Office</w:t>
      </w:r>
      <w:r>
        <w:rPr>
          <w:rFonts w:ascii="Arial" w:hAnsi="Arial" w:cs="Arial"/>
          <w:szCs w:val="24"/>
        </w:rPr>
        <w:t>, or other appropriate independent entities, to report on the involvement of the CNAs and the AbilityOne NPAs in selling goods and services to the general public including through e-commerce. The report should specially assess</w:t>
      </w:r>
      <w:r w:rsidRPr="00D3180B">
        <w:rPr>
          <w:rFonts w:ascii="Arial" w:hAnsi="Arial" w:cs="Arial"/>
          <w:szCs w:val="24"/>
        </w:rPr>
        <w:t xml:space="preserve"> the extent that fe</w:t>
      </w:r>
      <w:r>
        <w:rPr>
          <w:rFonts w:ascii="Arial" w:hAnsi="Arial" w:cs="Arial"/>
          <w:szCs w:val="24"/>
        </w:rPr>
        <w:t xml:space="preserve">deral </w:t>
      </w:r>
      <w:r w:rsidRPr="00FC5EC4">
        <w:rPr>
          <w:rFonts w:ascii="Arial" w:hAnsi="Arial" w:cs="Arial"/>
          <w:szCs w:val="24"/>
        </w:rPr>
        <w:t>government purchases through the AbilityOne Program provide an advantage to the CNAs and NPAs in the sale of goods and services to the general public.</w:t>
      </w:r>
    </w:p>
    <w:p w14:paraId="3A07050B" w14:textId="77777777" w:rsidR="001778CD" w:rsidRPr="00800455" w:rsidRDefault="001778CD" w:rsidP="001778CD">
      <w:pPr>
        <w:pStyle w:val="ListParagraph"/>
        <w:keepNext/>
        <w:spacing w:after="0" w:line="360" w:lineRule="auto"/>
        <w:rPr>
          <w:rFonts w:ascii="Arial" w:hAnsi="Arial" w:cs="Arial"/>
          <w:szCs w:val="24"/>
        </w:rPr>
      </w:pPr>
    </w:p>
    <w:p w14:paraId="3A5945BF" w14:textId="77777777" w:rsidR="001778CD" w:rsidRPr="00D3180B" w:rsidRDefault="001778CD" w:rsidP="001778CD">
      <w:pPr>
        <w:pStyle w:val="NCDBodyText"/>
        <w:numPr>
          <w:ilvl w:val="0"/>
          <w:numId w:val="28"/>
        </w:numPr>
      </w:pPr>
      <w:r w:rsidRPr="00D3180B">
        <w:t xml:space="preserve">Congress should amend the JWOD Act to require that the advancement of </w:t>
      </w:r>
      <w:r>
        <w:t>people</w:t>
      </w:r>
      <w:r w:rsidRPr="00D3180B">
        <w:t xml:space="preserve"> who are blind or have severe disabilities into supervisory and </w:t>
      </w:r>
      <w:r>
        <w:t>management positions be a measurable goal of the AbilityOne Program.</w:t>
      </w:r>
    </w:p>
    <w:p w14:paraId="0DD5868F" w14:textId="77777777" w:rsidR="001778CD" w:rsidRPr="00D3180B" w:rsidRDefault="001778CD" w:rsidP="001778CD">
      <w:pPr>
        <w:pStyle w:val="NCDBodyText"/>
        <w:numPr>
          <w:ilvl w:val="0"/>
          <w:numId w:val="28"/>
        </w:numPr>
      </w:pPr>
      <w:r w:rsidRPr="00D3180B">
        <w:t xml:space="preserve">Congress should amend the JWOD Act to require that the ability of </w:t>
      </w:r>
      <w:r>
        <w:t>people</w:t>
      </w:r>
      <w:r w:rsidRPr="00D3180B">
        <w:t xml:space="preserve"> who are blind or have severe disabilities to </w:t>
      </w:r>
      <w:r>
        <w:t>transition</w:t>
      </w:r>
      <w:r w:rsidRPr="00D3180B">
        <w:t xml:space="preserve"> into competitive integrated employment be a primary outcome of the AbilityOne </w:t>
      </w:r>
      <w:r>
        <w:t>P</w:t>
      </w:r>
      <w:r w:rsidRPr="00D3180B">
        <w:t xml:space="preserve">rogram.  </w:t>
      </w:r>
    </w:p>
    <w:p w14:paraId="5397CB14" w14:textId="77777777" w:rsidR="001778CD" w:rsidRPr="00D3180B" w:rsidRDefault="001778CD" w:rsidP="001778CD">
      <w:pPr>
        <w:pStyle w:val="ListParagraph"/>
        <w:numPr>
          <w:ilvl w:val="0"/>
          <w:numId w:val="28"/>
        </w:numPr>
        <w:spacing w:after="0" w:line="360" w:lineRule="auto"/>
        <w:rPr>
          <w:rFonts w:ascii="Arial" w:hAnsi="Arial" w:cs="Arial"/>
          <w:color w:val="000000" w:themeColor="text1"/>
          <w:szCs w:val="24"/>
        </w:rPr>
      </w:pPr>
      <w:r>
        <w:rPr>
          <w:rFonts w:ascii="Arial" w:hAnsi="Arial" w:cs="Arial"/>
          <w:color w:val="000000" w:themeColor="text1"/>
          <w:szCs w:val="24"/>
        </w:rPr>
        <w:t xml:space="preserve">NCD echoes </w:t>
      </w:r>
      <w:r w:rsidRPr="004D1863">
        <w:rPr>
          <w:rFonts w:ascii="Arial" w:hAnsi="Arial" w:cs="Arial"/>
          <w:color w:val="000000" w:themeColor="text1"/>
          <w:szCs w:val="24"/>
        </w:rPr>
        <w:t>The</w:t>
      </w:r>
      <w:r>
        <w:rPr>
          <w:rFonts w:ascii="Arial" w:hAnsi="Arial" w:cs="Arial"/>
          <w:color w:val="000000" w:themeColor="text1"/>
          <w:szCs w:val="24"/>
        </w:rPr>
        <w:t xml:space="preserve"> Panel’s </w:t>
      </w:r>
      <w:r w:rsidRPr="004D1863">
        <w:rPr>
          <w:rFonts w:ascii="Arial" w:hAnsi="Arial" w:cs="Arial"/>
          <w:color w:val="000000" w:themeColor="text1"/>
          <w:szCs w:val="24"/>
        </w:rPr>
        <w:t>Eliminate Waste, Fraud and Abuse Subcommittee</w:t>
      </w:r>
      <w:r>
        <w:rPr>
          <w:rFonts w:ascii="Arial" w:hAnsi="Arial" w:cs="Arial"/>
          <w:color w:val="000000" w:themeColor="text1"/>
          <w:szCs w:val="24"/>
        </w:rPr>
        <w:t xml:space="preserve"> recommendation to eliminate the use of program fee revenues by the CNAs to lobby. And at the very least </w:t>
      </w:r>
      <w:r w:rsidRPr="00D3180B">
        <w:rPr>
          <w:rFonts w:ascii="Arial" w:hAnsi="Arial" w:cs="Arial"/>
          <w:color w:val="000000" w:themeColor="text1"/>
          <w:szCs w:val="24"/>
        </w:rPr>
        <w:t xml:space="preserve">Congress should restrict the use of the CNA program </w:t>
      </w:r>
      <w:r w:rsidRPr="00D3180B">
        <w:rPr>
          <w:rFonts w:ascii="Arial" w:hAnsi="Arial" w:cs="Arial"/>
          <w:color w:val="000000" w:themeColor="text1"/>
          <w:szCs w:val="24"/>
        </w:rPr>
        <w:lastRenderedPageBreak/>
        <w:t xml:space="preserve">fees </w:t>
      </w:r>
      <w:r>
        <w:rPr>
          <w:rFonts w:ascii="Arial" w:hAnsi="Arial" w:cs="Arial"/>
          <w:color w:val="000000" w:themeColor="text1"/>
          <w:szCs w:val="24"/>
        </w:rPr>
        <w:t xml:space="preserve">for </w:t>
      </w:r>
      <w:r w:rsidRPr="00D3180B">
        <w:rPr>
          <w:rFonts w:ascii="Arial" w:hAnsi="Arial" w:cs="Arial"/>
          <w:color w:val="000000" w:themeColor="text1"/>
          <w:szCs w:val="24"/>
        </w:rPr>
        <w:t>lobbying and executive salaries to the same extent as any entity which directly receives federal appropriated funds.</w:t>
      </w:r>
    </w:p>
    <w:p w14:paraId="0156A1C6" w14:textId="77777777" w:rsidR="001778CD" w:rsidRPr="00D3180B" w:rsidRDefault="001778CD" w:rsidP="001778CD">
      <w:pPr>
        <w:keepNext/>
        <w:keepLines/>
        <w:spacing w:after="0" w:line="360" w:lineRule="auto"/>
        <w:rPr>
          <w:rFonts w:ascii="Arial" w:hAnsi="Arial" w:cs="Arial"/>
          <w:szCs w:val="24"/>
        </w:rPr>
      </w:pPr>
    </w:p>
    <w:p w14:paraId="7388E4CB" w14:textId="77777777" w:rsidR="001778CD" w:rsidRPr="00D3180B" w:rsidRDefault="001778CD" w:rsidP="001778CD">
      <w:pPr>
        <w:pStyle w:val="ListParagraph"/>
        <w:numPr>
          <w:ilvl w:val="0"/>
          <w:numId w:val="28"/>
        </w:numPr>
        <w:spacing w:after="0" w:line="360" w:lineRule="auto"/>
        <w:rPr>
          <w:rFonts w:ascii="Arial" w:hAnsi="Arial" w:cs="Arial"/>
          <w:szCs w:val="24"/>
        </w:rPr>
      </w:pPr>
      <w:r w:rsidRPr="00D3180B">
        <w:rPr>
          <w:rFonts w:ascii="Arial" w:hAnsi="Arial" w:cs="Arial"/>
          <w:szCs w:val="24"/>
        </w:rPr>
        <w:t xml:space="preserve">Based on recommendations </w:t>
      </w:r>
      <w:r>
        <w:rPr>
          <w:rFonts w:ascii="Arial" w:hAnsi="Arial" w:cs="Arial"/>
          <w:szCs w:val="24"/>
        </w:rPr>
        <w:t xml:space="preserve">on </w:t>
      </w:r>
      <w:r w:rsidRPr="00D3180B">
        <w:rPr>
          <w:rFonts w:ascii="Arial" w:hAnsi="Arial" w:cs="Arial"/>
          <w:szCs w:val="24"/>
        </w:rPr>
        <w:t xml:space="preserve">how to best achieve integrated employment </w:t>
      </w:r>
      <w:r>
        <w:rPr>
          <w:rFonts w:ascii="Arial" w:hAnsi="Arial" w:cs="Arial"/>
          <w:szCs w:val="24"/>
        </w:rPr>
        <w:t>from t</w:t>
      </w:r>
      <w:r w:rsidRPr="00D3180B">
        <w:rPr>
          <w:rFonts w:ascii="Arial" w:hAnsi="Arial" w:cs="Arial"/>
          <w:szCs w:val="24"/>
        </w:rPr>
        <w:t>he tran</w:t>
      </w:r>
      <w:r>
        <w:rPr>
          <w:rFonts w:ascii="Arial" w:hAnsi="Arial" w:cs="Arial"/>
          <w:szCs w:val="24"/>
        </w:rPr>
        <w:t xml:space="preserve">sformational advisory committee </w:t>
      </w:r>
      <w:r w:rsidRPr="00D3180B">
        <w:rPr>
          <w:rFonts w:ascii="Arial" w:hAnsi="Arial" w:cs="Arial"/>
          <w:szCs w:val="24"/>
        </w:rPr>
        <w:t>on the JWOD Act,</w:t>
      </w:r>
      <w:r>
        <w:rPr>
          <w:rFonts w:ascii="Arial" w:hAnsi="Arial" w:cs="Arial"/>
          <w:szCs w:val="24"/>
        </w:rPr>
        <w:t xml:space="preserve"> or alternatively from advocates from the disability community, experts on competitive integrated employment</w:t>
      </w:r>
      <w:r w:rsidRPr="000639BB">
        <w:rPr>
          <w:rFonts w:ascii="Arial" w:hAnsi="Arial" w:cs="Arial"/>
          <w:szCs w:val="24"/>
        </w:rPr>
        <w:t>,</w:t>
      </w:r>
      <w:r w:rsidRPr="000639BB">
        <w:rPr>
          <w:rFonts w:ascii="Arial" w:hAnsi="Arial" w:cs="Arial"/>
        </w:rPr>
        <w:t xml:space="preserve"> and </w:t>
      </w:r>
      <w:r w:rsidRPr="000639BB">
        <w:rPr>
          <w:rFonts w:ascii="Arial" w:hAnsi="Arial" w:cs="Arial"/>
          <w:szCs w:val="24"/>
        </w:rPr>
        <w:t xml:space="preserve">the </w:t>
      </w:r>
      <w:r>
        <w:rPr>
          <w:rFonts w:ascii="Arial" w:hAnsi="Arial" w:cs="Arial"/>
          <w:szCs w:val="24"/>
        </w:rPr>
        <w:t xml:space="preserve">DoD and AbilityOne Contracting </w:t>
      </w:r>
      <w:r w:rsidRPr="000639BB">
        <w:rPr>
          <w:rFonts w:ascii="Arial" w:hAnsi="Arial" w:cs="Arial"/>
          <w:szCs w:val="24"/>
        </w:rPr>
        <w:t>Panel</w:t>
      </w:r>
      <w:r>
        <w:rPr>
          <w:rFonts w:ascii="Arial" w:hAnsi="Arial" w:cs="Arial"/>
          <w:szCs w:val="24"/>
        </w:rPr>
        <w:t xml:space="preserve">, </w:t>
      </w:r>
      <w:r w:rsidRPr="00D3180B">
        <w:rPr>
          <w:rFonts w:ascii="Arial" w:hAnsi="Arial" w:cs="Arial"/>
          <w:szCs w:val="24"/>
        </w:rPr>
        <w:t xml:space="preserve">Congress should amend the JWOD Act to include indirect labor in the </w:t>
      </w:r>
      <w:r>
        <w:rPr>
          <w:rFonts w:ascii="Arial" w:hAnsi="Arial" w:cs="Arial"/>
          <w:szCs w:val="24"/>
        </w:rPr>
        <w:t xml:space="preserve">disability </w:t>
      </w:r>
      <w:r w:rsidRPr="00D3180B">
        <w:rPr>
          <w:rFonts w:ascii="Arial" w:hAnsi="Arial" w:cs="Arial"/>
          <w:szCs w:val="24"/>
        </w:rPr>
        <w:t>labor</w:t>
      </w:r>
      <w:r>
        <w:rPr>
          <w:rFonts w:ascii="Arial" w:hAnsi="Arial" w:cs="Arial"/>
          <w:szCs w:val="24"/>
        </w:rPr>
        <w:t xml:space="preserve"> hour</w:t>
      </w:r>
      <w:r w:rsidRPr="00D3180B">
        <w:rPr>
          <w:rFonts w:ascii="Arial" w:hAnsi="Arial" w:cs="Arial"/>
          <w:szCs w:val="24"/>
        </w:rPr>
        <w:t xml:space="preserve"> ratio </w:t>
      </w:r>
      <w:r>
        <w:rPr>
          <w:rFonts w:ascii="Arial" w:hAnsi="Arial" w:cs="Arial"/>
          <w:szCs w:val="24"/>
        </w:rPr>
        <w:t xml:space="preserve">and </w:t>
      </w:r>
      <w:r w:rsidRPr="00D3180B">
        <w:rPr>
          <w:rFonts w:ascii="Arial" w:hAnsi="Arial" w:cs="Arial"/>
          <w:szCs w:val="24"/>
        </w:rPr>
        <w:t>to promote more integrated AbilityOne settings</w:t>
      </w:r>
      <w:r>
        <w:rPr>
          <w:rFonts w:ascii="Arial" w:hAnsi="Arial" w:cs="Arial"/>
          <w:szCs w:val="24"/>
        </w:rPr>
        <w:t>.</w:t>
      </w:r>
      <w:r w:rsidRPr="00D3180B">
        <w:rPr>
          <w:rFonts w:ascii="Arial" w:hAnsi="Arial" w:cs="Arial"/>
          <w:szCs w:val="24"/>
        </w:rPr>
        <w:t xml:space="preserve"> </w:t>
      </w:r>
    </w:p>
    <w:p w14:paraId="65BE44F8" w14:textId="77777777" w:rsidR="001778CD" w:rsidRPr="00D3180B" w:rsidRDefault="001778CD" w:rsidP="001778CD">
      <w:pPr>
        <w:spacing w:after="0" w:line="360" w:lineRule="auto"/>
        <w:rPr>
          <w:rFonts w:ascii="Arial" w:hAnsi="Arial" w:cs="Arial"/>
          <w:szCs w:val="24"/>
        </w:rPr>
      </w:pPr>
    </w:p>
    <w:p w14:paraId="4F68C1D3" w14:textId="77777777" w:rsidR="001778CD" w:rsidRPr="00D3180B" w:rsidRDefault="001778CD" w:rsidP="001778CD">
      <w:pPr>
        <w:pStyle w:val="ListParagraph"/>
        <w:numPr>
          <w:ilvl w:val="0"/>
          <w:numId w:val="28"/>
        </w:numPr>
        <w:spacing w:after="0" w:line="360" w:lineRule="auto"/>
        <w:rPr>
          <w:rFonts w:ascii="Arial" w:hAnsi="Arial" w:cs="Arial"/>
          <w:szCs w:val="24"/>
          <w:u w:val="single"/>
        </w:rPr>
      </w:pPr>
      <w:r w:rsidRPr="00D3180B">
        <w:rPr>
          <w:rFonts w:ascii="Arial" w:hAnsi="Arial" w:cs="Arial"/>
          <w:szCs w:val="24"/>
        </w:rPr>
        <w:t>Congress should make available to the public quarterly reports on CNA expenditures on salaries and</w:t>
      </w:r>
      <w:r>
        <w:rPr>
          <w:rFonts w:ascii="Arial" w:hAnsi="Arial" w:cs="Arial"/>
          <w:szCs w:val="24"/>
        </w:rPr>
        <w:t xml:space="preserve"> lobbying</w:t>
      </w:r>
      <w:r w:rsidRPr="00D3180B">
        <w:rPr>
          <w:rFonts w:ascii="Arial" w:hAnsi="Arial" w:cs="Arial"/>
          <w:szCs w:val="24"/>
        </w:rPr>
        <w:t>.</w:t>
      </w:r>
    </w:p>
    <w:p w14:paraId="00E08C6E" w14:textId="77777777" w:rsidR="001778CD" w:rsidRDefault="001778CD" w:rsidP="001778CD">
      <w:pPr>
        <w:spacing w:after="0" w:line="360" w:lineRule="auto"/>
        <w:rPr>
          <w:rFonts w:ascii="Arial" w:hAnsi="Arial" w:cs="Arial"/>
          <w:b/>
          <w:szCs w:val="24"/>
          <w:u w:val="single"/>
        </w:rPr>
      </w:pPr>
    </w:p>
    <w:p w14:paraId="41780418" w14:textId="77777777" w:rsidR="001778CD" w:rsidRDefault="001778CD" w:rsidP="001778CD">
      <w:pPr>
        <w:keepNext/>
        <w:spacing w:after="0" w:line="360" w:lineRule="auto"/>
        <w:rPr>
          <w:rFonts w:ascii="Arial" w:hAnsi="Arial" w:cs="Arial"/>
          <w:b/>
          <w:szCs w:val="24"/>
          <w:u w:val="single"/>
        </w:rPr>
      </w:pPr>
      <w:r>
        <w:rPr>
          <w:rFonts w:ascii="Arial" w:hAnsi="Arial" w:cs="Arial"/>
          <w:b/>
          <w:szCs w:val="24"/>
          <w:u w:val="single"/>
        </w:rPr>
        <w:t>AbilityOne Commission and other Agencies</w:t>
      </w:r>
      <w:r w:rsidRPr="00634ECF">
        <w:rPr>
          <w:rFonts w:ascii="Arial" w:hAnsi="Arial" w:cs="Arial"/>
          <w:b/>
          <w:szCs w:val="24"/>
          <w:u w:val="single"/>
        </w:rPr>
        <w:t>:</w:t>
      </w:r>
    </w:p>
    <w:p w14:paraId="3441E609" w14:textId="77777777" w:rsidR="001778CD" w:rsidRPr="00DC4F21" w:rsidRDefault="001778CD" w:rsidP="001778CD">
      <w:pPr>
        <w:keepNext/>
        <w:spacing w:after="0" w:line="360" w:lineRule="auto"/>
        <w:rPr>
          <w:rFonts w:ascii="Arial" w:hAnsi="Arial" w:cs="Arial"/>
          <w:b/>
          <w:szCs w:val="24"/>
        </w:rPr>
      </w:pPr>
    </w:p>
    <w:p w14:paraId="5F22B9FD" w14:textId="77777777" w:rsidR="001778CD" w:rsidRPr="00C8245F" w:rsidRDefault="001778CD" w:rsidP="001778CD">
      <w:pPr>
        <w:pStyle w:val="ListParagraph"/>
        <w:keepNext/>
        <w:numPr>
          <w:ilvl w:val="0"/>
          <w:numId w:val="27"/>
        </w:numPr>
        <w:spacing w:after="0" w:line="360" w:lineRule="auto"/>
        <w:rPr>
          <w:rFonts w:ascii="Arial" w:hAnsi="Arial" w:cs="Arial"/>
        </w:rPr>
      </w:pPr>
      <w:r w:rsidRPr="00D3180B">
        <w:rPr>
          <w:rFonts w:ascii="Arial" w:hAnsi="Arial" w:cs="Arial"/>
        </w:rPr>
        <w:t xml:space="preserve">The AbilityOne Commission should </w:t>
      </w:r>
      <w:r>
        <w:rPr>
          <w:rFonts w:ascii="Arial" w:hAnsi="Arial" w:cs="Arial"/>
        </w:rPr>
        <w:t xml:space="preserve">collect and publish </w:t>
      </w:r>
      <w:r w:rsidRPr="00D3180B">
        <w:rPr>
          <w:rFonts w:ascii="Arial" w:hAnsi="Arial" w:cs="Arial"/>
        </w:rPr>
        <w:t>data on the range of wages paid to AbilityOne employees</w:t>
      </w:r>
      <w:r>
        <w:rPr>
          <w:rFonts w:ascii="Arial" w:hAnsi="Arial" w:cs="Arial"/>
        </w:rPr>
        <w:t>.</w:t>
      </w:r>
    </w:p>
    <w:p w14:paraId="52460D21" w14:textId="77777777" w:rsidR="001778CD" w:rsidRPr="00D3180B" w:rsidRDefault="001778CD" w:rsidP="001778CD">
      <w:pPr>
        <w:spacing w:after="0" w:line="360" w:lineRule="auto"/>
        <w:rPr>
          <w:rFonts w:ascii="Arial" w:hAnsi="Arial" w:cs="Arial"/>
          <w:color w:val="000000" w:themeColor="text1"/>
          <w:szCs w:val="24"/>
        </w:rPr>
      </w:pPr>
    </w:p>
    <w:p w14:paraId="64728C3E" w14:textId="77777777" w:rsidR="001778CD" w:rsidRPr="00560683" w:rsidRDefault="001778CD" w:rsidP="001778CD">
      <w:pPr>
        <w:pStyle w:val="ListParagraph"/>
        <w:numPr>
          <w:ilvl w:val="0"/>
          <w:numId w:val="28"/>
        </w:numPr>
        <w:spacing w:after="0" w:line="360" w:lineRule="auto"/>
        <w:rPr>
          <w:rFonts w:ascii="Arial" w:hAnsi="Arial" w:cs="Arial"/>
          <w:color w:val="000000" w:themeColor="text1"/>
          <w:szCs w:val="24"/>
        </w:rPr>
      </w:pPr>
      <w:r w:rsidRPr="00560683">
        <w:rPr>
          <w:rFonts w:ascii="Arial" w:hAnsi="Arial" w:cs="Arial"/>
          <w:color w:val="000000" w:themeColor="text1"/>
          <w:szCs w:val="24"/>
        </w:rPr>
        <w:t xml:space="preserve">The AbilityOne Nonprofit Agency Review Manual and the Individual Eligibility Evaluation form and instructions should be updated to align with </w:t>
      </w:r>
      <w:r>
        <w:rPr>
          <w:rFonts w:ascii="Arial" w:hAnsi="Arial" w:cs="Arial"/>
          <w:color w:val="000000" w:themeColor="text1"/>
          <w:szCs w:val="24"/>
        </w:rPr>
        <w:t xml:space="preserve">the </w:t>
      </w:r>
      <w:r w:rsidRPr="00560683">
        <w:rPr>
          <w:rFonts w:ascii="Arial" w:hAnsi="Arial" w:cs="Arial"/>
          <w:color w:val="000000" w:themeColor="text1"/>
          <w:szCs w:val="24"/>
        </w:rPr>
        <w:t xml:space="preserve">competitive </w:t>
      </w:r>
      <w:r>
        <w:rPr>
          <w:rFonts w:ascii="Arial" w:hAnsi="Arial" w:cs="Arial"/>
          <w:color w:val="000000" w:themeColor="text1"/>
          <w:szCs w:val="24"/>
        </w:rPr>
        <w:t xml:space="preserve">integrated </w:t>
      </w:r>
      <w:r w:rsidRPr="00560683">
        <w:rPr>
          <w:rFonts w:ascii="Arial" w:hAnsi="Arial" w:cs="Arial"/>
          <w:color w:val="000000" w:themeColor="text1"/>
          <w:szCs w:val="24"/>
        </w:rPr>
        <w:t xml:space="preserve">employment and reasonable accommodations </w:t>
      </w:r>
      <w:r>
        <w:rPr>
          <w:rFonts w:ascii="Arial" w:hAnsi="Arial" w:cs="Arial"/>
          <w:color w:val="000000" w:themeColor="text1"/>
          <w:szCs w:val="24"/>
        </w:rPr>
        <w:t xml:space="preserve">requirements </w:t>
      </w:r>
      <w:r w:rsidRPr="00560683">
        <w:rPr>
          <w:rFonts w:ascii="Arial" w:hAnsi="Arial" w:cs="Arial"/>
          <w:color w:val="000000" w:themeColor="text1"/>
          <w:szCs w:val="24"/>
        </w:rPr>
        <w:t>found in</w:t>
      </w:r>
      <w:r>
        <w:rPr>
          <w:rFonts w:ascii="Arial" w:hAnsi="Arial" w:cs="Arial"/>
          <w:color w:val="000000" w:themeColor="text1"/>
          <w:szCs w:val="24"/>
        </w:rPr>
        <w:t xml:space="preserve"> WIOA,</w:t>
      </w:r>
      <w:r w:rsidRPr="00560683">
        <w:rPr>
          <w:rFonts w:ascii="Arial" w:hAnsi="Arial" w:cs="Arial"/>
          <w:color w:val="000000" w:themeColor="text1"/>
          <w:szCs w:val="24"/>
        </w:rPr>
        <w:t xml:space="preserve"> the ADA</w:t>
      </w:r>
      <w:r>
        <w:rPr>
          <w:rFonts w:ascii="Arial" w:hAnsi="Arial" w:cs="Arial"/>
          <w:color w:val="000000" w:themeColor="text1"/>
          <w:szCs w:val="24"/>
        </w:rPr>
        <w:t>,</w:t>
      </w:r>
      <w:r w:rsidRPr="00560683">
        <w:rPr>
          <w:rFonts w:ascii="Arial" w:hAnsi="Arial" w:cs="Arial"/>
          <w:color w:val="000000" w:themeColor="text1"/>
          <w:szCs w:val="24"/>
        </w:rPr>
        <w:t xml:space="preserve"> and other federal laws. </w:t>
      </w:r>
    </w:p>
    <w:p w14:paraId="197B1DE3" w14:textId="77777777" w:rsidR="001778CD" w:rsidRPr="00560683" w:rsidRDefault="001778CD" w:rsidP="001778CD">
      <w:pPr>
        <w:pStyle w:val="ListParagraph"/>
        <w:spacing w:after="0" w:line="360" w:lineRule="auto"/>
        <w:rPr>
          <w:rFonts w:ascii="Arial" w:hAnsi="Arial" w:cs="Arial"/>
          <w:color w:val="000000" w:themeColor="text1"/>
          <w:szCs w:val="24"/>
        </w:rPr>
      </w:pPr>
    </w:p>
    <w:p w14:paraId="23364E81" w14:textId="77777777" w:rsidR="001778CD" w:rsidRPr="00560683" w:rsidRDefault="001778CD" w:rsidP="001778CD">
      <w:pPr>
        <w:pStyle w:val="ListParagraph"/>
        <w:numPr>
          <w:ilvl w:val="0"/>
          <w:numId w:val="28"/>
        </w:numPr>
        <w:spacing w:after="0" w:line="360" w:lineRule="auto"/>
        <w:rPr>
          <w:rFonts w:ascii="Arial" w:hAnsi="Arial" w:cs="Arial"/>
          <w:color w:val="000000" w:themeColor="text1"/>
          <w:szCs w:val="24"/>
        </w:rPr>
      </w:pPr>
      <w:r w:rsidRPr="00560683">
        <w:rPr>
          <w:rFonts w:ascii="Arial" w:hAnsi="Arial" w:cs="Arial"/>
          <w:color w:val="000000" w:themeColor="text1"/>
          <w:szCs w:val="24"/>
        </w:rPr>
        <w:t>The AbilityOne Office of Inspector General should examine how the determination of normal competitive employment is assessed by the NPAs.</w:t>
      </w:r>
    </w:p>
    <w:p w14:paraId="756E77D0" w14:textId="77777777" w:rsidR="001778CD" w:rsidRPr="00560683" w:rsidRDefault="001778CD" w:rsidP="001778CD">
      <w:pPr>
        <w:pStyle w:val="ListParagraph"/>
        <w:spacing w:after="0" w:line="360" w:lineRule="auto"/>
        <w:rPr>
          <w:rFonts w:ascii="Arial" w:hAnsi="Arial" w:cs="Arial"/>
          <w:color w:val="000000" w:themeColor="text1"/>
          <w:szCs w:val="24"/>
        </w:rPr>
      </w:pPr>
    </w:p>
    <w:p w14:paraId="29F7554F" w14:textId="77777777" w:rsidR="001778CD" w:rsidRPr="00560683" w:rsidRDefault="001778CD" w:rsidP="001778CD">
      <w:pPr>
        <w:pStyle w:val="ListParagraph"/>
        <w:numPr>
          <w:ilvl w:val="0"/>
          <w:numId w:val="27"/>
        </w:numPr>
        <w:spacing w:after="0" w:line="360" w:lineRule="auto"/>
        <w:rPr>
          <w:rFonts w:ascii="Arial" w:hAnsi="Arial" w:cs="Arial"/>
          <w:color w:val="000000" w:themeColor="text1"/>
          <w:szCs w:val="24"/>
        </w:rPr>
      </w:pPr>
      <w:r w:rsidRPr="00560683">
        <w:rPr>
          <w:rFonts w:ascii="Arial" w:hAnsi="Arial" w:cs="Arial"/>
          <w:color w:val="000000" w:themeColor="text1"/>
          <w:szCs w:val="24"/>
        </w:rPr>
        <w:t>The Departments of Labor and Education should assess the extent to which the performance of AbilityOne service contracts occur in integrated settings.</w:t>
      </w:r>
    </w:p>
    <w:p w14:paraId="10907D29" w14:textId="77777777" w:rsidR="001778CD" w:rsidRPr="00560683" w:rsidRDefault="001778CD" w:rsidP="001778CD">
      <w:pPr>
        <w:pStyle w:val="ListParagraph"/>
        <w:spacing w:after="0" w:line="360" w:lineRule="auto"/>
        <w:rPr>
          <w:rFonts w:ascii="Arial" w:hAnsi="Arial" w:cs="Arial"/>
          <w:color w:val="000000" w:themeColor="text1"/>
          <w:szCs w:val="24"/>
        </w:rPr>
      </w:pPr>
    </w:p>
    <w:p w14:paraId="121E4FFC" w14:textId="77777777" w:rsidR="001778CD" w:rsidRPr="00560683" w:rsidRDefault="001778CD" w:rsidP="001778CD">
      <w:pPr>
        <w:pStyle w:val="ListParagraph"/>
        <w:numPr>
          <w:ilvl w:val="0"/>
          <w:numId w:val="27"/>
        </w:numPr>
        <w:spacing w:after="0" w:line="360" w:lineRule="auto"/>
        <w:rPr>
          <w:rFonts w:ascii="Arial" w:hAnsi="Arial" w:cs="Arial"/>
          <w:b/>
          <w:szCs w:val="24"/>
        </w:rPr>
      </w:pPr>
      <w:r w:rsidRPr="00560683">
        <w:rPr>
          <w:rFonts w:ascii="Arial" w:hAnsi="Arial" w:cs="Arial"/>
          <w:color w:val="000000" w:themeColor="text1"/>
          <w:szCs w:val="24"/>
        </w:rPr>
        <w:lastRenderedPageBreak/>
        <w:t xml:space="preserve">The Department of Education should </w:t>
      </w:r>
      <w:r>
        <w:rPr>
          <w:rFonts w:ascii="Arial" w:hAnsi="Arial" w:cs="Arial"/>
          <w:color w:val="000000" w:themeColor="text1"/>
          <w:szCs w:val="24"/>
        </w:rPr>
        <w:t>not</w:t>
      </w:r>
      <w:r w:rsidRPr="00560683">
        <w:rPr>
          <w:rFonts w:ascii="Arial" w:hAnsi="Arial" w:cs="Arial"/>
          <w:color w:val="000000" w:themeColor="text1"/>
          <w:szCs w:val="24"/>
        </w:rPr>
        <w:t xml:space="preserve"> reopen the WIOA regulations and instead offer technical assistance to support state level implementation of WIOA and existing regulations.</w:t>
      </w:r>
      <w:r w:rsidRPr="00560683">
        <w:rPr>
          <w:rFonts w:ascii="Arial" w:hAnsi="Arial" w:cs="Arial"/>
          <w:b/>
          <w:szCs w:val="24"/>
        </w:rPr>
        <w:t xml:space="preserve"> </w:t>
      </w:r>
    </w:p>
    <w:p w14:paraId="41E25102" w14:textId="4F543BA3" w:rsidR="001778CD" w:rsidRDefault="001778CD">
      <w:pPr>
        <w:spacing w:after="200"/>
        <w:rPr>
          <w:rFonts w:ascii="Arial" w:hAnsi="Arial" w:cs="Arial"/>
        </w:rPr>
      </w:pPr>
      <w:r>
        <w:rPr>
          <w:rFonts w:ascii="Arial" w:hAnsi="Arial" w:cs="Arial"/>
        </w:rPr>
        <w:br w:type="page"/>
      </w:r>
    </w:p>
    <w:bookmarkEnd w:id="0"/>
    <w:bookmarkEnd w:id="3"/>
    <w:p w14:paraId="6D80C87C" w14:textId="77777777" w:rsidR="009D06EC" w:rsidRDefault="009D06EC">
      <w:pPr>
        <w:spacing w:after="200"/>
        <w:rPr>
          <w:rFonts w:ascii="Arial" w:hAnsi="Arial" w:cs="Arial"/>
        </w:rPr>
      </w:pPr>
    </w:p>
    <w:sectPr w:rsidR="009D06EC" w:rsidSect="008431B8">
      <w:headerReference w:type="even" r:id="rId13"/>
      <w:headerReference w:type="default" r:id="rId14"/>
      <w:footerReference w:type="even" r:id="rId15"/>
      <w:footerReference w:type="default" r:id="rId16"/>
      <w:headerReference w:type="first" r:id="rId17"/>
      <w:footerReference w:type="first" r:id="rId18"/>
      <w:endnotePr>
        <w:numFmt w:val="decimal"/>
      </w:endnotePr>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BD400" w14:textId="77777777" w:rsidR="00161750" w:rsidRDefault="00161750" w:rsidP="00841C72">
      <w:pPr>
        <w:spacing w:after="0" w:line="240" w:lineRule="auto"/>
      </w:pPr>
      <w:r>
        <w:separator/>
      </w:r>
    </w:p>
  </w:endnote>
  <w:endnote w:type="continuationSeparator" w:id="0">
    <w:p w14:paraId="52C4DA98" w14:textId="77777777" w:rsidR="00161750" w:rsidRDefault="00161750" w:rsidP="00841C72">
      <w:pPr>
        <w:spacing w:after="0" w:line="240" w:lineRule="auto"/>
      </w:pPr>
      <w:r>
        <w:continuationSeparator/>
      </w:r>
    </w:p>
  </w:endnote>
  <w:endnote w:id="1">
    <w:p w14:paraId="2FEF31F7" w14:textId="77777777" w:rsidR="001778CD" w:rsidRDefault="001778CD" w:rsidP="001778CD">
      <w:pPr>
        <w:pStyle w:val="EndnoteText"/>
      </w:pPr>
      <w:r>
        <w:rPr>
          <w:rStyle w:val="EndnoteReference"/>
        </w:rPr>
        <w:endnoteRef/>
      </w:r>
      <w:r>
        <w:t xml:space="preserve"> </w:t>
      </w:r>
      <w:r>
        <w:rPr>
          <w:rFonts w:ascii="Arial" w:hAnsi="Arial" w:cs="Arial"/>
          <w:sz w:val="24"/>
          <w:szCs w:val="24"/>
        </w:rPr>
        <w:t xml:space="preserve">To remain consistent with statutory language, this report uses the term “severe disability.”  The U.S. AbilityOne Commission often uses the term “significant disability” instead of the term “severe disability.” </w:t>
      </w:r>
    </w:p>
  </w:endnote>
  <w:endnote w:id="2">
    <w:p w14:paraId="065CAC26" w14:textId="77777777" w:rsidR="001778CD" w:rsidRPr="00D00179" w:rsidRDefault="001778CD" w:rsidP="001778CD">
      <w:pPr>
        <w:pStyle w:val="EndnoteText"/>
        <w:rPr>
          <w:rFonts w:ascii="Arial" w:hAnsi="Arial" w:cs="Arial"/>
          <w:sz w:val="24"/>
          <w:szCs w:val="24"/>
        </w:rPr>
      </w:pPr>
      <w:r w:rsidRPr="00D00179">
        <w:rPr>
          <w:rStyle w:val="EndnoteReference"/>
          <w:rFonts w:cs="Arial"/>
          <w:szCs w:val="24"/>
        </w:rPr>
        <w:endnoteRef/>
      </w:r>
      <w:r>
        <w:rPr>
          <w:rFonts w:ascii="Arial" w:hAnsi="Arial" w:cs="Arial"/>
          <w:sz w:val="24"/>
          <w:szCs w:val="24"/>
        </w:rPr>
        <w:t xml:space="preserve"> U.S. AbilityOne Commission, “History,</w:t>
      </w:r>
      <w:r w:rsidRPr="00D00179">
        <w:rPr>
          <w:rFonts w:ascii="Arial" w:hAnsi="Arial" w:cs="Arial"/>
          <w:sz w:val="24"/>
          <w:szCs w:val="24"/>
        </w:rPr>
        <w:t>”</w:t>
      </w:r>
      <w:r>
        <w:rPr>
          <w:rFonts w:ascii="Arial" w:hAnsi="Arial" w:cs="Arial"/>
          <w:sz w:val="24"/>
          <w:szCs w:val="24"/>
        </w:rPr>
        <w:t xml:space="preserve"> accessed December 21, 2018,</w:t>
      </w:r>
      <w:r w:rsidRPr="00D00179">
        <w:rPr>
          <w:rFonts w:ascii="Arial" w:hAnsi="Arial" w:cs="Arial"/>
          <w:sz w:val="24"/>
          <w:szCs w:val="24"/>
        </w:rPr>
        <w:t xml:space="preserve"> </w:t>
      </w:r>
      <w:hyperlink r:id="rId1" w:history="1">
        <w:r w:rsidRPr="00D00179">
          <w:rPr>
            <w:rStyle w:val="Hyperlink"/>
            <w:rFonts w:cs="Arial"/>
            <w:szCs w:val="24"/>
          </w:rPr>
          <w:t>https://www.abilityone.gov/abilityone_program/history.html</w:t>
        </w:r>
      </w:hyperlink>
      <w:r w:rsidRPr="00D00179">
        <w:rPr>
          <w:rFonts w:ascii="Arial" w:hAnsi="Arial" w:cs="Arial"/>
          <w:sz w:val="24"/>
          <w:szCs w:val="24"/>
        </w:rPr>
        <w:t>.</w:t>
      </w:r>
    </w:p>
  </w:endnote>
  <w:endnote w:id="3">
    <w:p w14:paraId="2C44D1FF"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U.S. AbilityOne Commission, </w:t>
      </w:r>
      <w:r>
        <w:rPr>
          <w:rFonts w:ascii="Arial" w:hAnsi="Arial" w:cs="Arial"/>
          <w:i/>
          <w:sz w:val="24"/>
          <w:szCs w:val="24"/>
        </w:rPr>
        <w:t>Fiscal Year 2017:</w:t>
      </w:r>
      <w:r w:rsidRPr="003E4545">
        <w:rPr>
          <w:rFonts w:ascii="Arial" w:hAnsi="Arial" w:cs="Arial"/>
          <w:i/>
          <w:sz w:val="24"/>
          <w:szCs w:val="24"/>
        </w:rPr>
        <w:t xml:space="preserve"> Performance and Accountability Report</w:t>
      </w:r>
      <w:r>
        <w:rPr>
          <w:rFonts w:ascii="Arial" w:hAnsi="Arial" w:cs="Arial"/>
          <w:sz w:val="24"/>
          <w:szCs w:val="24"/>
        </w:rPr>
        <w:t xml:space="preserve">, 5, </w:t>
      </w:r>
      <w:hyperlink r:id="rId2" w:history="1">
        <w:r w:rsidRPr="00A57371">
          <w:rPr>
            <w:rStyle w:val="Hyperlink"/>
            <w:rFonts w:cs="Arial"/>
            <w:szCs w:val="24"/>
          </w:rPr>
          <w:t>https://www.abilityone.gov/commission/documents/U.S.%20AbilityOne%20Commission%20FY%202017%20PAR-Final.pdf</w:t>
        </w:r>
      </w:hyperlink>
      <w:r>
        <w:rPr>
          <w:rFonts w:ascii="Arial" w:hAnsi="Arial" w:cs="Arial"/>
          <w:sz w:val="24"/>
          <w:szCs w:val="24"/>
        </w:rPr>
        <w:t>.</w:t>
      </w:r>
    </w:p>
  </w:endnote>
  <w:endnote w:id="4">
    <w:p w14:paraId="6738F335"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Wagner </w:t>
      </w:r>
      <w:r>
        <w:rPr>
          <w:rFonts w:ascii="Arial" w:hAnsi="Arial" w:cs="Arial"/>
          <w:sz w:val="24"/>
          <w:szCs w:val="24"/>
        </w:rPr>
        <w:t>O</w:t>
      </w:r>
      <w:r w:rsidRPr="007C4DDD">
        <w:rPr>
          <w:rFonts w:ascii="Arial" w:hAnsi="Arial" w:cs="Arial"/>
          <w:sz w:val="24"/>
          <w:szCs w:val="24"/>
        </w:rPr>
        <w:t>’Day Act, Pub. L. No. 75-739, 52 Stat. 1196 (1938)</w:t>
      </w:r>
      <w:r>
        <w:rPr>
          <w:rFonts w:ascii="Arial" w:hAnsi="Arial" w:cs="Arial"/>
          <w:sz w:val="24"/>
          <w:szCs w:val="24"/>
        </w:rPr>
        <w:t>.</w:t>
      </w:r>
      <w:r w:rsidRPr="007C4DDD">
        <w:rPr>
          <w:rFonts w:ascii="Arial" w:hAnsi="Arial" w:cs="Arial"/>
          <w:sz w:val="24"/>
          <w:szCs w:val="24"/>
        </w:rPr>
        <w:t xml:space="preserve"> U.S. Government Accountability Office</w:t>
      </w:r>
      <w:r>
        <w:rPr>
          <w:rFonts w:ascii="Arial" w:hAnsi="Arial" w:cs="Arial"/>
          <w:sz w:val="24"/>
          <w:szCs w:val="24"/>
        </w:rPr>
        <w:t>,</w:t>
      </w:r>
      <w:r w:rsidRPr="007C4DDD">
        <w:rPr>
          <w:rFonts w:ascii="Arial" w:hAnsi="Arial" w:cs="Arial"/>
          <w:sz w:val="24"/>
          <w:szCs w:val="24"/>
        </w:rPr>
        <w:t xml:space="preserve"> </w:t>
      </w:r>
      <w:r w:rsidRPr="007C4DDD">
        <w:rPr>
          <w:rFonts w:ascii="Arial" w:hAnsi="Arial" w:cs="Arial"/>
          <w:i/>
          <w:sz w:val="24"/>
          <w:szCs w:val="24"/>
        </w:rPr>
        <w:t>Employing People with Blindness or Severe Disabilities: Enhanced Oversight of the AbilityOne Program Needed</w:t>
      </w:r>
      <w:r>
        <w:rPr>
          <w:rFonts w:ascii="Arial" w:hAnsi="Arial" w:cs="Arial"/>
          <w:sz w:val="24"/>
          <w:szCs w:val="24"/>
        </w:rPr>
        <w:t xml:space="preserve"> (</w:t>
      </w:r>
      <w:r w:rsidRPr="007C4DDD">
        <w:rPr>
          <w:rFonts w:ascii="Arial" w:hAnsi="Arial" w:cs="Arial"/>
          <w:sz w:val="24"/>
          <w:szCs w:val="24"/>
        </w:rPr>
        <w:t>Washington, DC: U.S. Government Accountability Office</w:t>
      </w:r>
      <w:r>
        <w:rPr>
          <w:rFonts w:ascii="Arial" w:hAnsi="Arial" w:cs="Arial"/>
          <w:sz w:val="24"/>
          <w:szCs w:val="24"/>
        </w:rPr>
        <w:t>, 2013), 4,</w:t>
      </w:r>
      <w:r w:rsidRPr="007C4DDD">
        <w:rPr>
          <w:rFonts w:ascii="Arial" w:hAnsi="Arial" w:cs="Arial"/>
          <w:sz w:val="24"/>
          <w:szCs w:val="24"/>
        </w:rPr>
        <w:t xml:space="preserve"> </w:t>
      </w:r>
      <w:hyperlink r:id="rId3" w:history="1">
        <w:r w:rsidRPr="007C4DDD">
          <w:rPr>
            <w:rStyle w:val="Hyperlink"/>
            <w:rFonts w:cs="Arial"/>
            <w:szCs w:val="24"/>
          </w:rPr>
          <w:t>https://www.gao.gov/products/GAO-13-457</w:t>
        </w:r>
      </w:hyperlink>
      <w:r w:rsidRPr="007C4DDD">
        <w:rPr>
          <w:rFonts w:ascii="Arial" w:hAnsi="Arial" w:cs="Arial"/>
          <w:sz w:val="24"/>
          <w:szCs w:val="24"/>
        </w:rPr>
        <w:t>.</w:t>
      </w:r>
    </w:p>
  </w:endnote>
  <w:endnote w:id="5">
    <w:p w14:paraId="0ED734B7"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Javits-Wagner D’Day Act, Pub. L. </w:t>
      </w:r>
      <w:r>
        <w:rPr>
          <w:rFonts w:ascii="Arial" w:hAnsi="Arial" w:cs="Arial"/>
          <w:sz w:val="24"/>
          <w:szCs w:val="24"/>
        </w:rPr>
        <w:t xml:space="preserve">No. 92-28, 85 Stat. 77 (1971), </w:t>
      </w:r>
      <w:r w:rsidRPr="007C4DDD">
        <w:rPr>
          <w:rFonts w:ascii="Arial" w:hAnsi="Arial" w:cs="Arial"/>
          <w:sz w:val="24"/>
          <w:szCs w:val="24"/>
        </w:rPr>
        <w:t>41 U.S.C</w:t>
      </w:r>
      <w:r>
        <w:rPr>
          <w:rFonts w:ascii="Arial" w:hAnsi="Arial" w:cs="Arial"/>
          <w:sz w:val="24"/>
          <w:szCs w:val="24"/>
        </w:rPr>
        <w:t>. §§ 8501-</w:t>
      </w:r>
      <w:r w:rsidRPr="007C4DDD">
        <w:rPr>
          <w:rFonts w:ascii="Arial" w:hAnsi="Arial" w:cs="Arial"/>
          <w:sz w:val="24"/>
          <w:szCs w:val="24"/>
        </w:rPr>
        <w:t xml:space="preserve"> 8506. </w:t>
      </w:r>
      <w:r>
        <w:rPr>
          <w:rFonts w:ascii="Arial" w:hAnsi="Arial" w:cs="Arial"/>
          <w:sz w:val="24"/>
          <w:szCs w:val="24"/>
        </w:rPr>
        <w:t xml:space="preserve">U.S. </w:t>
      </w:r>
      <w:r w:rsidRPr="007C4DDD">
        <w:rPr>
          <w:rFonts w:ascii="Arial" w:hAnsi="Arial" w:cs="Arial"/>
          <w:sz w:val="24"/>
          <w:szCs w:val="24"/>
        </w:rPr>
        <w:t>Government Accountability Office</w:t>
      </w:r>
      <w:r>
        <w:rPr>
          <w:rFonts w:ascii="Arial" w:hAnsi="Arial" w:cs="Arial"/>
          <w:sz w:val="24"/>
          <w:szCs w:val="24"/>
        </w:rPr>
        <w:t>,</w:t>
      </w:r>
      <w:r w:rsidRPr="007C4DDD">
        <w:rPr>
          <w:rFonts w:ascii="Arial" w:hAnsi="Arial" w:cs="Arial"/>
          <w:sz w:val="24"/>
          <w:szCs w:val="24"/>
        </w:rPr>
        <w:t xml:space="preserve"> </w:t>
      </w:r>
      <w:r w:rsidRPr="007C4DDD">
        <w:rPr>
          <w:rFonts w:ascii="Arial" w:hAnsi="Arial" w:cs="Arial"/>
          <w:i/>
          <w:sz w:val="24"/>
          <w:szCs w:val="24"/>
        </w:rPr>
        <w:t>Enhanced Oversight of the AbilityOne Program Needed</w:t>
      </w:r>
      <w:r>
        <w:rPr>
          <w:rFonts w:ascii="Arial" w:hAnsi="Arial" w:cs="Arial"/>
          <w:sz w:val="24"/>
          <w:szCs w:val="24"/>
        </w:rPr>
        <w:t>,</w:t>
      </w:r>
      <w:r w:rsidRPr="007C4DDD">
        <w:rPr>
          <w:rFonts w:ascii="Arial" w:hAnsi="Arial" w:cs="Arial"/>
          <w:sz w:val="24"/>
          <w:szCs w:val="24"/>
        </w:rPr>
        <w:t xml:space="preserve"> 4.</w:t>
      </w:r>
    </w:p>
  </w:endnote>
  <w:endnote w:id="6">
    <w:p w14:paraId="710DF8A4"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U.S.C</w:t>
      </w:r>
      <w:r>
        <w:rPr>
          <w:rFonts w:ascii="Arial" w:hAnsi="Arial" w:cs="Arial"/>
          <w:sz w:val="24"/>
          <w:szCs w:val="24"/>
        </w:rPr>
        <w:t>. § 8504(a). 41 C.F.R. §§ 51-4.2, 51-</w:t>
      </w:r>
      <w:r w:rsidRPr="007C4DDD">
        <w:rPr>
          <w:rFonts w:ascii="Arial" w:hAnsi="Arial" w:cs="Arial"/>
          <w:sz w:val="24"/>
          <w:szCs w:val="24"/>
        </w:rPr>
        <w:t>4.3.</w:t>
      </w:r>
    </w:p>
  </w:endnote>
  <w:endnote w:id="7">
    <w:p w14:paraId="40089334"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U.S.C. § 8504(b).</w:t>
      </w:r>
    </w:p>
  </w:endnote>
  <w:endnote w:id="8">
    <w:p w14:paraId="240413D3"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C.F.R. § 51-5.4</w:t>
      </w:r>
      <w:r>
        <w:rPr>
          <w:rFonts w:ascii="Arial" w:hAnsi="Arial" w:cs="Arial"/>
          <w:sz w:val="24"/>
          <w:szCs w:val="24"/>
        </w:rPr>
        <w:t>.</w:t>
      </w:r>
    </w:p>
  </w:endnote>
  <w:endnote w:id="9">
    <w:p w14:paraId="4B7948A3" w14:textId="77777777" w:rsidR="001778CD" w:rsidRPr="00984152" w:rsidRDefault="001778CD" w:rsidP="001778CD">
      <w:pPr>
        <w:pStyle w:val="EndnoteText"/>
      </w:pPr>
      <w:r>
        <w:rPr>
          <w:rStyle w:val="EndnoteReference"/>
        </w:rPr>
        <w:endnoteRef/>
      </w:r>
      <w:r>
        <w:t xml:space="preserve"> </w:t>
      </w:r>
      <w:r w:rsidRPr="007C4DDD">
        <w:rPr>
          <w:rFonts w:ascii="Arial" w:hAnsi="Arial" w:cs="Arial"/>
          <w:sz w:val="24"/>
          <w:szCs w:val="24"/>
        </w:rPr>
        <w:t>Office of Inspector General, U.S. AbilityOne Commission</w:t>
      </w:r>
      <w:r>
        <w:rPr>
          <w:rFonts w:ascii="Arial" w:hAnsi="Arial" w:cs="Arial"/>
          <w:sz w:val="24"/>
          <w:szCs w:val="24"/>
        </w:rPr>
        <w:t>,</w:t>
      </w:r>
      <w:r w:rsidRPr="007C4DDD">
        <w:rPr>
          <w:rFonts w:ascii="Arial" w:hAnsi="Arial" w:cs="Arial"/>
          <w:sz w:val="24"/>
          <w:szCs w:val="24"/>
        </w:rPr>
        <w:t xml:space="preserve"> </w:t>
      </w:r>
      <w:r w:rsidRPr="00642D36">
        <w:rPr>
          <w:rFonts w:ascii="Arial" w:hAnsi="Arial" w:cs="Arial"/>
          <w:i/>
          <w:sz w:val="24"/>
          <w:szCs w:val="24"/>
        </w:rPr>
        <w:t>Semiannual Report to Congress: April 1, 2018  - Sept</w:t>
      </w:r>
      <w:r>
        <w:rPr>
          <w:rFonts w:ascii="Arial" w:hAnsi="Arial" w:cs="Arial"/>
          <w:i/>
          <w:sz w:val="24"/>
          <w:szCs w:val="24"/>
        </w:rPr>
        <w:t>ember</w:t>
      </w:r>
      <w:r w:rsidRPr="00642D36">
        <w:rPr>
          <w:rFonts w:ascii="Arial" w:hAnsi="Arial" w:cs="Arial"/>
          <w:i/>
          <w:sz w:val="24"/>
          <w:szCs w:val="24"/>
        </w:rPr>
        <w:t xml:space="preserve"> 30, 20</w:t>
      </w:r>
      <w:r w:rsidRPr="00984152">
        <w:rPr>
          <w:rFonts w:ascii="Arial" w:hAnsi="Arial" w:cs="Arial"/>
          <w:i/>
          <w:sz w:val="24"/>
          <w:szCs w:val="24"/>
        </w:rPr>
        <w:t>18</w:t>
      </w:r>
      <w:r w:rsidRPr="00984152">
        <w:rPr>
          <w:rFonts w:ascii="Arial" w:hAnsi="Arial" w:cs="Arial"/>
          <w:sz w:val="24"/>
          <w:szCs w:val="24"/>
        </w:rPr>
        <w:t xml:space="preserve">,  5-6, </w:t>
      </w:r>
      <w:hyperlink r:id="rId4" w:history="1">
        <w:r w:rsidRPr="00A57371">
          <w:rPr>
            <w:rStyle w:val="Hyperlink"/>
            <w:rFonts w:cs="Arial"/>
            <w:szCs w:val="24"/>
          </w:rPr>
          <w:t>https://www.abilityone.gov/commission/documents/CPPBSD-OIG%20SAR%20(April%201%202018-%20September%2030%202018).pdf</w:t>
        </w:r>
      </w:hyperlink>
      <w:r>
        <w:rPr>
          <w:rStyle w:val="Hyperlink"/>
          <w:rFonts w:cs="Arial"/>
          <w:szCs w:val="24"/>
        </w:rPr>
        <w:t xml:space="preserve">. Kingdomware Technologies, Inc. v. United States, ___ U.S. ___, 136 S.Ct. 1969 (2016), </w:t>
      </w:r>
      <w:r w:rsidRPr="00D3790C">
        <w:rPr>
          <w:rStyle w:val="Hyperlink"/>
          <w:rFonts w:cs="Arial"/>
          <w:szCs w:val="24"/>
        </w:rPr>
        <w:t>PDS Consultants, Inc. v</w:t>
      </w:r>
      <w:r>
        <w:rPr>
          <w:rStyle w:val="Hyperlink"/>
          <w:rFonts w:cs="Arial"/>
          <w:szCs w:val="24"/>
        </w:rPr>
        <w:t xml:space="preserve">. United States, 907 F.3d 1345 </w:t>
      </w:r>
      <w:r w:rsidRPr="00D3790C">
        <w:rPr>
          <w:rStyle w:val="Hyperlink"/>
          <w:rFonts w:cs="Arial"/>
          <w:szCs w:val="24"/>
        </w:rPr>
        <w:t>(Fed. Cir. 2018)</w:t>
      </w:r>
      <w:r>
        <w:rPr>
          <w:rStyle w:val="Hyperlink"/>
          <w:rFonts w:cs="Arial"/>
          <w:szCs w:val="24"/>
        </w:rPr>
        <w:t>.</w:t>
      </w:r>
    </w:p>
  </w:endnote>
  <w:endnote w:id="10">
    <w:p w14:paraId="06E47DE5"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U</w:t>
      </w:r>
      <w:r>
        <w:rPr>
          <w:rFonts w:ascii="Arial" w:hAnsi="Arial" w:cs="Arial"/>
          <w:sz w:val="24"/>
          <w:szCs w:val="24"/>
        </w:rPr>
        <w:t>.</w:t>
      </w:r>
      <w:r w:rsidRPr="007C4DDD">
        <w:rPr>
          <w:rFonts w:ascii="Arial" w:hAnsi="Arial" w:cs="Arial"/>
          <w:sz w:val="24"/>
          <w:szCs w:val="24"/>
        </w:rPr>
        <w:t>S</w:t>
      </w:r>
      <w:r>
        <w:rPr>
          <w:rFonts w:ascii="Arial" w:hAnsi="Arial" w:cs="Arial"/>
          <w:sz w:val="24"/>
          <w:szCs w:val="24"/>
        </w:rPr>
        <w:t>.</w:t>
      </w:r>
      <w:r w:rsidRPr="007C4DDD">
        <w:rPr>
          <w:rFonts w:ascii="Arial" w:hAnsi="Arial" w:cs="Arial"/>
          <w:sz w:val="24"/>
          <w:szCs w:val="24"/>
        </w:rPr>
        <w:t>C</w:t>
      </w:r>
      <w:r>
        <w:rPr>
          <w:rFonts w:ascii="Arial" w:hAnsi="Arial" w:cs="Arial"/>
          <w:sz w:val="24"/>
          <w:szCs w:val="24"/>
        </w:rPr>
        <w:t xml:space="preserve">. §§ 8501(7), </w:t>
      </w:r>
      <w:r w:rsidRPr="007C4DDD">
        <w:rPr>
          <w:rFonts w:ascii="Arial" w:hAnsi="Arial" w:cs="Arial"/>
          <w:sz w:val="24"/>
          <w:szCs w:val="24"/>
        </w:rPr>
        <w:t>8504.</w:t>
      </w:r>
    </w:p>
  </w:endnote>
  <w:endnote w:id="11">
    <w:p w14:paraId="06BE6428"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U.S.C. § 8502(b)(1).</w:t>
      </w:r>
    </w:p>
  </w:endnote>
  <w:endnote w:id="12">
    <w:p w14:paraId="5114FB37"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p>
  </w:endnote>
  <w:endnote w:id="13">
    <w:p w14:paraId="2CF65F06"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41 U.S.C. § 8502(b)(2), </w:t>
      </w:r>
      <w:r w:rsidRPr="007C4DDD">
        <w:rPr>
          <w:rFonts w:ascii="Arial" w:hAnsi="Arial" w:cs="Arial"/>
          <w:sz w:val="24"/>
          <w:szCs w:val="24"/>
        </w:rPr>
        <w:t>(3).</w:t>
      </w:r>
    </w:p>
  </w:endnote>
  <w:endnote w:id="14">
    <w:p w14:paraId="02A82E31"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U.S.C. § 8503(a).</w:t>
      </w:r>
    </w:p>
  </w:endnote>
  <w:endnote w:id="15">
    <w:p w14:paraId="0900CC72"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U.S.C. § 8503(b).</w:t>
      </w:r>
    </w:p>
  </w:endnote>
  <w:endnote w:id="16">
    <w:p w14:paraId="7EAFDF32"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41 C.F.R. § 51-2.2.</w:t>
      </w:r>
    </w:p>
  </w:endnote>
  <w:endnote w:id="17">
    <w:p w14:paraId="3C127153"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Committee for Purchase from People Who are Blind or Severely Disabled, “Fiscal Year 2019 Budget Justification,” 3</w:t>
      </w:r>
      <w:r>
        <w:rPr>
          <w:rFonts w:ascii="Arial" w:hAnsi="Arial" w:cs="Arial"/>
          <w:sz w:val="24"/>
          <w:szCs w:val="24"/>
        </w:rPr>
        <w:t>,</w:t>
      </w:r>
      <w:r w:rsidRPr="002E254D">
        <w:t xml:space="preserve"> </w:t>
      </w:r>
      <w:hyperlink r:id="rId5" w:history="1">
        <w:r w:rsidRPr="00A57371">
          <w:rPr>
            <w:rStyle w:val="Hyperlink"/>
            <w:rFonts w:cs="Arial"/>
            <w:szCs w:val="24"/>
          </w:rPr>
          <w:t>https://www.abilityone.gov/commission/documents/CPPBSD%20FY2019%20Budget%20Justification%2020180212%20Final.pdf</w:t>
        </w:r>
      </w:hyperlink>
      <w:r>
        <w:rPr>
          <w:rFonts w:ascii="Arial" w:hAnsi="Arial" w:cs="Arial"/>
          <w:sz w:val="24"/>
          <w:szCs w:val="24"/>
        </w:rPr>
        <w:t>.</w:t>
      </w:r>
    </w:p>
  </w:endnote>
  <w:endnote w:id="18">
    <w:p w14:paraId="2A924490"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w:t>
      </w:r>
      <w:r w:rsidRPr="007C4DDD">
        <w:rPr>
          <w:rFonts w:ascii="Arial" w:hAnsi="Arial" w:cs="Arial"/>
          <w:sz w:val="24"/>
          <w:szCs w:val="24"/>
        </w:rPr>
        <w:t>In FY 2017, the DoD spent $320 bi</w:t>
      </w:r>
      <w:r>
        <w:rPr>
          <w:rFonts w:ascii="Arial" w:hAnsi="Arial" w:cs="Arial"/>
          <w:sz w:val="24"/>
          <w:szCs w:val="24"/>
        </w:rPr>
        <w:t>llion on federal contracts, with 51 percent on</w:t>
      </w:r>
      <w:r w:rsidRPr="002E254D">
        <w:rPr>
          <w:rFonts w:ascii="Arial" w:hAnsi="Arial" w:cs="Arial"/>
          <w:sz w:val="24"/>
          <w:szCs w:val="24"/>
        </w:rPr>
        <w:t xml:space="preserve"> </w:t>
      </w:r>
      <w:r>
        <w:rPr>
          <w:rFonts w:ascii="Arial" w:hAnsi="Arial" w:cs="Arial"/>
          <w:sz w:val="24"/>
          <w:szCs w:val="24"/>
        </w:rPr>
        <w:t>goods,</w:t>
      </w:r>
      <w:r w:rsidRPr="007C4DDD">
        <w:rPr>
          <w:rFonts w:ascii="Arial" w:hAnsi="Arial" w:cs="Arial"/>
          <w:sz w:val="24"/>
          <w:szCs w:val="24"/>
        </w:rPr>
        <w:t xml:space="preserve"> </w:t>
      </w:r>
      <w:r>
        <w:rPr>
          <w:rFonts w:ascii="Arial" w:hAnsi="Arial" w:cs="Arial"/>
          <w:sz w:val="24"/>
          <w:szCs w:val="24"/>
        </w:rPr>
        <w:t xml:space="preserve">41 percent on </w:t>
      </w:r>
      <w:r w:rsidRPr="007C4DDD">
        <w:rPr>
          <w:rFonts w:ascii="Arial" w:hAnsi="Arial" w:cs="Arial"/>
          <w:sz w:val="24"/>
          <w:szCs w:val="24"/>
        </w:rPr>
        <w:t xml:space="preserve">services, and </w:t>
      </w:r>
      <w:r>
        <w:rPr>
          <w:rFonts w:ascii="Arial" w:hAnsi="Arial" w:cs="Arial"/>
          <w:sz w:val="24"/>
          <w:szCs w:val="24"/>
        </w:rPr>
        <w:t>8 percent on research and development.</w:t>
      </w:r>
      <w:r w:rsidRPr="007C4DDD">
        <w:rPr>
          <w:rFonts w:ascii="Arial" w:hAnsi="Arial" w:cs="Arial"/>
          <w:sz w:val="24"/>
          <w:szCs w:val="24"/>
        </w:rPr>
        <w:t xml:space="preserve"> Moshe Schwartz, John </w:t>
      </w:r>
      <w:r>
        <w:rPr>
          <w:rFonts w:ascii="Arial" w:hAnsi="Arial" w:cs="Arial"/>
          <w:sz w:val="24"/>
          <w:szCs w:val="24"/>
        </w:rPr>
        <w:t>Sargent, and Christopher Mann, “</w:t>
      </w:r>
      <w:r w:rsidRPr="007C4DDD">
        <w:rPr>
          <w:rFonts w:ascii="Arial" w:hAnsi="Arial" w:cs="Arial"/>
          <w:sz w:val="24"/>
          <w:szCs w:val="24"/>
        </w:rPr>
        <w:t>Defense Acquisitions: How and Where DOD Spends Its Contracting Doll</w:t>
      </w:r>
      <w:r>
        <w:rPr>
          <w:rFonts w:ascii="Arial" w:hAnsi="Arial" w:cs="Arial"/>
          <w:sz w:val="24"/>
          <w:szCs w:val="24"/>
        </w:rPr>
        <w:t>ars,”</w:t>
      </w:r>
      <w:r w:rsidRPr="007C4DDD">
        <w:rPr>
          <w:rFonts w:ascii="Arial" w:hAnsi="Arial" w:cs="Arial"/>
          <w:sz w:val="24"/>
          <w:szCs w:val="24"/>
        </w:rPr>
        <w:t xml:space="preserve"> </w:t>
      </w:r>
      <w:r>
        <w:rPr>
          <w:rFonts w:ascii="Arial" w:hAnsi="Arial" w:cs="Arial"/>
          <w:sz w:val="24"/>
          <w:szCs w:val="24"/>
        </w:rPr>
        <w:t xml:space="preserve">(Washington, D.C.: Congressional Research Service, </w:t>
      </w:r>
      <w:r w:rsidRPr="007C4DDD">
        <w:rPr>
          <w:rFonts w:ascii="Arial" w:hAnsi="Arial" w:cs="Arial"/>
          <w:sz w:val="24"/>
          <w:szCs w:val="24"/>
        </w:rPr>
        <w:t>July</w:t>
      </w:r>
      <w:r>
        <w:rPr>
          <w:rFonts w:ascii="Arial" w:hAnsi="Arial" w:cs="Arial"/>
          <w:sz w:val="24"/>
          <w:szCs w:val="24"/>
        </w:rPr>
        <w:t xml:space="preserve"> 2,</w:t>
      </w:r>
      <w:r w:rsidRPr="007C4DDD">
        <w:rPr>
          <w:rFonts w:ascii="Arial" w:hAnsi="Arial" w:cs="Arial"/>
          <w:sz w:val="24"/>
          <w:szCs w:val="24"/>
        </w:rPr>
        <w:t xml:space="preserve"> 2018</w:t>
      </w:r>
      <w:r>
        <w:rPr>
          <w:rFonts w:ascii="Arial" w:hAnsi="Arial" w:cs="Arial"/>
          <w:sz w:val="24"/>
          <w:szCs w:val="24"/>
        </w:rPr>
        <w:t xml:space="preserve">), 1-6, </w:t>
      </w:r>
      <w:hyperlink r:id="rId6" w:history="1">
        <w:r w:rsidRPr="007C4DDD">
          <w:rPr>
            <w:rStyle w:val="Hyperlink"/>
            <w:rFonts w:cs="Arial"/>
            <w:szCs w:val="24"/>
          </w:rPr>
          <w:t>https://fas.org/sgp/crs/natsec/R44010.pdf</w:t>
        </w:r>
      </w:hyperlink>
      <w:r w:rsidRPr="007C4DDD">
        <w:rPr>
          <w:rFonts w:ascii="Arial" w:hAnsi="Arial" w:cs="Arial"/>
          <w:sz w:val="24"/>
          <w:szCs w:val="24"/>
        </w:rPr>
        <w:t xml:space="preserve">. DoD </w:t>
      </w:r>
      <w:r>
        <w:rPr>
          <w:rFonts w:ascii="Arial" w:hAnsi="Arial" w:cs="Arial"/>
          <w:sz w:val="24"/>
          <w:szCs w:val="24"/>
        </w:rPr>
        <w:t xml:space="preserve">spent </w:t>
      </w:r>
      <w:r w:rsidRPr="007C4DDD">
        <w:rPr>
          <w:rFonts w:ascii="Arial" w:hAnsi="Arial" w:cs="Arial"/>
          <w:sz w:val="24"/>
          <w:szCs w:val="24"/>
        </w:rPr>
        <w:t>$291.2 bil</w:t>
      </w:r>
      <w:r>
        <w:rPr>
          <w:rFonts w:ascii="Arial" w:hAnsi="Arial" w:cs="Arial"/>
          <w:sz w:val="24"/>
          <w:szCs w:val="24"/>
        </w:rPr>
        <w:t>lion</w:t>
      </w:r>
      <w:r w:rsidRPr="007C4DDD">
        <w:rPr>
          <w:rFonts w:ascii="Arial" w:hAnsi="Arial" w:cs="Arial"/>
          <w:sz w:val="24"/>
          <w:szCs w:val="24"/>
        </w:rPr>
        <w:t xml:space="preserve"> on </w:t>
      </w:r>
      <w:r>
        <w:rPr>
          <w:rFonts w:ascii="Arial" w:hAnsi="Arial" w:cs="Arial"/>
          <w:sz w:val="24"/>
          <w:szCs w:val="24"/>
        </w:rPr>
        <w:t xml:space="preserve">contract </w:t>
      </w:r>
      <w:r w:rsidRPr="007C4DDD">
        <w:rPr>
          <w:rFonts w:ascii="Arial" w:hAnsi="Arial" w:cs="Arial"/>
          <w:sz w:val="24"/>
          <w:szCs w:val="24"/>
        </w:rPr>
        <w:t>goods and services in FY 2017</w:t>
      </w:r>
      <w:r>
        <w:rPr>
          <w:rFonts w:ascii="Arial" w:hAnsi="Arial" w:cs="Arial"/>
          <w:sz w:val="24"/>
          <w:szCs w:val="24"/>
        </w:rPr>
        <w:t xml:space="preserve"> (92 percent of $320 billion)</w:t>
      </w:r>
      <w:r w:rsidRPr="007C4DDD">
        <w:rPr>
          <w:rFonts w:ascii="Arial" w:hAnsi="Arial" w:cs="Arial"/>
          <w:sz w:val="24"/>
          <w:szCs w:val="24"/>
        </w:rPr>
        <w:t>,</w:t>
      </w:r>
      <w:r>
        <w:rPr>
          <w:rFonts w:ascii="Arial" w:hAnsi="Arial" w:cs="Arial"/>
          <w:sz w:val="24"/>
          <w:szCs w:val="24"/>
        </w:rPr>
        <w:t xml:space="preserve"> and with $2.1 billion purchases from AbilityOne, the program provided </w:t>
      </w:r>
      <w:r w:rsidRPr="007C4DDD">
        <w:rPr>
          <w:rFonts w:ascii="Arial" w:hAnsi="Arial" w:cs="Arial"/>
          <w:sz w:val="24"/>
          <w:szCs w:val="24"/>
        </w:rPr>
        <w:t>0.72</w:t>
      </w:r>
      <w:r>
        <w:rPr>
          <w:rFonts w:ascii="Arial" w:hAnsi="Arial" w:cs="Arial"/>
          <w:sz w:val="24"/>
          <w:szCs w:val="24"/>
        </w:rPr>
        <w:t xml:space="preserve"> percent </w:t>
      </w:r>
      <w:r w:rsidRPr="007C4DDD">
        <w:rPr>
          <w:rFonts w:ascii="Arial" w:hAnsi="Arial" w:cs="Arial"/>
          <w:sz w:val="24"/>
          <w:szCs w:val="24"/>
        </w:rPr>
        <w:t xml:space="preserve">of all </w:t>
      </w:r>
      <w:r>
        <w:rPr>
          <w:rFonts w:ascii="Arial" w:hAnsi="Arial" w:cs="Arial"/>
          <w:sz w:val="24"/>
          <w:szCs w:val="24"/>
        </w:rPr>
        <w:t xml:space="preserve">DoD contract </w:t>
      </w:r>
      <w:r w:rsidRPr="007C4DDD">
        <w:rPr>
          <w:rFonts w:ascii="Arial" w:hAnsi="Arial" w:cs="Arial"/>
          <w:sz w:val="24"/>
          <w:szCs w:val="24"/>
        </w:rPr>
        <w:t>goods and services</w:t>
      </w:r>
      <w:r>
        <w:rPr>
          <w:rFonts w:ascii="Arial" w:hAnsi="Arial" w:cs="Arial"/>
          <w:sz w:val="24"/>
          <w:szCs w:val="24"/>
        </w:rPr>
        <w:t xml:space="preserve"> for that fiscal year</w:t>
      </w:r>
      <w:r w:rsidRPr="007C4DDD">
        <w:rPr>
          <w:rFonts w:ascii="Arial" w:hAnsi="Arial" w:cs="Arial"/>
          <w:sz w:val="24"/>
          <w:szCs w:val="24"/>
        </w:rPr>
        <w:t>.</w:t>
      </w:r>
    </w:p>
  </w:endnote>
  <w:endnote w:id="19">
    <w:p w14:paraId="485CFFC2"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sidRPr="00642D36">
        <w:rPr>
          <w:rFonts w:ascii="Arial" w:hAnsi="Arial" w:cs="Arial"/>
          <w:sz w:val="24"/>
          <w:szCs w:val="24"/>
        </w:rPr>
        <w:t>Based on a review of</w:t>
      </w:r>
      <w:r>
        <w:rPr>
          <w:rFonts w:ascii="Arial" w:hAnsi="Arial" w:cs="Arial"/>
          <w:sz w:val="24"/>
          <w:szCs w:val="24"/>
        </w:rPr>
        <w:t xml:space="preserve"> U.S. AbilityOne Commission Budget Justifications.</w:t>
      </w:r>
      <w:r w:rsidRPr="00A005AF">
        <w:rPr>
          <w:rFonts w:ascii="Arial" w:hAnsi="Arial" w:cs="Arial"/>
          <w:sz w:val="24"/>
          <w:szCs w:val="24"/>
        </w:rPr>
        <w:t xml:space="preserve"> </w:t>
      </w:r>
      <w:r>
        <w:rPr>
          <w:rFonts w:ascii="Arial" w:hAnsi="Arial" w:cs="Arial"/>
          <w:sz w:val="24"/>
          <w:szCs w:val="24"/>
        </w:rPr>
        <w:t>U.S. AbilityOne Commission, “Congressional Budget Justification,”</w:t>
      </w:r>
      <w:r w:rsidRPr="007C4DDD">
        <w:rPr>
          <w:rFonts w:ascii="Arial" w:hAnsi="Arial" w:cs="Arial"/>
          <w:sz w:val="24"/>
          <w:szCs w:val="24"/>
        </w:rPr>
        <w:t xml:space="preserve"> </w:t>
      </w:r>
      <w:r>
        <w:rPr>
          <w:rFonts w:ascii="Arial" w:hAnsi="Arial" w:cs="Arial"/>
          <w:sz w:val="24"/>
          <w:szCs w:val="24"/>
        </w:rPr>
        <w:t xml:space="preserve">accessed November 29, 2018, </w:t>
      </w:r>
      <w:r w:rsidRPr="00471836">
        <w:rPr>
          <w:rFonts w:ascii="Arial" w:hAnsi="Arial" w:cs="Arial"/>
          <w:sz w:val="24"/>
          <w:szCs w:val="24"/>
        </w:rPr>
        <w:t>https://www.abilityone.gov/commission/budget.html</w:t>
      </w:r>
      <w:r>
        <w:rPr>
          <w:rFonts w:ascii="Arial" w:hAnsi="Arial" w:cs="Arial"/>
          <w:sz w:val="24"/>
          <w:szCs w:val="24"/>
        </w:rPr>
        <w:t>.</w:t>
      </w:r>
    </w:p>
  </w:endnote>
  <w:endnote w:id="20">
    <w:p w14:paraId="32CC9F34"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sidRPr="007A250E">
        <w:rPr>
          <w:rFonts w:ascii="Arial" w:hAnsi="Arial" w:cs="Arial"/>
          <w:sz w:val="24"/>
          <w:szCs w:val="24"/>
        </w:rPr>
        <w:t>Committee for Purchase, “</w:t>
      </w:r>
      <w:r>
        <w:rPr>
          <w:rFonts w:ascii="Arial" w:hAnsi="Arial" w:cs="Arial"/>
          <w:sz w:val="24"/>
          <w:szCs w:val="24"/>
        </w:rPr>
        <w:t>FY</w:t>
      </w:r>
      <w:r w:rsidRPr="007A250E">
        <w:rPr>
          <w:rFonts w:ascii="Arial" w:hAnsi="Arial" w:cs="Arial"/>
          <w:sz w:val="24"/>
          <w:szCs w:val="24"/>
        </w:rPr>
        <w:t xml:space="preserve"> 2019 Budget Justification</w:t>
      </w:r>
      <w:r>
        <w:rPr>
          <w:rFonts w:ascii="Arial" w:hAnsi="Arial" w:cs="Arial"/>
          <w:sz w:val="24"/>
          <w:szCs w:val="24"/>
        </w:rPr>
        <w:t>,</w:t>
      </w:r>
      <w:r w:rsidRPr="007A250E">
        <w:rPr>
          <w:rFonts w:ascii="Arial" w:hAnsi="Arial" w:cs="Arial"/>
          <w:sz w:val="24"/>
          <w:szCs w:val="24"/>
        </w:rPr>
        <w:t>”</w:t>
      </w:r>
      <w:r>
        <w:rPr>
          <w:rFonts w:ascii="Arial" w:hAnsi="Arial" w:cs="Arial"/>
          <w:sz w:val="24"/>
          <w:szCs w:val="24"/>
        </w:rPr>
        <w:t xml:space="preserve"> 3.</w:t>
      </w:r>
    </w:p>
  </w:endnote>
  <w:endnote w:id="21">
    <w:p w14:paraId="6F044CAE" w14:textId="77777777" w:rsidR="001778CD" w:rsidRPr="00D00179"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 xml:space="preserve">U.S. AbilityOne Commission, </w:t>
      </w:r>
      <w:r w:rsidRPr="00473164">
        <w:rPr>
          <w:rFonts w:ascii="Arial" w:hAnsi="Arial" w:cs="Arial"/>
          <w:i/>
          <w:sz w:val="24"/>
          <w:szCs w:val="24"/>
        </w:rPr>
        <w:t xml:space="preserve">FY </w:t>
      </w:r>
      <w:r w:rsidRPr="007C4DDD">
        <w:rPr>
          <w:rFonts w:ascii="Arial" w:hAnsi="Arial" w:cs="Arial"/>
          <w:i/>
          <w:sz w:val="24"/>
          <w:szCs w:val="24"/>
        </w:rPr>
        <w:t>2017 Perfor</w:t>
      </w:r>
      <w:r>
        <w:rPr>
          <w:rFonts w:ascii="Arial" w:hAnsi="Arial" w:cs="Arial"/>
          <w:i/>
          <w:sz w:val="24"/>
          <w:szCs w:val="24"/>
        </w:rPr>
        <w:t>mance and Accountability Report</w:t>
      </w:r>
      <w:r>
        <w:rPr>
          <w:rFonts w:ascii="Arial" w:hAnsi="Arial" w:cs="Arial"/>
          <w:sz w:val="24"/>
          <w:szCs w:val="24"/>
        </w:rPr>
        <w:t>,</w:t>
      </w:r>
      <w:r>
        <w:rPr>
          <w:rFonts w:ascii="Arial" w:hAnsi="Arial" w:cs="Arial"/>
          <w:i/>
          <w:sz w:val="24"/>
          <w:szCs w:val="24"/>
        </w:rPr>
        <w:t xml:space="preserve"> </w:t>
      </w:r>
      <w:r w:rsidRPr="00D00179">
        <w:rPr>
          <w:rFonts w:ascii="Arial" w:hAnsi="Arial" w:cs="Arial"/>
          <w:sz w:val="24"/>
          <w:szCs w:val="24"/>
        </w:rPr>
        <w:t>3</w:t>
      </w:r>
      <w:r>
        <w:rPr>
          <w:rFonts w:ascii="Arial" w:hAnsi="Arial" w:cs="Arial"/>
          <w:sz w:val="24"/>
          <w:szCs w:val="24"/>
        </w:rPr>
        <w:t xml:space="preserve">. </w:t>
      </w:r>
      <w:r w:rsidRPr="00D00179">
        <w:rPr>
          <w:rFonts w:ascii="Arial" w:hAnsi="Arial" w:cs="Arial"/>
          <w:sz w:val="24"/>
          <w:szCs w:val="24"/>
        </w:rPr>
        <w:t>Committee for Purchase from People Who are Blind or Severely Disabled, “Fiscal Year 201</w:t>
      </w:r>
      <w:r>
        <w:rPr>
          <w:rFonts w:ascii="Arial" w:hAnsi="Arial" w:cs="Arial"/>
          <w:sz w:val="24"/>
          <w:szCs w:val="24"/>
        </w:rPr>
        <w:t>8</w:t>
      </w:r>
      <w:r w:rsidRPr="00D00179">
        <w:rPr>
          <w:rFonts w:ascii="Arial" w:hAnsi="Arial" w:cs="Arial"/>
          <w:sz w:val="24"/>
          <w:szCs w:val="24"/>
        </w:rPr>
        <w:t xml:space="preserve"> Budget Justification,”</w:t>
      </w:r>
      <w:r>
        <w:rPr>
          <w:rFonts w:ascii="Arial" w:hAnsi="Arial" w:cs="Arial"/>
          <w:sz w:val="24"/>
          <w:szCs w:val="24"/>
        </w:rPr>
        <w:t xml:space="preserve"> 1, </w:t>
      </w:r>
      <w:hyperlink r:id="rId7" w:history="1">
        <w:r w:rsidRPr="00A57371">
          <w:rPr>
            <w:rStyle w:val="Hyperlink"/>
            <w:rFonts w:cs="Arial"/>
            <w:szCs w:val="24"/>
          </w:rPr>
          <w:t>https://www.abilityone.gov/commission/documents/FY18%20US%20AbilityOne%20Commission%20CPPBSD%20Budget%20Justification%20Final.pdf</w:t>
        </w:r>
      </w:hyperlink>
      <w:r>
        <w:rPr>
          <w:rFonts w:ascii="Arial" w:hAnsi="Arial" w:cs="Arial"/>
          <w:sz w:val="24"/>
          <w:szCs w:val="24"/>
        </w:rPr>
        <w:t xml:space="preserve">. </w:t>
      </w:r>
    </w:p>
  </w:endnote>
  <w:endnote w:id="22">
    <w:p w14:paraId="12FE914C"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Brown &amp; Company,</w:t>
      </w:r>
      <w:r w:rsidRPr="007C4DDD">
        <w:rPr>
          <w:rFonts w:ascii="Arial" w:hAnsi="Arial" w:cs="Arial"/>
          <w:sz w:val="24"/>
          <w:szCs w:val="24"/>
        </w:rPr>
        <w:t xml:space="preserve"> Independent Auditor’s Report </w:t>
      </w:r>
      <w:r>
        <w:rPr>
          <w:rFonts w:ascii="Arial" w:hAnsi="Arial" w:cs="Arial"/>
          <w:sz w:val="24"/>
          <w:szCs w:val="24"/>
        </w:rPr>
        <w:t>(Nov. 15, 2018),</w:t>
      </w:r>
      <w:r w:rsidRPr="007C4DDD">
        <w:rPr>
          <w:rFonts w:ascii="Arial" w:hAnsi="Arial" w:cs="Arial"/>
          <w:sz w:val="24"/>
          <w:szCs w:val="24"/>
        </w:rPr>
        <w:t xml:space="preserve"> </w:t>
      </w:r>
      <w:hyperlink r:id="rId8" w:history="1">
        <w:r w:rsidRPr="007C4DDD">
          <w:rPr>
            <w:rStyle w:val="Hyperlink"/>
            <w:rFonts w:cs="Arial"/>
            <w:szCs w:val="24"/>
          </w:rPr>
          <w:t>https://www.oversight.gov/sites/default/files/oig-reports/Financial Statement Report Final Report.pdf</w:t>
        </w:r>
      </w:hyperlink>
      <w:r w:rsidRPr="00A005AF">
        <w:rPr>
          <w:rStyle w:val="Hyperlink"/>
          <w:rFonts w:cs="Arial"/>
          <w:szCs w:val="24"/>
        </w:rPr>
        <w:t>.</w:t>
      </w:r>
      <w:r w:rsidRPr="007C4DDD">
        <w:rPr>
          <w:rFonts w:ascii="Arial" w:hAnsi="Arial" w:cs="Arial"/>
          <w:sz w:val="24"/>
          <w:szCs w:val="24"/>
        </w:rPr>
        <w:t xml:space="preserve"> </w:t>
      </w:r>
    </w:p>
  </w:endnote>
  <w:endnote w:id="23">
    <w:p w14:paraId="4B18BB3E"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U.S.C. § 8503(c).</w:t>
      </w:r>
    </w:p>
  </w:endnote>
  <w:endnote w:id="24">
    <w:p w14:paraId="0ED420EE" w14:textId="77777777" w:rsidR="001778CD" w:rsidRPr="00813FE2"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w:t>
      </w:r>
      <w:r w:rsidRPr="00813FE2">
        <w:rPr>
          <w:rFonts w:ascii="Arial" w:hAnsi="Arial" w:cs="Arial"/>
          <w:sz w:val="24"/>
          <w:szCs w:val="24"/>
        </w:rPr>
        <w:t>Ibid., 6.</w:t>
      </w:r>
    </w:p>
  </w:endnote>
  <w:endnote w:id="25">
    <w:p w14:paraId="7AFFF10C"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U.S. AbilityOne Commission, </w:t>
      </w:r>
      <w:r w:rsidRPr="007C4DDD">
        <w:rPr>
          <w:rFonts w:ascii="Arial" w:hAnsi="Arial" w:cs="Arial"/>
          <w:sz w:val="24"/>
          <w:szCs w:val="24"/>
        </w:rPr>
        <w:t>“U.S. AbilityOne Commission Designate</w:t>
      </w:r>
      <w:r>
        <w:rPr>
          <w:rFonts w:ascii="Arial" w:hAnsi="Arial" w:cs="Arial"/>
          <w:sz w:val="24"/>
          <w:szCs w:val="24"/>
        </w:rPr>
        <w:t>s</w:t>
      </w:r>
      <w:r w:rsidRPr="007C4DDD">
        <w:rPr>
          <w:rFonts w:ascii="Arial" w:hAnsi="Arial" w:cs="Arial"/>
          <w:sz w:val="24"/>
          <w:szCs w:val="24"/>
        </w:rPr>
        <w:t xml:space="preserve"> American Foundation for the Blind as a New AbilityOne Auth</w:t>
      </w:r>
      <w:r>
        <w:rPr>
          <w:rFonts w:ascii="Arial" w:hAnsi="Arial" w:cs="Arial"/>
          <w:sz w:val="24"/>
          <w:szCs w:val="24"/>
        </w:rPr>
        <w:t>orized Central Nonprofit Agency</w:t>
      </w:r>
      <w:r w:rsidRPr="007C4DDD">
        <w:rPr>
          <w:rFonts w:ascii="Arial" w:hAnsi="Arial" w:cs="Arial"/>
          <w:sz w:val="24"/>
          <w:szCs w:val="24"/>
        </w:rPr>
        <w:t xml:space="preserve">” </w:t>
      </w:r>
      <w:r>
        <w:rPr>
          <w:rFonts w:ascii="Arial" w:hAnsi="Arial" w:cs="Arial"/>
          <w:sz w:val="24"/>
          <w:szCs w:val="24"/>
        </w:rPr>
        <w:t>(</w:t>
      </w:r>
      <w:r w:rsidRPr="007C4DDD">
        <w:rPr>
          <w:rFonts w:ascii="Arial" w:hAnsi="Arial" w:cs="Arial"/>
          <w:sz w:val="24"/>
          <w:szCs w:val="24"/>
        </w:rPr>
        <w:t>July 26, 2018</w:t>
      </w:r>
      <w:r>
        <w:rPr>
          <w:rFonts w:ascii="Arial" w:hAnsi="Arial" w:cs="Arial"/>
          <w:sz w:val="24"/>
          <w:szCs w:val="24"/>
        </w:rPr>
        <w:t xml:space="preserve">), </w:t>
      </w:r>
      <w:hyperlink r:id="rId9" w:history="1">
        <w:r w:rsidRPr="007C4DDD">
          <w:rPr>
            <w:rStyle w:val="Hyperlink"/>
            <w:rFonts w:cs="Arial"/>
            <w:szCs w:val="24"/>
          </w:rPr>
          <w:t>https://www.abilityone.gov/media_room/documents/U.S.%20AbilityOne%20Commission%20News%20Release%20-%20New%20AbilityOne%20CNA%2020180726.pdf</w:t>
        </w:r>
      </w:hyperlink>
    </w:p>
  </w:endnote>
  <w:endnote w:id="26">
    <w:p w14:paraId="47CF481A" w14:textId="77777777" w:rsidR="001778CD" w:rsidRPr="007C4DDD" w:rsidRDefault="001778CD" w:rsidP="001778CD">
      <w:pPr>
        <w:spacing w:after="0"/>
        <w:rPr>
          <w:rFonts w:ascii="Arial" w:eastAsiaTheme="minorHAnsi" w:hAnsi="Arial" w:cs="Arial"/>
          <w:szCs w:val="24"/>
        </w:rPr>
      </w:pPr>
      <w:r w:rsidRPr="007C4DDD">
        <w:rPr>
          <w:rStyle w:val="EndnoteReference"/>
          <w:rFonts w:cs="Arial"/>
          <w:szCs w:val="24"/>
        </w:rPr>
        <w:endnoteRef/>
      </w:r>
      <w:r>
        <w:rPr>
          <w:rFonts w:ascii="Arial" w:hAnsi="Arial" w:cs="Arial"/>
          <w:szCs w:val="24"/>
        </w:rPr>
        <w:t xml:space="preserve"> </w:t>
      </w:r>
      <w:r w:rsidRPr="00642D36">
        <w:rPr>
          <w:rFonts w:ascii="Arial" w:hAnsi="Arial" w:cs="Arial"/>
          <w:szCs w:val="24"/>
        </w:rPr>
        <w:t xml:space="preserve">National Federation of the Blind v. U.S. AbilityOne Commission, </w:t>
      </w:r>
      <w:r>
        <w:rPr>
          <w:rFonts w:ascii="Arial" w:hAnsi="Arial" w:cs="Arial"/>
          <w:szCs w:val="24"/>
        </w:rPr>
        <w:t>No.</w:t>
      </w:r>
      <w:r w:rsidRPr="00642D36">
        <w:rPr>
          <w:rFonts w:ascii="Arial" w:hAnsi="Arial" w:cs="Arial"/>
          <w:szCs w:val="24"/>
        </w:rPr>
        <w:t xml:space="preserve">18-cv-02965 </w:t>
      </w:r>
      <w:r>
        <w:rPr>
          <w:rFonts w:ascii="Arial" w:hAnsi="Arial" w:cs="Arial"/>
          <w:szCs w:val="24"/>
        </w:rPr>
        <w:t>(</w:t>
      </w:r>
      <w:r w:rsidRPr="00642D36">
        <w:rPr>
          <w:rFonts w:ascii="Arial" w:hAnsi="Arial" w:cs="Arial"/>
          <w:szCs w:val="24"/>
        </w:rPr>
        <w:t>D. MD filed Sept. 26, 2018).</w:t>
      </w:r>
      <w:r>
        <w:rPr>
          <w:rFonts w:ascii="Arial" w:hAnsi="Arial" w:cs="Arial"/>
          <w:szCs w:val="24"/>
        </w:rPr>
        <w:t xml:space="preserve"> National Federation of the Blind,</w:t>
      </w:r>
      <w:r w:rsidRPr="00642D36">
        <w:rPr>
          <w:rFonts w:ascii="Arial" w:hAnsi="Arial" w:cs="Arial"/>
          <w:szCs w:val="24"/>
        </w:rPr>
        <w:t xml:space="preserve"> “National Federation of the Blind Sues US A</w:t>
      </w:r>
      <w:r>
        <w:rPr>
          <w:rFonts w:ascii="Arial" w:hAnsi="Arial" w:cs="Arial"/>
          <w:szCs w:val="24"/>
        </w:rPr>
        <w:t>bilityOne Commission</w:t>
      </w:r>
      <w:r w:rsidRPr="00642D36">
        <w:rPr>
          <w:rFonts w:ascii="Arial" w:hAnsi="Arial" w:cs="Arial"/>
          <w:szCs w:val="24"/>
        </w:rPr>
        <w:t>”</w:t>
      </w:r>
      <w:r>
        <w:rPr>
          <w:rFonts w:ascii="Arial" w:hAnsi="Arial" w:cs="Arial"/>
          <w:szCs w:val="24"/>
        </w:rPr>
        <w:t xml:space="preserve"> (September 26, 2018),</w:t>
      </w:r>
      <w:r w:rsidRPr="007C4DDD">
        <w:rPr>
          <w:rFonts w:ascii="Arial" w:hAnsi="Arial" w:cs="Arial"/>
          <w:szCs w:val="24"/>
        </w:rPr>
        <w:t xml:space="preserve"> </w:t>
      </w:r>
      <w:hyperlink r:id="rId10" w:history="1">
        <w:r w:rsidRPr="007C4DDD">
          <w:rPr>
            <w:rStyle w:val="Hyperlink"/>
            <w:rFonts w:cs="Arial"/>
            <w:szCs w:val="24"/>
          </w:rPr>
          <w:t>https://nfb.org/national-federation-blind-sues-us-abilityone-commission</w:t>
        </w:r>
      </w:hyperlink>
      <w:r w:rsidRPr="007C4DDD">
        <w:rPr>
          <w:rFonts w:ascii="Arial" w:hAnsi="Arial" w:cs="Arial"/>
          <w:szCs w:val="24"/>
        </w:rPr>
        <w:t>.</w:t>
      </w:r>
    </w:p>
  </w:endnote>
  <w:endnote w:id="27">
    <w:p w14:paraId="760DF944"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w:t>
      </w:r>
      <w:r w:rsidRPr="007C4DDD">
        <w:rPr>
          <w:rFonts w:ascii="Arial" w:hAnsi="Arial" w:cs="Arial"/>
          <w:sz w:val="24"/>
          <w:szCs w:val="24"/>
        </w:rPr>
        <w:t>Committee for Purchase from People Who are Blind or Severely Disabled</w:t>
      </w:r>
      <w:r>
        <w:rPr>
          <w:rFonts w:ascii="Arial" w:hAnsi="Arial" w:cs="Arial"/>
          <w:sz w:val="24"/>
          <w:szCs w:val="24"/>
        </w:rPr>
        <w:t>,</w:t>
      </w:r>
      <w:r w:rsidRPr="007C4DDD">
        <w:rPr>
          <w:rFonts w:ascii="Arial" w:hAnsi="Arial" w:cs="Arial"/>
          <w:sz w:val="24"/>
          <w:szCs w:val="24"/>
        </w:rPr>
        <w:t xml:space="preserve"> “</w:t>
      </w:r>
      <w:r>
        <w:rPr>
          <w:rFonts w:ascii="Arial" w:hAnsi="Arial" w:cs="Arial"/>
          <w:sz w:val="24"/>
          <w:szCs w:val="24"/>
        </w:rPr>
        <w:t>Fiscal Year 2018 Budget Justification,</w:t>
      </w:r>
      <w:r w:rsidRPr="007C4DDD">
        <w:rPr>
          <w:rFonts w:ascii="Arial" w:hAnsi="Arial" w:cs="Arial"/>
          <w:sz w:val="24"/>
          <w:szCs w:val="24"/>
        </w:rPr>
        <w:t>” Appendix III</w:t>
      </w:r>
      <w:r>
        <w:rPr>
          <w:rFonts w:ascii="Arial" w:hAnsi="Arial" w:cs="Arial"/>
          <w:sz w:val="24"/>
          <w:szCs w:val="24"/>
        </w:rPr>
        <w:t>,</w:t>
      </w:r>
      <w:r w:rsidRPr="007C4DDD">
        <w:rPr>
          <w:rFonts w:ascii="Arial" w:hAnsi="Arial" w:cs="Arial"/>
          <w:sz w:val="24"/>
          <w:szCs w:val="24"/>
        </w:rPr>
        <w:t xml:space="preserve"> </w:t>
      </w:r>
      <w:hyperlink r:id="rId11" w:history="1">
        <w:r w:rsidRPr="007C4DDD">
          <w:rPr>
            <w:rStyle w:val="Hyperlink"/>
            <w:rFonts w:cs="Arial"/>
            <w:szCs w:val="24"/>
          </w:rPr>
          <w:t>https://www.abilityone.gov/commission/documents/FY18%20US%20AbilityOne%20Commission%20CPPBSD%20Budget%20Justification%20Final.pdf</w:t>
        </w:r>
      </w:hyperlink>
      <w:r>
        <w:rPr>
          <w:rFonts w:ascii="Arial" w:hAnsi="Arial" w:cs="Arial"/>
          <w:sz w:val="24"/>
          <w:szCs w:val="24"/>
        </w:rPr>
        <w:t>.</w:t>
      </w:r>
    </w:p>
  </w:endnote>
  <w:endnote w:id="28">
    <w:p w14:paraId="11208E28"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Office of Inspector General, U.S. AbilityOne Commission</w:t>
      </w:r>
      <w:r>
        <w:rPr>
          <w:rFonts w:ascii="Arial" w:hAnsi="Arial" w:cs="Arial"/>
          <w:sz w:val="24"/>
          <w:szCs w:val="24"/>
        </w:rPr>
        <w:t>,</w:t>
      </w:r>
      <w:r w:rsidRPr="007C4DDD">
        <w:rPr>
          <w:rFonts w:ascii="Arial" w:hAnsi="Arial" w:cs="Arial"/>
          <w:sz w:val="24"/>
          <w:szCs w:val="24"/>
        </w:rPr>
        <w:t xml:space="preserve"> </w:t>
      </w:r>
      <w:r w:rsidRPr="00642D36">
        <w:rPr>
          <w:rFonts w:ascii="Arial" w:hAnsi="Arial" w:cs="Arial"/>
          <w:i/>
          <w:sz w:val="24"/>
          <w:szCs w:val="24"/>
        </w:rPr>
        <w:t>Semiannual Rep</w:t>
      </w:r>
      <w:r>
        <w:rPr>
          <w:rFonts w:ascii="Arial" w:hAnsi="Arial" w:cs="Arial"/>
          <w:i/>
          <w:sz w:val="24"/>
          <w:szCs w:val="24"/>
        </w:rPr>
        <w:t xml:space="preserve">ort to Congress: April 1, 2018 </w:t>
      </w:r>
      <w:r w:rsidRPr="00642D36">
        <w:rPr>
          <w:rFonts w:ascii="Arial" w:hAnsi="Arial" w:cs="Arial"/>
          <w:i/>
          <w:sz w:val="24"/>
          <w:szCs w:val="24"/>
        </w:rPr>
        <w:t>- Sept</w:t>
      </w:r>
      <w:r>
        <w:rPr>
          <w:rFonts w:ascii="Arial" w:hAnsi="Arial" w:cs="Arial"/>
          <w:i/>
          <w:sz w:val="24"/>
          <w:szCs w:val="24"/>
        </w:rPr>
        <w:t>ember</w:t>
      </w:r>
      <w:r w:rsidRPr="00642D36">
        <w:rPr>
          <w:rFonts w:ascii="Arial" w:hAnsi="Arial" w:cs="Arial"/>
          <w:i/>
          <w:sz w:val="24"/>
          <w:szCs w:val="24"/>
        </w:rPr>
        <w:t xml:space="preserve"> 30, 2018</w:t>
      </w:r>
      <w:r>
        <w:rPr>
          <w:rFonts w:ascii="Arial" w:hAnsi="Arial" w:cs="Arial"/>
          <w:sz w:val="24"/>
          <w:szCs w:val="24"/>
        </w:rPr>
        <w:t>.</w:t>
      </w:r>
    </w:p>
  </w:endnote>
  <w:endnote w:id="29">
    <w:p w14:paraId="28FA501A"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p>
  </w:endnote>
  <w:endnote w:id="30">
    <w:p w14:paraId="25DFB86F"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C.F.R. § 51-3.5.</w:t>
      </w:r>
    </w:p>
  </w:endnote>
  <w:endnote w:id="31">
    <w:p w14:paraId="12B33CA4" w14:textId="77777777" w:rsidR="001778C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C.F.R. § 51-2.2(f)</w:t>
      </w:r>
      <w:r>
        <w:rPr>
          <w:rFonts w:ascii="Arial" w:hAnsi="Arial" w:cs="Arial"/>
          <w:sz w:val="24"/>
          <w:szCs w:val="24"/>
        </w:rPr>
        <w:t>.</w:t>
      </w:r>
      <w:r w:rsidRPr="007C4DDD">
        <w:rPr>
          <w:rFonts w:ascii="Arial" w:hAnsi="Arial" w:cs="Arial"/>
          <w:sz w:val="24"/>
          <w:szCs w:val="24"/>
        </w:rPr>
        <w:t xml:space="preserve"> U.S. AbilityOne Commission</w:t>
      </w:r>
      <w:r w:rsidRPr="00473164">
        <w:rPr>
          <w:rFonts w:ascii="Arial" w:hAnsi="Arial" w:cs="Arial"/>
          <w:i/>
          <w:sz w:val="24"/>
          <w:szCs w:val="24"/>
        </w:rPr>
        <w:t>, Fiscal Year 2016 Performance and Accountability Report</w:t>
      </w:r>
      <w:r w:rsidRPr="007C4DDD">
        <w:rPr>
          <w:rFonts w:ascii="Arial" w:hAnsi="Arial" w:cs="Arial"/>
          <w:sz w:val="24"/>
          <w:szCs w:val="24"/>
        </w:rPr>
        <w:t>, 18</w:t>
      </w:r>
      <w:r>
        <w:rPr>
          <w:rFonts w:ascii="Arial" w:hAnsi="Arial" w:cs="Arial"/>
          <w:sz w:val="24"/>
          <w:szCs w:val="24"/>
        </w:rPr>
        <w:t xml:space="preserve">, </w:t>
      </w:r>
      <w:hyperlink r:id="rId12" w:history="1">
        <w:r w:rsidRPr="00A57371">
          <w:rPr>
            <w:rStyle w:val="Hyperlink"/>
            <w:rFonts w:cs="Arial"/>
            <w:szCs w:val="24"/>
          </w:rPr>
          <w:t>https://www.abilityone.gov/commission/documents/FY%202016%20CPPBSD%20AbilityOne%20Commission%20PAR%20Final.pdf</w:t>
        </w:r>
      </w:hyperlink>
      <w:r>
        <w:rPr>
          <w:rFonts w:ascii="Arial" w:hAnsi="Arial" w:cs="Arial"/>
          <w:sz w:val="24"/>
          <w:szCs w:val="24"/>
        </w:rPr>
        <w:t>. U.S.</w:t>
      </w:r>
    </w:p>
    <w:p w14:paraId="012A098B" w14:textId="77777777" w:rsidR="001778CD" w:rsidRPr="007C4DDD" w:rsidRDefault="001778CD" w:rsidP="001778CD">
      <w:pPr>
        <w:pStyle w:val="EndnoteText"/>
        <w:rPr>
          <w:rFonts w:ascii="Arial" w:hAnsi="Arial" w:cs="Arial"/>
          <w:sz w:val="24"/>
          <w:szCs w:val="24"/>
        </w:rPr>
      </w:pPr>
      <w:r w:rsidRPr="007C4DDD">
        <w:rPr>
          <w:rFonts w:ascii="Arial" w:hAnsi="Arial" w:cs="Arial"/>
          <w:sz w:val="24"/>
          <w:szCs w:val="24"/>
        </w:rPr>
        <w:t>AbilityOne Commission</w:t>
      </w:r>
      <w:r>
        <w:rPr>
          <w:rFonts w:ascii="Arial" w:hAnsi="Arial" w:cs="Arial"/>
          <w:sz w:val="24"/>
          <w:szCs w:val="24"/>
        </w:rPr>
        <w:t>,</w:t>
      </w:r>
      <w:r w:rsidRPr="007C4DDD">
        <w:rPr>
          <w:rFonts w:ascii="Arial" w:hAnsi="Arial" w:cs="Arial"/>
          <w:sz w:val="24"/>
          <w:szCs w:val="24"/>
        </w:rPr>
        <w:t xml:space="preserve"> </w:t>
      </w:r>
      <w:r w:rsidRPr="0071082A">
        <w:rPr>
          <w:rFonts w:ascii="Arial" w:hAnsi="Arial" w:cs="Arial"/>
          <w:i/>
          <w:sz w:val="24"/>
          <w:szCs w:val="24"/>
        </w:rPr>
        <w:t>FY</w:t>
      </w:r>
      <w:r>
        <w:rPr>
          <w:rFonts w:ascii="Arial" w:hAnsi="Arial" w:cs="Arial"/>
          <w:sz w:val="24"/>
          <w:szCs w:val="24"/>
        </w:rPr>
        <w:t xml:space="preserve"> </w:t>
      </w:r>
      <w:r w:rsidRPr="007C4DDD">
        <w:rPr>
          <w:rFonts w:ascii="Arial" w:hAnsi="Arial" w:cs="Arial"/>
          <w:i/>
          <w:sz w:val="24"/>
          <w:szCs w:val="24"/>
        </w:rPr>
        <w:t>2017 Performance and Accountability Report</w:t>
      </w:r>
      <w:r>
        <w:rPr>
          <w:rFonts w:ascii="Arial" w:hAnsi="Arial" w:cs="Arial"/>
          <w:sz w:val="24"/>
          <w:szCs w:val="24"/>
        </w:rPr>
        <w:t>, 22</w:t>
      </w:r>
      <w:r w:rsidRPr="007C4DDD">
        <w:rPr>
          <w:rFonts w:ascii="Arial" w:hAnsi="Arial" w:cs="Arial"/>
          <w:sz w:val="24"/>
          <w:szCs w:val="24"/>
        </w:rPr>
        <w:t>.</w:t>
      </w:r>
    </w:p>
  </w:endnote>
  <w:endnote w:id="32">
    <w:p w14:paraId="44BCC22F"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Committee for Purchase,</w:t>
      </w:r>
      <w:r w:rsidRPr="007C4DDD">
        <w:rPr>
          <w:rFonts w:ascii="Arial" w:hAnsi="Arial" w:cs="Arial"/>
          <w:sz w:val="24"/>
          <w:szCs w:val="24"/>
        </w:rPr>
        <w:t xml:space="preserve"> “</w:t>
      </w:r>
      <w:r>
        <w:rPr>
          <w:rFonts w:ascii="Arial" w:hAnsi="Arial" w:cs="Arial"/>
          <w:sz w:val="24"/>
          <w:szCs w:val="24"/>
        </w:rPr>
        <w:t>FY 2018 Budget Justification,</w:t>
      </w:r>
      <w:r w:rsidRPr="007C4DDD">
        <w:rPr>
          <w:rFonts w:ascii="Arial" w:hAnsi="Arial" w:cs="Arial"/>
          <w:sz w:val="24"/>
          <w:szCs w:val="24"/>
        </w:rPr>
        <w:t>” Appendix III.</w:t>
      </w:r>
    </w:p>
  </w:endnote>
  <w:endnote w:id="33">
    <w:p w14:paraId="187250C1"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 xml:space="preserve">U.S. </w:t>
      </w:r>
      <w:r w:rsidRPr="007C4DDD">
        <w:rPr>
          <w:rFonts w:ascii="Arial" w:hAnsi="Arial" w:cs="Arial"/>
          <w:sz w:val="24"/>
          <w:szCs w:val="24"/>
        </w:rPr>
        <w:t>AbilityOne Commission</w:t>
      </w:r>
      <w:r>
        <w:rPr>
          <w:rFonts w:ascii="Arial" w:hAnsi="Arial" w:cs="Arial"/>
          <w:sz w:val="24"/>
          <w:szCs w:val="24"/>
        </w:rPr>
        <w:t>,</w:t>
      </w:r>
      <w:r w:rsidRPr="007C4DDD">
        <w:rPr>
          <w:rFonts w:ascii="Arial" w:hAnsi="Arial" w:cs="Arial"/>
          <w:sz w:val="24"/>
          <w:szCs w:val="24"/>
        </w:rPr>
        <w:t xml:space="preserve"> </w:t>
      </w:r>
      <w:r w:rsidRPr="0071082A">
        <w:rPr>
          <w:rFonts w:ascii="Arial" w:hAnsi="Arial" w:cs="Arial"/>
          <w:i/>
          <w:sz w:val="24"/>
          <w:szCs w:val="24"/>
        </w:rPr>
        <w:t xml:space="preserve">FY </w:t>
      </w:r>
      <w:r w:rsidRPr="007C4DDD">
        <w:rPr>
          <w:rFonts w:ascii="Arial" w:hAnsi="Arial" w:cs="Arial"/>
          <w:i/>
          <w:sz w:val="24"/>
          <w:szCs w:val="24"/>
        </w:rPr>
        <w:t>2017 Performance and Accountability Report</w:t>
      </w:r>
      <w:r>
        <w:rPr>
          <w:rFonts w:ascii="Arial" w:hAnsi="Arial" w:cs="Arial"/>
          <w:sz w:val="24"/>
          <w:szCs w:val="24"/>
        </w:rPr>
        <w:t>,</w:t>
      </w:r>
      <w:r w:rsidRPr="007C4DDD">
        <w:rPr>
          <w:rFonts w:ascii="Arial" w:hAnsi="Arial" w:cs="Arial"/>
          <w:sz w:val="24"/>
          <w:szCs w:val="24"/>
        </w:rPr>
        <w:t xml:space="preserve"> 22.  </w:t>
      </w:r>
    </w:p>
  </w:endnote>
  <w:endnote w:id="34">
    <w:p w14:paraId="7490CC95" w14:textId="77777777" w:rsidR="001778CD" w:rsidRPr="003849F7"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sidRPr="001945FE">
        <w:rPr>
          <w:rFonts w:ascii="Arial" w:hAnsi="Arial" w:cs="Arial"/>
          <w:sz w:val="24"/>
          <w:szCs w:val="24"/>
        </w:rPr>
        <w:t xml:space="preserve">Rehabilitation Act of 1973, </w:t>
      </w:r>
      <w:r w:rsidRPr="001945FE">
        <w:rPr>
          <w:rStyle w:val="ya-q-full-text1"/>
          <w:rFonts w:ascii="Arial" w:hAnsi="Arial" w:cs="Arial"/>
          <w:sz w:val="24"/>
          <w:szCs w:val="24"/>
        </w:rPr>
        <w:t>Pub</w:t>
      </w:r>
      <w:r>
        <w:rPr>
          <w:rStyle w:val="ya-q-full-text1"/>
          <w:rFonts w:ascii="Arial" w:hAnsi="Arial" w:cs="Arial"/>
          <w:sz w:val="24"/>
          <w:szCs w:val="24"/>
        </w:rPr>
        <w:t xml:space="preserve">. L. </w:t>
      </w:r>
      <w:r w:rsidRPr="00A005AF">
        <w:rPr>
          <w:rStyle w:val="ya-q-full-text1"/>
          <w:rFonts w:ascii="Arial" w:hAnsi="Arial" w:cs="Arial"/>
          <w:sz w:val="24"/>
          <w:szCs w:val="24"/>
        </w:rPr>
        <w:t xml:space="preserve">No. </w:t>
      </w:r>
      <w:r>
        <w:rPr>
          <w:rStyle w:val="ya-q-full-text1"/>
          <w:rFonts w:ascii="Arial" w:hAnsi="Arial" w:cs="Arial"/>
          <w:sz w:val="24"/>
          <w:szCs w:val="24"/>
        </w:rPr>
        <w:t>93-112, 87 Stat. 355 (</w:t>
      </w:r>
      <w:r w:rsidRPr="001945FE">
        <w:rPr>
          <w:rStyle w:val="ya-q-full-text1"/>
          <w:rFonts w:ascii="Arial" w:hAnsi="Arial" w:cs="Arial"/>
          <w:sz w:val="24"/>
          <w:szCs w:val="24"/>
        </w:rPr>
        <w:t>1973)</w:t>
      </w:r>
      <w:r>
        <w:rPr>
          <w:rStyle w:val="Hyperlink"/>
          <w:rFonts w:cs="Arial"/>
          <w:szCs w:val="24"/>
        </w:rPr>
        <w:t>.</w:t>
      </w:r>
    </w:p>
  </w:endnote>
  <w:endnote w:id="35">
    <w:p w14:paraId="7205737A" w14:textId="77777777" w:rsidR="001778CD" w:rsidRDefault="001778CD" w:rsidP="001778CD">
      <w:pPr>
        <w:pStyle w:val="EndnoteText"/>
      </w:pPr>
      <w:r>
        <w:rPr>
          <w:rStyle w:val="EndnoteReference"/>
        </w:rPr>
        <w:endnoteRef/>
      </w:r>
      <w:r>
        <w:t xml:space="preserve"> </w:t>
      </w:r>
      <w:r w:rsidRPr="00642D36">
        <w:rPr>
          <w:rFonts w:ascii="Arial" w:hAnsi="Arial" w:cs="Arial"/>
          <w:sz w:val="24"/>
          <w:szCs w:val="24"/>
        </w:rPr>
        <w:t>29 U.S.C. § 794.</w:t>
      </w:r>
    </w:p>
  </w:endnote>
  <w:endnote w:id="36">
    <w:p w14:paraId="562BF931"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sidRPr="007C4DDD">
        <w:rPr>
          <w:rFonts w:ascii="Arial" w:hAnsi="Arial" w:cs="Arial"/>
          <w:sz w:val="24"/>
          <w:szCs w:val="24"/>
          <w:lang w:val="en"/>
        </w:rPr>
        <w:t>Education for All Handicapped Children Act, Pub. L. No</w:t>
      </w:r>
      <w:r>
        <w:rPr>
          <w:rFonts w:ascii="Arial" w:hAnsi="Arial" w:cs="Arial"/>
          <w:sz w:val="24"/>
          <w:szCs w:val="24"/>
          <w:lang w:val="en"/>
        </w:rPr>
        <w:t>.</w:t>
      </w:r>
      <w:r w:rsidRPr="007C4DDD">
        <w:rPr>
          <w:rFonts w:ascii="Arial" w:hAnsi="Arial" w:cs="Arial"/>
          <w:sz w:val="24"/>
          <w:szCs w:val="24"/>
          <w:lang w:val="en"/>
        </w:rPr>
        <w:t xml:space="preserve"> 94-142, 89 Stat. 773 (1975)</w:t>
      </w:r>
      <w:r>
        <w:rPr>
          <w:rFonts w:ascii="Arial" w:hAnsi="Arial" w:cs="Arial"/>
          <w:sz w:val="24"/>
          <w:szCs w:val="24"/>
        </w:rPr>
        <w:t>.</w:t>
      </w:r>
    </w:p>
  </w:endnote>
  <w:endnote w:id="37">
    <w:p w14:paraId="7003BFF7" w14:textId="77777777" w:rsidR="001778CD" w:rsidRPr="001945FE" w:rsidRDefault="001778CD" w:rsidP="001778CD">
      <w:pPr>
        <w:pStyle w:val="EndnoteText"/>
      </w:pPr>
      <w:r>
        <w:rPr>
          <w:rStyle w:val="EndnoteReference"/>
        </w:rPr>
        <w:endnoteRef/>
      </w:r>
      <w:r>
        <w:t xml:space="preserve"> </w:t>
      </w:r>
      <w:r w:rsidRPr="001945FE">
        <w:rPr>
          <w:rFonts w:ascii="Arial" w:hAnsi="Arial" w:cs="Arial"/>
          <w:sz w:val="24"/>
          <w:szCs w:val="24"/>
          <w:lang w:val="en"/>
        </w:rPr>
        <w:t xml:space="preserve">Individuals with Disabilities Education </w:t>
      </w:r>
      <w:r>
        <w:rPr>
          <w:rFonts w:ascii="Arial" w:hAnsi="Arial" w:cs="Arial"/>
          <w:sz w:val="24"/>
          <w:szCs w:val="24"/>
          <w:lang w:val="en"/>
        </w:rPr>
        <w:t>Act, Pub. L. No. 108-446,</w:t>
      </w:r>
      <w:r w:rsidRPr="00A005AF">
        <w:t xml:space="preserve"> </w:t>
      </w:r>
      <w:r w:rsidRPr="00A005AF">
        <w:rPr>
          <w:rFonts w:ascii="Arial" w:hAnsi="Arial" w:cs="Arial"/>
          <w:sz w:val="24"/>
          <w:szCs w:val="24"/>
          <w:lang w:val="en"/>
        </w:rPr>
        <w:t>118 Stat</w:t>
      </w:r>
      <w:r>
        <w:rPr>
          <w:rFonts w:ascii="Arial" w:hAnsi="Arial" w:cs="Arial"/>
          <w:sz w:val="24"/>
          <w:szCs w:val="24"/>
          <w:lang w:val="en"/>
        </w:rPr>
        <w:t>.</w:t>
      </w:r>
      <w:r w:rsidRPr="00A005AF">
        <w:rPr>
          <w:rFonts w:ascii="Arial" w:hAnsi="Arial" w:cs="Arial"/>
          <w:sz w:val="24"/>
          <w:szCs w:val="24"/>
          <w:lang w:val="en"/>
        </w:rPr>
        <w:t xml:space="preserve"> 2647</w:t>
      </w:r>
      <w:r>
        <w:rPr>
          <w:rFonts w:ascii="Arial" w:hAnsi="Arial" w:cs="Arial"/>
          <w:sz w:val="24"/>
          <w:szCs w:val="24"/>
          <w:lang w:val="en"/>
        </w:rPr>
        <w:t xml:space="preserve"> </w:t>
      </w:r>
      <w:r w:rsidRPr="001945FE">
        <w:rPr>
          <w:rFonts w:ascii="Arial" w:hAnsi="Arial" w:cs="Arial"/>
          <w:sz w:val="24"/>
          <w:szCs w:val="24"/>
          <w:lang w:val="en"/>
        </w:rPr>
        <w:t>(2004)</w:t>
      </w:r>
      <w:r>
        <w:rPr>
          <w:rFonts w:ascii="Arial" w:hAnsi="Arial" w:cs="Arial"/>
          <w:sz w:val="24"/>
          <w:szCs w:val="24"/>
          <w:lang w:val="en"/>
        </w:rPr>
        <w:t xml:space="preserve">. </w:t>
      </w:r>
    </w:p>
  </w:endnote>
  <w:endnote w:id="38">
    <w:p w14:paraId="5AE84789"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Americans with Disabilities Act of 1990, Pub. L. No. 101-336, § 2, 104 Stat. 327 (1990). The original </w:t>
      </w:r>
      <w:r>
        <w:rPr>
          <w:rFonts w:ascii="Arial" w:hAnsi="Arial" w:cs="Arial"/>
          <w:sz w:val="24"/>
          <w:szCs w:val="24"/>
        </w:rPr>
        <w:t>A</w:t>
      </w:r>
      <w:r w:rsidRPr="007C4DDD">
        <w:rPr>
          <w:rFonts w:ascii="Arial" w:hAnsi="Arial" w:cs="Arial"/>
          <w:sz w:val="24"/>
          <w:szCs w:val="24"/>
        </w:rPr>
        <w:t xml:space="preserve">ct is available at </w:t>
      </w:r>
      <w:hyperlink r:id="rId13" w:history="1">
        <w:r w:rsidRPr="007C4DDD">
          <w:rPr>
            <w:rStyle w:val="Hyperlink"/>
            <w:rFonts w:cs="Arial"/>
            <w:szCs w:val="24"/>
          </w:rPr>
          <w:t>https://www.eeoc.gov/eeoc/history/35th/thelaw/ada.html</w:t>
        </w:r>
      </w:hyperlink>
      <w:r>
        <w:rPr>
          <w:rFonts w:ascii="Arial" w:hAnsi="Arial" w:cs="Arial"/>
          <w:sz w:val="24"/>
          <w:szCs w:val="24"/>
        </w:rPr>
        <w:t xml:space="preserve">. </w:t>
      </w:r>
      <w:r w:rsidRPr="007C4DDD">
        <w:rPr>
          <w:rFonts w:ascii="Arial" w:hAnsi="Arial" w:cs="Arial"/>
          <w:sz w:val="24"/>
          <w:szCs w:val="24"/>
        </w:rPr>
        <w:t xml:space="preserve"> </w:t>
      </w:r>
    </w:p>
  </w:endnote>
  <w:endnote w:id="39">
    <w:p w14:paraId="1C0D46B0"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p>
  </w:endnote>
  <w:endnote w:id="40">
    <w:p w14:paraId="445D8157"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Olmstead v. L.C., 527 U.S. 581 (1999).</w:t>
      </w:r>
    </w:p>
  </w:endnote>
  <w:endnote w:id="41">
    <w:p w14:paraId="5237B14F"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sidRPr="00DF138B">
        <w:rPr>
          <w:rFonts w:ascii="Arial" w:hAnsi="Arial" w:cs="Arial"/>
          <w:sz w:val="24"/>
          <w:szCs w:val="24"/>
        </w:rPr>
        <w:t>U.S. Senator Patty Murray, Ranking Member, Health Education</w:t>
      </w:r>
      <w:r>
        <w:rPr>
          <w:rFonts w:ascii="Arial" w:hAnsi="Arial" w:cs="Arial"/>
          <w:sz w:val="24"/>
          <w:szCs w:val="24"/>
        </w:rPr>
        <w:t xml:space="preserve"> Labor and Pensions Committee, </w:t>
      </w:r>
      <w:r w:rsidRPr="008F570E">
        <w:rPr>
          <w:rFonts w:ascii="Arial" w:hAnsi="Arial" w:cs="Arial"/>
          <w:i/>
          <w:sz w:val="24"/>
          <w:szCs w:val="24"/>
        </w:rPr>
        <w:t>Disability Employment: Outdated Laws Leave People with Disabilities Behind in Today’s Economy: Minority Staff Report</w:t>
      </w:r>
      <w:r>
        <w:rPr>
          <w:rFonts w:ascii="Arial" w:hAnsi="Arial" w:cs="Arial"/>
          <w:sz w:val="24"/>
          <w:szCs w:val="24"/>
        </w:rPr>
        <w:t xml:space="preserve"> (October 2018), </w:t>
      </w:r>
      <w:hyperlink r:id="rId14" w:history="1">
        <w:r w:rsidRPr="00003D91">
          <w:rPr>
            <w:rStyle w:val="Hyperlink"/>
            <w:rFonts w:cs="Arial"/>
            <w:szCs w:val="24"/>
          </w:rPr>
          <w:t>https://www.murray.senate.gov/public/_cache/files/84084732-e011-470a-b246-1cdab87755c3/staff-report-on-employment-for-people-with-disabilities-10-29-2018-pm-.pdf</w:t>
        </w:r>
      </w:hyperlink>
      <w:r>
        <w:rPr>
          <w:rFonts w:ascii="Arial" w:hAnsi="Arial" w:cs="Arial"/>
          <w:sz w:val="24"/>
          <w:szCs w:val="24"/>
        </w:rPr>
        <w:t xml:space="preserve">. </w:t>
      </w:r>
    </w:p>
  </w:endnote>
  <w:endnote w:id="42">
    <w:p w14:paraId="3D9A0136"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ADA Amendments Act of 2008, Pub. L. No. 110-325, 122 Stat. 3553</w:t>
      </w:r>
      <w:r>
        <w:rPr>
          <w:rFonts w:ascii="Arial" w:hAnsi="Arial" w:cs="Arial"/>
          <w:sz w:val="24"/>
          <w:szCs w:val="24"/>
        </w:rPr>
        <w:t xml:space="preserve"> </w:t>
      </w:r>
      <w:r w:rsidRPr="00A005AF">
        <w:rPr>
          <w:rFonts w:ascii="Arial" w:hAnsi="Arial" w:cs="Arial"/>
          <w:sz w:val="24"/>
          <w:szCs w:val="24"/>
        </w:rPr>
        <w:t>(2008)</w:t>
      </w:r>
      <w:r w:rsidRPr="007C4DDD">
        <w:rPr>
          <w:rFonts w:ascii="Arial" w:hAnsi="Arial" w:cs="Arial"/>
          <w:sz w:val="24"/>
          <w:szCs w:val="24"/>
        </w:rPr>
        <w:t>; 154 Cong. Rec. H8,286–8,398 (2008), Cong. Rec., S8,342–8,356 (2008).</w:t>
      </w:r>
    </w:p>
  </w:endnote>
  <w:endnote w:id="43">
    <w:p w14:paraId="582D4277"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Workforce Innovation and Opportunity Act, Pub. L. No. 113-128, 128 Stat. 1425 (2014).</w:t>
      </w:r>
    </w:p>
  </w:endnote>
  <w:endnote w:id="44">
    <w:p w14:paraId="5B5BC4DE" w14:textId="77777777" w:rsidR="001778CD" w:rsidRPr="00642D36" w:rsidRDefault="001778CD" w:rsidP="001778CD">
      <w:pPr>
        <w:pStyle w:val="EndnoteText"/>
        <w:rPr>
          <w:rFonts w:ascii="Arial" w:hAnsi="Arial" w:cs="Arial"/>
          <w:sz w:val="24"/>
          <w:szCs w:val="24"/>
        </w:rPr>
      </w:pPr>
      <w:r w:rsidRPr="001945FE">
        <w:rPr>
          <w:rStyle w:val="EndnoteReference"/>
          <w:rFonts w:cs="Arial"/>
          <w:szCs w:val="24"/>
        </w:rPr>
        <w:endnoteRef/>
      </w:r>
      <w:r>
        <w:rPr>
          <w:rFonts w:ascii="Arial" w:hAnsi="Arial" w:cs="Arial"/>
          <w:sz w:val="24"/>
          <w:szCs w:val="24"/>
        </w:rPr>
        <w:t xml:space="preserve"> Senator Patty Murray, </w:t>
      </w:r>
      <w:r w:rsidRPr="008F570E">
        <w:rPr>
          <w:rFonts w:ascii="Arial" w:hAnsi="Arial" w:cs="Arial"/>
          <w:i/>
          <w:sz w:val="24"/>
          <w:szCs w:val="24"/>
        </w:rPr>
        <w:t>Disability Employment: Minority Staff Report</w:t>
      </w:r>
      <w:r>
        <w:rPr>
          <w:rFonts w:ascii="Arial" w:hAnsi="Arial" w:cs="Arial"/>
          <w:sz w:val="24"/>
          <w:szCs w:val="24"/>
        </w:rPr>
        <w:t>,</w:t>
      </w:r>
      <w:r w:rsidRPr="00642D36">
        <w:rPr>
          <w:rFonts w:ascii="Arial" w:hAnsi="Arial" w:cs="Arial"/>
          <w:sz w:val="24"/>
          <w:szCs w:val="24"/>
        </w:rPr>
        <w:t xml:space="preserve"> 2. </w:t>
      </w:r>
    </w:p>
  </w:endnote>
  <w:endnote w:id="45">
    <w:p w14:paraId="6A9C593B" w14:textId="77777777" w:rsidR="001778CD" w:rsidRPr="007C4DDD" w:rsidRDefault="001778CD" w:rsidP="001778CD">
      <w:pPr>
        <w:pStyle w:val="EndnoteText"/>
        <w:rPr>
          <w:rFonts w:ascii="Arial" w:hAnsi="Arial" w:cs="Arial"/>
          <w:sz w:val="24"/>
          <w:szCs w:val="24"/>
        </w:rPr>
      </w:pPr>
      <w:r w:rsidRPr="00642D36">
        <w:rPr>
          <w:rStyle w:val="EndnoteReference"/>
          <w:rFonts w:cs="Arial"/>
          <w:szCs w:val="24"/>
        </w:rPr>
        <w:endnoteRef/>
      </w:r>
      <w:r w:rsidRPr="00642D36">
        <w:rPr>
          <w:rFonts w:ascii="Arial" w:hAnsi="Arial" w:cs="Arial"/>
          <w:sz w:val="24"/>
          <w:szCs w:val="24"/>
        </w:rPr>
        <w:t xml:space="preserve"> Workforce Innovation and Opportunity Act, Pub. L. No. 113-128, § 458, 128</w:t>
      </w:r>
      <w:r>
        <w:rPr>
          <w:rFonts w:ascii="Arial" w:hAnsi="Arial" w:cs="Arial"/>
          <w:sz w:val="24"/>
          <w:szCs w:val="24"/>
        </w:rPr>
        <w:t xml:space="preserve"> Stat. 1425, 1676</w:t>
      </w:r>
      <w:r w:rsidRPr="007C4DDD">
        <w:rPr>
          <w:rFonts w:ascii="Arial" w:hAnsi="Arial" w:cs="Arial"/>
          <w:sz w:val="24"/>
          <w:szCs w:val="24"/>
        </w:rPr>
        <w:t xml:space="preserve"> (2014)</w:t>
      </w:r>
      <w:r>
        <w:rPr>
          <w:rFonts w:ascii="Arial" w:hAnsi="Arial" w:cs="Arial"/>
          <w:sz w:val="24"/>
          <w:szCs w:val="24"/>
        </w:rPr>
        <w:t>,</w:t>
      </w:r>
      <w:r w:rsidRPr="007C4DDD">
        <w:rPr>
          <w:rFonts w:ascii="Arial" w:hAnsi="Arial" w:cs="Arial"/>
          <w:sz w:val="24"/>
          <w:szCs w:val="24"/>
        </w:rPr>
        <w:t xml:space="preserve"> </w:t>
      </w:r>
      <w:r>
        <w:rPr>
          <w:rFonts w:ascii="Arial" w:hAnsi="Arial" w:cs="Arial"/>
          <w:sz w:val="24"/>
          <w:szCs w:val="24"/>
        </w:rPr>
        <w:t xml:space="preserve">29 U.S.C. § 794g. </w:t>
      </w:r>
      <w:r w:rsidRPr="007C4DDD">
        <w:rPr>
          <w:rFonts w:ascii="Arial" w:hAnsi="Arial" w:cs="Arial"/>
          <w:sz w:val="24"/>
          <w:szCs w:val="24"/>
        </w:rPr>
        <w:t xml:space="preserve">For more information on the payment of subminimum wages to </w:t>
      </w:r>
      <w:r>
        <w:rPr>
          <w:rFonts w:ascii="Arial" w:hAnsi="Arial" w:cs="Arial"/>
          <w:sz w:val="24"/>
          <w:szCs w:val="24"/>
        </w:rPr>
        <w:t>people</w:t>
      </w:r>
      <w:r w:rsidRPr="007C4DDD">
        <w:rPr>
          <w:rFonts w:ascii="Arial" w:hAnsi="Arial" w:cs="Arial"/>
          <w:sz w:val="24"/>
          <w:szCs w:val="24"/>
        </w:rPr>
        <w:t xml:space="preserve"> with disabilities under section 14(c) of the Fair Labor Standards Act, 29 U.S.C. § 214</w:t>
      </w:r>
      <w:r>
        <w:rPr>
          <w:rFonts w:ascii="Arial" w:hAnsi="Arial" w:cs="Arial"/>
          <w:sz w:val="24"/>
          <w:szCs w:val="24"/>
        </w:rPr>
        <w:t>,</w:t>
      </w:r>
      <w:r w:rsidRPr="007C4DDD">
        <w:rPr>
          <w:rFonts w:ascii="Arial" w:hAnsi="Arial" w:cs="Arial"/>
          <w:sz w:val="24"/>
          <w:szCs w:val="24"/>
        </w:rPr>
        <w:t xml:space="preserve"> see National Council on Disability</w:t>
      </w:r>
      <w:r>
        <w:rPr>
          <w:rFonts w:ascii="Arial" w:hAnsi="Arial" w:cs="Arial"/>
          <w:sz w:val="24"/>
          <w:szCs w:val="24"/>
        </w:rPr>
        <w:t>,</w:t>
      </w:r>
      <w:r w:rsidRPr="007C4DDD">
        <w:rPr>
          <w:rFonts w:ascii="Arial" w:hAnsi="Arial" w:cs="Arial"/>
          <w:sz w:val="24"/>
          <w:szCs w:val="24"/>
        </w:rPr>
        <w:t xml:space="preserve"> </w:t>
      </w:r>
      <w:r w:rsidRPr="007C4DDD">
        <w:rPr>
          <w:rFonts w:ascii="Arial" w:hAnsi="Arial" w:cs="Arial"/>
          <w:i/>
          <w:sz w:val="24"/>
          <w:szCs w:val="24"/>
        </w:rPr>
        <w:t>From the New Deal to the Real Deal: Joining Industries of the Future</w:t>
      </w:r>
      <w:r>
        <w:rPr>
          <w:rFonts w:ascii="Arial" w:hAnsi="Arial" w:cs="Arial"/>
          <w:i/>
          <w:sz w:val="24"/>
          <w:szCs w:val="24"/>
        </w:rPr>
        <w:t xml:space="preserve"> </w:t>
      </w:r>
      <w:r w:rsidRPr="00DF138B">
        <w:rPr>
          <w:rFonts w:ascii="Arial" w:hAnsi="Arial" w:cs="Arial"/>
          <w:sz w:val="24"/>
          <w:szCs w:val="24"/>
        </w:rPr>
        <w:t>(Washington, D.C:</w:t>
      </w:r>
      <w:r>
        <w:rPr>
          <w:rFonts w:ascii="Arial" w:hAnsi="Arial" w:cs="Arial"/>
          <w:sz w:val="24"/>
          <w:szCs w:val="24"/>
        </w:rPr>
        <w:t xml:space="preserve"> National Council on Disability, 2018),</w:t>
      </w:r>
      <w:r w:rsidRPr="007C4DDD">
        <w:rPr>
          <w:rFonts w:ascii="Arial" w:hAnsi="Arial" w:cs="Arial"/>
          <w:sz w:val="24"/>
          <w:szCs w:val="24"/>
        </w:rPr>
        <w:t xml:space="preserve"> </w:t>
      </w:r>
      <w:hyperlink r:id="rId15" w:history="1">
        <w:r w:rsidRPr="007C4DDD">
          <w:rPr>
            <w:rStyle w:val="Hyperlink"/>
            <w:rFonts w:cs="Arial"/>
            <w:szCs w:val="24"/>
          </w:rPr>
          <w:t>https://ncd.gov/sites/default/files/New%20Deal%20to%20Real%20Deal%20FINAL_508.PDF</w:t>
        </w:r>
      </w:hyperlink>
      <w:r w:rsidRPr="007C4DDD">
        <w:rPr>
          <w:rFonts w:ascii="Arial" w:hAnsi="Arial" w:cs="Arial"/>
          <w:sz w:val="24"/>
          <w:szCs w:val="24"/>
        </w:rPr>
        <w:t xml:space="preserve"> </w:t>
      </w:r>
    </w:p>
  </w:endnote>
  <w:endnote w:id="46">
    <w:p w14:paraId="0B180B72"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 xml:space="preserve">U.S. </w:t>
      </w:r>
      <w:r w:rsidRPr="003E4545">
        <w:rPr>
          <w:rFonts w:ascii="Arial" w:hAnsi="Arial" w:cs="Arial"/>
          <w:sz w:val="24"/>
          <w:szCs w:val="24"/>
        </w:rPr>
        <w:t>AbilityOne Commission</w:t>
      </w:r>
      <w:r>
        <w:rPr>
          <w:rFonts w:ascii="Arial" w:hAnsi="Arial" w:cs="Arial"/>
          <w:sz w:val="24"/>
          <w:szCs w:val="24"/>
        </w:rPr>
        <w:t>,</w:t>
      </w:r>
      <w:r w:rsidRPr="0071082A">
        <w:rPr>
          <w:rFonts w:ascii="Arial" w:hAnsi="Arial" w:cs="Arial"/>
          <w:i/>
          <w:sz w:val="24"/>
          <w:szCs w:val="24"/>
        </w:rPr>
        <w:t xml:space="preserve"> FY </w:t>
      </w:r>
      <w:r w:rsidRPr="007C4DDD">
        <w:rPr>
          <w:rFonts w:ascii="Arial" w:hAnsi="Arial" w:cs="Arial"/>
          <w:i/>
          <w:sz w:val="24"/>
          <w:szCs w:val="24"/>
        </w:rPr>
        <w:t>2017 Performance and Accountability Report</w:t>
      </w:r>
      <w:r>
        <w:rPr>
          <w:rFonts w:ascii="Arial" w:hAnsi="Arial" w:cs="Arial"/>
          <w:i/>
          <w:sz w:val="24"/>
          <w:szCs w:val="24"/>
        </w:rPr>
        <w:t>,</w:t>
      </w:r>
      <w:r w:rsidRPr="003E4545">
        <w:rPr>
          <w:rFonts w:ascii="Arial" w:hAnsi="Arial" w:cs="Arial"/>
          <w:sz w:val="24"/>
          <w:szCs w:val="24"/>
        </w:rPr>
        <w:t xml:space="preserve"> </w:t>
      </w:r>
      <w:r>
        <w:rPr>
          <w:rFonts w:ascii="Arial" w:hAnsi="Arial" w:cs="Arial"/>
          <w:sz w:val="24"/>
          <w:szCs w:val="24"/>
        </w:rPr>
        <w:t>3</w:t>
      </w:r>
      <w:r w:rsidRPr="003E4545">
        <w:rPr>
          <w:rFonts w:ascii="Arial" w:hAnsi="Arial" w:cs="Arial"/>
          <w:sz w:val="24"/>
          <w:szCs w:val="24"/>
        </w:rPr>
        <w:t>.</w:t>
      </w:r>
    </w:p>
  </w:endnote>
  <w:endnote w:id="47">
    <w:p w14:paraId="347BD42E"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Ibid., </w:t>
      </w:r>
      <w:r w:rsidRPr="007C4DDD">
        <w:rPr>
          <w:rFonts w:ascii="Arial" w:hAnsi="Arial" w:cs="Arial"/>
          <w:sz w:val="24"/>
          <w:szCs w:val="24"/>
        </w:rPr>
        <w:t>13</w:t>
      </w:r>
      <w:r>
        <w:rPr>
          <w:rFonts w:ascii="Arial" w:hAnsi="Arial" w:cs="Arial"/>
          <w:sz w:val="24"/>
          <w:szCs w:val="24"/>
        </w:rPr>
        <w:t>.</w:t>
      </w:r>
    </w:p>
  </w:endnote>
  <w:endnote w:id="48">
    <w:p w14:paraId="0D87B24B"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U.S. AbilityOne Commission, </w:t>
      </w:r>
      <w:r w:rsidRPr="007C4DDD">
        <w:rPr>
          <w:rFonts w:ascii="Arial" w:hAnsi="Arial" w:cs="Arial"/>
          <w:sz w:val="24"/>
          <w:szCs w:val="24"/>
        </w:rPr>
        <w:t>“Pr</w:t>
      </w:r>
      <w:r>
        <w:rPr>
          <w:rFonts w:ascii="Arial" w:hAnsi="Arial" w:cs="Arial"/>
          <w:sz w:val="24"/>
          <w:szCs w:val="24"/>
        </w:rPr>
        <w:t>ocurement List Products,</w:t>
      </w:r>
      <w:r w:rsidRPr="007C4DDD">
        <w:rPr>
          <w:rFonts w:ascii="Arial" w:hAnsi="Arial" w:cs="Arial"/>
          <w:sz w:val="24"/>
          <w:szCs w:val="24"/>
        </w:rPr>
        <w:t>”</w:t>
      </w:r>
      <w:r>
        <w:rPr>
          <w:rFonts w:ascii="Arial" w:hAnsi="Arial" w:cs="Arial"/>
          <w:sz w:val="24"/>
          <w:szCs w:val="24"/>
        </w:rPr>
        <w:t xml:space="preserve"> accessed November 29, 2018,</w:t>
      </w:r>
      <w:r w:rsidRPr="007C4DDD">
        <w:rPr>
          <w:rFonts w:ascii="Arial" w:hAnsi="Arial" w:cs="Arial"/>
          <w:sz w:val="24"/>
          <w:szCs w:val="24"/>
        </w:rPr>
        <w:t xml:space="preserve"> </w:t>
      </w:r>
      <w:hyperlink r:id="rId16" w:history="1">
        <w:r w:rsidRPr="007C4DDD">
          <w:rPr>
            <w:rStyle w:val="Hyperlink"/>
            <w:rFonts w:cs="Arial"/>
            <w:szCs w:val="24"/>
          </w:rPr>
          <w:t>https://www.abilityone.gov/procurement_list/product_list.html</w:t>
        </w:r>
      </w:hyperlink>
      <w:r>
        <w:rPr>
          <w:rFonts w:ascii="Arial" w:hAnsi="Arial" w:cs="Arial"/>
          <w:sz w:val="24"/>
          <w:szCs w:val="24"/>
        </w:rPr>
        <w:t xml:space="preserve">. U.S. AbilityOne Commission, </w:t>
      </w:r>
      <w:r w:rsidRPr="007C4DDD">
        <w:rPr>
          <w:rFonts w:ascii="Arial" w:hAnsi="Arial" w:cs="Arial"/>
          <w:sz w:val="24"/>
          <w:szCs w:val="24"/>
        </w:rPr>
        <w:t>“AbilityOne Catalog: Introduction</w:t>
      </w:r>
      <w:r>
        <w:rPr>
          <w:rFonts w:ascii="Arial" w:hAnsi="Arial" w:cs="Arial"/>
          <w:sz w:val="24"/>
          <w:szCs w:val="24"/>
        </w:rPr>
        <w:t>,</w:t>
      </w:r>
      <w:r w:rsidRPr="007C4DDD">
        <w:rPr>
          <w:rFonts w:ascii="Arial" w:hAnsi="Arial" w:cs="Arial"/>
          <w:sz w:val="24"/>
          <w:szCs w:val="24"/>
        </w:rPr>
        <w:t xml:space="preserve">” </w:t>
      </w:r>
      <w:r>
        <w:rPr>
          <w:rFonts w:ascii="Arial" w:hAnsi="Arial" w:cs="Arial"/>
          <w:sz w:val="24"/>
          <w:szCs w:val="24"/>
        </w:rPr>
        <w:t xml:space="preserve">accessed November 29, 2018, </w:t>
      </w:r>
      <w:hyperlink r:id="rId17" w:history="1">
        <w:r w:rsidRPr="007C4DDD">
          <w:rPr>
            <w:rStyle w:val="Hyperlink"/>
            <w:rFonts w:cs="Arial"/>
            <w:szCs w:val="24"/>
          </w:rPr>
          <w:t>https://www.abilityone.com/OA_HTML/xxnib_ibeCCtpSctDspRte.jsp?section=11702&amp;sitex=10040:22372:US</w:t>
        </w:r>
      </w:hyperlink>
      <w:r w:rsidRPr="007C4DDD">
        <w:rPr>
          <w:rFonts w:ascii="Arial" w:hAnsi="Arial" w:cs="Arial"/>
          <w:sz w:val="24"/>
          <w:szCs w:val="24"/>
        </w:rPr>
        <w:t xml:space="preserve">. </w:t>
      </w:r>
    </w:p>
  </w:endnote>
  <w:endnote w:id="49">
    <w:p w14:paraId="29CFA8F6"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p>
  </w:endnote>
  <w:endnote w:id="50">
    <w:p w14:paraId="1E91A44F"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U.S. AbilityOne Commission, </w:t>
      </w:r>
      <w:r w:rsidRPr="007C4DDD">
        <w:rPr>
          <w:rFonts w:ascii="Arial" w:hAnsi="Arial" w:cs="Arial"/>
          <w:sz w:val="24"/>
          <w:szCs w:val="24"/>
        </w:rPr>
        <w:t>“Aircraft, Vehicular and El</w:t>
      </w:r>
      <w:r>
        <w:rPr>
          <w:rFonts w:ascii="Arial" w:hAnsi="Arial" w:cs="Arial"/>
          <w:sz w:val="24"/>
          <w:szCs w:val="24"/>
        </w:rPr>
        <w:t>ectrical Equipment and Supplies,</w:t>
      </w:r>
      <w:r w:rsidRPr="007C4DDD">
        <w:rPr>
          <w:rFonts w:ascii="Arial" w:hAnsi="Arial" w:cs="Arial"/>
          <w:sz w:val="24"/>
          <w:szCs w:val="24"/>
        </w:rPr>
        <w:t>”</w:t>
      </w:r>
      <w:r>
        <w:rPr>
          <w:rFonts w:ascii="Arial" w:hAnsi="Arial" w:cs="Arial"/>
          <w:sz w:val="24"/>
          <w:szCs w:val="24"/>
        </w:rPr>
        <w:t xml:space="preserve"> accessed December 17, 2018,</w:t>
      </w:r>
      <w:r w:rsidRPr="00302FF3">
        <w:rPr>
          <w:rStyle w:val="Hyperlink"/>
          <w:rFonts w:cs="Arial"/>
          <w:szCs w:val="24"/>
        </w:rPr>
        <w:t xml:space="preserve"> </w:t>
      </w:r>
      <w:hyperlink r:id="rId18" w:history="1">
        <w:r w:rsidRPr="007C4DDD">
          <w:rPr>
            <w:rStyle w:val="Hyperlink"/>
            <w:rFonts w:cs="Arial"/>
            <w:szCs w:val="24"/>
          </w:rPr>
          <w:t>https://www.abilityone.gov/procurement_list/product_aircraft.html</w:t>
        </w:r>
      </w:hyperlink>
      <w:r w:rsidRPr="007C4DDD">
        <w:rPr>
          <w:rFonts w:ascii="Arial" w:hAnsi="Arial" w:cs="Arial"/>
          <w:sz w:val="24"/>
          <w:szCs w:val="24"/>
        </w:rPr>
        <w:t>.</w:t>
      </w:r>
    </w:p>
  </w:endnote>
  <w:endnote w:id="51">
    <w:p w14:paraId="5459345A" w14:textId="3BC55FF5"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w:t>
      </w:r>
      <w:r w:rsidRPr="007C4DDD">
        <w:rPr>
          <w:rFonts w:ascii="Arial" w:hAnsi="Arial" w:cs="Arial"/>
          <w:sz w:val="24"/>
          <w:szCs w:val="24"/>
        </w:rPr>
        <w:t>U.S. Abili</w:t>
      </w:r>
      <w:r w:rsidR="00D4761B">
        <w:rPr>
          <w:rFonts w:ascii="Arial" w:hAnsi="Arial" w:cs="Arial"/>
          <w:sz w:val="24"/>
          <w:szCs w:val="24"/>
        </w:rPr>
        <w:t>t</w:t>
      </w:r>
      <w:r w:rsidRPr="007C4DDD">
        <w:rPr>
          <w:rFonts w:ascii="Arial" w:hAnsi="Arial" w:cs="Arial"/>
          <w:sz w:val="24"/>
          <w:szCs w:val="24"/>
        </w:rPr>
        <w:t>yOne Commission</w:t>
      </w:r>
      <w:r>
        <w:rPr>
          <w:rFonts w:ascii="Arial" w:hAnsi="Arial" w:cs="Arial"/>
          <w:sz w:val="24"/>
          <w:szCs w:val="24"/>
        </w:rPr>
        <w:t>, “Procurement List Services,</w:t>
      </w:r>
      <w:r w:rsidRPr="007C4DDD">
        <w:rPr>
          <w:rFonts w:ascii="Arial" w:hAnsi="Arial" w:cs="Arial"/>
          <w:sz w:val="24"/>
          <w:szCs w:val="24"/>
        </w:rPr>
        <w:t>”</w:t>
      </w:r>
      <w:r>
        <w:rPr>
          <w:rFonts w:ascii="Arial" w:hAnsi="Arial" w:cs="Arial"/>
          <w:sz w:val="24"/>
          <w:szCs w:val="24"/>
        </w:rPr>
        <w:t xml:space="preserve"> accessed December 17, 2018,</w:t>
      </w:r>
      <w:r w:rsidRPr="007C4DDD">
        <w:rPr>
          <w:rFonts w:ascii="Arial" w:hAnsi="Arial" w:cs="Arial"/>
          <w:sz w:val="24"/>
          <w:szCs w:val="24"/>
        </w:rPr>
        <w:t xml:space="preserve"> </w:t>
      </w:r>
      <w:hyperlink r:id="rId19" w:history="1">
        <w:r w:rsidRPr="007C4DDD">
          <w:rPr>
            <w:rStyle w:val="Hyperlink"/>
            <w:rFonts w:cs="Arial"/>
            <w:szCs w:val="24"/>
          </w:rPr>
          <w:t>https://www.abilityone.gov/procurement_list/services_list.html</w:t>
        </w:r>
      </w:hyperlink>
      <w:r>
        <w:rPr>
          <w:rFonts w:ascii="Arial" w:hAnsi="Arial" w:cs="Arial"/>
          <w:sz w:val="24"/>
          <w:szCs w:val="24"/>
        </w:rPr>
        <w:t>.</w:t>
      </w:r>
    </w:p>
  </w:endnote>
  <w:endnote w:id="52">
    <w:p w14:paraId="7D3A4FBC"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Based on </w:t>
      </w:r>
      <w:r>
        <w:rPr>
          <w:rFonts w:ascii="Arial" w:hAnsi="Arial" w:cs="Arial"/>
          <w:sz w:val="24"/>
          <w:szCs w:val="24"/>
        </w:rPr>
        <w:t>figures</w:t>
      </w:r>
      <w:r w:rsidRPr="007C4DDD">
        <w:rPr>
          <w:rFonts w:ascii="Arial" w:hAnsi="Arial" w:cs="Arial"/>
          <w:sz w:val="24"/>
          <w:szCs w:val="24"/>
        </w:rPr>
        <w:t xml:space="preserve"> </w:t>
      </w:r>
      <w:r>
        <w:rPr>
          <w:rFonts w:ascii="Arial" w:hAnsi="Arial" w:cs="Arial"/>
          <w:sz w:val="24"/>
          <w:szCs w:val="24"/>
        </w:rPr>
        <w:t xml:space="preserve">contained in U.S. </w:t>
      </w:r>
      <w:r w:rsidRPr="007C4DDD">
        <w:rPr>
          <w:rFonts w:ascii="Arial" w:hAnsi="Arial" w:cs="Arial"/>
          <w:sz w:val="24"/>
          <w:szCs w:val="24"/>
        </w:rPr>
        <w:t>AbilityOne</w:t>
      </w:r>
      <w:r>
        <w:rPr>
          <w:rFonts w:ascii="Arial" w:hAnsi="Arial" w:cs="Arial"/>
          <w:sz w:val="24"/>
          <w:szCs w:val="24"/>
        </w:rPr>
        <w:t xml:space="preserve"> Commission</w:t>
      </w:r>
      <w:r w:rsidRPr="007C4DDD">
        <w:rPr>
          <w:rFonts w:ascii="Arial" w:hAnsi="Arial" w:cs="Arial"/>
          <w:sz w:val="24"/>
          <w:szCs w:val="24"/>
        </w:rPr>
        <w:t xml:space="preserve"> </w:t>
      </w:r>
      <w:r>
        <w:rPr>
          <w:rFonts w:ascii="Arial" w:hAnsi="Arial" w:cs="Arial"/>
          <w:sz w:val="24"/>
          <w:szCs w:val="24"/>
        </w:rPr>
        <w:t>a</w:t>
      </w:r>
      <w:r w:rsidRPr="00302FF3">
        <w:rPr>
          <w:rFonts w:ascii="Arial" w:hAnsi="Arial" w:cs="Arial"/>
          <w:sz w:val="24"/>
          <w:szCs w:val="24"/>
        </w:rPr>
        <w:t xml:space="preserve">nnual </w:t>
      </w:r>
      <w:r w:rsidRPr="00302FF3">
        <w:rPr>
          <w:rFonts w:ascii="Arial" w:hAnsi="Arial" w:cs="Arial"/>
          <w:i/>
          <w:sz w:val="24"/>
          <w:szCs w:val="24"/>
        </w:rPr>
        <w:t>Performance and Accountability Reports</w:t>
      </w:r>
      <w:r w:rsidRPr="00302FF3">
        <w:rPr>
          <w:rFonts w:ascii="Arial" w:hAnsi="Arial" w:cs="Arial"/>
          <w:sz w:val="24"/>
          <w:szCs w:val="24"/>
        </w:rPr>
        <w:t xml:space="preserve"> </w:t>
      </w:r>
      <w:r>
        <w:rPr>
          <w:rFonts w:ascii="Arial" w:hAnsi="Arial" w:cs="Arial"/>
          <w:sz w:val="24"/>
          <w:szCs w:val="24"/>
        </w:rPr>
        <w:t xml:space="preserve">for fiscal years 2010 </w:t>
      </w:r>
      <w:r w:rsidRPr="007C4DDD">
        <w:rPr>
          <w:rFonts w:ascii="Arial" w:hAnsi="Arial" w:cs="Arial"/>
          <w:sz w:val="24"/>
          <w:szCs w:val="24"/>
        </w:rPr>
        <w:t xml:space="preserve">to 2017, with the exception of </w:t>
      </w:r>
      <w:r>
        <w:rPr>
          <w:rFonts w:ascii="Arial" w:hAnsi="Arial" w:cs="Arial"/>
          <w:sz w:val="24"/>
          <w:szCs w:val="24"/>
        </w:rPr>
        <w:t>the fiscal year 2014 report for which only the financial statement is available. T</w:t>
      </w:r>
      <w:r w:rsidRPr="007C4DDD">
        <w:rPr>
          <w:rFonts w:ascii="Arial" w:hAnsi="Arial" w:cs="Arial"/>
          <w:sz w:val="24"/>
          <w:szCs w:val="24"/>
        </w:rPr>
        <w:t>he average</w:t>
      </w:r>
      <w:r>
        <w:rPr>
          <w:rFonts w:ascii="Arial" w:hAnsi="Arial" w:cs="Arial"/>
          <w:sz w:val="24"/>
          <w:szCs w:val="24"/>
        </w:rPr>
        <w:t xml:space="preserve"> is based nine reported years (fiscal years 2008 – 2012 and 2014 – 2017)</w:t>
      </w:r>
      <w:r w:rsidRPr="007C4DDD">
        <w:rPr>
          <w:rFonts w:ascii="Arial" w:hAnsi="Arial" w:cs="Arial"/>
          <w:sz w:val="24"/>
          <w:szCs w:val="24"/>
        </w:rPr>
        <w:t>.</w:t>
      </w:r>
      <w:r>
        <w:rPr>
          <w:rFonts w:ascii="Arial" w:hAnsi="Arial" w:cs="Arial"/>
          <w:sz w:val="24"/>
          <w:szCs w:val="24"/>
        </w:rPr>
        <w:t xml:space="preserve"> U.S. AbilityOne Commission, “Performance and Accountable Report,”</w:t>
      </w:r>
      <w:r w:rsidRPr="007C4DDD">
        <w:rPr>
          <w:rFonts w:ascii="Arial" w:hAnsi="Arial" w:cs="Arial"/>
          <w:sz w:val="24"/>
          <w:szCs w:val="24"/>
        </w:rPr>
        <w:t xml:space="preserve"> </w:t>
      </w:r>
      <w:r>
        <w:rPr>
          <w:rFonts w:ascii="Arial" w:hAnsi="Arial" w:cs="Arial"/>
          <w:sz w:val="24"/>
          <w:szCs w:val="24"/>
        </w:rPr>
        <w:t xml:space="preserve">accessed November 29, 2018, </w:t>
      </w:r>
      <w:hyperlink r:id="rId20" w:history="1">
        <w:r w:rsidRPr="007C4DDD">
          <w:rPr>
            <w:rStyle w:val="Hyperlink"/>
            <w:rFonts w:cs="Arial"/>
            <w:szCs w:val="24"/>
          </w:rPr>
          <w:t>https://www.abilityone.gov/commission/performance.html</w:t>
        </w:r>
      </w:hyperlink>
      <w:r w:rsidRPr="007C4DDD">
        <w:rPr>
          <w:rFonts w:ascii="Arial" w:hAnsi="Arial" w:cs="Arial"/>
          <w:sz w:val="24"/>
          <w:szCs w:val="24"/>
        </w:rPr>
        <w:t>.</w:t>
      </w:r>
    </w:p>
  </w:endnote>
  <w:endnote w:id="53">
    <w:p w14:paraId="4111E6D8"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 xml:space="preserve">U.S. </w:t>
      </w:r>
      <w:r w:rsidRPr="007C4DDD">
        <w:rPr>
          <w:rFonts w:ascii="Arial" w:hAnsi="Arial" w:cs="Arial"/>
          <w:sz w:val="24"/>
          <w:szCs w:val="24"/>
        </w:rPr>
        <w:t xml:space="preserve">AbilityOne </w:t>
      </w:r>
      <w:r>
        <w:rPr>
          <w:rFonts w:ascii="Arial" w:hAnsi="Arial" w:cs="Arial"/>
          <w:sz w:val="24"/>
          <w:szCs w:val="24"/>
        </w:rPr>
        <w:t xml:space="preserve">Commission staff written </w:t>
      </w:r>
      <w:r w:rsidRPr="007C4DDD">
        <w:rPr>
          <w:rFonts w:ascii="Arial" w:hAnsi="Arial" w:cs="Arial"/>
          <w:sz w:val="24"/>
          <w:szCs w:val="24"/>
        </w:rPr>
        <w:t>response</w:t>
      </w:r>
      <w:r>
        <w:rPr>
          <w:rFonts w:ascii="Arial" w:hAnsi="Arial" w:cs="Arial"/>
          <w:sz w:val="24"/>
          <w:szCs w:val="24"/>
        </w:rPr>
        <w:t>s</w:t>
      </w:r>
      <w:r w:rsidRPr="007C4DDD">
        <w:rPr>
          <w:rFonts w:ascii="Arial" w:hAnsi="Arial" w:cs="Arial"/>
          <w:sz w:val="24"/>
          <w:szCs w:val="24"/>
        </w:rPr>
        <w:t xml:space="preserve"> to </w:t>
      </w:r>
      <w:r>
        <w:rPr>
          <w:rFonts w:ascii="Arial" w:hAnsi="Arial" w:cs="Arial"/>
          <w:sz w:val="24"/>
          <w:szCs w:val="24"/>
        </w:rPr>
        <w:t xml:space="preserve">NCD research questions. U.S. </w:t>
      </w:r>
      <w:r w:rsidRPr="007C4DDD">
        <w:rPr>
          <w:rFonts w:ascii="Arial" w:hAnsi="Arial" w:cs="Arial"/>
          <w:sz w:val="24"/>
          <w:szCs w:val="24"/>
        </w:rPr>
        <w:t>AbilityOne Commission</w:t>
      </w:r>
      <w:r>
        <w:rPr>
          <w:rFonts w:ascii="Arial" w:hAnsi="Arial" w:cs="Arial"/>
          <w:sz w:val="24"/>
          <w:szCs w:val="24"/>
        </w:rPr>
        <w:t xml:space="preserve">, </w:t>
      </w:r>
      <w:r w:rsidRPr="00302FF3">
        <w:rPr>
          <w:rFonts w:ascii="Arial" w:hAnsi="Arial" w:cs="Arial"/>
          <w:i/>
          <w:sz w:val="24"/>
          <w:szCs w:val="24"/>
        </w:rPr>
        <w:t xml:space="preserve">FY </w:t>
      </w:r>
      <w:r w:rsidRPr="007C4DDD">
        <w:rPr>
          <w:rFonts w:ascii="Arial" w:hAnsi="Arial" w:cs="Arial"/>
          <w:i/>
          <w:sz w:val="24"/>
          <w:szCs w:val="24"/>
        </w:rPr>
        <w:t>2017 Performance and Accountability Report</w:t>
      </w:r>
      <w:r w:rsidRPr="007C4DDD">
        <w:rPr>
          <w:rFonts w:ascii="Arial" w:hAnsi="Arial" w:cs="Arial"/>
          <w:sz w:val="24"/>
          <w:szCs w:val="24"/>
        </w:rPr>
        <w:t>, 3.</w:t>
      </w:r>
    </w:p>
  </w:endnote>
  <w:endnote w:id="54">
    <w:p w14:paraId="66D1B692"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 xml:space="preserve">U.S. </w:t>
      </w:r>
      <w:r w:rsidRPr="007C4DDD">
        <w:rPr>
          <w:rFonts w:ascii="Arial" w:hAnsi="Arial" w:cs="Arial"/>
          <w:sz w:val="24"/>
          <w:szCs w:val="24"/>
        </w:rPr>
        <w:t xml:space="preserve">AbilityOne </w:t>
      </w:r>
      <w:r>
        <w:rPr>
          <w:rFonts w:ascii="Arial" w:hAnsi="Arial" w:cs="Arial"/>
          <w:sz w:val="24"/>
          <w:szCs w:val="24"/>
        </w:rPr>
        <w:t xml:space="preserve">Commission staff written </w:t>
      </w:r>
      <w:r w:rsidRPr="007C4DDD">
        <w:rPr>
          <w:rFonts w:ascii="Arial" w:hAnsi="Arial" w:cs="Arial"/>
          <w:sz w:val="24"/>
          <w:szCs w:val="24"/>
        </w:rPr>
        <w:t>response</w:t>
      </w:r>
      <w:r>
        <w:rPr>
          <w:rFonts w:ascii="Arial" w:hAnsi="Arial" w:cs="Arial"/>
          <w:sz w:val="24"/>
          <w:szCs w:val="24"/>
        </w:rPr>
        <w:t>s</w:t>
      </w:r>
      <w:r w:rsidRPr="007C4DDD">
        <w:rPr>
          <w:rFonts w:ascii="Arial" w:hAnsi="Arial" w:cs="Arial"/>
          <w:sz w:val="24"/>
          <w:szCs w:val="24"/>
        </w:rPr>
        <w:t xml:space="preserve"> to </w:t>
      </w:r>
      <w:r>
        <w:rPr>
          <w:rFonts w:ascii="Arial" w:hAnsi="Arial" w:cs="Arial"/>
          <w:sz w:val="24"/>
          <w:szCs w:val="24"/>
        </w:rPr>
        <w:t>NCD research questions.</w:t>
      </w:r>
    </w:p>
  </w:endnote>
  <w:endnote w:id="55">
    <w:p w14:paraId="1655F188"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U.S.C. § 8501(6)(C).</w:t>
      </w:r>
    </w:p>
  </w:endnote>
  <w:endnote w:id="56">
    <w:p w14:paraId="7A1FB6DC"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U.S.C. § 8501(3)</w:t>
      </w:r>
      <w:r>
        <w:rPr>
          <w:rFonts w:ascii="Arial" w:hAnsi="Arial" w:cs="Arial"/>
          <w:sz w:val="24"/>
          <w:szCs w:val="24"/>
        </w:rPr>
        <w:t>.</w:t>
      </w:r>
      <w:r w:rsidRPr="007C4DDD">
        <w:rPr>
          <w:rFonts w:ascii="Arial" w:hAnsi="Arial" w:cs="Arial"/>
          <w:sz w:val="24"/>
          <w:szCs w:val="24"/>
        </w:rPr>
        <w:t xml:space="preserve"> 41 C.F.R.</w:t>
      </w:r>
      <w:r w:rsidRPr="00302FF3">
        <w:rPr>
          <w:rFonts w:ascii="Arial" w:hAnsi="Arial" w:cs="Arial"/>
          <w:sz w:val="24"/>
          <w:szCs w:val="24"/>
        </w:rPr>
        <w:t xml:space="preserve"> </w:t>
      </w:r>
      <w:r w:rsidRPr="007C4DDD">
        <w:rPr>
          <w:rFonts w:ascii="Arial" w:hAnsi="Arial" w:cs="Arial"/>
          <w:sz w:val="24"/>
          <w:szCs w:val="24"/>
        </w:rPr>
        <w:t>§ 51-1.3.</w:t>
      </w:r>
    </w:p>
  </w:endnote>
  <w:endnote w:id="57">
    <w:p w14:paraId="2DB70890"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Committee for Purchase </w:t>
      </w:r>
      <w:r>
        <w:rPr>
          <w:rFonts w:ascii="Arial" w:hAnsi="Arial" w:cs="Arial"/>
          <w:sz w:val="24"/>
          <w:szCs w:val="24"/>
        </w:rPr>
        <w:t xml:space="preserve">from </w:t>
      </w:r>
      <w:r w:rsidRPr="007C4DDD">
        <w:rPr>
          <w:rFonts w:ascii="Arial" w:hAnsi="Arial" w:cs="Arial"/>
          <w:sz w:val="24"/>
          <w:szCs w:val="24"/>
        </w:rPr>
        <w:t xml:space="preserve">People who are Blind or Severely Disabled, </w:t>
      </w:r>
      <w:r>
        <w:rPr>
          <w:rFonts w:ascii="Arial" w:hAnsi="Arial" w:cs="Arial"/>
          <w:sz w:val="24"/>
          <w:szCs w:val="24"/>
        </w:rPr>
        <w:t>“</w:t>
      </w:r>
      <w:r w:rsidRPr="007C4DDD">
        <w:rPr>
          <w:rFonts w:ascii="Arial" w:hAnsi="Arial" w:cs="Arial"/>
          <w:sz w:val="24"/>
          <w:szCs w:val="24"/>
        </w:rPr>
        <w:t>Committee Staff Nonprofit Agency Review Ma</w:t>
      </w:r>
      <w:r>
        <w:rPr>
          <w:rFonts w:ascii="Arial" w:hAnsi="Arial" w:cs="Arial"/>
          <w:sz w:val="24"/>
          <w:szCs w:val="24"/>
        </w:rPr>
        <w:t>nual”</w:t>
      </w:r>
      <w:r w:rsidRPr="00302FF3">
        <w:rPr>
          <w:rFonts w:ascii="Arial" w:hAnsi="Arial" w:cs="Arial"/>
          <w:sz w:val="24"/>
          <w:szCs w:val="24"/>
        </w:rPr>
        <w:t xml:space="preserve"> </w:t>
      </w:r>
      <w:r w:rsidRPr="007C4DDD">
        <w:rPr>
          <w:rFonts w:ascii="Arial" w:hAnsi="Arial" w:cs="Arial"/>
          <w:sz w:val="24"/>
          <w:szCs w:val="24"/>
        </w:rPr>
        <w:t>(June 29, 2007)</w:t>
      </w:r>
      <w:r>
        <w:rPr>
          <w:rFonts w:ascii="Arial" w:hAnsi="Arial" w:cs="Arial"/>
          <w:sz w:val="24"/>
          <w:szCs w:val="24"/>
        </w:rPr>
        <w:t xml:space="preserve">, §§ 2.1.4, 2.5.1, </w:t>
      </w:r>
      <w:hyperlink r:id="rId21" w:history="1">
        <w:r w:rsidRPr="007C4DDD">
          <w:rPr>
            <w:rStyle w:val="Hyperlink"/>
            <w:rFonts w:cs="Arial"/>
            <w:szCs w:val="24"/>
          </w:rPr>
          <w:t>https://www.abilityone.gov/laws,_regulations_and_policy/documents/ComplianceManual.pdf</w:t>
        </w:r>
      </w:hyperlink>
      <w:r w:rsidRPr="007C4DDD">
        <w:rPr>
          <w:rFonts w:ascii="Arial" w:hAnsi="Arial" w:cs="Arial"/>
          <w:sz w:val="24"/>
          <w:szCs w:val="24"/>
        </w:rPr>
        <w:t xml:space="preserve">. </w:t>
      </w:r>
    </w:p>
  </w:endnote>
  <w:endnote w:id="58">
    <w:p w14:paraId="61D052DA"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 § 2.6.1</w:t>
      </w:r>
      <w:r>
        <w:rPr>
          <w:rFonts w:ascii="Arial" w:hAnsi="Arial" w:cs="Arial"/>
          <w:sz w:val="24"/>
          <w:szCs w:val="24"/>
        </w:rPr>
        <w:t>.</w:t>
      </w:r>
    </w:p>
  </w:endnote>
  <w:endnote w:id="59">
    <w:p w14:paraId="10076D89"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U.S.C. § 8501(1).</w:t>
      </w:r>
    </w:p>
  </w:endnote>
  <w:endnote w:id="60">
    <w:p w14:paraId="0801C94F"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41 U.S.C. § 8501(5), </w:t>
      </w:r>
      <w:r w:rsidRPr="007C4DDD">
        <w:rPr>
          <w:rFonts w:ascii="Arial" w:hAnsi="Arial" w:cs="Arial"/>
          <w:sz w:val="24"/>
          <w:szCs w:val="24"/>
        </w:rPr>
        <w:t>(8).</w:t>
      </w:r>
    </w:p>
  </w:endnote>
  <w:endnote w:id="61">
    <w:p w14:paraId="47949971"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Committee </w:t>
      </w:r>
      <w:r>
        <w:rPr>
          <w:rFonts w:ascii="Arial" w:hAnsi="Arial" w:cs="Arial"/>
          <w:sz w:val="24"/>
          <w:szCs w:val="24"/>
        </w:rPr>
        <w:t>for Purchase,</w:t>
      </w:r>
      <w:r w:rsidRPr="007C4DDD">
        <w:rPr>
          <w:rFonts w:ascii="Arial" w:hAnsi="Arial" w:cs="Arial"/>
          <w:sz w:val="24"/>
          <w:szCs w:val="24"/>
        </w:rPr>
        <w:t xml:space="preserve"> </w:t>
      </w:r>
      <w:r>
        <w:rPr>
          <w:rFonts w:ascii="Arial" w:hAnsi="Arial" w:cs="Arial"/>
          <w:sz w:val="24"/>
          <w:szCs w:val="24"/>
        </w:rPr>
        <w:t>“</w:t>
      </w:r>
      <w:r w:rsidRPr="007C4DDD">
        <w:rPr>
          <w:rFonts w:ascii="Arial" w:hAnsi="Arial" w:cs="Arial"/>
          <w:sz w:val="24"/>
          <w:szCs w:val="24"/>
        </w:rPr>
        <w:t>Agency Review Manual,</w:t>
      </w:r>
      <w:r>
        <w:rPr>
          <w:rFonts w:ascii="Arial" w:hAnsi="Arial" w:cs="Arial"/>
          <w:sz w:val="24"/>
          <w:szCs w:val="24"/>
        </w:rPr>
        <w:t>”</w:t>
      </w:r>
      <w:r w:rsidRPr="007C4DDD">
        <w:rPr>
          <w:rFonts w:ascii="Arial" w:hAnsi="Arial" w:cs="Arial"/>
          <w:sz w:val="24"/>
          <w:szCs w:val="24"/>
        </w:rPr>
        <w:t xml:space="preserve"> § 3.4.1.</w:t>
      </w:r>
    </w:p>
  </w:endnote>
  <w:endnote w:id="62">
    <w:p w14:paraId="2ACF514E"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r>
        <w:rPr>
          <w:rFonts w:ascii="Arial" w:hAnsi="Arial" w:cs="Arial"/>
          <w:sz w:val="24"/>
          <w:szCs w:val="24"/>
        </w:rPr>
        <w:t>.</w:t>
      </w:r>
      <w:r w:rsidRPr="003E4545">
        <w:rPr>
          <w:rFonts w:ascii="Arial" w:hAnsi="Arial" w:cs="Arial"/>
          <w:sz w:val="24"/>
          <w:szCs w:val="24"/>
        </w:rPr>
        <w:t>, §</w:t>
      </w:r>
      <w:r>
        <w:rPr>
          <w:rFonts w:ascii="Arial" w:hAnsi="Arial" w:cs="Arial"/>
          <w:sz w:val="24"/>
          <w:szCs w:val="24"/>
        </w:rPr>
        <w:t xml:space="preserve"> 3.4.1.</w:t>
      </w:r>
    </w:p>
  </w:endnote>
  <w:endnote w:id="63">
    <w:p w14:paraId="6E6EDB39"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Ibid., §§ 3.2-3.7.</w:t>
      </w:r>
    </w:p>
  </w:endnote>
  <w:endnote w:id="64">
    <w:p w14:paraId="2DDD1B42"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AbilityOne </w:t>
      </w:r>
      <w:r>
        <w:rPr>
          <w:rFonts w:ascii="Arial" w:hAnsi="Arial" w:cs="Arial"/>
          <w:sz w:val="24"/>
          <w:szCs w:val="24"/>
        </w:rPr>
        <w:t>Program</w:t>
      </w:r>
      <w:r w:rsidRPr="007C4DDD">
        <w:rPr>
          <w:rFonts w:ascii="Arial" w:hAnsi="Arial" w:cs="Arial"/>
          <w:sz w:val="24"/>
          <w:szCs w:val="24"/>
        </w:rPr>
        <w:t xml:space="preserve">, </w:t>
      </w:r>
      <w:r>
        <w:rPr>
          <w:rFonts w:ascii="Arial" w:hAnsi="Arial" w:cs="Arial"/>
          <w:sz w:val="24"/>
          <w:szCs w:val="24"/>
        </w:rPr>
        <w:t>“</w:t>
      </w:r>
      <w:r w:rsidRPr="007C4DDD">
        <w:rPr>
          <w:rFonts w:ascii="Arial" w:hAnsi="Arial" w:cs="Arial"/>
          <w:sz w:val="24"/>
          <w:szCs w:val="24"/>
        </w:rPr>
        <w:t>Instructions for Individ</w:t>
      </w:r>
      <w:r>
        <w:rPr>
          <w:rFonts w:ascii="Arial" w:hAnsi="Arial" w:cs="Arial"/>
          <w:sz w:val="24"/>
          <w:szCs w:val="24"/>
        </w:rPr>
        <w:t xml:space="preserve">ual Eligibility Evaluation Form,” accessed </w:t>
      </w:r>
      <w:r w:rsidRPr="007C4DDD">
        <w:rPr>
          <w:rFonts w:ascii="Arial" w:hAnsi="Arial" w:cs="Arial"/>
          <w:sz w:val="24"/>
          <w:szCs w:val="24"/>
        </w:rPr>
        <w:t>December 6, 2018</w:t>
      </w:r>
      <w:r>
        <w:rPr>
          <w:rFonts w:ascii="Arial" w:hAnsi="Arial" w:cs="Arial"/>
          <w:sz w:val="24"/>
          <w:szCs w:val="24"/>
        </w:rPr>
        <w:t xml:space="preserve">, </w:t>
      </w:r>
      <w:hyperlink r:id="rId22" w:history="1">
        <w:r w:rsidRPr="007C4DDD">
          <w:rPr>
            <w:rStyle w:val="Hyperlink"/>
            <w:rFonts w:cs="Arial"/>
            <w:szCs w:val="24"/>
          </w:rPr>
          <w:t>https://www.abilityone.gov/laws,_regulations_and_policy/individual_eligibility_evaluation.html</w:t>
        </w:r>
      </w:hyperlink>
      <w:r w:rsidRPr="007C4DDD">
        <w:rPr>
          <w:rFonts w:ascii="Arial" w:hAnsi="Arial" w:cs="Arial"/>
          <w:sz w:val="24"/>
          <w:szCs w:val="24"/>
        </w:rPr>
        <w:t>.</w:t>
      </w:r>
    </w:p>
  </w:endnote>
  <w:endnote w:id="65">
    <w:p w14:paraId="166B8F11"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Committee </w:t>
      </w:r>
      <w:r>
        <w:rPr>
          <w:rFonts w:ascii="Arial" w:hAnsi="Arial" w:cs="Arial"/>
          <w:sz w:val="24"/>
          <w:szCs w:val="24"/>
        </w:rPr>
        <w:t>for Purchase,</w:t>
      </w:r>
      <w:r w:rsidRPr="007C4DDD">
        <w:rPr>
          <w:rFonts w:ascii="Arial" w:hAnsi="Arial" w:cs="Arial"/>
          <w:sz w:val="24"/>
          <w:szCs w:val="24"/>
        </w:rPr>
        <w:t xml:space="preserve"> </w:t>
      </w:r>
      <w:r>
        <w:rPr>
          <w:rFonts w:ascii="Arial" w:hAnsi="Arial" w:cs="Arial"/>
          <w:sz w:val="24"/>
          <w:szCs w:val="24"/>
        </w:rPr>
        <w:t>“</w:t>
      </w:r>
      <w:r w:rsidRPr="007C4DDD">
        <w:rPr>
          <w:rFonts w:ascii="Arial" w:hAnsi="Arial" w:cs="Arial"/>
          <w:sz w:val="24"/>
          <w:szCs w:val="24"/>
        </w:rPr>
        <w:t>Agency Review Manual,</w:t>
      </w:r>
      <w:r>
        <w:rPr>
          <w:rFonts w:ascii="Arial" w:hAnsi="Arial" w:cs="Arial"/>
          <w:sz w:val="24"/>
          <w:szCs w:val="24"/>
        </w:rPr>
        <w:t>”</w:t>
      </w:r>
      <w:r w:rsidRPr="007C4DDD">
        <w:rPr>
          <w:rFonts w:ascii="Arial" w:hAnsi="Arial" w:cs="Arial"/>
          <w:sz w:val="24"/>
          <w:szCs w:val="24"/>
        </w:rPr>
        <w:t xml:space="preserve"> § 3.6.1.</w:t>
      </w:r>
    </w:p>
  </w:endnote>
  <w:endnote w:id="66">
    <w:p w14:paraId="375C3BB8"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 § 3.6.2.</w:t>
      </w:r>
    </w:p>
  </w:endnote>
  <w:endnote w:id="67">
    <w:p w14:paraId="686BD2B0"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AbilityOne </w:t>
      </w:r>
      <w:r>
        <w:rPr>
          <w:rFonts w:ascii="Arial" w:hAnsi="Arial" w:cs="Arial"/>
          <w:sz w:val="24"/>
          <w:szCs w:val="24"/>
        </w:rPr>
        <w:t>Program</w:t>
      </w:r>
      <w:r w:rsidRPr="007C4DDD">
        <w:rPr>
          <w:rFonts w:ascii="Arial" w:hAnsi="Arial" w:cs="Arial"/>
          <w:sz w:val="24"/>
          <w:szCs w:val="24"/>
        </w:rPr>
        <w:t xml:space="preserve">, </w:t>
      </w:r>
      <w:r>
        <w:rPr>
          <w:rFonts w:ascii="Arial" w:hAnsi="Arial" w:cs="Arial"/>
          <w:sz w:val="24"/>
          <w:szCs w:val="24"/>
        </w:rPr>
        <w:t>“</w:t>
      </w:r>
      <w:r w:rsidRPr="007C4DDD">
        <w:rPr>
          <w:rFonts w:ascii="Arial" w:hAnsi="Arial" w:cs="Arial"/>
          <w:sz w:val="24"/>
          <w:szCs w:val="24"/>
        </w:rPr>
        <w:t>Instructions for Individ</w:t>
      </w:r>
      <w:r>
        <w:rPr>
          <w:rFonts w:ascii="Arial" w:hAnsi="Arial" w:cs="Arial"/>
          <w:sz w:val="24"/>
          <w:szCs w:val="24"/>
        </w:rPr>
        <w:t>ual Eligibility Evaluation Form</w:t>
      </w:r>
      <w:r w:rsidRPr="007C4DDD">
        <w:rPr>
          <w:rFonts w:ascii="Arial" w:hAnsi="Arial" w:cs="Arial"/>
          <w:sz w:val="24"/>
          <w:szCs w:val="24"/>
        </w:rPr>
        <w:t>.</w:t>
      </w:r>
      <w:r>
        <w:rPr>
          <w:rFonts w:ascii="Arial" w:hAnsi="Arial" w:cs="Arial"/>
          <w:sz w:val="24"/>
          <w:szCs w:val="24"/>
        </w:rPr>
        <w:t>”</w:t>
      </w:r>
    </w:p>
  </w:endnote>
  <w:endnote w:id="68">
    <w:p w14:paraId="0B7EA9C5"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Committee </w:t>
      </w:r>
      <w:r>
        <w:rPr>
          <w:rFonts w:ascii="Arial" w:hAnsi="Arial" w:cs="Arial"/>
          <w:sz w:val="24"/>
          <w:szCs w:val="24"/>
        </w:rPr>
        <w:t>for Purchase,</w:t>
      </w:r>
      <w:r w:rsidRPr="007C4DDD">
        <w:rPr>
          <w:rFonts w:ascii="Arial" w:hAnsi="Arial" w:cs="Arial"/>
          <w:sz w:val="24"/>
          <w:szCs w:val="24"/>
        </w:rPr>
        <w:t xml:space="preserve"> </w:t>
      </w:r>
      <w:r>
        <w:rPr>
          <w:rFonts w:ascii="Arial" w:hAnsi="Arial" w:cs="Arial"/>
          <w:sz w:val="24"/>
          <w:szCs w:val="24"/>
        </w:rPr>
        <w:t>“</w:t>
      </w:r>
      <w:r w:rsidRPr="007C4DDD">
        <w:rPr>
          <w:rFonts w:ascii="Arial" w:hAnsi="Arial" w:cs="Arial"/>
          <w:sz w:val="24"/>
          <w:szCs w:val="24"/>
        </w:rPr>
        <w:t>Agency Review Manual,</w:t>
      </w:r>
      <w:r>
        <w:rPr>
          <w:rFonts w:ascii="Arial" w:hAnsi="Arial" w:cs="Arial"/>
          <w:sz w:val="24"/>
          <w:szCs w:val="24"/>
        </w:rPr>
        <w:t xml:space="preserve">” </w:t>
      </w:r>
      <w:r w:rsidRPr="007C4DDD">
        <w:rPr>
          <w:rFonts w:ascii="Arial" w:hAnsi="Arial" w:cs="Arial"/>
          <w:sz w:val="24"/>
          <w:szCs w:val="24"/>
        </w:rPr>
        <w:t>§ 3.13.4.</w:t>
      </w:r>
    </w:p>
  </w:endnote>
  <w:endnote w:id="69">
    <w:p w14:paraId="15439966"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 § 3.9.2.</w:t>
      </w:r>
    </w:p>
  </w:endnote>
  <w:endnote w:id="70">
    <w:p w14:paraId="5D60A5AF"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 § 3.13.6.</w:t>
      </w:r>
    </w:p>
  </w:endnote>
  <w:endnote w:id="71">
    <w:p w14:paraId="5FC11D4A" w14:textId="5C47022A"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The ADA requires an assessment of four factors, including the size and financial </w:t>
      </w:r>
      <w:r>
        <w:rPr>
          <w:rFonts w:ascii="Arial" w:hAnsi="Arial" w:cs="Arial"/>
          <w:sz w:val="24"/>
          <w:szCs w:val="24"/>
        </w:rPr>
        <w:t>resources</w:t>
      </w:r>
      <w:r w:rsidRPr="007C4DDD">
        <w:rPr>
          <w:rFonts w:ascii="Arial" w:hAnsi="Arial" w:cs="Arial"/>
          <w:sz w:val="24"/>
          <w:szCs w:val="24"/>
        </w:rPr>
        <w:t xml:space="preserve"> of </w:t>
      </w:r>
      <w:r>
        <w:rPr>
          <w:rFonts w:ascii="Arial" w:hAnsi="Arial" w:cs="Arial"/>
          <w:sz w:val="24"/>
          <w:szCs w:val="24"/>
        </w:rPr>
        <w:t>the</w:t>
      </w:r>
      <w:r w:rsidRPr="007C4DDD">
        <w:rPr>
          <w:rFonts w:ascii="Arial" w:hAnsi="Arial" w:cs="Arial"/>
          <w:sz w:val="24"/>
          <w:szCs w:val="24"/>
        </w:rPr>
        <w:t xml:space="preserve"> employer, to determine if an accommodation would cause an undue hardship. 42 U.S.C. § 12111(10)(B). The U.S. Equal Employment Opportunity Commission (E.E.O.C.) further states that while “</w:t>
      </w:r>
      <w:r w:rsidRPr="007C4DDD">
        <w:rPr>
          <w:rFonts w:ascii="Arial" w:hAnsi="Arial" w:cs="Arial"/>
          <w:sz w:val="24"/>
          <w:szCs w:val="24"/>
          <w:lang w:val="en"/>
        </w:rPr>
        <w:t>[a]n employer does not have to provide a reasonable accommodation that would cause an ‘undue hardship’ to the employe</w:t>
      </w:r>
      <w:r w:rsidR="00BA2E54">
        <w:rPr>
          <w:rFonts w:ascii="Arial" w:hAnsi="Arial" w:cs="Arial"/>
          <w:sz w:val="24"/>
          <w:szCs w:val="24"/>
          <w:lang w:val="en"/>
        </w:rPr>
        <w:t>r</w:t>
      </w:r>
      <w:r w:rsidR="00D4761B">
        <w:rPr>
          <w:rFonts w:ascii="Arial" w:hAnsi="Arial" w:cs="Arial"/>
          <w:sz w:val="24"/>
          <w:szCs w:val="24"/>
          <w:lang w:val="en"/>
        </w:rPr>
        <w:t>,</w:t>
      </w:r>
      <w:r w:rsidR="0012461E">
        <w:rPr>
          <w:rFonts w:ascii="Arial" w:hAnsi="Arial" w:cs="Arial"/>
          <w:sz w:val="24"/>
          <w:szCs w:val="24"/>
          <w:lang w:val="en"/>
        </w:rPr>
        <w:t xml:space="preserve"> </w:t>
      </w:r>
      <w:r w:rsidRPr="007C4DDD">
        <w:rPr>
          <w:rFonts w:ascii="Arial" w:hAnsi="Arial" w:cs="Arial"/>
          <w:sz w:val="24"/>
          <w:szCs w:val="24"/>
          <w:lang w:val="en"/>
        </w:rPr>
        <w:t>[g]</w:t>
      </w:r>
      <w:r w:rsidRPr="007C4DDD">
        <w:rPr>
          <w:rFonts w:ascii="Arial" w:hAnsi="Arial" w:cs="Arial"/>
          <w:sz w:val="24"/>
          <w:szCs w:val="24"/>
          <w:lang w:val="en"/>
        </w:rPr>
        <w:t>eneralized conclusions will not suffice to support a claim of undue hardship. Instead, undue hardship must be based on an individualized assessment of current circumstances that show that a specific reasonable accommodation would cause significant difficulty or expense.” U</w:t>
      </w:r>
      <w:r w:rsidRPr="007C4DDD">
        <w:rPr>
          <w:rFonts w:ascii="Arial" w:hAnsi="Arial" w:cs="Arial"/>
          <w:sz w:val="24"/>
          <w:szCs w:val="24"/>
        </w:rPr>
        <w:t>.S. Equal Employment Opportunity Commission. “</w:t>
      </w:r>
      <w:r w:rsidRPr="007C4DDD">
        <w:rPr>
          <w:rFonts w:ascii="Arial" w:hAnsi="Arial" w:cs="Arial"/>
          <w:sz w:val="24"/>
          <w:szCs w:val="24"/>
          <w:lang w:val="en"/>
        </w:rPr>
        <w:t>Enforcement Guidance: Reasonable Accommodation and Undue Hardship Under the Americans with Disabilities Act</w:t>
      </w:r>
      <w:r>
        <w:rPr>
          <w:rFonts w:ascii="Arial" w:hAnsi="Arial" w:cs="Arial"/>
          <w:sz w:val="24"/>
          <w:szCs w:val="24"/>
          <w:lang w:val="en"/>
        </w:rPr>
        <w:t>” (October 17, 2002),</w:t>
      </w:r>
      <w:r w:rsidRPr="007C4DDD">
        <w:rPr>
          <w:rFonts w:ascii="Arial" w:hAnsi="Arial" w:cs="Arial"/>
          <w:sz w:val="24"/>
          <w:szCs w:val="24"/>
        </w:rPr>
        <w:t xml:space="preserve"> </w:t>
      </w:r>
      <w:hyperlink r:id="rId23" w:history="1">
        <w:r w:rsidRPr="00DD7079">
          <w:rPr>
            <w:rStyle w:val="Hyperlink"/>
            <w:rFonts w:cs="Arial"/>
            <w:szCs w:val="24"/>
          </w:rPr>
          <w:t>https://www.eeoc.gov/policy/docs/accommodation.html</w:t>
        </w:r>
      </w:hyperlink>
      <w:r>
        <w:rPr>
          <w:rFonts w:ascii="Arial" w:hAnsi="Arial" w:cs="Arial"/>
          <w:sz w:val="24"/>
          <w:szCs w:val="24"/>
        </w:rPr>
        <w:t>.</w:t>
      </w:r>
    </w:p>
  </w:endnote>
  <w:endnote w:id="72">
    <w:p w14:paraId="0E8D7D3F" w14:textId="77777777" w:rsidR="001778CD" w:rsidRPr="007C4DDD" w:rsidRDefault="001778CD" w:rsidP="001778CD">
      <w:pPr>
        <w:spacing w:after="0"/>
        <w:rPr>
          <w:rFonts w:ascii="Arial" w:hAnsi="Arial" w:cs="Arial"/>
          <w:szCs w:val="24"/>
        </w:rPr>
      </w:pPr>
      <w:r w:rsidRPr="007C4DDD">
        <w:rPr>
          <w:rStyle w:val="EndnoteReference"/>
          <w:rFonts w:cs="Arial"/>
          <w:szCs w:val="24"/>
        </w:rPr>
        <w:endnoteRef/>
      </w:r>
      <w:r w:rsidRPr="007C4DDD">
        <w:rPr>
          <w:rFonts w:ascii="Arial" w:hAnsi="Arial" w:cs="Arial"/>
          <w:szCs w:val="24"/>
        </w:rPr>
        <w:t xml:space="preserve"> Committee </w:t>
      </w:r>
      <w:r>
        <w:rPr>
          <w:rFonts w:ascii="Arial" w:hAnsi="Arial" w:cs="Arial"/>
          <w:szCs w:val="24"/>
        </w:rPr>
        <w:t>for Purchase,</w:t>
      </w:r>
      <w:r w:rsidRPr="007C4DDD">
        <w:rPr>
          <w:rFonts w:ascii="Arial" w:hAnsi="Arial" w:cs="Arial"/>
          <w:szCs w:val="24"/>
        </w:rPr>
        <w:t xml:space="preserve"> </w:t>
      </w:r>
      <w:r>
        <w:rPr>
          <w:rFonts w:ascii="Arial" w:hAnsi="Arial" w:cs="Arial"/>
          <w:szCs w:val="24"/>
        </w:rPr>
        <w:t>“</w:t>
      </w:r>
      <w:r w:rsidRPr="007C4DDD">
        <w:rPr>
          <w:rFonts w:ascii="Arial" w:hAnsi="Arial" w:cs="Arial"/>
          <w:szCs w:val="24"/>
        </w:rPr>
        <w:t>Agency Review Manual,</w:t>
      </w:r>
      <w:r>
        <w:rPr>
          <w:rFonts w:ascii="Arial" w:hAnsi="Arial" w:cs="Arial"/>
          <w:szCs w:val="24"/>
        </w:rPr>
        <w:t xml:space="preserve">” </w:t>
      </w:r>
      <w:r w:rsidRPr="007C4DDD">
        <w:rPr>
          <w:rFonts w:ascii="Arial" w:hAnsi="Arial" w:cs="Arial"/>
          <w:szCs w:val="24"/>
        </w:rPr>
        <w:t>§ 3.9.3</w:t>
      </w:r>
      <w:r>
        <w:rPr>
          <w:rFonts w:ascii="Arial" w:hAnsi="Arial" w:cs="Arial"/>
          <w:szCs w:val="24"/>
        </w:rPr>
        <w:t>.</w:t>
      </w:r>
      <w:r w:rsidRPr="007C4DDD">
        <w:rPr>
          <w:rFonts w:ascii="Arial" w:hAnsi="Arial" w:cs="Arial"/>
          <w:szCs w:val="24"/>
        </w:rPr>
        <w:t xml:space="preserve"> AbilityOne </w:t>
      </w:r>
      <w:r>
        <w:rPr>
          <w:rFonts w:ascii="Arial" w:hAnsi="Arial" w:cs="Arial"/>
          <w:szCs w:val="24"/>
        </w:rPr>
        <w:t>Program</w:t>
      </w:r>
      <w:r w:rsidRPr="007C4DDD">
        <w:rPr>
          <w:rFonts w:ascii="Arial" w:hAnsi="Arial" w:cs="Arial"/>
          <w:szCs w:val="24"/>
        </w:rPr>
        <w:t xml:space="preserve">, </w:t>
      </w:r>
      <w:r>
        <w:rPr>
          <w:rFonts w:ascii="Arial" w:hAnsi="Arial" w:cs="Arial"/>
          <w:szCs w:val="24"/>
        </w:rPr>
        <w:t>“</w:t>
      </w:r>
      <w:r w:rsidRPr="007C4DDD">
        <w:rPr>
          <w:rFonts w:ascii="Arial" w:hAnsi="Arial" w:cs="Arial"/>
          <w:szCs w:val="24"/>
        </w:rPr>
        <w:t>Instructions for Individ</w:t>
      </w:r>
      <w:r>
        <w:rPr>
          <w:rFonts w:ascii="Arial" w:hAnsi="Arial" w:cs="Arial"/>
          <w:szCs w:val="24"/>
        </w:rPr>
        <w:t>ual Eligibility Evaluation Form,”</w:t>
      </w:r>
      <w:r w:rsidRPr="007C4DDD">
        <w:rPr>
          <w:rFonts w:ascii="Arial" w:hAnsi="Arial" w:cs="Arial"/>
          <w:szCs w:val="24"/>
        </w:rPr>
        <w:t xml:space="preserve"> Section III “For people who are severely disabled.”</w:t>
      </w:r>
    </w:p>
  </w:endnote>
  <w:endnote w:id="73">
    <w:p w14:paraId="650A99CC"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Americans with Disabilities Act of 1990, Pub. L. No. 101-336, § 2(a)(7), 104 Stat. 327 (1990).</w:t>
      </w:r>
    </w:p>
  </w:endnote>
  <w:endnote w:id="74">
    <w:p w14:paraId="62BB24FD" w14:textId="77777777" w:rsidR="001778CD" w:rsidRPr="001945FE"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sidRPr="001945FE">
        <w:rPr>
          <w:rFonts w:ascii="Arial" w:hAnsi="Arial" w:cs="Arial"/>
          <w:sz w:val="24"/>
          <w:szCs w:val="24"/>
        </w:rPr>
        <w:t>National Council on Disability</w:t>
      </w:r>
      <w:r>
        <w:rPr>
          <w:rFonts w:ascii="Arial" w:hAnsi="Arial" w:cs="Arial"/>
          <w:sz w:val="24"/>
          <w:szCs w:val="24"/>
        </w:rPr>
        <w:t>,</w:t>
      </w:r>
      <w:r w:rsidRPr="001945FE">
        <w:rPr>
          <w:rFonts w:ascii="Arial" w:hAnsi="Arial" w:cs="Arial"/>
          <w:sz w:val="24"/>
          <w:szCs w:val="24"/>
        </w:rPr>
        <w:t xml:space="preserve"> </w:t>
      </w:r>
      <w:r w:rsidRPr="0071082A">
        <w:rPr>
          <w:rFonts w:ascii="Arial" w:hAnsi="Arial" w:cs="Arial"/>
          <w:i/>
          <w:sz w:val="24"/>
          <w:szCs w:val="24"/>
        </w:rPr>
        <w:t xml:space="preserve">From the New Deal to the Real </w:t>
      </w:r>
      <w:r w:rsidRPr="00DF138B">
        <w:rPr>
          <w:rFonts w:ascii="Arial" w:hAnsi="Arial" w:cs="Arial"/>
          <w:i/>
          <w:sz w:val="24"/>
          <w:szCs w:val="24"/>
        </w:rPr>
        <w:t>Deal</w:t>
      </w:r>
      <w:r w:rsidRPr="00DF138B">
        <w:rPr>
          <w:rFonts w:ascii="Arial" w:hAnsi="Arial" w:cs="Arial"/>
          <w:sz w:val="24"/>
          <w:szCs w:val="24"/>
        </w:rPr>
        <w:t>, 125.</w:t>
      </w:r>
    </w:p>
  </w:endnote>
  <w:endnote w:id="75">
    <w:p w14:paraId="4086DDBE" w14:textId="77777777" w:rsidR="001778CD" w:rsidRPr="007C4DDD" w:rsidRDefault="001778CD" w:rsidP="001778CD">
      <w:pPr>
        <w:pStyle w:val="Default"/>
        <w:rPr>
          <w:rFonts w:ascii="Arial" w:eastAsiaTheme="minorHAnsi" w:hAnsi="Arial" w:cs="Arial"/>
        </w:rPr>
      </w:pPr>
      <w:r w:rsidRPr="001945FE">
        <w:rPr>
          <w:rStyle w:val="EndnoteReference"/>
          <w:rFonts w:cs="Arial"/>
        </w:rPr>
        <w:endnoteRef/>
      </w:r>
      <w:r>
        <w:rPr>
          <w:rFonts w:ascii="Arial" w:eastAsiaTheme="minorHAnsi" w:hAnsi="Arial" w:cs="Arial"/>
          <w:bCs/>
        </w:rPr>
        <w:t xml:space="preserve"> Rehabilitation Services Administration, </w:t>
      </w:r>
      <w:r w:rsidRPr="00DF138B">
        <w:rPr>
          <w:rFonts w:ascii="Arial" w:eastAsiaTheme="minorHAnsi" w:hAnsi="Arial" w:cs="Arial"/>
          <w:bCs/>
        </w:rPr>
        <w:t>Regulations Implementing The Rehabilitation Act of 1973, as Amended by the Workforce Innovation and Opportunity Act</w:t>
      </w:r>
      <w:r w:rsidRPr="00DF138B">
        <w:rPr>
          <w:rFonts w:ascii="Arial" w:hAnsi="Arial" w:cs="Arial"/>
        </w:rPr>
        <w:t>, Regional Training Series</w:t>
      </w:r>
      <w:r>
        <w:rPr>
          <w:rFonts w:ascii="Arial" w:hAnsi="Arial" w:cs="Arial"/>
        </w:rPr>
        <w:t xml:space="preserve"> slides, 11, accessed January 3, 2019,</w:t>
      </w:r>
      <w:r w:rsidRPr="001945FE">
        <w:rPr>
          <w:rFonts w:ascii="Arial" w:hAnsi="Arial" w:cs="Arial"/>
        </w:rPr>
        <w:t xml:space="preserve"> </w:t>
      </w:r>
      <w:hyperlink r:id="rId24" w:history="1">
        <w:r w:rsidRPr="00003D91">
          <w:rPr>
            <w:rStyle w:val="Hyperlink"/>
            <w:rFonts w:cs="Arial"/>
          </w:rPr>
          <w:t>https://www2.ed.gov/about/offices/list/osers/rsa/wioa/employment-outcomes-competitive-integrated-employment.pdf</w:t>
        </w:r>
      </w:hyperlink>
      <w:r>
        <w:rPr>
          <w:rFonts w:ascii="Arial" w:hAnsi="Arial" w:cs="Arial"/>
        </w:rPr>
        <w:t xml:space="preserve"> </w:t>
      </w:r>
    </w:p>
  </w:endnote>
  <w:endnote w:id="76">
    <w:p w14:paraId="10F5A814"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Committee for Purchase, “Fiscal Year 2019 Budget Justification,” 5.</w:t>
      </w:r>
    </w:p>
  </w:endnote>
  <w:endnote w:id="77">
    <w:p w14:paraId="3B3DC9E1"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 xml:space="preserve">U.S. </w:t>
      </w:r>
      <w:r w:rsidRPr="007C4DDD">
        <w:rPr>
          <w:rFonts w:ascii="Arial" w:hAnsi="Arial" w:cs="Arial"/>
          <w:sz w:val="24"/>
          <w:szCs w:val="24"/>
        </w:rPr>
        <w:t xml:space="preserve">AbilityOne </w:t>
      </w:r>
      <w:r>
        <w:rPr>
          <w:rFonts w:ascii="Arial" w:hAnsi="Arial" w:cs="Arial"/>
          <w:sz w:val="24"/>
          <w:szCs w:val="24"/>
        </w:rPr>
        <w:t xml:space="preserve">Commission staff written </w:t>
      </w:r>
      <w:r w:rsidRPr="007C4DDD">
        <w:rPr>
          <w:rFonts w:ascii="Arial" w:hAnsi="Arial" w:cs="Arial"/>
          <w:sz w:val="24"/>
          <w:szCs w:val="24"/>
        </w:rPr>
        <w:t>response</w:t>
      </w:r>
      <w:r>
        <w:rPr>
          <w:rFonts w:ascii="Arial" w:hAnsi="Arial" w:cs="Arial"/>
          <w:sz w:val="24"/>
          <w:szCs w:val="24"/>
        </w:rPr>
        <w:t>s</w:t>
      </w:r>
      <w:r w:rsidRPr="007C4DDD">
        <w:rPr>
          <w:rFonts w:ascii="Arial" w:hAnsi="Arial" w:cs="Arial"/>
          <w:sz w:val="24"/>
          <w:szCs w:val="24"/>
        </w:rPr>
        <w:t xml:space="preserve"> to </w:t>
      </w:r>
      <w:r>
        <w:rPr>
          <w:rFonts w:ascii="Arial" w:hAnsi="Arial" w:cs="Arial"/>
          <w:sz w:val="24"/>
          <w:szCs w:val="24"/>
        </w:rPr>
        <w:t>NCD research questions.</w:t>
      </w:r>
    </w:p>
  </w:endnote>
  <w:endnote w:id="78">
    <w:p w14:paraId="4C768292"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National Council on Disability,</w:t>
      </w:r>
      <w:r w:rsidRPr="001945FE">
        <w:rPr>
          <w:rFonts w:ascii="Arial" w:hAnsi="Arial" w:cs="Arial"/>
          <w:sz w:val="24"/>
          <w:szCs w:val="24"/>
        </w:rPr>
        <w:t xml:space="preserve"> </w:t>
      </w:r>
      <w:r w:rsidRPr="0071082A">
        <w:rPr>
          <w:rFonts w:ascii="Arial" w:hAnsi="Arial" w:cs="Arial"/>
          <w:i/>
          <w:sz w:val="24"/>
          <w:szCs w:val="24"/>
        </w:rPr>
        <w:t xml:space="preserve">From the New Deal to the </w:t>
      </w:r>
      <w:r w:rsidRPr="00D83A0A">
        <w:rPr>
          <w:rFonts w:ascii="Arial" w:hAnsi="Arial" w:cs="Arial"/>
          <w:i/>
          <w:sz w:val="24"/>
          <w:szCs w:val="24"/>
        </w:rPr>
        <w:t xml:space="preserve">Real Deal, </w:t>
      </w:r>
      <w:r w:rsidRPr="00D83A0A">
        <w:rPr>
          <w:rFonts w:ascii="Arial" w:hAnsi="Arial" w:cs="Arial"/>
          <w:sz w:val="24"/>
          <w:szCs w:val="24"/>
        </w:rPr>
        <w:t>125.</w:t>
      </w:r>
    </w:p>
  </w:endnote>
  <w:endnote w:id="79">
    <w:p w14:paraId="797BFFF7"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C.F.R. § 51-2.2.</w:t>
      </w:r>
    </w:p>
  </w:endnote>
  <w:endnote w:id="80">
    <w:p w14:paraId="25179A46"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 xml:space="preserve">Committee for Purchase from People who are Blind or Severely Disabled, </w:t>
      </w:r>
      <w:r w:rsidRPr="00473164">
        <w:rPr>
          <w:rFonts w:ascii="Arial" w:hAnsi="Arial" w:cs="Arial"/>
          <w:i/>
          <w:sz w:val="24"/>
          <w:szCs w:val="24"/>
        </w:rPr>
        <w:t>Fiscal Year 201</w:t>
      </w:r>
      <w:r>
        <w:rPr>
          <w:rFonts w:ascii="Arial" w:hAnsi="Arial" w:cs="Arial"/>
          <w:i/>
          <w:sz w:val="24"/>
          <w:szCs w:val="24"/>
        </w:rPr>
        <w:t>0</w:t>
      </w:r>
      <w:r w:rsidRPr="00473164">
        <w:rPr>
          <w:rFonts w:ascii="Arial" w:hAnsi="Arial" w:cs="Arial"/>
          <w:i/>
          <w:sz w:val="24"/>
          <w:szCs w:val="24"/>
        </w:rPr>
        <w:t xml:space="preserve"> Performance and Accountability Report</w:t>
      </w:r>
      <w:r w:rsidRPr="007C4DDD">
        <w:rPr>
          <w:rFonts w:ascii="Arial" w:hAnsi="Arial" w:cs="Arial"/>
          <w:sz w:val="24"/>
          <w:szCs w:val="24"/>
        </w:rPr>
        <w:t>,</w:t>
      </w:r>
      <w:r>
        <w:rPr>
          <w:rFonts w:ascii="Arial" w:hAnsi="Arial" w:cs="Arial"/>
          <w:sz w:val="24"/>
          <w:szCs w:val="24"/>
        </w:rPr>
        <w:t xml:space="preserve"> 10. </w:t>
      </w:r>
      <w:hyperlink r:id="rId25" w:history="1">
        <w:r w:rsidRPr="00A57371">
          <w:rPr>
            <w:rStyle w:val="Hyperlink"/>
            <w:rFonts w:cs="Arial"/>
            <w:szCs w:val="24"/>
          </w:rPr>
          <w:t>https://www.abilityone.gov/commission/documents/CFPBD%20FY10%20PAR%20final.pdf</w:t>
        </w:r>
      </w:hyperlink>
      <w:r>
        <w:rPr>
          <w:rFonts w:ascii="Arial" w:hAnsi="Arial" w:cs="Arial"/>
          <w:sz w:val="24"/>
          <w:szCs w:val="24"/>
        </w:rPr>
        <w:t xml:space="preserve">. </w:t>
      </w:r>
      <w:r w:rsidRPr="007C4DDD">
        <w:rPr>
          <w:rFonts w:ascii="Arial" w:hAnsi="Arial" w:cs="Arial"/>
          <w:sz w:val="24"/>
          <w:szCs w:val="24"/>
        </w:rPr>
        <w:t xml:space="preserve">Committee for </w:t>
      </w:r>
      <w:r w:rsidRPr="00D83A0A">
        <w:rPr>
          <w:rFonts w:ascii="Arial" w:hAnsi="Arial" w:cs="Arial"/>
          <w:sz w:val="24"/>
          <w:szCs w:val="24"/>
        </w:rPr>
        <w:t>Purchase, “FY 2017 Budget Justification,” 26. Committee for Purchase, “FY 2018 Budget Justification,” 20. Committee for Purchase, “FY 2019 Budget Justification,” 25.</w:t>
      </w:r>
    </w:p>
  </w:endnote>
  <w:endnote w:id="81">
    <w:p w14:paraId="15862681"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Committee for Purchase, “Fiscal Year 2019 Budget Justification,”</w:t>
      </w:r>
      <w:r>
        <w:rPr>
          <w:rFonts w:ascii="Arial" w:hAnsi="Arial" w:cs="Arial"/>
          <w:sz w:val="24"/>
          <w:szCs w:val="24"/>
        </w:rPr>
        <w:t xml:space="preserve"> </w:t>
      </w:r>
      <w:r w:rsidRPr="007C4DDD">
        <w:rPr>
          <w:rFonts w:ascii="Arial" w:hAnsi="Arial" w:cs="Arial"/>
          <w:sz w:val="24"/>
          <w:szCs w:val="24"/>
        </w:rPr>
        <w:t>25.</w:t>
      </w:r>
    </w:p>
  </w:endnote>
  <w:endnote w:id="82">
    <w:p w14:paraId="567FE9BF"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The Commission reported 46,161 AbilityOne employees in FY 2016. </w:t>
      </w:r>
      <w:r>
        <w:rPr>
          <w:rFonts w:ascii="Arial" w:hAnsi="Arial" w:cs="Arial"/>
          <w:sz w:val="24"/>
          <w:szCs w:val="24"/>
        </w:rPr>
        <w:t xml:space="preserve">U.S. </w:t>
      </w:r>
      <w:r w:rsidRPr="003E4545">
        <w:rPr>
          <w:rFonts w:ascii="Arial" w:hAnsi="Arial" w:cs="Arial"/>
          <w:sz w:val="24"/>
          <w:szCs w:val="24"/>
        </w:rPr>
        <w:t>AbilityOne Commission</w:t>
      </w:r>
      <w:r>
        <w:rPr>
          <w:rFonts w:ascii="Arial" w:hAnsi="Arial" w:cs="Arial"/>
          <w:sz w:val="24"/>
          <w:szCs w:val="24"/>
        </w:rPr>
        <w:t>,</w:t>
      </w:r>
      <w:r w:rsidRPr="0071082A">
        <w:rPr>
          <w:rFonts w:ascii="Arial" w:hAnsi="Arial" w:cs="Arial"/>
          <w:i/>
          <w:sz w:val="24"/>
          <w:szCs w:val="24"/>
        </w:rPr>
        <w:t xml:space="preserve"> FY </w:t>
      </w:r>
      <w:r w:rsidRPr="007C4DDD">
        <w:rPr>
          <w:rFonts w:ascii="Arial" w:hAnsi="Arial" w:cs="Arial"/>
          <w:i/>
          <w:sz w:val="24"/>
          <w:szCs w:val="24"/>
        </w:rPr>
        <w:t>2017 Performance and Accountability Report</w:t>
      </w:r>
      <w:r w:rsidRPr="007C4DDD">
        <w:rPr>
          <w:rFonts w:ascii="Arial" w:hAnsi="Arial" w:cs="Arial"/>
          <w:sz w:val="24"/>
          <w:szCs w:val="24"/>
        </w:rPr>
        <w:t>, 19.</w:t>
      </w:r>
    </w:p>
  </w:endnote>
  <w:endnote w:id="83">
    <w:p w14:paraId="043717C9"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sidRPr="00471836">
        <w:rPr>
          <w:rFonts w:ascii="Arial" w:hAnsi="Arial" w:cs="Arial"/>
          <w:sz w:val="24"/>
          <w:szCs w:val="24"/>
        </w:rPr>
        <w:t>U.S. AbilityOne Commission staff written responses to NCD research questions.</w:t>
      </w:r>
    </w:p>
  </w:endnote>
  <w:endnote w:id="84">
    <w:p w14:paraId="509833DD" w14:textId="77777777" w:rsidR="001778CD" w:rsidRDefault="001778CD" w:rsidP="001778CD">
      <w:pPr>
        <w:pStyle w:val="EndnoteText"/>
      </w:pPr>
      <w:r>
        <w:rPr>
          <w:rStyle w:val="EndnoteReference"/>
        </w:rPr>
        <w:endnoteRef/>
      </w:r>
      <w:r>
        <w:t xml:space="preserve"> </w:t>
      </w:r>
      <w:r w:rsidRPr="00765E3E">
        <w:rPr>
          <w:rFonts w:ascii="Arial" w:hAnsi="Arial" w:cs="Arial"/>
          <w:sz w:val="24"/>
          <w:szCs w:val="24"/>
        </w:rPr>
        <w:t>Ibid.</w:t>
      </w:r>
    </w:p>
  </w:endnote>
  <w:endnote w:id="85">
    <w:p w14:paraId="7A0A87D0" w14:textId="77777777" w:rsidR="001778CD" w:rsidRPr="007C4DDD" w:rsidRDefault="001778CD" w:rsidP="001778CD">
      <w:pPr>
        <w:pStyle w:val="Default"/>
        <w:rPr>
          <w:rFonts w:ascii="Arial" w:eastAsiaTheme="minorHAnsi" w:hAnsi="Arial" w:cs="Arial"/>
        </w:rPr>
      </w:pPr>
      <w:r w:rsidRPr="007C4DDD">
        <w:rPr>
          <w:rStyle w:val="EndnoteReference"/>
          <w:rFonts w:cs="Arial"/>
        </w:rPr>
        <w:endnoteRef/>
      </w:r>
      <w:r w:rsidRPr="007C4DDD">
        <w:rPr>
          <w:rFonts w:ascii="Arial" w:hAnsi="Arial" w:cs="Arial"/>
        </w:rPr>
        <w:t xml:space="preserve"> </w:t>
      </w:r>
      <w:r w:rsidRPr="00D83A0A">
        <w:rPr>
          <w:rFonts w:ascii="Arial" w:eastAsiaTheme="minorHAnsi" w:hAnsi="Arial" w:cs="Arial"/>
          <w:bCs/>
        </w:rPr>
        <w:t>Advisory Committee on Increasing Competitive Integrated Employment for Individuals with Disabilities</w:t>
      </w:r>
      <w:r w:rsidRPr="00D83A0A">
        <w:rPr>
          <w:rFonts w:ascii="Arial" w:eastAsiaTheme="minorHAnsi" w:hAnsi="Arial" w:cs="Arial"/>
          <w:bCs/>
          <w:i/>
        </w:rPr>
        <w:t>, Final Report</w:t>
      </w:r>
      <w:r w:rsidRPr="00D83A0A">
        <w:rPr>
          <w:rFonts w:ascii="Arial" w:eastAsiaTheme="minorHAnsi" w:hAnsi="Arial" w:cs="Arial"/>
          <w:bCs/>
        </w:rPr>
        <w:t xml:space="preserve"> (Sept. 15, 201</w:t>
      </w:r>
      <w:r>
        <w:rPr>
          <w:rFonts w:ascii="Arial" w:eastAsiaTheme="minorHAnsi" w:hAnsi="Arial" w:cs="Arial"/>
          <w:bCs/>
        </w:rPr>
        <w:t>6</w:t>
      </w:r>
      <w:r w:rsidRPr="00D83A0A">
        <w:rPr>
          <w:rFonts w:ascii="Arial" w:eastAsiaTheme="minorHAnsi" w:hAnsi="Arial" w:cs="Arial"/>
          <w:bCs/>
        </w:rPr>
        <w:t>),</w:t>
      </w:r>
      <w:r w:rsidRPr="007C4DDD">
        <w:rPr>
          <w:rFonts w:ascii="Arial" w:eastAsiaTheme="minorHAnsi" w:hAnsi="Arial" w:cs="Arial"/>
          <w:bCs/>
        </w:rPr>
        <w:t xml:space="preserve"> </w:t>
      </w:r>
      <w:hyperlink r:id="rId26" w:history="1">
        <w:r w:rsidRPr="00DD7079">
          <w:rPr>
            <w:rStyle w:val="Hyperlink"/>
            <w:rFonts w:eastAsiaTheme="minorHAnsi" w:cs="Arial"/>
            <w:bCs/>
          </w:rPr>
          <w:t>https://www.dol.gov/odep/topics/pdf/ACICIEID_Final_Report_9-8-16.pdf</w:t>
        </w:r>
      </w:hyperlink>
      <w:r>
        <w:rPr>
          <w:rFonts w:ascii="Arial" w:eastAsiaTheme="minorHAnsi" w:hAnsi="Arial" w:cs="Arial"/>
          <w:bCs/>
        </w:rPr>
        <w:t xml:space="preserve"> </w:t>
      </w:r>
    </w:p>
  </w:endnote>
  <w:endnote w:id="86">
    <w:p w14:paraId="0109314D" w14:textId="77777777" w:rsidR="001778CD" w:rsidRPr="007C4DDD" w:rsidRDefault="001778CD" w:rsidP="001778CD">
      <w:pPr>
        <w:pStyle w:val="EndnoteText"/>
        <w:tabs>
          <w:tab w:val="left" w:pos="7560"/>
        </w:tabs>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r>
        <w:rPr>
          <w:rFonts w:ascii="Arial" w:hAnsi="Arial" w:cs="Arial"/>
          <w:sz w:val="24"/>
          <w:szCs w:val="24"/>
        </w:rPr>
        <w:tab/>
      </w:r>
    </w:p>
  </w:endnote>
  <w:endnote w:id="87">
    <w:p w14:paraId="58B4F877"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r>
        <w:rPr>
          <w:rFonts w:ascii="Arial" w:hAnsi="Arial" w:cs="Arial"/>
          <w:sz w:val="24"/>
          <w:szCs w:val="24"/>
        </w:rPr>
        <w:t xml:space="preserve"> </w:t>
      </w:r>
      <w:r w:rsidRPr="007C4DDD">
        <w:rPr>
          <w:rFonts w:ascii="Arial" w:hAnsi="Arial" w:cs="Arial"/>
          <w:sz w:val="24"/>
          <w:szCs w:val="24"/>
        </w:rPr>
        <w:t>57</w:t>
      </w:r>
      <w:r>
        <w:rPr>
          <w:rFonts w:ascii="Arial" w:hAnsi="Arial" w:cs="Arial"/>
          <w:sz w:val="24"/>
          <w:szCs w:val="24"/>
        </w:rPr>
        <w:t>.</w:t>
      </w:r>
    </w:p>
  </w:endnote>
  <w:endnote w:id="88">
    <w:p w14:paraId="31ACCE7D"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eastAsiaTheme="minorHAnsi" w:hAnsi="Arial" w:cs="Arial"/>
          <w:bCs/>
          <w:sz w:val="24"/>
          <w:szCs w:val="24"/>
        </w:rPr>
        <w:t>Ibid</w:t>
      </w:r>
      <w:r w:rsidRPr="00D83A0A">
        <w:rPr>
          <w:rFonts w:ascii="Arial" w:hAnsi="Arial" w:cs="Arial"/>
          <w:sz w:val="24"/>
          <w:szCs w:val="24"/>
        </w:rPr>
        <w:t>.</w:t>
      </w:r>
    </w:p>
  </w:endnote>
  <w:endnote w:id="89">
    <w:p w14:paraId="4D7A6DDF"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sidRPr="001945FE">
        <w:rPr>
          <w:rFonts w:ascii="Arial" w:hAnsi="Arial" w:cs="Arial"/>
          <w:sz w:val="24"/>
          <w:szCs w:val="24"/>
        </w:rPr>
        <w:t>National Council on Disability</w:t>
      </w:r>
      <w:r>
        <w:rPr>
          <w:rFonts w:ascii="Arial" w:hAnsi="Arial" w:cs="Arial"/>
          <w:sz w:val="24"/>
          <w:szCs w:val="24"/>
        </w:rPr>
        <w:t>,</w:t>
      </w:r>
      <w:r w:rsidRPr="001945FE">
        <w:rPr>
          <w:rFonts w:ascii="Arial" w:hAnsi="Arial" w:cs="Arial"/>
          <w:sz w:val="24"/>
          <w:szCs w:val="24"/>
        </w:rPr>
        <w:t xml:space="preserve"> </w:t>
      </w:r>
      <w:r w:rsidRPr="003E4545">
        <w:rPr>
          <w:rFonts w:ascii="Arial" w:hAnsi="Arial" w:cs="Arial"/>
          <w:i/>
          <w:sz w:val="24"/>
          <w:szCs w:val="24"/>
        </w:rPr>
        <w:t>From the New Deal</w:t>
      </w:r>
      <w:r>
        <w:rPr>
          <w:rFonts w:ascii="Arial" w:hAnsi="Arial" w:cs="Arial"/>
          <w:i/>
          <w:sz w:val="24"/>
          <w:szCs w:val="24"/>
        </w:rPr>
        <w:t xml:space="preserve"> to the Real Deal, </w:t>
      </w:r>
      <w:r>
        <w:rPr>
          <w:rFonts w:ascii="Arial" w:hAnsi="Arial" w:cs="Arial"/>
          <w:sz w:val="24"/>
          <w:szCs w:val="24"/>
        </w:rPr>
        <w:t xml:space="preserve">124. </w:t>
      </w:r>
    </w:p>
  </w:endnote>
  <w:endnote w:id="90">
    <w:p w14:paraId="6CD5E365" w14:textId="77777777" w:rsidR="001778CD" w:rsidRDefault="001778CD" w:rsidP="001778CD">
      <w:pPr>
        <w:pStyle w:val="EndnoteText"/>
        <w:rPr>
          <w:rFonts w:ascii="Arial" w:hAnsi="Arial" w:cs="Arial"/>
          <w:sz w:val="24"/>
          <w:szCs w:val="24"/>
        </w:rPr>
      </w:pPr>
      <w:r>
        <w:rPr>
          <w:rStyle w:val="EndnoteReference"/>
          <w:szCs w:val="24"/>
        </w:rPr>
        <w:endnoteRef/>
      </w:r>
      <w:r>
        <w:rPr>
          <w:rStyle w:val="Hyperlink"/>
          <w:szCs w:val="24"/>
        </w:rPr>
        <w:t xml:space="preserve"> </w:t>
      </w:r>
      <w:r>
        <w:rPr>
          <w:rFonts w:ascii="Arial" w:hAnsi="Arial" w:cs="Arial"/>
          <w:sz w:val="24"/>
          <w:szCs w:val="24"/>
        </w:rPr>
        <w:t xml:space="preserve">U.S. Department of Education, “Office of Special Education and Rehabilitative Services - Rehabilitation Act of 1973,” accessed December 21, 2018, </w:t>
      </w:r>
      <w:hyperlink r:id="rId27" w:history="1">
        <w:r>
          <w:rPr>
            <w:rStyle w:val="Hyperlink"/>
            <w:szCs w:val="24"/>
          </w:rPr>
          <w:t>https://www.reginfo.gov/public/do/eAgendaViewRule?pubId=201810&amp;RIN=1820-AB79</w:t>
        </w:r>
      </w:hyperlink>
      <w:r>
        <w:rPr>
          <w:rFonts w:ascii="Arial" w:hAnsi="Arial" w:cs="Arial"/>
          <w:sz w:val="24"/>
          <w:szCs w:val="24"/>
        </w:rPr>
        <w:t>. The post states that “The Secretary plans to issue a notice of proposed rulemaking to amend regulatory definitions in 34 CFR part 361 implementing programs under the Rehabilitation Act of 1973, as amended, made by the Workforce Innovation and Opportunity Act.” Committee for Purchase, “FY 2019 Budget Justification,” 5.</w:t>
      </w:r>
    </w:p>
  </w:endnote>
  <w:endnote w:id="91">
    <w:p w14:paraId="64817C4C" w14:textId="77777777" w:rsidR="001778CD" w:rsidRDefault="001778CD" w:rsidP="001778CD">
      <w:pPr>
        <w:pStyle w:val="EndnoteText"/>
        <w:rPr>
          <w:rFonts w:ascii="Arial" w:hAnsi="Arial" w:cs="Arial"/>
          <w:sz w:val="24"/>
          <w:szCs w:val="24"/>
        </w:rPr>
      </w:pPr>
      <w:r>
        <w:rPr>
          <w:rStyle w:val="EndnoteReference"/>
          <w:szCs w:val="24"/>
        </w:rPr>
        <w:endnoteRef/>
      </w:r>
      <w:r>
        <w:rPr>
          <w:rFonts w:ascii="Arial" w:hAnsi="Arial" w:cs="Arial"/>
          <w:sz w:val="24"/>
          <w:szCs w:val="24"/>
        </w:rPr>
        <w:t xml:space="preserve"> National Council on Disability, </w:t>
      </w:r>
      <w:r>
        <w:rPr>
          <w:rFonts w:ascii="Arial" w:hAnsi="Arial" w:cs="Arial"/>
          <w:i/>
          <w:sz w:val="24"/>
          <w:szCs w:val="24"/>
        </w:rPr>
        <w:t>From the New Deal to the Real Deal,</w:t>
      </w:r>
      <w:r>
        <w:rPr>
          <w:rFonts w:ascii="Arial" w:eastAsiaTheme="minorHAnsi" w:hAnsi="Arial" w:cs="Arial"/>
          <w:sz w:val="24"/>
          <w:szCs w:val="24"/>
        </w:rPr>
        <w:t xml:space="preserve"> 126.</w:t>
      </w:r>
    </w:p>
  </w:endnote>
  <w:endnote w:id="92">
    <w:p w14:paraId="568A4AF2" w14:textId="77777777" w:rsidR="001778CD" w:rsidRDefault="001778CD" w:rsidP="001778CD">
      <w:pPr>
        <w:pStyle w:val="EndnoteText"/>
        <w:rPr>
          <w:rFonts w:ascii="Arial" w:hAnsi="Arial" w:cs="Arial"/>
          <w:sz w:val="24"/>
          <w:szCs w:val="24"/>
        </w:rPr>
      </w:pPr>
      <w:r>
        <w:rPr>
          <w:rStyle w:val="EndnoteReference"/>
          <w:szCs w:val="24"/>
        </w:rPr>
        <w:endnoteRef/>
      </w:r>
      <w:r>
        <w:rPr>
          <w:rFonts w:ascii="Arial" w:hAnsi="Arial" w:cs="Arial"/>
          <w:sz w:val="24"/>
          <w:szCs w:val="24"/>
        </w:rPr>
        <w:t xml:space="preserve"> Office of Special Education and Rehabilitative Services, “RSA: Integrated Location Criteria of the Definition of ‘Competitive Integrated Employment’ FAQs,” January 18, 2017, </w:t>
      </w:r>
      <w:hyperlink r:id="rId28" w:history="1">
        <w:r>
          <w:rPr>
            <w:rStyle w:val="Hyperlink"/>
            <w:szCs w:val="24"/>
          </w:rPr>
          <w:t>https://www2.ed.gov/about/offices/list/osers/rsa/wioa/competitive-integrated-employment-faq.html</w:t>
        </w:r>
      </w:hyperlink>
      <w:r>
        <w:rPr>
          <w:rFonts w:ascii="Arial" w:hAnsi="Arial" w:cs="Arial"/>
          <w:sz w:val="24"/>
          <w:szCs w:val="24"/>
        </w:rPr>
        <w:t xml:space="preserve">. </w:t>
      </w:r>
    </w:p>
  </w:endnote>
  <w:endnote w:id="93">
    <w:p w14:paraId="126A0FDE" w14:textId="77777777" w:rsidR="001778CD" w:rsidRDefault="001778CD" w:rsidP="001778CD">
      <w:pPr>
        <w:pStyle w:val="EndnoteText"/>
        <w:rPr>
          <w:rFonts w:ascii="Arial" w:hAnsi="Arial" w:cs="Arial"/>
          <w:sz w:val="24"/>
          <w:szCs w:val="24"/>
        </w:rPr>
      </w:pPr>
      <w:r>
        <w:rPr>
          <w:rStyle w:val="EndnoteReference"/>
          <w:szCs w:val="24"/>
        </w:rPr>
        <w:endnoteRef/>
      </w:r>
      <w:r>
        <w:rPr>
          <w:rFonts w:ascii="Arial" w:hAnsi="Arial" w:cs="Arial"/>
          <w:sz w:val="24"/>
          <w:szCs w:val="24"/>
        </w:rPr>
        <w:t xml:space="preserve"> Ibid.</w:t>
      </w:r>
    </w:p>
  </w:endnote>
  <w:endnote w:id="94">
    <w:p w14:paraId="09EF64FC" w14:textId="77777777" w:rsidR="001778CD" w:rsidRDefault="001778CD" w:rsidP="001778CD">
      <w:pPr>
        <w:pStyle w:val="EndnoteText"/>
        <w:rPr>
          <w:rFonts w:ascii="Arial" w:hAnsi="Arial" w:cs="Arial"/>
          <w:sz w:val="24"/>
          <w:szCs w:val="24"/>
        </w:rPr>
      </w:pPr>
      <w:r>
        <w:rPr>
          <w:rStyle w:val="EndnoteReference"/>
        </w:rPr>
        <w:endnoteRef/>
      </w:r>
      <w:r>
        <w:rPr>
          <w:rFonts w:ascii="Arial" w:hAnsi="Arial" w:cs="Arial"/>
          <w:sz w:val="24"/>
          <w:szCs w:val="24"/>
        </w:rPr>
        <w:t xml:space="preserve"> Senator Patty Murray, </w:t>
      </w:r>
      <w:r>
        <w:rPr>
          <w:rFonts w:ascii="Arial" w:hAnsi="Arial" w:cs="Arial"/>
          <w:i/>
          <w:sz w:val="24"/>
          <w:szCs w:val="24"/>
        </w:rPr>
        <w:t>Disability Employment: Minority Staff Report</w:t>
      </w:r>
      <w:r>
        <w:rPr>
          <w:rFonts w:ascii="Arial" w:hAnsi="Arial" w:cs="Arial"/>
          <w:sz w:val="24"/>
          <w:szCs w:val="24"/>
        </w:rPr>
        <w:t>, 21.</w:t>
      </w:r>
    </w:p>
  </w:endnote>
  <w:endnote w:id="95">
    <w:p w14:paraId="4001C6E7" w14:textId="77777777" w:rsidR="001778CD" w:rsidRDefault="001778CD" w:rsidP="001778CD">
      <w:pPr>
        <w:pStyle w:val="EndnoteText"/>
        <w:rPr>
          <w:rFonts w:ascii="Arial" w:hAnsi="Arial" w:cs="Arial"/>
          <w:sz w:val="24"/>
          <w:szCs w:val="24"/>
        </w:rPr>
      </w:pPr>
      <w:r>
        <w:rPr>
          <w:rStyle w:val="EndnoteReference"/>
          <w:szCs w:val="24"/>
        </w:rPr>
        <w:endnoteRef/>
      </w:r>
      <w:r>
        <w:rPr>
          <w:rFonts w:ascii="Arial" w:hAnsi="Arial" w:cs="Arial"/>
          <w:sz w:val="24"/>
          <w:szCs w:val="24"/>
        </w:rPr>
        <w:t xml:space="preserve"> Ibid., 18.</w:t>
      </w:r>
    </w:p>
  </w:endnote>
  <w:endnote w:id="96">
    <w:p w14:paraId="1F385DF7" w14:textId="77777777" w:rsidR="001778CD" w:rsidRDefault="001778CD" w:rsidP="001778CD">
      <w:pPr>
        <w:pStyle w:val="EndnoteText"/>
        <w:rPr>
          <w:rFonts w:ascii="Arial" w:hAnsi="Arial" w:cs="Arial"/>
          <w:sz w:val="24"/>
          <w:szCs w:val="24"/>
        </w:rPr>
      </w:pPr>
      <w:r>
        <w:rPr>
          <w:rStyle w:val="EndnoteReference"/>
          <w:szCs w:val="24"/>
        </w:rPr>
        <w:endnoteRef/>
      </w:r>
      <w:r>
        <w:rPr>
          <w:rFonts w:ascii="Arial" w:hAnsi="Arial" w:cs="Arial"/>
          <w:sz w:val="24"/>
          <w:szCs w:val="24"/>
        </w:rPr>
        <w:t xml:space="preserve"> Ibid.</w:t>
      </w:r>
    </w:p>
  </w:endnote>
  <w:endnote w:id="97">
    <w:p w14:paraId="5079A299" w14:textId="77777777" w:rsidR="001778CD" w:rsidRDefault="001778CD" w:rsidP="001778CD">
      <w:pPr>
        <w:pStyle w:val="EndnoteText"/>
      </w:pPr>
      <w:r>
        <w:rPr>
          <w:rStyle w:val="EndnoteReference"/>
        </w:rPr>
        <w:endnoteRef/>
      </w:r>
      <w:r>
        <w:t xml:space="preserve"> </w:t>
      </w:r>
      <w:r>
        <w:rPr>
          <w:rFonts w:ascii="Arial" w:hAnsi="Arial" w:cs="Arial"/>
          <w:sz w:val="24"/>
          <w:szCs w:val="24"/>
        </w:rPr>
        <w:t xml:space="preserve">National Council on Disability, </w:t>
      </w:r>
      <w:r>
        <w:rPr>
          <w:rFonts w:ascii="Arial" w:hAnsi="Arial" w:cs="Arial"/>
          <w:i/>
          <w:sz w:val="24"/>
          <w:szCs w:val="24"/>
        </w:rPr>
        <w:t>From the New Deal to the Real Deal</w:t>
      </w:r>
      <w:r>
        <w:rPr>
          <w:rFonts w:ascii="Arial" w:hAnsi="Arial" w:cs="Arial"/>
          <w:sz w:val="24"/>
          <w:szCs w:val="24"/>
        </w:rPr>
        <w:t xml:space="preserve">, 126. </w:t>
      </w:r>
    </w:p>
  </w:endnote>
  <w:endnote w:id="98">
    <w:p w14:paraId="655FA790"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sidRPr="007A250E">
        <w:rPr>
          <w:rFonts w:ascii="Arial" w:hAnsi="Arial" w:cs="Arial"/>
          <w:sz w:val="24"/>
          <w:szCs w:val="24"/>
        </w:rPr>
        <w:t>Committee for Purchase, “</w:t>
      </w:r>
      <w:r>
        <w:rPr>
          <w:rFonts w:ascii="Arial" w:hAnsi="Arial" w:cs="Arial"/>
          <w:sz w:val="24"/>
          <w:szCs w:val="24"/>
        </w:rPr>
        <w:t>FY</w:t>
      </w:r>
      <w:r w:rsidRPr="007A250E">
        <w:rPr>
          <w:rFonts w:ascii="Arial" w:hAnsi="Arial" w:cs="Arial"/>
          <w:sz w:val="24"/>
          <w:szCs w:val="24"/>
        </w:rPr>
        <w:t xml:space="preserve"> 2019 Budget Justification</w:t>
      </w:r>
      <w:r>
        <w:rPr>
          <w:rFonts w:ascii="Arial" w:hAnsi="Arial" w:cs="Arial"/>
          <w:sz w:val="24"/>
          <w:szCs w:val="24"/>
        </w:rPr>
        <w:t>,</w:t>
      </w:r>
      <w:r w:rsidRPr="007A250E">
        <w:rPr>
          <w:rFonts w:ascii="Arial" w:hAnsi="Arial" w:cs="Arial"/>
          <w:sz w:val="24"/>
          <w:szCs w:val="24"/>
        </w:rPr>
        <w:t>”</w:t>
      </w:r>
      <w:r>
        <w:rPr>
          <w:rFonts w:ascii="Arial" w:hAnsi="Arial" w:cs="Arial"/>
          <w:sz w:val="24"/>
          <w:szCs w:val="24"/>
        </w:rPr>
        <w:t xml:space="preserve"> 25.</w:t>
      </w:r>
    </w:p>
  </w:endnote>
  <w:endnote w:id="99">
    <w:p w14:paraId="21AC334E" w14:textId="77777777" w:rsidR="001778CD" w:rsidRPr="007C4DDD" w:rsidRDefault="001778CD" w:rsidP="001778CD">
      <w:pPr>
        <w:pStyle w:val="EndnoteText"/>
        <w:rPr>
          <w:rFonts w:ascii="Arial" w:hAnsi="Arial" w:cs="Arial"/>
          <w:sz w:val="24"/>
          <w:szCs w:val="24"/>
        </w:rPr>
      </w:pPr>
      <w:r w:rsidRPr="0012135A">
        <w:rPr>
          <w:rStyle w:val="EndnoteReference"/>
          <w:rFonts w:cs="Arial"/>
          <w:szCs w:val="24"/>
        </w:rPr>
        <w:endnoteRef/>
      </w:r>
      <w:r w:rsidRPr="0012135A">
        <w:rPr>
          <w:rFonts w:ascii="Arial" w:hAnsi="Arial" w:cs="Arial"/>
          <w:sz w:val="24"/>
          <w:szCs w:val="24"/>
        </w:rPr>
        <w:t xml:space="preserve"> </w:t>
      </w:r>
      <w:r w:rsidRPr="007A250E">
        <w:rPr>
          <w:rFonts w:ascii="Arial" w:hAnsi="Arial" w:cs="Arial"/>
          <w:sz w:val="24"/>
          <w:szCs w:val="24"/>
        </w:rPr>
        <w:t>Committee for Purchase, “</w:t>
      </w:r>
      <w:r>
        <w:rPr>
          <w:rFonts w:ascii="Arial" w:hAnsi="Arial" w:cs="Arial"/>
          <w:sz w:val="24"/>
          <w:szCs w:val="24"/>
        </w:rPr>
        <w:t xml:space="preserve">FY </w:t>
      </w:r>
      <w:r w:rsidRPr="007A250E">
        <w:rPr>
          <w:rFonts w:ascii="Arial" w:hAnsi="Arial" w:cs="Arial"/>
          <w:sz w:val="24"/>
          <w:szCs w:val="24"/>
        </w:rPr>
        <w:t>201</w:t>
      </w:r>
      <w:r>
        <w:rPr>
          <w:rFonts w:ascii="Arial" w:hAnsi="Arial" w:cs="Arial"/>
          <w:sz w:val="24"/>
          <w:szCs w:val="24"/>
        </w:rPr>
        <w:t>7</w:t>
      </w:r>
      <w:r w:rsidRPr="007A250E">
        <w:rPr>
          <w:rFonts w:ascii="Arial" w:hAnsi="Arial" w:cs="Arial"/>
          <w:sz w:val="24"/>
          <w:szCs w:val="24"/>
        </w:rPr>
        <w:t xml:space="preserve"> Budget Justification</w:t>
      </w:r>
      <w:r>
        <w:rPr>
          <w:rFonts w:ascii="Arial" w:hAnsi="Arial" w:cs="Arial"/>
          <w:sz w:val="24"/>
          <w:szCs w:val="24"/>
        </w:rPr>
        <w:t>,</w:t>
      </w:r>
      <w:r w:rsidRPr="007A250E">
        <w:rPr>
          <w:rFonts w:ascii="Arial" w:hAnsi="Arial" w:cs="Arial"/>
          <w:sz w:val="24"/>
          <w:szCs w:val="24"/>
        </w:rPr>
        <w:t>”</w:t>
      </w:r>
      <w:r>
        <w:rPr>
          <w:rFonts w:ascii="Arial" w:hAnsi="Arial" w:cs="Arial"/>
          <w:sz w:val="24"/>
          <w:szCs w:val="24"/>
        </w:rPr>
        <w:t xml:space="preserve"> 26. </w:t>
      </w:r>
      <w:r w:rsidRPr="007A250E">
        <w:rPr>
          <w:rFonts w:ascii="Arial" w:hAnsi="Arial" w:cs="Arial"/>
          <w:sz w:val="24"/>
          <w:szCs w:val="24"/>
        </w:rPr>
        <w:t>Committee for Purchase, “</w:t>
      </w:r>
      <w:r>
        <w:rPr>
          <w:rFonts w:ascii="Arial" w:hAnsi="Arial" w:cs="Arial"/>
          <w:sz w:val="24"/>
          <w:szCs w:val="24"/>
        </w:rPr>
        <w:t>FY</w:t>
      </w:r>
      <w:r w:rsidRPr="007A250E">
        <w:rPr>
          <w:rFonts w:ascii="Arial" w:hAnsi="Arial" w:cs="Arial"/>
          <w:sz w:val="24"/>
          <w:szCs w:val="24"/>
        </w:rPr>
        <w:t xml:space="preserve"> 201</w:t>
      </w:r>
      <w:r>
        <w:rPr>
          <w:rFonts w:ascii="Arial" w:hAnsi="Arial" w:cs="Arial"/>
          <w:sz w:val="24"/>
          <w:szCs w:val="24"/>
        </w:rPr>
        <w:t xml:space="preserve">8 </w:t>
      </w:r>
      <w:r w:rsidRPr="007A250E">
        <w:rPr>
          <w:rFonts w:ascii="Arial" w:hAnsi="Arial" w:cs="Arial"/>
          <w:sz w:val="24"/>
          <w:szCs w:val="24"/>
        </w:rPr>
        <w:t>Budget Justification</w:t>
      </w:r>
      <w:r>
        <w:rPr>
          <w:rFonts w:ascii="Arial" w:hAnsi="Arial" w:cs="Arial"/>
          <w:sz w:val="24"/>
          <w:szCs w:val="24"/>
        </w:rPr>
        <w:t>,</w:t>
      </w:r>
      <w:r w:rsidRPr="007A250E">
        <w:rPr>
          <w:rFonts w:ascii="Arial" w:hAnsi="Arial" w:cs="Arial"/>
          <w:sz w:val="24"/>
          <w:szCs w:val="24"/>
        </w:rPr>
        <w:t>”</w:t>
      </w:r>
      <w:r>
        <w:rPr>
          <w:rFonts w:ascii="Arial" w:hAnsi="Arial" w:cs="Arial"/>
          <w:sz w:val="24"/>
          <w:szCs w:val="24"/>
        </w:rPr>
        <w:t xml:space="preserve"> 20.</w:t>
      </w:r>
    </w:p>
  </w:endnote>
  <w:endnote w:id="100">
    <w:p w14:paraId="6638F1B4" w14:textId="77777777" w:rsidR="001778CD" w:rsidRDefault="001778CD" w:rsidP="001778CD">
      <w:pPr>
        <w:pStyle w:val="EndnoteText"/>
      </w:pPr>
      <w:r>
        <w:rPr>
          <w:rStyle w:val="EndnoteReference"/>
        </w:rPr>
        <w:endnoteRef/>
      </w:r>
      <w:r>
        <w:t xml:space="preserve"> </w:t>
      </w:r>
      <w:r w:rsidRPr="00471836">
        <w:rPr>
          <w:rFonts w:ascii="Arial" w:hAnsi="Arial" w:cs="Arial"/>
          <w:sz w:val="24"/>
          <w:szCs w:val="24"/>
        </w:rPr>
        <w:t>U.S. AbilityOne Commission staff written responses to NCD research questions.</w:t>
      </w:r>
    </w:p>
  </w:endnote>
  <w:endnote w:id="101">
    <w:p w14:paraId="319D7356"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U.S. Department of Labor, Wage and Hour Division, “Fact Sheet: Raising the Minimum Wage for Workers with Disabilities under Executive </w:t>
      </w:r>
      <w:r>
        <w:rPr>
          <w:rFonts w:ascii="Arial" w:hAnsi="Arial" w:cs="Arial"/>
          <w:sz w:val="24"/>
          <w:szCs w:val="24"/>
        </w:rPr>
        <w:t>Order 13658” (</w:t>
      </w:r>
      <w:r w:rsidRPr="007C4DDD">
        <w:rPr>
          <w:rFonts w:ascii="Arial" w:hAnsi="Arial" w:cs="Arial"/>
          <w:sz w:val="24"/>
          <w:szCs w:val="24"/>
        </w:rPr>
        <w:t>December 2014</w:t>
      </w:r>
      <w:r>
        <w:rPr>
          <w:rFonts w:ascii="Arial" w:hAnsi="Arial" w:cs="Arial"/>
          <w:sz w:val="24"/>
          <w:szCs w:val="24"/>
        </w:rPr>
        <w:t xml:space="preserve">), </w:t>
      </w:r>
      <w:hyperlink r:id="rId29" w:history="1">
        <w:r w:rsidRPr="007C4DDD">
          <w:rPr>
            <w:rStyle w:val="Hyperlink"/>
            <w:rFonts w:cs="Arial"/>
            <w:szCs w:val="24"/>
          </w:rPr>
          <w:t>https://www.dol.gov/whd/flsa/eo13658/EO-factsheet.pdf</w:t>
        </w:r>
      </w:hyperlink>
      <w:r w:rsidRPr="007C4DDD">
        <w:rPr>
          <w:rFonts w:ascii="Arial" w:hAnsi="Arial" w:cs="Arial"/>
          <w:sz w:val="24"/>
          <w:szCs w:val="24"/>
        </w:rPr>
        <w:t xml:space="preserve">. For more information on </w:t>
      </w:r>
      <w:r>
        <w:rPr>
          <w:rFonts w:ascii="Arial" w:hAnsi="Arial" w:cs="Arial"/>
          <w:sz w:val="24"/>
          <w:szCs w:val="24"/>
        </w:rPr>
        <w:t xml:space="preserve">the payment of </w:t>
      </w:r>
      <w:r w:rsidRPr="007C4DDD">
        <w:rPr>
          <w:rFonts w:ascii="Arial" w:hAnsi="Arial" w:cs="Arial"/>
          <w:sz w:val="24"/>
          <w:szCs w:val="24"/>
        </w:rPr>
        <w:t>subminimum wages, see the National Council on Disability</w:t>
      </w:r>
      <w:r>
        <w:rPr>
          <w:rFonts w:ascii="Arial" w:hAnsi="Arial" w:cs="Arial"/>
          <w:sz w:val="24"/>
          <w:szCs w:val="24"/>
        </w:rPr>
        <w:t>,</w:t>
      </w:r>
      <w:r w:rsidRPr="007C4DDD">
        <w:rPr>
          <w:rFonts w:ascii="Arial" w:hAnsi="Arial" w:cs="Arial"/>
          <w:sz w:val="24"/>
          <w:szCs w:val="24"/>
        </w:rPr>
        <w:t xml:space="preserve"> </w:t>
      </w:r>
      <w:r w:rsidRPr="0012135A">
        <w:rPr>
          <w:rFonts w:ascii="Arial" w:hAnsi="Arial" w:cs="Arial"/>
          <w:i/>
          <w:sz w:val="24"/>
          <w:szCs w:val="24"/>
        </w:rPr>
        <w:t>From the New Deal to the Real Deal</w:t>
      </w:r>
      <w:r w:rsidRPr="0012135A">
        <w:rPr>
          <w:rFonts w:ascii="Arial" w:hAnsi="Arial" w:cs="Arial"/>
          <w:sz w:val="24"/>
          <w:szCs w:val="24"/>
        </w:rPr>
        <w:t>,</w:t>
      </w:r>
      <w:r w:rsidRPr="00337A0E">
        <w:rPr>
          <w:rFonts w:ascii="Arial" w:hAnsi="Arial" w:cs="Arial"/>
          <w:sz w:val="24"/>
          <w:szCs w:val="24"/>
        </w:rPr>
        <w:t xml:space="preserve"> 20-65.</w:t>
      </w:r>
    </w:p>
  </w:endnote>
  <w:endnote w:id="102">
    <w:p w14:paraId="005E8822" w14:textId="77777777" w:rsidR="001778CD" w:rsidRDefault="001778CD" w:rsidP="001778CD">
      <w:pPr>
        <w:pStyle w:val="EndnoteText"/>
      </w:pPr>
      <w:r>
        <w:rPr>
          <w:rStyle w:val="EndnoteReference"/>
        </w:rPr>
        <w:endnoteRef/>
      </w:r>
      <w:r>
        <w:t xml:space="preserve"> </w:t>
      </w:r>
      <w:r w:rsidRPr="00471836">
        <w:rPr>
          <w:rFonts w:ascii="Arial" w:hAnsi="Arial" w:cs="Arial"/>
          <w:sz w:val="24"/>
          <w:szCs w:val="24"/>
        </w:rPr>
        <w:t>U.S. AbilityOne Commission staff written responses to NCD research questions.</w:t>
      </w:r>
    </w:p>
  </w:endnote>
  <w:endnote w:id="103">
    <w:p w14:paraId="45992451" w14:textId="77777777" w:rsidR="001778CD" w:rsidRDefault="001778CD" w:rsidP="001778CD">
      <w:pPr>
        <w:pStyle w:val="EndnoteText"/>
      </w:pPr>
      <w:r>
        <w:rPr>
          <w:rStyle w:val="EndnoteReference"/>
        </w:rPr>
        <w:endnoteRef/>
      </w:r>
      <w:r>
        <w:t xml:space="preserve"> </w:t>
      </w:r>
      <w:r w:rsidRPr="00765E3E">
        <w:rPr>
          <w:rFonts w:ascii="Arial" w:hAnsi="Arial" w:cs="Arial"/>
          <w:sz w:val="24"/>
          <w:szCs w:val="24"/>
        </w:rPr>
        <w:t>Ibid.</w:t>
      </w:r>
    </w:p>
  </w:endnote>
  <w:endnote w:id="104">
    <w:p w14:paraId="1F131876" w14:textId="77777777" w:rsidR="001778CD" w:rsidRPr="003E4545"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Committee for Purchase, “</w:t>
      </w:r>
      <w:r>
        <w:rPr>
          <w:rFonts w:ascii="Arial" w:hAnsi="Arial" w:cs="Arial"/>
          <w:sz w:val="24"/>
          <w:szCs w:val="24"/>
        </w:rPr>
        <w:t>FY</w:t>
      </w:r>
      <w:r w:rsidRPr="007C4DDD">
        <w:rPr>
          <w:rFonts w:ascii="Arial" w:hAnsi="Arial" w:cs="Arial"/>
          <w:sz w:val="24"/>
          <w:szCs w:val="24"/>
        </w:rPr>
        <w:t xml:space="preserve"> 201</w:t>
      </w:r>
      <w:r>
        <w:rPr>
          <w:rFonts w:ascii="Arial" w:hAnsi="Arial" w:cs="Arial"/>
          <w:sz w:val="24"/>
          <w:szCs w:val="24"/>
        </w:rPr>
        <w:t>8</w:t>
      </w:r>
      <w:r w:rsidRPr="007C4DDD">
        <w:rPr>
          <w:rFonts w:ascii="Arial" w:hAnsi="Arial" w:cs="Arial"/>
          <w:sz w:val="24"/>
          <w:szCs w:val="24"/>
        </w:rPr>
        <w:t xml:space="preserve"> Budg</w:t>
      </w:r>
      <w:r>
        <w:rPr>
          <w:rFonts w:ascii="Arial" w:hAnsi="Arial" w:cs="Arial"/>
          <w:sz w:val="24"/>
          <w:szCs w:val="24"/>
        </w:rPr>
        <w:t>et Justification,” Appendix III.</w:t>
      </w:r>
      <w:r w:rsidRPr="007C4DDD">
        <w:rPr>
          <w:rFonts w:ascii="Arial" w:hAnsi="Arial" w:cs="Arial"/>
          <w:sz w:val="24"/>
          <w:szCs w:val="24"/>
        </w:rPr>
        <w:t xml:space="preserve"> </w:t>
      </w:r>
      <w:r>
        <w:rPr>
          <w:rFonts w:ascii="Arial" w:hAnsi="Arial" w:cs="Arial"/>
          <w:sz w:val="24"/>
          <w:szCs w:val="24"/>
        </w:rPr>
        <w:t xml:space="preserve">U.S. Department of Labor, Wage and Hour Division, Section 14(c) certificate lists for </w:t>
      </w:r>
      <w:r w:rsidRPr="00AA1D84">
        <w:rPr>
          <w:rFonts w:ascii="Arial" w:hAnsi="Arial" w:cs="Arial"/>
          <w:sz w:val="24"/>
          <w:szCs w:val="24"/>
        </w:rPr>
        <w:t>October 2017 in the possession of NCD researchers.</w:t>
      </w:r>
    </w:p>
  </w:endnote>
  <w:endnote w:id="105">
    <w:p w14:paraId="3A9E3159" w14:textId="77777777" w:rsidR="001778CD" w:rsidRPr="007C4DDD" w:rsidRDefault="001778CD" w:rsidP="001778CD">
      <w:pPr>
        <w:pStyle w:val="EndnoteText"/>
        <w:rPr>
          <w:rFonts w:ascii="Arial" w:hAnsi="Arial" w:cs="Arial"/>
          <w:sz w:val="24"/>
          <w:szCs w:val="24"/>
        </w:rPr>
      </w:pPr>
      <w:r w:rsidRPr="00034042">
        <w:rPr>
          <w:rStyle w:val="EndnoteReference"/>
          <w:rFonts w:cs="Arial"/>
          <w:szCs w:val="24"/>
        </w:rPr>
        <w:endnoteRef/>
      </w:r>
      <w:r w:rsidRPr="00034042">
        <w:rPr>
          <w:rFonts w:ascii="Arial" w:hAnsi="Arial" w:cs="Arial"/>
          <w:sz w:val="24"/>
          <w:szCs w:val="24"/>
        </w:rPr>
        <w:t xml:space="preserve"> </w:t>
      </w:r>
      <w:r>
        <w:rPr>
          <w:rFonts w:ascii="Arial" w:hAnsi="Arial" w:cs="Arial"/>
          <w:sz w:val="24"/>
          <w:szCs w:val="24"/>
        </w:rPr>
        <w:t xml:space="preserve">National Council on Disability, </w:t>
      </w:r>
      <w:r w:rsidRPr="00034042">
        <w:rPr>
          <w:rFonts w:ascii="Arial" w:hAnsi="Arial" w:cs="Arial"/>
          <w:i/>
          <w:sz w:val="24"/>
          <w:szCs w:val="24"/>
        </w:rPr>
        <w:t>From the New Deal to the Real Deal</w:t>
      </w:r>
      <w:r w:rsidRPr="0012135A">
        <w:rPr>
          <w:rFonts w:ascii="Arial" w:hAnsi="Arial" w:cs="Arial"/>
          <w:sz w:val="24"/>
          <w:szCs w:val="24"/>
        </w:rPr>
        <w:t>,</w:t>
      </w:r>
      <w:r>
        <w:rPr>
          <w:rFonts w:ascii="Arial" w:hAnsi="Arial" w:cs="Arial"/>
          <w:sz w:val="24"/>
          <w:szCs w:val="24"/>
        </w:rPr>
        <w:t xml:space="preserve"> </w:t>
      </w:r>
      <w:r w:rsidRPr="00034042">
        <w:rPr>
          <w:rFonts w:ascii="Arial" w:hAnsi="Arial" w:cs="Arial"/>
          <w:sz w:val="24"/>
          <w:szCs w:val="24"/>
        </w:rPr>
        <w:t>54</w:t>
      </w:r>
      <w:r>
        <w:rPr>
          <w:rFonts w:ascii="Arial" w:hAnsi="Arial" w:cs="Arial"/>
          <w:sz w:val="24"/>
          <w:szCs w:val="24"/>
        </w:rPr>
        <w:t>.</w:t>
      </w:r>
    </w:p>
  </w:endnote>
  <w:endnote w:id="106">
    <w:p w14:paraId="61D7EBF0"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Ibid., 54-54.</w:t>
      </w:r>
    </w:p>
  </w:endnote>
  <w:endnote w:id="107">
    <w:p w14:paraId="33833067"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Committee for Purchase, “</w:t>
      </w:r>
      <w:r>
        <w:rPr>
          <w:rFonts w:ascii="Arial" w:hAnsi="Arial" w:cs="Arial"/>
          <w:sz w:val="24"/>
          <w:szCs w:val="24"/>
        </w:rPr>
        <w:t>FY</w:t>
      </w:r>
      <w:r w:rsidRPr="007C4DDD">
        <w:rPr>
          <w:rFonts w:ascii="Arial" w:hAnsi="Arial" w:cs="Arial"/>
          <w:sz w:val="24"/>
          <w:szCs w:val="24"/>
        </w:rPr>
        <w:t xml:space="preserve"> 2019 Budget Justification,” 27.</w:t>
      </w:r>
    </w:p>
  </w:endnote>
  <w:endnote w:id="108">
    <w:p w14:paraId="4AE4AD91"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 9</w:t>
      </w:r>
      <w:r>
        <w:rPr>
          <w:rFonts w:ascii="Arial" w:hAnsi="Arial" w:cs="Arial"/>
          <w:sz w:val="24"/>
          <w:szCs w:val="24"/>
        </w:rPr>
        <w:t>.</w:t>
      </w:r>
    </w:p>
  </w:endnote>
  <w:endnote w:id="109">
    <w:p w14:paraId="41E37ED3" w14:textId="77777777" w:rsidR="001778CD" w:rsidRDefault="001778CD" w:rsidP="001778CD">
      <w:pPr>
        <w:pStyle w:val="EndnoteText"/>
      </w:pPr>
      <w:r>
        <w:rPr>
          <w:rStyle w:val="EndnoteReference"/>
        </w:rPr>
        <w:endnoteRef/>
      </w:r>
      <w:r>
        <w:t xml:space="preserve"> </w:t>
      </w:r>
      <w:r>
        <w:rPr>
          <w:rFonts w:ascii="Arial" w:hAnsi="Arial" w:cs="Arial"/>
          <w:sz w:val="24"/>
          <w:szCs w:val="24"/>
        </w:rPr>
        <w:t>The U.S. AbilityOne Inspector General notes that a livable wage could result in reduced public benefits to AbilityOne employees. O</w:t>
      </w:r>
      <w:r w:rsidRPr="007C4DDD">
        <w:rPr>
          <w:rFonts w:ascii="Arial" w:hAnsi="Arial" w:cs="Arial"/>
          <w:sz w:val="24"/>
          <w:szCs w:val="24"/>
        </w:rPr>
        <w:t>ffice of Inspector General, U.S. AbilityOne Commission</w:t>
      </w:r>
      <w:r w:rsidRPr="008F570E">
        <w:rPr>
          <w:rFonts w:ascii="Arial" w:hAnsi="Arial" w:cs="Arial"/>
          <w:i/>
          <w:sz w:val="24"/>
          <w:szCs w:val="24"/>
        </w:rPr>
        <w:t>, Semiannual Report to Congress April 1, 2018 to Sept</w:t>
      </w:r>
      <w:r>
        <w:rPr>
          <w:rFonts w:ascii="Arial" w:hAnsi="Arial" w:cs="Arial"/>
          <w:i/>
          <w:sz w:val="24"/>
          <w:szCs w:val="24"/>
        </w:rPr>
        <w:t>ember</w:t>
      </w:r>
      <w:r w:rsidRPr="008F570E">
        <w:rPr>
          <w:rFonts w:ascii="Arial" w:hAnsi="Arial" w:cs="Arial"/>
          <w:i/>
          <w:sz w:val="24"/>
          <w:szCs w:val="24"/>
        </w:rPr>
        <w:t xml:space="preserve"> 30, 2018</w:t>
      </w:r>
      <w:r>
        <w:rPr>
          <w:rFonts w:ascii="Arial" w:hAnsi="Arial" w:cs="Arial"/>
          <w:sz w:val="24"/>
          <w:szCs w:val="24"/>
        </w:rPr>
        <w:t>, 15</w:t>
      </w:r>
      <w:r w:rsidRPr="007C4DDD">
        <w:rPr>
          <w:rFonts w:ascii="Arial" w:hAnsi="Arial" w:cs="Arial"/>
          <w:sz w:val="24"/>
          <w:szCs w:val="24"/>
        </w:rPr>
        <w:t>.</w:t>
      </w:r>
    </w:p>
  </w:endnote>
  <w:endnote w:id="110">
    <w:p w14:paraId="4F8534C0" w14:textId="77777777" w:rsidR="001778CD" w:rsidRPr="00A75C8C"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 xml:space="preserve">U.S. </w:t>
      </w:r>
      <w:r w:rsidRPr="00A75C8C">
        <w:rPr>
          <w:rFonts w:ascii="Arial" w:hAnsi="Arial" w:cs="Arial"/>
          <w:sz w:val="24"/>
          <w:szCs w:val="24"/>
        </w:rPr>
        <w:t>Go</w:t>
      </w:r>
      <w:r>
        <w:rPr>
          <w:rFonts w:ascii="Arial" w:hAnsi="Arial" w:cs="Arial"/>
          <w:sz w:val="24"/>
          <w:szCs w:val="24"/>
        </w:rPr>
        <w:t xml:space="preserve">vernment Accountability Office, </w:t>
      </w:r>
      <w:r w:rsidRPr="0012135A">
        <w:rPr>
          <w:rFonts w:ascii="Arial" w:hAnsi="Arial" w:cs="Arial"/>
          <w:i/>
          <w:sz w:val="24"/>
          <w:szCs w:val="24"/>
        </w:rPr>
        <w:t>Enhanced Oversight of the AbilityOne Program Needed</w:t>
      </w:r>
      <w:r>
        <w:rPr>
          <w:rFonts w:ascii="Arial" w:hAnsi="Arial" w:cs="Arial"/>
          <w:sz w:val="24"/>
          <w:szCs w:val="24"/>
        </w:rPr>
        <w:t>,</w:t>
      </w:r>
      <w:r w:rsidRPr="00A75C8C">
        <w:rPr>
          <w:rFonts w:ascii="Arial" w:hAnsi="Arial" w:cs="Arial"/>
          <w:sz w:val="24"/>
          <w:szCs w:val="24"/>
        </w:rPr>
        <w:t xml:space="preserve"> </w:t>
      </w:r>
      <w:r>
        <w:rPr>
          <w:rFonts w:ascii="Arial" w:hAnsi="Arial" w:cs="Arial"/>
          <w:sz w:val="24"/>
          <w:szCs w:val="24"/>
        </w:rPr>
        <w:t>33.</w:t>
      </w:r>
    </w:p>
  </w:endnote>
  <w:endnote w:id="111">
    <w:p w14:paraId="44458A42" w14:textId="77777777" w:rsidR="001778CD" w:rsidRPr="007C4DDD" w:rsidRDefault="001778CD" w:rsidP="001778CD">
      <w:pPr>
        <w:pStyle w:val="EndnoteText"/>
        <w:rPr>
          <w:rFonts w:ascii="Arial" w:hAnsi="Arial" w:cs="Arial"/>
          <w:sz w:val="24"/>
          <w:szCs w:val="24"/>
        </w:rPr>
      </w:pPr>
      <w:r w:rsidRPr="00A75C8C">
        <w:rPr>
          <w:rStyle w:val="EndnoteReference"/>
          <w:rFonts w:cs="Arial"/>
          <w:szCs w:val="24"/>
        </w:rPr>
        <w:endnoteRef/>
      </w:r>
      <w:r w:rsidRPr="00A75C8C">
        <w:rPr>
          <w:rFonts w:ascii="Arial" w:hAnsi="Arial" w:cs="Arial"/>
          <w:sz w:val="24"/>
          <w:szCs w:val="24"/>
        </w:rPr>
        <w:t xml:space="preserve"> Ibid.</w:t>
      </w:r>
    </w:p>
  </w:endnote>
  <w:endnote w:id="112">
    <w:p w14:paraId="3AD5DE05" w14:textId="77777777" w:rsidR="001778CD" w:rsidRPr="00731FAE"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sidRPr="00731FAE">
        <w:rPr>
          <w:rFonts w:ascii="Arial" w:hAnsi="Arial" w:cs="Arial"/>
          <w:sz w:val="24"/>
          <w:szCs w:val="24"/>
        </w:rPr>
        <w:t xml:space="preserve">Anderson Cooper, </w:t>
      </w:r>
      <w:r>
        <w:rPr>
          <w:rFonts w:ascii="Arial" w:hAnsi="Arial" w:cs="Arial"/>
          <w:sz w:val="24"/>
          <w:szCs w:val="24"/>
        </w:rPr>
        <w:t>“</w:t>
      </w:r>
      <w:r w:rsidRPr="00731FAE">
        <w:rPr>
          <w:rFonts w:ascii="Arial" w:hAnsi="Arial" w:cs="Arial"/>
          <w:sz w:val="24"/>
          <w:szCs w:val="24"/>
        </w:rPr>
        <w:t>Disabled Work Program Investigated for Fraud</w:t>
      </w:r>
      <w:r>
        <w:rPr>
          <w:rFonts w:ascii="Arial" w:hAnsi="Arial" w:cs="Arial"/>
          <w:sz w:val="24"/>
          <w:szCs w:val="24"/>
        </w:rPr>
        <w:t xml:space="preserve">,” </w:t>
      </w:r>
      <w:r w:rsidRPr="00731FAE">
        <w:rPr>
          <w:rFonts w:ascii="Arial" w:hAnsi="Arial" w:cs="Arial"/>
          <w:sz w:val="24"/>
          <w:szCs w:val="24"/>
        </w:rPr>
        <w:t>CNN video</w:t>
      </w:r>
      <w:r>
        <w:rPr>
          <w:rFonts w:ascii="Arial" w:hAnsi="Arial" w:cs="Arial"/>
          <w:sz w:val="24"/>
          <w:szCs w:val="24"/>
        </w:rPr>
        <w:t xml:space="preserve"> </w:t>
      </w:r>
      <w:r w:rsidRPr="00731FAE">
        <w:rPr>
          <w:rFonts w:ascii="Arial" w:hAnsi="Arial" w:cs="Arial"/>
          <w:sz w:val="24"/>
          <w:szCs w:val="24"/>
        </w:rPr>
        <w:t>360</w:t>
      </w:r>
      <w:r>
        <w:rPr>
          <w:rFonts w:ascii="Arial" w:hAnsi="Arial" w:cs="Arial"/>
          <w:sz w:val="24"/>
          <w:szCs w:val="24"/>
        </w:rPr>
        <w:t>. Aired on</w:t>
      </w:r>
      <w:r w:rsidRPr="00731FAE">
        <w:rPr>
          <w:rFonts w:ascii="Arial" w:hAnsi="Arial" w:cs="Arial"/>
          <w:sz w:val="24"/>
          <w:szCs w:val="24"/>
        </w:rPr>
        <w:t xml:space="preserve"> July 28, 2015,</w:t>
      </w:r>
      <w:r>
        <w:rPr>
          <w:rFonts w:ascii="Arial" w:hAnsi="Arial" w:cs="Arial"/>
          <w:sz w:val="24"/>
          <w:szCs w:val="24"/>
        </w:rPr>
        <w:t xml:space="preserve"> on CNN,</w:t>
      </w:r>
      <w:r w:rsidRPr="00731FAE">
        <w:rPr>
          <w:rFonts w:ascii="Arial" w:hAnsi="Arial" w:cs="Arial"/>
          <w:sz w:val="24"/>
          <w:szCs w:val="24"/>
        </w:rPr>
        <w:t xml:space="preserve"> </w:t>
      </w:r>
      <w:hyperlink r:id="rId30" w:history="1">
        <w:r w:rsidRPr="00E4439A">
          <w:rPr>
            <w:rStyle w:val="Hyperlink"/>
            <w:rFonts w:cs="Arial"/>
            <w:szCs w:val="24"/>
          </w:rPr>
          <w:t>https://www.cnn.com/videos/us/2015/07/27/disabled-work-program-corruption-griffin-dnt-ac.cnn</w:t>
        </w:r>
      </w:hyperlink>
      <w:r w:rsidRPr="00731FAE">
        <w:rPr>
          <w:rFonts w:ascii="Arial" w:hAnsi="Arial" w:cs="Arial"/>
          <w:sz w:val="24"/>
          <w:szCs w:val="24"/>
        </w:rPr>
        <w:t>.</w:t>
      </w:r>
      <w:r>
        <w:rPr>
          <w:rFonts w:ascii="Arial" w:hAnsi="Arial" w:cs="Arial"/>
          <w:sz w:val="24"/>
          <w:szCs w:val="24"/>
        </w:rPr>
        <w:t xml:space="preserve"> </w:t>
      </w:r>
    </w:p>
  </w:endnote>
  <w:endnote w:id="113">
    <w:p w14:paraId="39B329B4" w14:textId="77777777" w:rsidR="001778CD" w:rsidRPr="007C4DDD" w:rsidRDefault="001778CD" w:rsidP="001778CD">
      <w:pPr>
        <w:pStyle w:val="EndnoteText"/>
        <w:rPr>
          <w:rFonts w:ascii="Arial" w:hAnsi="Arial" w:cs="Arial"/>
          <w:sz w:val="24"/>
          <w:szCs w:val="24"/>
        </w:rPr>
      </w:pPr>
      <w:r w:rsidRPr="00731FAE">
        <w:rPr>
          <w:rStyle w:val="EndnoteReference"/>
          <w:rFonts w:cs="Arial"/>
          <w:szCs w:val="24"/>
        </w:rPr>
        <w:endnoteRef/>
      </w:r>
      <w:r w:rsidRPr="00731FAE">
        <w:rPr>
          <w:rFonts w:ascii="Arial" w:hAnsi="Arial" w:cs="Arial"/>
          <w:sz w:val="24"/>
          <w:szCs w:val="24"/>
        </w:rPr>
        <w:t xml:space="preserve"> Ibid.</w:t>
      </w:r>
    </w:p>
  </w:endnote>
  <w:endnote w:id="114">
    <w:p w14:paraId="2953A799"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Consolidated Appropriations Act, 2016, Pub. L. No. 114-113, Division H, Title IV, §§</w:t>
      </w:r>
      <w:r>
        <w:rPr>
          <w:rFonts w:ascii="Arial" w:hAnsi="Arial" w:cs="Arial"/>
          <w:sz w:val="24"/>
          <w:szCs w:val="24"/>
        </w:rPr>
        <w:t xml:space="preserve"> 401-</w:t>
      </w:r>
      <w:r w:rsidRPr="007C4DDD">
        <w:rPr>
          <w:rFonts w:ascii="Arial" w:hAnsi="Arial" w:cs="Arial"/>
          <w:sz w:val="24"/>
          <w:szCs w:val="24"/>
        </w:rPr>
        <w:t>402,129 Stat. 2242, 2639 (2015).</w:t>
      </w:r>
    </w:p>
  </w:endnote>
  <w:endnote w:id="115">
    <w:p w14:paraId="09515DD2" w14:textId="77777777" w:rsidR="001778CD" w:rsidRPr="007C4DDD" w:rsidRDefault="001778CD" w:rsidP="001778CD">
      <w:pPr>
        <w:spacing w:after="0"/>
        <w:rPr>
          <w:rFonts w:ascii="Arial" w:hAnsi="Arial" w:cs="Arial"/>
          <w:szCs w:val="24"/>
        </w:rPr>
      </w:pPr>
      <w:r w:rsidRPr="007C4DDD">
        <w:rPr>
          <w:rStyle w:val="EndnoteReference"/>
          <w:rFonts w:cs="Arial"/>
          <w:szCs w:val="24"/>
        </w:rPr>
        <w:endnoteRef/>
      </w:r>
      <w:r w:rsidRPr="007C4DDD">
        <w:rPr>
          <w:rFonts w:ascii="Arial" w:hAnsi="Arial" w:cs="Arial"/>
          <w:szCs w:val="24"/>
        </w:rPr>
        <w:t xml:space="preserve"> Ibid., § 402, 129</w:t>
      </w:r>
      <w:r>
        <w:rPr>
          <w:rFonts w:ascii="Arial" w:hAnsi="Arial" w:cs="Arial"/>
          <w:szCs w:val="24"/>
        </w:rPr>
        <w:t xml:space="preserve"> Stat. 2242, 2639. Section 402 </w:t>
      </w:r>
      <w:r w:rsidRPr="007C4DDD">
        <w:rPr>
          <w:rFonts w:ascii="Arial" w:eastAsiaTheme="minorHAnsi" w:hAnsi="Arial" w:cs="Arial"/>
          <w:szCs w:val="24"/>
        </w:rPr>
        <w:t>reference</w:t>
      </w:r>
      <w:r>
        <w:rPr>
          <w:rFonts w:ascii="Arial" w:eastAsiaTheme="minorHAnsi" w:hAnsi="Arial" w:cs="Arial"/>
          <w:szCs w:val="24"/>
        </w:rPr>
        <w:t>s</w:t>
      </w:r>
      <w:r w:rsidRPr="007C4DDD">
        <w:rPr>
          <w:rFonts w:ascii="Arial" w:eastAsiaTheme="minorHAnsi" w:hAnsi="Arial" w:cs="Arial"/>
          <w:szCs w:val="24"/>
        </w:rPr>
        <w:t xml:space="preserve"> section 4 of the CAA, 129 Stat 2242, </w:t>
      </w:r>
      <w:r>
        <w:rPr>
          <w:rFonts w:ascii="Arial" w:eastAsiaTheme="minorHAnsi" w:hAnsi="Arial" w:cs="Arial"/>
          <w:szCs w:val="24"/>
        </w:rPr>
        <w:t xml:space="preserve">2244, which </w:t>
      </w:r>
      <w:r w:rsidRPr="007C4DDD">
        <w:rPr>
          <w:rFonts w:ascii="Arial" w:eastAsiaTheme="minorHAnsi" w:hAnsi="Arial" w:cs="Arial"/>
          <w:szCs w:val="24"/>
        </w:rPr>
        <w:t>in turn references</w:t>
      </w:r>
      <w:r w:rsidRPr="007C4DDD">
        <w:rPr>
          <w:rFonts w:ascii="Arial" w:hAnsi="Arial" w:cs="Arial"/>
          <w:szCs w:val="24"/>
        </w:rPr>
        <w:t xml:space="preserve"> the Chairman of the Committee on Appropriations of the House December 17 </w:t>
      </w:r>
      <w:r>
        <w:rPr>
          <w:rFonts w:ascii="Arial" w:hAnsi="Arial" w:cs="Arial"/>
          <w:szCs w:val="24"/>
        </w:rPr>
        <w:t>statement.</w:t>
      </w:r>
      <w:r w:rsidRPr="007C4DDD">
        <w:rPr>
          <w:rFonts w:ascii="Arial" w:hAnsi="Arial" w:cs="Arial"/>
          <w:szCs w:val="24"/>
        </w:rPr>
        <w:t xml:space="preserve"> The </w:t>
      </w:r>
      <w:r>
        <w:rPr>
          <w:rFonts w:ascii="Arial" w:hAnsi="Arial" w:cs="Arial"/>
          <w:szCs w:val="24"/>
        </w:rPr>
        <w:t xml:space="preserve">portion of the </w:t>
      </w:r>
      <w:r w:rsidRPr="007C4DDD">
        <w:rPr>
          <w:rFonts w:ascii="Arial" w:hAnsi="Arial" w:cs="Arial"/>
          <w:szCs w:val="24"/>
        </w:rPr>
        <w:t>statement relevant to the Committee for Purchase</w:t>
      </w:r>
      <w:r>
        <w:rPr>
          <w:rFonts w:ascii="Arial" w:hAnsi="Arial" w:cs="Arial"/>
          <w:szCs w:val="24"/>
        </w:rPr>
        <w:t xml:space="preserve"> </w:t>
      </w:r>
      <w:r w:rsidRPr="007C4DDD">
        <w:rPr>
          <w:rFonts w:ascii="Arial" w:hAnsi="Arial" w:cs="Arial"/>
          <w:szCs w:val="24"/>
        </w:rPr>
        <w:t>which specifie</w:t>
      </w:r>
      <w:r>
        <w:rPr>
          <w:rFonts w:ascii="Arial" w:hAnsi="Arial" w:cs="Arial"/>
          <w:szCs w:val="24"/>
        </w:rPr>
        <w:t>s the reports to be submitted</w:t>
      </w:r>
      <w:r w:rsidRPr="007C4DDD">
        <w:rPr>
          <w:rFonts w:ascii="Arial" w:hAnsi="Arial" w:cs="Arial"/>
          <w:szCs w:val="24"/>
        </w:rPr>
        <w:t xml:space="preserve"> may be found at 161 Cong. Rec. H10161-01, H10292 (December 17, 2015).</w:t>
      </w:r>
    </w:p>
  </w:endnote>
  <w:endnote w:id="116">
    <w:p w14:paraId="1188EE79"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sidRPr="00AA1D84">
        <w:rPr>
          <w:rFonts w:ascii="Arial" w:hAnsi="Arial" w:cs="Arial"/>
          <w:sz w:val="24"/>
          <w:szCs w:val="24"/>
        </w:rPr>
        <w:t>H.R. Rep</w:t>
      </w:r>
      <w:r>
        <w:rPr>
          <w:rFonts w:ascii="Arial" w:hAnsi="Arial" w:cs="Arial"/>
          <w:sz w:val="24"/>
          <w:szCs w:val="24"/>
        </w:rPr>
        <w:t>.</w:t>
      </w:r>
      <w:r w:rsidRPr="00AA1D84">
        <w:rPr>
          <w:rFonts w:ascii="Arial" w:hAnsi="Arial" w:cs="Arial"/>
          <w:sz w:val="24"/>
          <w:szCs w:val="24"/>
        </w:rPr>
        <w:t xml:space="preserve"> No. 115-244, at 135.</w:t>
      </w:r>
    </w:p>
  </w:endnote>
  <w:endnote w:id="117">
    <w:p w14:paraId="4D315FBD" w14:textId="77777777" w:rsidR="001778CD" w:rsidRDefault="001778CD" w:rsidP="001778CD">
      <w:pPr>
        <w:pStyle w:val="EndnoteText"/>
      </w:pPr>
      <w:r>
        <w:rPr>
          <w:rStyle w:val="EndnoteReference"/>
        </w:rPr>
        <w:endnoteRef/>
      </w:r>
      <w:r>
        <w:t xml:space="preserve"> </w:t>
      </w:r>
      <w:r>
        <w:rPr>
          <w:rFonts w:ascii="Arial" w:hAnsi="Arial" w:cs="Arial"/>
          <w:sz w:val="24"/>
          <w:szCs w:val="24"/>
        </w:rPr>
        <w:t xml:space="preserve">U.S. </w:t>
      </w:r>
      <w:r w:rsidRPr="007C4DDD">
        <w:rPr>
          <w:rFonts w:ascii="Arial" w:hAnsi="Arial" w:cs="Arial"/>
          <w:sz w:val="24"/>
          <w:szCs w:val="24"/>
        </w:rPr>
        <w:t xml:space="preserve">AbilityOne </w:t>
      </w:r>
      <w:r>
        <w:rPr>
          <w:rFonts w:ascii="Arial" w:hAnsi="Arial" w:cs="Arial"/>
          <w:sz w:val="24"/>
          <w:szCs w:val="24"/>
        </w:rPr>
        <w:t xml:space="preserve">Commission staff written </w:t>
      </w:r>
      <w:r w:rsidRPr="007C4DDD">
        <w:rPr>
          <w:rFonts w:ascii="Arial" w:hAnsi="Arial" w:cs="Arial"/>
          <w:sz w:val="24"/>
          <w:szCs w:val="24"/>
        </w:rPr>
        <w:t>response</w:t>
      </w:r>
      <w:r>
        <w:rPr>
          <w:rFonts w:ascii="Arial" w:hAnsi="Arial" w:cs="Arial"/>
          <w:sz w:val="24"/>
          <w:szCs w:val="24"/>
        </w:rPr>
        <w:t>s</w:t>
      </w:r>
      <w:r w:rsidRPr="007C4DDD">
        <w:rPr>
          <w:rFonts w:ascii="Arial" w:hAnsi="Arial" w:cs="Arial"/>
          <w:sz w:val="24"/>
          <w:szCs w:val="24"/>
        </w:rPr>
        <w:t xml:space="preserve"> to </w:t>
      </w:r>
      <w:r>
        <w:rPr>
          <w:rFonts w:ascii="Arial" w:hAnsi="Arial" w:cs="Arial"/>
          <w:sz w:val="24"/>
          <w:szCs w:val="24"/>
        </w:rPr>
        <w:t>NCD research questions.</w:t>
      </w:r>
    </w:p>
  </w:endnote>
  <w:endnote w:id="118">
    <w:p w14:paraId="7A32AFF2"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National Defense Authorization Act for FY 2017, Pub. L. No. 114-328, </w:t>
      </w:r>
      <w:r>
        <w:rPr>
          <w:rFonts w:ascii="Arial" w:hAnsi="Arial" w:cs="Arial"/>
          <w:sz w:val="24"/>
          <w:szCs w:val="24"/>
        </w:rPr>
        <w:t>§</w:t>
      </w:r>
      <w:r w:rsidRPr="007C4DDD">
        <w:rPr>
          <w:rFonts w:ascii="Arial" w:hAnsi="Arial" w:cs="Arial"/>
          <w:sz w:val="24"/>
          <w:szCs w:val="24"/>
        </w:rPr>
        <w:t xml:space="preserve"> 898, 130 Stat. 2000 (2016)</w:t>
      </w:r>
      <w:r>
        <w:rPr>
          <w:rFonts w:ascii="Arial" w:hAnsi="Arial" w:cs="Arial"/>
          <w:sz w:val="24"/>
          <w:szCs w:val="24"/>
        </w:rPr>
        <w:t>,</w:t>
      </w:r>
      <w:r w:rsidRPr="00642D36">
        <w:t xml:space="preserve"> </w:t>
      </w:r>
      <w:hyperlink r:id="rId31" w:history="1">
        <w:r w:rsidRPr="00003D91">
          <w:rPr>
            <w:rStyle w:val="Hyperlink"/>
            <w:rFonts w:cs="Arial"/>
            <w:szCs w:val="24"/>
          </w:rPr>
          <w:t>https://www.congress.gov/114/plaws/publ328/PLAW-114publ328.pdf</w:t>
        </w:r>
      </w:hyperlink>
      <w:r w:rsidRPr="00642D36">
        <w:rPr>
          <w:rFonts w:ascii="Arial" w:hAnsi="Arial" w:cs="Arial"/>
          <w:sz w:val="24"/>
          <w:szCs w:val="24"/>
        </w:rPr>
        <w:t>.</w:t>
      </w:r>
      <w:r>
        <w:rPr>
          <w:rFonts w:ascii="Arial" w:hAnsi="Arial" w:cs="Arial"/>
          <w:sz w:val="24"/>
          <w:szCs w:val="24"/>
        </w:rPr>
        <w:t xml:space="preserve"> </w:t>
      </w:r>
    </w:p>
  </w:endnote>
  <w:endnote w:id="119">
    <w:p w14:paraId="0594D266"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 xml:space="preserve">U.S. Ability One Commission, </w:t>
      </w:r>
      <w:r w:rsidRPr="00526111">
        <w:rPr>
          <w:rFonts w:ascii="Arial" w:hAnsi="Arial" w:cs="Arial"/>
          <w:i/>
          <w:sz w:val="24"/>
          <w:szCs w:val="24"/>
        </w:rPr>
        <w:t>Fiscal Year 2016 Performance and Accountability Report</w:t>
      </w:r>
      <w:r>
        <w:rPr>
          <w:rFonts w:ascii="Arial" w:hAnsi="Arial" w:cs="Arial"/>
          <w:sz w:val="24"/>
          <w:szCs w:val="24"/>
        </w:rPr>
        <w:t xml:space="preserve">, 2, </w:t>
      </w:r>
      <w:hyperlink r:id="rId32" w:history="1">
        <w:r w:rsidRPr="00E4439A">
          <w:rPr>
            <w:rStyle w:val="Hyperlink"/>
            <w:rFonts w:cs="Arial"/>
            <w:szCs w:val="24"/>
          </w:rPr>
          <w:t>https://www.abilityone.gov/commission/documents/FY%202016%20CPPBSD%20AbilityOne%20Commission%20PAR%20Final.pdf</w:t>
        </w:r>
      </w:hyperlink>
      <w:r>
        <w:rPr>
          <w:rFonts w:ascii="Arial" w:hAnsi="Arial" w:cs="Arial"/>
          <w:sz w:val="24"/>
          <w:szCs w:val="24"/>
        </w:rPr>
        <w:t xml:space="preserve">. </w:t>
      </w:r>
    </w:p>
  </w:endnote>
  <w:endnote w:id="120">
    <w:p w14:paraId="395853B8" w14:textId="38F5FC1F" w:rsidR="001778CD" w:rsidRPr="00AA1D84"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U.S. AbilityOne Commission, “</w:t>
      </w:r>
      <w:r w:rsidRPr="00DA5835">
        <w:rPr>
          <w:rFonts w:ascii="Arial" w:hAnsi="Arial" w:cs="Arial"/>
          <w:sz w:val="24"/>
          <w:szCs w:val="24"/>
        </w:rPr>
        <w:t>U.S. AbilityOne Commission Signs Cooperative Agreement with SourceAmerica</w:t>
      </w:r>
      <w:r>
        <w:rPr>
          <w:rFonts w:ascii="Arial" w:hAnsi="Arial" w:cs="Arial"/>
          <w:sz w:val="24"/>
          <w:szCs w:val="24"/>
        </w:rPr>
        <w:t>”</w:t>
      </w:r>
      <w:r w:rsidRPr="007C4DDD">
        <w:rPr>
          <w:rFonts w:ascii="Arial" w:hAnsi="Arial" w:cs="Arial"/>
          <w:sz w:val="24"/>
          <w:szCs w:val="24"/>
        </w:rPr>
        <w:t xml:space="preserve"> </w:t>
      </w:r>
      <w:r>
        <w:rPr>
          <w:rFonts w:ascii="Arial" w:hAnsi="Arial" w:cs="Arial"/>
          <w:sz w:val="24"/>
          <w:szCs w:val="24"/>
        </w:rPr>
        <w:t xml:space="preserve">(June 15, 2016), </w:t>
      </w:r>
      <w:hyperlink r:id="rId33" w:history="1">
        <w:r w:rsidRPr="007C4DDD">
          <w:rPr>
            <w:rStyle w:val="Hyperlink"/>
            <w:rFonts w:cs="Arial"/>
            <w:szCs w:val="24"/>
          </w:rPr>
          <w:t>https://www.abilityone.gov/media_room/documents/AbilityOne_Cmsn_SourceAmerica_CA_Signed_FINAL_20160615.pdf</w:t>
        </w:r>
      </w:hyperlink>
      <w:r w:rsidRPr="00526111">
        <w:rPr>
          <w:rStyle w:val="Hyperlink"/>
          <w:rFonts w:cs="Arial"/>
          <w:szCs w:val="24"/>
        </w:rPr>
        <w:t>.</w:t>
      </w:r>
      <w:r w:rsidRPr="007C4DDD">
        <w:rPr>
          <w:rFonts w:ascii="Arial" w:hAnsi="Arial" w:cs="Arial"/>
          <w:sz w:val="24"/>
          <w:szCs w:val="24"/>
        </w:rPr>
        <w:t xml:space="preserve"> </w:t>
      </w:r>
      <w:r w:rsidRPr="00AA1D84">
        <w:rPr>
          <w:rFonts w:ascii="Arial" w:hAnsi="Arial" w:cs="Arial"/>
          <w:sz w:val="24"/>
          <w:szCs w:val="24"/>
        </w:rPr>
        <w:t xml:space="preserve">Cooperative Agreement Between </w:t>
      </w:r>
      <w:r>
        <w:rPr>
          <w:rFonts w:ascii="Arial" w:hAnsi="Arial" w:cs="Arial"/>
          <w:sz w:val="24"/>
          <w:szCs w:val="24"/>
        </w:rPr>
        <w:t xml:space="preserve">the </w:t>
      </w:r>
      <w:r w:rsidRPr="00AA1D84">
        <w:rPr>
          <w:rFonts w:ascii="Arial" w:hAnsi="Arial" w:cs="Arial"/>
          <w:sz w:val="24"/>
          <w:szCs w:val="24"/>
        </w:rPr>
        <w:t xml:space="preserve">Committee for Purchase from People who are Blind or Severely Disabled and </w:t>
      </w:r>
      <w:r>
        <w:rPr>
          <w:rFonts w:ascii="Arial" w:hAnsi="Arial" w:cs="Arial"/>
          <w:sz w:val="24"/>
          <w:szCs w:val="24"/>
        </w:rPr>
        <w:t xml:space="preserve">SourceAmerica, Modification 06, </w:t>
      </w:r>
      <w:r w:rsidRPr="00AA1D84">
        <w:rPr>
          <w:rFonts w:ascii="Arial" w:hAnsi="Arial" w:cs="Arial"/>
          <w:sz w:val="24"/>
          <w:szCs w:val="24"/>
        </w:rPr>
        <w:t>January 18, 2018</w:t>
      </w:r>
      <w:r>
        <w:rPr>
          <w:rFonts w:ascii="Arial" w:hAnsi="Arial" w:cs="Arial"/>
          <w:sz w:val="24"/>
          <w:szCs w:val="24"/>
        </w:rPr>
        <w:t>,</w:t>
      </w:r>
      <w:r w:rsidRPr="00AA1D84">
        <w:rPr>
          <w:rFonts w:ascii="Arial" w:hAnsi="Arial" w:cs="Arial"/>
          <w:sz w:val="24"/>
          <w:szCs w:val="24"/>
        </w:rPr>
        <w:t xml:space="preserve"> </w:t>
      </w:r>
      <w:hyperlink r:id="rId34" w:history="1">
        <w:r w:rsidRPr="00AA1D84">
          <w:rPr>
            <w:rStyle w:val="Hyperlink"/>
            <w:rFonts w:cs="Arial"/>
            <w:szCs w:val="24"/>
          </w:rPr>
          <w:t>https://www.abilityone.gov/laws,_regulations_and_policy/documents/A01_SA_CA_Incorporating_Mod06_-_Final_1.18.18.pdf</w:t>
        </w:r>
      </w:hyperlink>
      <w:r>
        <w:rPr>
          <w:rFonts w:ascii="Arial" w:hAnsi="Arial" w:cs="Arial"/>
          <w:sz w:val="24"/>
          <w:szCs w:val="24"/>
        </w:rPr>
        <w:t>.</w:t>
      </w:r>
      <w:r w:rsidRPr="00AA1D84">
        <w:rPr>
          <w:rFonts w:ascii="Arial" w:hAnsi="Arial" w:cs="Arial"/>
          <w:sz w:val="24"/>
          <w:szCs w:val="24"/>
        </w:rPr>
        <w:t xml:space="preserve"> Cooperative Agreement Between </w:t>
      </w:r>
      <w:r>
        <w:rPr>
          <w:rFonts w:ascii="Arial" w:hAnsi="Arial" w:cs="Arial"/>
          <w:sz w:val="24"/>
          <w:szCs w:val="24"/>
        </w:rPr>
        <w:t xml:space="preserve">the </w:t>
      </w:r>
      <w:r w:rsidRPr="00AA1D84">
        <w:rPr>
          <w:rFonts w:ascii="Arial" w:hAnsi="Arial" w:cs="Arial"/>
          <w:sz w:val="24"/>
          <w:szCs w:val="24"/>
        </w:rPr>
        <w:t>Committee for Purchase from People who are Blind or Severely Disabled and the National Industries for the Blind, Modification 06</w:t>
      </w:r>
      <w:r>
        <w:rPr>
          <w:rFonts w:ascii="Arial" w:hAnsi="Arial" w:cs="Arial"/>
          <w:sz w:val="24"/>
          <w:szCs w:val="24"/>
        </w:rPr>
        <w:t>,</w:t>
      </w:r>
      <w:r w:rsidRPr="00AA1D84">
        <w:rPr>
          <w:rFonts w:ascii="Arial" w:hAnsi="Arial" w:cs="Arial"/>
          <w:sz w:val="24"/>
          <w:szCs w:val="24"/>
        </w:rPr>
        <w:t xml:space="preserve"> July 18, 2018</w:t>
      </w:r>
      <w:r>
        <w:rPr>
          <w:rFonts w:ascii="Arial" w:hAnsi="Arial" w:cs="Arial"/>
          <w:sz w:val="24"/>
          <w:szCs w:val="24"/>
        </w:rPr>
        <w:t>,</w:t>
      </w:r>
      <w:r w:rsidRPr="00AA1D84">
        <w:rPr>
          <w:rFonts w:ascii="Arial" w:hAnsi="Arial" w:cs="Arial"/>
          <w:sz w:val="24"/>
          <w:szCs w:val="24"/>
        </w:rPr>
        <w:t xml:space="preserve"> </w:t>
      </w:r>
      <w:hyperlink r:id="rId35" w:history="1">
        <w:r w:rsidRPr="00AA1D84">
          <w:rPr>
            <w:rStyle w:val="Hyperlink"/>
            <w:rFonts w:cs="Arial"/>
            <w:szCs w:val="24"/>
          </w:rPr>
          <w:t>https://www.abilityone.gov/laws,_regulations_and_policy/documents/A02%20NIB%20CA%20Incorporating%20Mod06%2020180617%20Final.pdf</w:t>
        </w:r>
      </w:hyperlink>
      <w:r w:rsidRPr="00AA1D84">
        <w:rPr>
          <w:rFonts w:ascii="Arial" w:hAnsi="Arial" w:cs="Arial"/>
          <w:sz w:val="24"/>
          <w:szCs w:val="24"/>
        </w:rPr>
        <w:t xml:space="preserve">. </w:t>
      </w:r>
      <w:r w:rsidRPr="007C4DDD">
        <w:rPr>
          <w:rFonts w:ascii="Arial" w:hAnsi="Arial" w:cs="Arial"/>
          <w:sz w:val="24"/>
          <w:szCs w:val="24"/>
        </w:rPr>
        <w:t xml:space="preserve">The AbilityOne Commission reached an agreement with </w:t>
      </w:r>
      <w:r>
        <w:rPr>
          <w:rFonts w:ascii="Arial" w:hAnsi="Arial" w:cs="Arial"/>
          <w:sz w:val="24"/>
          <w:szCs w:val="24"/>
        </w:rPr>
        <w:t xml:space="preserve">the </w:t>
      </w:r>
      <w:r w:rsidR="003267D8" w:rsidRPr="003267D8">
        <w:rPr>
          <w:rFonts w:ascii="Arial" w:hAnsi="Arial" w:cs="Arial"/>
          <w:sz w:val="24"/>
          <w:szCs w:val="24"/>
        </w:rPr>
        <w:t xml:space="preserve">American Foundation for the </w:t>
      </w:r>
      <w:r w:rsidR="003267D8" w:rsidRPr="003267D8">
        <w:rPr>
          <w:rFonts w:ascii="Arial" w:hAnsi="Arial" w:cs="Arial"/>
          <w:sz w:val="24"/>
          <w:szCs w:val="24"/>
        </w:rPr>
        <w:t>Blind</w:t>
      </w:r>
      <w:r w:rsidR="003267D8">
        <w:rPr>
          <w:rFonts w:ascii="Arial" w:hAnsi="Arial" w:cs="Arial"/>
          <w:sz w:val="24"/>
          <w:szCs w:val="24"/>
        </w:rPr>
        <w:t xml:space="preserve"> </w:t>
      </w:r>
      <w:r w:rsidRPr="007C4DDD">
        <w:rPr>
          <w:rFonts w:ascii="Arial" w:hAnsi="Arial" w:cs="Arial"/>
          <w:sz w:val="24"/>
          <w:szCs w:val="24"/>
        </w:rPr>
        <w:t>in July 2018</w:t>
      </w:r>
      <w:r>
        <w:rPr>
          <w:rFonts w:ascii="Arial" w:hAnsi="Arial" w:cs="Arial"/>
          <w:sz w:val="24"/>
          <w:szCs w:val="24"/>
        </w:rPr>
        <w:t>, but a</w:t>
      </w:r>
      <w:r w:rsidRPr="007C4DDD">
        <w:rPr>
          <w:rFonts w:ascii="Arial" w:hAnsi="Arial" w:cs="Arial"/>
          <w:sz w:val="24"/>
          <w:szCs w:val="24"/>
        </w:rPr>
        <w:t xml:space="preserve"> comprehensive analysis of that agreement was not conducted since AFB has </w:t>
      </w:r>
      <w:r>
        <w:rPr>
          <w:rFonts w:ascii="Arial" w:hAnsi="Arial" w:cs="Arial"/>
          <w:sz w:val="24"/>
          <w:szCs w:val="24"/>
        </w:rPr>
        <w:t xml:space="preserve">not yet begun </w:t>
      </w:r>
      <w:r w:rsidRPr="007C4DDD">
        <w:rPr>
          <w:rFonts w:ascii="Arial" w:hAnsi="Arial" w:cs="Arial"/>
          <w:sz w:val="24"/>
          <w:szCs w:val="24"/>
        </w:rPr>
        <w:t>general operations as a CNA.</w:t>
      </w:r>
    </w:p>
  </w:endnote>
  <w:endnote w:id="121">
    <w:p w14:paraId="0C908A52" w14:textId="77777777" w:rsidR="001778CD" w:rsidRPr="007C4DDD" w:rsidRDefault="001778CD" w:rsidP="001778CD">
      <w:pPr>
        <w:pStyle w:val="EndnoteText"/>
        <w:rPr>
          <w:rFonts w:ascii="Arial" w:hAnsi="Arial" w:cs="Arial"/>
          <w:sz w:val="24"/>
          <w:szCs w:val="24"/>
        </w:rPr>
      </w:pPr>
      <w:r w:rsidRPr="00AA1D84">
        <w:rPr>
          <w:rStyle w:val="EndnoteReference"/>
          <w:rFonts w:cs="Arial"/>
          <w:szCs w:val="24"/>
        </w:rPr>
        <w:endnoteRef/>
      </w:r>
      <w:r w:rsidRPr="00AA1D84">
        <w:rPr>
          <w:rFonts w:ascii="Arial" w:hAnsi="Arial" w:cs="Arial"/>
          <w:sz w:val="24"/>
          <w:szCs w:val="24"/>
        </w:rPr>
        <w:t xml:space="preserve"> Cooperative Agreement Between </w:t>
      </w:r>
      <w:r>
        <w:rPr>
          <w:rFonts w:ascii="Arial" w:hAnsi="Arial" w:cs="Arial"/>
          <w:sz w:val="24"/>
          <w:szCs w:val="24"/>
        </w:rPr>
        <w:t xml:space="preserve">the </w:t>
      </w:r>
      <w:r w:rsidRPr="00AA1D84">
        <w:rPr>
          <w:rFonts w:ascii="Arial" w:hAnsi="Arial" w:cs="Arial"/>
          <w:sz w:val="24"/>
          <w:szCs w:val="24"/>
        </w:rPr>
        <w:t xml:space="preserve">Committee for Purchase </w:t>
      </w:r>
      <w:r>
        <w:rPr>
          <w:rFonts w:ascii="Arial" w:hAnsi="Arial" w:cs="Arial"/>
          <w:sz w:val="24"/>
          <w:szCs w:val="24"/>
        </w:rPr>
        <w:t xml:space="preserve">and SourceAmerica, </w:t>
      </w:r>
      <w:r w:rsidRPr="00064576">
        <w:rPr>
          <w:rFonts w:ascii="Arial" w:hAnsi="Arial" w:cs="Arial"/>
          <w:sz w:val="24"/>
          <w:szCs w:val="24"/>
        </w:rPr>
        <w:t>January 18, 2018,</w:t>
      </w:r>
      <w:r>
        <w:rPr>
          <w:rFonts w:ascii="Arial" w:hAnsi="Arial" w:cs="Arial"/>
          <w:sz w:val="24"/>
          <w:szCs w:val="24"/>
        </w:rPr>
        <w:t xml:space="preserve"> 6 and</w:t>
      </w:r>
      <w:r w:rsidRPr="00AA1D84">
        <w:rPr>
          <w:rFonts w:ascii="Arial" w:hAnsi="Arial" w:cs="Arial"/>
          <w:sz w:val="24"/>
          <w:szCs w:val="24"/>
        </w:rPr>
        <w:t xml:space="preserve"> 11. </w:t>
      </w:r>
      <w:r w:rsidRPr="007C4DDD">
        <w:rPr>
          <w:rFonts w:ascii="Arial" w:hAnsi="Arial" w:cs="Arial"/>
          <w:sz w:val="24"/>
          <w:szCs w:val="24"/>
        </w:rPr>
        <w:t xml:space="preserve">The cooperative agreement with NIB contains the same </w:t>
      </w:r>
      <w:r>
        <w:rPr>
          <w:rFonts w:ascii="Arial" w:hAnsi="Arial" w:cs="Arial"/>
          <w:sz w:val="24"/>
          <w:szCs w:val="24"/>
        </w:rPr>
        <w:t xml:space="preserve">relevant </w:t>
      </w:r>
      <w:r w:rsidRPr="007C4DDD">
        <w:rPr>
          <w:rFonts w:ascii="Arial" w:hAnsi="Arial" w:cs="Arial"/>
          <w:sz w:val="24"/>
          <w:szCs w:val="24"/>
        </w:rPr>
        <w:t xml:space="preserve">provisions discussed in this report. </w:t>
      </w:r>
    </w:p>
  </w:endnote>
  <w:endnote w:id="122">
    <w:p w14:paraId="2017226A"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p>
  </w:endnote>
  <w:endnote w:id="123">
    <w:p w14:paraId="328FFFF2"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r>
        <w:rPr>
          <w:rFonts w:ascii="Arial" w:hAnsi="Arial" w:cs="Arial"/>
          <w:sz w:val="24"/>
          <w:szCs w:val="24"/>
        </w:rPr>
        <w:t>, 14-</w:t>
      </w:r>
      <w:r w:rsidRPr="007C4DDD">
        <w:rPr>
          <w:rFonts w:ascii="Arial" w:hAnsi="Arial" w:cs="Arial"/>
          <w:sz w:val="24"/>
          <w:szCs w:val="24"/>
        </w:rPr>
        <w:t>15.</w:t>
      </w:r>
    </w:p>
  </w:endnote>
  <w:endnote w:id="124">
    <w:p w14:paraId="595AACAC"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p>
  </w:endnote>
  <w:endnote w:id="125">
    <w:p w14:paraId="069F2073"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p>
  </w:endnote>
  <w:endnote w:id="126">
    <w:p w14:paraId="21AC86B7"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Ibid., 12-</w:t>
      </w:r>
      <w:r w:rsidRPr="007C4DDD">
        <w:rPr>
          <w:rFonts w:ascii="Arial" w:hAnsi="Arial" w:cs="Arial"/>
          <w:sz w:val="24"/>
          <w:szCs w:val="24"/>
        </w:rPr>
        <w:t>13.</w:t>
      </w:r>
    </w:p>
  </w:endnote>
  <w:endnote w:id="127">
    <w:p w14:paraId="72B8D107"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 13.</w:t>
      </w:r>
    </w:p>
  </w:endnote>
  <w:endnote w:id="128">
    <w:p w14:paraId="3737DC60"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p>
  </w:endnote>
  <w:endnote w:id="129">
    <w:p w14:paraId="750E18D4"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p>
  </w:endnote>
  <w:endnote w:id="130">
    <w:p w14:paraId="38DB6192"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 30.</w:t>
      </w:r>
    </w:p>
  </w:endnote>
  <w:endnote w:id="131">
    <w:p w14:paraId="533AEEE3"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p>
  </w:endnote>
  <w:endnote w:id="132">
    <w:p w14:paraId="16EB53EF" w14:textId="77777777" w:rsidR="001778CD" w:rsidRPr="00560683" w:rsidRDefault="001778CD" w:rsidP="001778CD">
      <w:pPr>
        <w:pStyle w:val="EndnoteText"/>
        <w:rPr>
          <w:rFonts w:ascii="Arial" w:hAnsi="Arial" w:cs="Arial"/>
          <w:sz w:val="24"/>
          <w:szCs w:val="24"/>
        </w:rPr>
      </w:pPr>
      <w:r>
        <w:rPr>
          <w:rStyle w:val="EndnoteReference"/>
        </w:rPr>
        <w:endnoteRef/>
      </w:r>
      <w:r>
        <w:t xml:space="preserve"> </w:t>
      </w:r>
      <w:r w:rsidRPr="00560683">
        <w:rPr>
          <w:rFonts w:ascii="Arial" w:hAnsi="Arial" w:cs="Arial"/>
          <w:sz w:val="24"/>
          <w:szCs w:val="24"/>
        </w:rPr>
        <w:t>Ibid.</w:t>
      </w:r>
    </w:p>
  </w:endnote>
  <w:endnote w:id="133">
    <w:p w14:paraId="5CFFA6A7"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Committee for Purchase, “</w:t>
      </w:r>
      <w:r>
        <w:rPr>
          <w:rFonts w:ascii="Arial" w:hAnsi="Arial" w:cs="Arial"/>
          <w:sz w:val="24"/>
          <w:szCs w:val="24"/>
        </w:rPr>
        <w:t>FY</w:t>
      </w:r>
      <w:r w:rsidRPr="007C4DDD">
        <w:rPr>
          <w:rFonts w:ascii="Arial" w:hAnsi="Arial" w:cs="Arial"/>
          <w:sz w:val="24"/>
          <w:szCs w:val="24"/>
        </w:rPr>
        <w:t xml:space="preserve"> 2019 Budget Justification,” 22-23</w:t>
      </w:r>
      <w:r>
        <w:rPr>
          <w:rFonts w:ascii="Arial" w:hAnsi="Arial" w:cs="Arial"/>
          <w:sz w:val="24"/>
          <w:szCs w:val="24"/>
        </w:rPr>
        <w:t>.</w:t>
      </w:r>
    </w:p>
  </w:endnote>
  <w:endnote w:id="134">
    <w:p w14:paraId="56A942A9"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r>
        <w:rPr>
          <w:rFonts w:ascii="Arial" w:hAnsi="Arial" w:cs="Arial"/>
          <w:sz w:val="24"/>
          <w:szCs w:val="24"/>
        </w:rPr>
        <w:t xml:space="preserve"> Committee for Purchase, “FY 2018 Budget Justification,” 18. </w:t>
      </w:r>
      <w:r w:rsidRPr="007C4DDD">
        <w:rPr>
          <w:rFonts w:ascii="Arial" w:hAnsi="Arial" w:cs="Arial"/>
          <w:sz w:val="24"/>
          <w:szCs w:val="24"/>
        </w:rPr>
        <w:t>Committee for Purchase from People Who are Blind or Severely Disabled</w:t>
      </w:r>
      <w:r>
        <w:rPr>
          <w:rFonts w:ascii="Arial" w:hAnsi="Arial" w:cs="Arial"/>
          <w:sz w:val="24"/>
          <w:szCs w:val="24"/>
        </w:rPr>
        <w:t xml:space="preserve">, “Fiscal Year 2016 Budget Justification,” 8, </w:t>
      </w:r>
      <w:hyperlink r:id="rId36" w:history="1">
        <w:r w:rsidRPr="00E4439A">
          <w:rPr>
            <w:rStyle w:val="Hyperlink"/>
            <w:rFonts w:cs="Arial"/>
            <w:szCs w:val="24"/>
          </w:rPr>
          <w:t>https://www.abilityone.gov/commission/documents/FY-16%20CPPBSD%20Congressional%20Budget%20Justification%20Final%20Feb%202015.pdf</w:t>
        </w:r>
      </w:hyperlink>
      <w:r>
        <w:rPr>
          <w:rFonts w:ascii="Arial" w:hAnsi="Arial" w:cs="Arial"/>
          <w:sz w:val="24"/>
          <w:szCs w:val="24"/>
        </w:rPr>
        <w:t xml:space="preserve">. </w:t>
      </w:r>
      <w:r w:rsidRPr="007C4DDD">
        <w:rPr>
          <w:rFonts w:ascii="Arial" w:hAnsi="Arial" w:cs="Arial"/>
          <w:sz w:val="24"/>
          <w:szCs w:val="24"/>
        </w:rPr>
        <w:t>Committee for Purchase from People Who are Blind or Severely Disabled</w:t>
      </w:r>
      <w:r>
        <w:rPr>
          <w:rFonts w:ascii="Arial" w:hAnsi="Arial" w:cs="Arial"/>
          <w:sz w:val="24"/>
          <w:szCs w:val="24"/>
        </w:rPr>
        <w:t>, “Fiscal Year 2015 Budget Justification,” 10,</w:t>
      </w:r>
      <w:r w:rsidRPr="006E3FB0">
        <w:t xml:space="preserve"> </w:t>
      </w:r>
      <w:hyperlink r:id="rId37" w:history="1">
        <w:r w:rsidRPr="00E4439A">
          <w:rPr>
            <w:rStyle w:val="Hyperlink"/>
            <w:rFonts w:cs="Arial"/>
            <w:szCs w:val="24"/>
          </w:rPr>
          <w:t>https://www.abilityone.gov/commission/documents/FY-15%20CPPBSD%20Budget%20Justification%20Narrative-a.pdf</w:t>
        </w:r>
      </w:hyperlink>
      <w:r>
        <w:rPr>
          <w:rFonts w:ascii="Arial" w:hAnsi="Arial" w:cs="Arial"/>
          <w:sz w:val="24"/>
          <w:szCs w:val="24"/>
        </w:rPr>
        <w:t xml:space="preserve">. </w:t>
      </w:r>
    </w:p>
  </w:endnote>
  <w:endnote w:id="135">
    <w:p w14:paraId="366F401C"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Cooperative Agreement</w:t>
      </w:r>
      <w:r>
        <w:rPr>
          <w:rFonts w:ascii="Arial" w:hAnsi="Arial" w:cs="Arial"/>
          <w:sz w:val="24"/>
          <w:szCs w:val="24"/>
        </w:rPr>
        <w:t xml:space="preserve"> between the Committee for Purchase and SourceAmerica, </w:t>
      </w:r>
      <w:r w:rsidRPr="00064576">
        <w:rPr>
          <w:rFonts w:ascii="Arial" w:hAnsi="Arial" w:cs="Arial"/>
          <w:sz w:val="24"/>
          <w:szCs w:val="24"/>
        </w:rPr>
        <w:t>January 18, 2018,</w:t>
      </w:r>
      <w:r>
        <w:rPr>
          <w:rFonts w:ascii="Arial" w:hAnsi="Arial" w:cs="Arial"/>
          <w:sz w:val="24"/>
          <w:szCs w:val="24"/>
        </w:rPr>
        <w:t xml:space="preserve"> 36-</w:t>
      </w:r>
      <w:r w:rsidRPr="007C4DDD">
        <w:rPr>
          <w:rFonts w:ascii="Arial" w:hAnsi="Arial" w:cs="Arial"/>
          <w:sz w:val="24"/>
          <w:szCs w:val="24"/>
        </w:rPr>
        <w:t>41.</w:t>
      </w:r>
    </w:p>
  </w:endnote>
  <w:endnote w:id="136">
    <w:p w14:paraId="64FB4F88"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 8.</w:t>
      </w:r>
    </w:p>
  </w:endnote>
  <w:endnote w:id="137">
    <w:p w14:paraId="1826FAB0"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 </w:t>
      </w:r>
      <w:r>
        <w:rPr>
          <w:rFonts w:ascii="Arial" w:hAnsi="Arial" w:cs="Arial"/>
          <w:sz w:val="24"/>
          <w:szCs w:val="24"/>
        </w:rPr>
        <w:t>36-37.</w:t>
      </w:r>
    </w:p>
  </w:endnote>
  <w:endnote w:id="138">
    <w:p w14:paraId="2A6BE318"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Ibid., 37.</w:t>
      </w:r>
    </w:p>
  </w:endnote>
  <w:endnote w:id="139">
    <w:p w14:paraId="07F3C931"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w:t>
      </w:r>
      <w:r>
        <w:rPr>
          <w:rFonts w:ascii="Arial" w:hAnsi="Arial" w:cs="Arial"/>
          <w:sz w:val="24"/>
          <w:szCs w:val="24"/>
        </w:rPr>
        <w:t xml:space="preserve">U.S. </w:t>
      </w:r>
      <w:r w:rsidRPr="007C4DDD">
        <w:rPr>
          <w:rFonts w:ascii="Arial" w:hAnsi="Arial" w:cs="Arial"/>
          <w:sz w:val="24"/>
          <w:szCs w:val="24"/>
        </w:rPr>
        <w:t>General Accountability Office</w:t>
      </w:r>
      <w:r>
        <w:rPr>
          <w:rFonts w:ascii="Arial" w:hAnsi="Arial" w:cs="Arial"/>
          <w:sz w:val="24"/>
          <w:szCs w:val="24"/>
        </w:rPr>
        <w:t>,</w:t>
      </w:r>
      <w:r w:rsidRPr="007C4DDD">
        <w:rPr>
          <w:rFonts w:ascii="Arial" w:hAnsi="Arial" w:cs="Arial"/>
          <w:sz w:val="24"/>
          <w:szCs w:val="24"/>
        </w:rPr>
        <w:t xml:space="preserve"> </w:t>
      </w:r>
      <w:r w:rsidRPr="0012135A">
        <w:rPr>
          <w:rFonts w:ascii="Arial" w:hAnsi="Arial" w:cs="Arial"/>
          <w:i/>
          <w:sz w:val="24"/>
          <w:szCs w:val="24"/>
        </w:rPr>
        <w:t>Enhanced Oversight of the AbilityOne Program Needed</w:t>
      </w:r>
      <w:r>
        <w:rPr>
          <w:rFonts w:ascii="Arial" w:hAnsi="Arial" w:cs="Arial"/>
          <w:sz w:val="24"/>
          <w:szCs w:val="24"/>
        </w:rPr>
        <w:t>, 10-</w:t>
      </w:r>
      <w:r w:rsidRPr="007C4DDD">
        <w:rPr>
          <w:rFonts w:ascii="Arial" w:hAnsi="Arial" w:cs="Arial"/>
          <w:sz w:val="24"/>
          <w:szCs w:val="24"/>
        </w:rPr>
        <w:t xml:space="preserve">11. </w:t>
      </w:r>
    </w:p>
  </w:endnote>
  <w:endnote w:id="140">
    <w:p w14:paraId="2E7A1C7E"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p>
  </w:endnote>
  <w:endnote w:id="141">
    <w:p w14:paraId="1DA3D063"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Ibid., 8-</w:t>
      </w:r>
      <w:r w:rsidRPr="007C4DDD">
        <w:rPr>
          <w:rFonts w:ascii="Arial" w:hAnsi="Arial" w:cs="Arial"/>
          <w:sz w:val="24"/>
          <w:szCs w:val="24"/>
        </w:rPr>
        <w:t>9</w:t>
      </w:r>
      <w:r>
        <w:rPr>
          <w:rFonts w:ascii="Arial" w:hAnsi="Arial" w:cs="Arial"/>
          <w:sz w:val="24"/>
          <w:szCs w:val="24"/>
        </w:rPr>
        <w:t>.</w:t>
      </w:r>
    </w:p>
  </w:endnote>
  <w:endnote w:id="142">
    <w:p w14:paraId="307E2BCD"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p>
  </w:endnote>
  <w:endnote w:id="143">
    <w:p w14:paraId="73631609"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Consolidated Appropriations Act, 2016, Pub. L. No. 114-113</w:t>
      </w:r>
      <w:r>
        <w:rPr>
          <w:rFonts w:ascii="Arial" w:hAnsi="Arial" w:cs="Arial"/>
          <w:sz w:val="24"/>
          <w:szCs w:val="24"/>
        </w:rPr>
        <w:t>.</w:t>
      </w:r>
    </w:p>
  </w:endnote>
  <w:endnote w:id="144">
    <w:p w14:paraId="3B514ACF"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Office of Inspector General, U.S. AbilityOne Commission</w:t>
      </w:r>
      <w:r>
        <w:rPr>
          <w:rFonts w:ascii="Arial" w:hAnsi="Arial" w:cs="Arial"/>
          <w:sz w:val="24"/>
          <w:szCs w:val="24"/>
        </w:rPr>
        <w:t xml:space="preserve">, </w:t>
      </w:r>
      <w:r w:rsidRPr="00DA5835">
        <w:rPr>
          <w:rFonts w:ascii="Arial" w:hAnsi="Arial" w:cs="Arial"/>
          <w:i/>
          <w:sz w:val="24"/>
          <w:szCs w:val="24"/>
        </w:rPr>
        <w:t>Semiannual Report to Congress</w:t>
      </w:r>
      <w:r>
        <w:rPr>
          <w:rFonts w:ascii="Arial" w:hAnsi="Arial" w:cs="Arial"/>
          <w:i/>
          <w:sz w:val="24"/>
          <w:szCs w:val="24"/>
        </w:rPr>
        <w:t>:</w:t>
      </w:r>
      <w:r w:rsidRPr="00D249A7">
        <w:rPr>
          <w:rFonts w:ascii="Arial" w:hAnsi="Arial" w:cs="Arial"/>
          <w:i/>
          <w:sz w:val="24"/>
          <w:szCs w:val="24"/>
        </w:rPr>
        <w:t xml:space="preserve"> </w:t>
      </w:r>
      <w:r w:rsidRPr="00DA5835">
        <w:rPr>
          <w:rFonts w:ascii="Arial" w:hAnsi="Arial" w:cs="Arial"/>
          <w:i/>
          <w:sz w:val="24"/>
          <w:szCs w:val="24"/>
        </w:rPr>
        <w:t>Oct</w:t>
      </w:r>
      <w:r>
        <w:rPr>
          <w:rFonts w:ascii="Arial" w:hAnsi="Arial" w:cs="Arial"/>
          <w:i/>
          <w:sz w:val="24"/>
          <w:szCs w:val="24"/>
        </w:rPr>
        <w:t>ober</w:t>
      </w:r>
      <w:r w:rsidRPr="00DA5835">
        <w:rPr>
          <w:rFonts w:ascii="Arial" w:hAnsi="Arial" w:cs="Arial"/>
          <w:i/>
          <w:sz w:val="24"/>
          <w:szCs w:val="24"/>
        </w:rPr>
        <w:t xml:space="preserve"> 1, 2017 – March 31, 2018</w:t>
      </w:r>
      <w:r>
        <w:rPr>
          <w:rFonts w:ascii="Arial" w:hAnsi="Arial" w:cs="Arial"/>
          <w:sz w:val="24"/>
          <w:szCs w:val="24"/>
        </w:rPr>
        <w:t>, 3,</w:t>
      </w:r>
      <w:r w:rsidRPr="007C4DDD">
        <w:rPr>
          <w:rFonts w:ascii="Arial" w:hAnsi="Arial" w:cs="Arial"/>
          <w:sz w:val="24"/>
          <w:szCs w:val="24"/>
        </w:rPr>
        <w:t xml:space="preserve"> </w:t>
      </w:r>
      <w:hyperlink r:id="rId38" w:history="1">
        <w:r w:rsidRPr="00E4439A">
          <w:rPr>
            <w:rStyle w:val="Hyperlink"/>
            <w:rFonts w:cs="Arial"/>
            <w:szCs w:val="24"/>
          </w:rPr>
          <w:t>https://www.abilityone.gov/commission/documents/CPPBSD%20OIG_SAR%20(October%201%202017-%20March%2031%202018)_FINAL_.pdf</w:t>
        </w:r>
      </w:hyperlink>
      <w:r>
        <w:rPr>
          <w:rFonts w:ascii="Arial" w:hAnsi="Arial" w:cs="Arial"/>
          <w:sz w:val="24"/>
          <w:szCs w:val="24"/>
        </w:rPr>
        <w:t xml:space="preserve">. </w:t>
      </w:r>
    </w:p>
  </w:endnote>
  <w:endnote w:id="145">
    <w:p w14:paraId="38AFC4A3"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Office of Inspector General, U.S. AbilityOne Commission</w:t>
      </w:r>
      <w:r>
        <w:rPr>
          <w:rFonts w:ascii="Arial" w:hAnsi="Arial" w:cs="Arial"/>
          <w:sz w:val="24"/>
          <w:szCs w:val="24"/>
        </w:rPr>
        <w:t>,</w:t>
      </w:r>
      <w:r w:rsidRPr="007C4DDD">
        <w:rPr>
          <w:rFonts w:ascii="Arial" w:hAnsi="Arial" w:cs="Arial"/>
          <w:sz w:val="24"/>
          <w:szCs w:val="24"/>
        </w:rPr>
        <w:t xml:space="preserve"> </w:t>
      </w:r>
      <w:r w:rsidRPr="00DA5835">
        <w:rPr>
          <w:rFonts w:ascii="Arial" w:hAnsi="Arial" w:cs="Arial"/>
          <w:i/>
          <w:sz w:val="24"/>
          <w:szCs w:val="24"/>
        </w:rPr>
        <w:t>Semiannual Report to Congress April 1, 2018 – Sept</w:t>
      </w:r>
      <w:r>
        <w:rPr>
          <w:rFonts w:ascii="Arial" w:hAnsi="Arial" w:cs="Arial"/>
          <w:i/>
          <w:sz w:val="24"/>
          <w:szCs w:val="24"/>
        </w:rPr>
        <w:t>ember</w:t>
      </w:r>
      <w:r w:rsidRPr="00DA5835">
        <w:rPr>
          <w:rFonts w:ascii="Arial" w:hAnsi="Arial" w:cs="Arial"/>
          <w:i/>
          <w:sz w:val="24"/>
          <w:szCs w:val="24"/>
        </w:rPr>
        <w:t xml:space="preserve"> 30, 2018</w:t>
      </w:r>
      <w:r w:rsidRPr="007C4DDD">
        <w:rPr>
          <w:rFonts w:ascii="Arial" w:hAnsi="Arial" w:cs="Arial"/>
          <w:sz w:val="24"/>
          <w:szCs w:val="24"/>
        </w:rPr>
        <w:t>, 7.</w:t>
      </w:r>
    </w:p>
  </w:endnote>
  <w:endnote w:id="146">
    <w:p w14:paraId="4A176819"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 8.</w:t>
      </w:r>
    </w:p>
  </w:endnote>
  <w:endnote w:id="147">
    <w:p w14:paraId="7F015A79"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r>
        <w:rPr>
          <w:rFonts w:ascii="Arial" w:hAnsi="Arial" w:cs="Arial"/>
          <w:sz w:val="24"/>
          <w:szCs w:val="24"/>
        </w:rPr>
        <w:t xml:space="preserve"> </w:t>
      </w:r>
      <w:r w:rsidRPr="007C4DDD">
        <w:rPr>
          <w:rFonts w:ascii="Arial" w:hAnsi="Arial" w:cs="Arial"/>
          <w:sz w:val="24"/>
          <w:szCs w:val="24"/>
        </w:rPr>
        <w:t>13.</w:t>
      </w:r>
    </w:p>
  </w:endnote>
  <w:endnote w:id="148">
    <w:p w14:paraId="71F8DA87"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Office of Inspector General</w:t>
      </w:r>
      <w:r>
        <w:rPr>
          <w:rFonts w:ascii="Arial" w:hAnsi="Arial" w:cs="Arial"/>
          <w:sz w:val="24"/>
          <w:szCs w:val="24"/>
        </w:rPr>
        <w:t>, U.S.</w:t>
      </w:r>
      <w:r w:rsidRPr="00D249A7">
        <w:rPr>
          <w:rFonts w:ascii="Arial" w:hAnsi="Arial" w:cs="Arial"/>
          <w:sz w:val="24"/>
          <w:szCs w:val="24"/>
        </w:rPr>
        <w:t xml:space="preserve"> </w:t>
      </w:r>
      <w:r>
        <w:rPr>
          <w:rFonts w:ascii="Arial" w:hAnsi="Arial" w:cs="Arial"/>
          <w:sz w:val="24"/>
          <w:szCs w:val="24"/>
        </w:rPr>
        <w:t>AbilityOne Commission,</w:t>
      </w:r>
      <w:r w:rsidRPr="007C4DDD">
        <w:rPr>
          <w:rFonts w:ascii="Arial" w:hAnsi="Arial" w:cs="Arial"/>
          <w:sz w:val="24"/>
          <w:szCs w:val="24"/>
        </w:rPr>
        <w:t xml:space="preserve"> “Top Management and Performance Challenges Report” </w:t>
      </w:r>
      <w:r>
        <w:rPr>
          <w:rFonts w:ascii="Arial" w:hAnsi="Arial" w:cs="Arial"/>
          <w:sz w:val="24"/>
          <w:szCs w:val="24"/>
        </w:rPr>
        <w:t>(</w:t>
      </w:r>
      <w:r w:rsidRPr="007C4DDD">
        <w:rPr>
          <w:rFonts w:ascii="Arial" w:hAnsi="Arial" w:cs="Arial"/>
          <w:sz w:val="24"/>
          <w:szCs w:val="24"/>
        </w:rPr>
        <w:t>Nov</w:t>
      </w:r>
      <w:r>
        <w:rPr>
          <w:rFonts w:ascii="Arial" w:hAnsi="Arial" w:cs="Arial"/>
          <w:sz w:val="24"/>
          <w:szCs w:val="24"/>
        </w:rPr>
        <w:t>ember</w:t>
      </w:r>
      <w:r w:rsidRPr="007C4DDD">
        <w:rPr>
          <w:rFonts w:ascii="Arial" w:hAnsi="Arial" w:cs="Arial"/>
          <w:sz w:val="24"/>
          <w:szCs w:val="24"/>
        </w:rPr>
        <w:t xml:space="preserve"> 15, 2018</w:t>
      </w:r>
      <w:r>
        <w:rPr>
          <w:rFonts w:ascii="Arial" w:hAnsi="Arial" w:cs="Arial"/>
          <w:sz w:val="24"/>
          <w:szCs w:val="24"/>
        </w:rPr>
        <w:t>)</w:t>
      </w:r>
      <w:r w:rsidRPr="007C4DDD">
        <w:rPr>
          <w:rFonts w:ascii="Arial" w:hAnsi="Arial" w:cs="Arial"/>
          <w:sz w:val="24"/>
          <w:szCs w:val="24"/>
        </w:rPr>
        <w:t>.</w:t>
      </w:r>
    </w:p>
  </w:endnote>
  <w:endnote w:id="149">
    <w:p w14:paraId="72E44F92"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Office of Inspector Gene</w:t>
      </w:r>
      <w:r>
        <w:rPr>
          <w:rFonts w:ascii="Arial" w:hAnsi="Arial" w:cs="Arial"/>
          <w:sz w:val="24"/>
          <w:szCs w:val="24"/>
        </w:rPr>
        <w:t>ral, U.S. AbilityOne Commission,</w:t>
      </w:r>
      <w:r w:rsidRPr="007C4DDD">
        <w:rPr>
          <w:rFonts w:ascii="Arial" w:hAnsi="Arial" w:cs="Arial"/>
          <w:sz w:val="24"/>
          <w:szCs w:val="24"/>
        </w:rPr>
        <w:t xml:space="preserve"> </w:t>
      </w:r>
      <w:r w:rsidRPr="00D249A7">
        <w:rPr>
          <w:rFonts w:ascii="Arial" w:hAnsi="Arial" w:cs="Arial"/>
          <w:i/>
          <w:sz w:val="24"/>
          <w:szCs w:val="24"/>
        </w:rPr>
        <w:t xml:space="preserve">Semiannual Report to Congress April 1, 2018 – </w:t>
      </w:r>
      <w:r w:rsidRPr="00064576">
        <w:rPr>
          <w:rFonts w:ascii="Arial" w:hAnsi="Arial" w:cs="Arial"/>
          <w:i/>
          <w:sz w:val="24"/>
          <w:szCs w:val="24"/>
        </w:rPr>
        <w:t xml:space="preserve">September </w:t>
      </w:r>
      <w:r w:rsidRPr="00D249A7">
        <w:rPr>
          <w:rFonts w:ascii="Arial" w:hAnsi="Arial" w:cs="Arial"/>
          <w:i/>
          <w:sz w:val="24"/>
          <w:szCs w:val="24"/>
        </w:rPr>
        <w:t>30, 2018</w:t>
      </w:r>
      <w:r w:rsidRPr="007C4DDD">
        <w:rPr>
          <w:rFonts w:ascii="Arial" w:hAnsi="Arial" w:cs="Arial"/>
          <w:sz w:val="24"/>
          <w:szCs w:val="24"/>
        </w:rPr>
        <w:t>, 21.</w:t>
      </w:r>
    </w:p>
  </w:endnote>
  <w:endnote w:id="150">
    <w:p w14:paraId="3BCD8ED9" w14:textId="77777777" w:rsidR="001778CD" w:rsidRPr="007C4DDD" w:rsidRDefault="001778CD" w:rsidP="001778CD">
      <w:pPr>
        <w:pStyle w:val="EndnoteText"/>
        <w:tabs>
          <w:tab w:val="center" w:pos="4680"/>
        </w:tabs>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Ibid.</w:t>
      </w:r>
      <w:r>
        <w:rPr>
          <w:rFonts w:ascii="Arial" w:hAnsi="Arial" w:cs="Arial"/>
          <w:sz w:val="24"/>
          <w:szCs w:val="24"/>
        </w:rPr>
        <w:tab/>
      </w:r>
    </w:p>
  </w:endnote>
  <w:endnote w:id="151">
    <w:p w14:paraId="57EDE995"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Cooperative Agreement</w:t>
      </w:r>
      <w:r>
        <w:rPr>
          <w:rFonts w:ascii="Arial" w:hAnsi="Arial" w:cs="Arial"/>
          <w:sz w:val="24"/>
          <w:szCs w:val="24"/>
        </w:rPr>
        <w:t xml:space="preserve"> between the Committee for Purchase and SourceAmerica, </w:t>
      </w:r>
      <w:r w:rsidRPr="00064576">
        <w:rPr>
          <w:rFonts w:ascii="Arial" w:hAnsi="Arial" w:cs="Arial"/>
          <w:sz w:val="24"/>
          <w:szCs w:val="24"/>
        </w:rPr>
        <w:t>January 18, 2018</w:t>
      </w:r>
      <w:r>
        <w:rPr>
          <w:rFonts w:ascii="Arial" w:hAnsi="Arial" w:cs="Arial"/>
          <w:sz w:val="24"/>
          <w:szCs w:val="24"/>
        </w:rPr>
        <w:t>, 10</w:t>
      </w:r>
      <w:r w:rsidRPr="007C4DDD">
        <w:rPr>
          <w:rFonts w:ascii="Arial" w:hAnsi="Arial" w:cs="Arial"/>
          <w:sz w:val="24"/>
          <w:szCs w:val="24"/>
        </w:rPr>
        <w:t>.</w:t>
      </w:r>
    </w:p>
  </w:endnote>
  <w:endnote w:id="152">
    <w:p w14:paraId="5D26CF4C" w14:textId="77777777" w:rsidR="001778CD" w:rsidRPr="007C4DDD" w:rsidRDefault="001778CD" w:rsidP="001778CD">
      <w:pPr>
        <w:pStyle w:val="EndnoteText"/>
        <w:rPr>
          <w:rFonts w:ascii="Arial" w:hAnsi="Arial" w:cs="Arial"/>
          <w:sz w:val="24"/>
          <w:szCs w:val="24"/>
        </w:rPr>
      </w:pPr>
      <w:r w:rsidRPr="007C4DDD">
        <w:rPr>
          <w:rStyle w:val="EndnoteReference"/>
          <w:rFonts w:cs="Arial"/>
          <w:szCs w:val="24"/>
        </w:rPr>
        <w:endnoteRef/>
      </w:r>
      <w:r w:rsidRPr="007C4DDD">
        <w:rPr>
          <w:rFonts w:ascii="Arial" w:hAnsi="Arial" w:cs="Arial"/>
          <w:sz w:val="24"/>
          <w:szCs w:val="24"/>
        </w:rPr>
        <w:t xml:space="preserve"> 41 U.S.C. § 8501</w:t>
      </w:r>
      <w:r>
        <w:rPr>
          <w:rFonts w:ascii="Arial" w:hAnsi="Arial" w:cs="Arial"/>
          <w:sz w:val="24"/>
          <w:szCs w:val="24"/>
        </w:rPr>
        <w:t>.</w:t>
      </w:r>
    </w:p>
  </w:endnote>
  <w:endnote w:id="153">
    <w:p w14:paraId="34EB6C1B" w14:textId="77777777" w:rsidR="001778CD" w:rsidRPr="001945FE" w:rsidRDefault="001778CD" w:rsidP="001778CD">
      <w:pPr>
        <w:pStyle w:val="EndnoteText"/>
        <w:rPr>
          <w:rFonts w:ascii="Arial" w:hAnsi="Arial" w:cs="Arial"/>
          <w:sz w:val="24"/>
          <w:szCs w:val="24"/>
        </w:rPr>
      </w:pPr>
      <w:r w:rsidRPr="007C4DDD">
        <w:rPr>
          <w:rStyle w:val="EndnoteReference"/>
          <w:rFonts w:cs="Arial"/>
          <w:szCs w:val="24"/>
        </w:rPr>
        <w:endnoteRef/>
      </w:r>
      <w:r>
        <w:rPr>
          <w:rFonts w:ascii="Arial" w:hAnsi="Arial" w:cs="Arial"/>
          <w:sz w:val="24"/>
          <w:szCs w:val="24"/>
        </w:rPr>
        <w:t xml:space="preserve"> </w:t>
      </w:r>
      <w:r w:rsidRPr="007C4DDD">
        <w:rPr>
          <w:rFonts w:ascii="Arial" w:hAnsi="Arial" w:cs="Arial"/>
          <w:sz w:val="24"/>
          <w:szCs w:val="24"/>
        </w:rPr>
        <w:t xml:space="preserve">Members on the Panel are representatives from the Office of Defense, the AbilityOne Commission, and of Office of the Ability One OIG, Department of Justice, Department of Veterans </w:t>
      </w:r>
      <w:r w:rsidRPr="001945FE">
        <w:rPr>
          <w:rFonts w:ascii="Arial" w:hAnsi="Arial" w:cs="Arial"/>
          <w:sz w:val="24"/>
          <w:szCs w:val="24"/>
        </w:rPr>
        <w:t>Affairs, and the Defense Acquisition University. Other representatives were as needed.</w:t>
      </w:r>
      <w:r>
        <w:rPr>
          <w:rFonts w:ascii="Arial" w:hAnsi="Arial" w:cs="Arial"/>
          <w:sz w:val="24"/>
          <w:szCs w:val="24"/>
        </w:rPr>
        <w:t xml:space="preserve"> </w:t>
      </w:r>
      <w:r w:rsidRPr="007C4DDD">
        <w:rPr>
          <w:rFonts w:ascii="Arial" w:hAnsi="Arial" w:cs="Arial"/>
          <w:sz w:val="24"/>
          <w:szCs w:val="24"/>
        </w:rPr>
        <w:t xml:space="preserve">National Defense Authorization Act for FY 2017, Pub. L. No. 114-328, </w:t>
      </w:r>
      <w:r>
        <w:rPr>
          <w:rFonts w:ascii="Arial" w:hAnsi="Arial" w:cs="Arial"/>
          <w:sz w:val="24"/>
          <w:szCs w:val="24"/>
        </w:rPr>
        <w:t>§</w:t>
      </w:r>
      <w:r w:rsidRPr="007C4DDD">
        <w:rPr>
          <w:rFonts w:ascii="Arial" w:hAnsi="Arial" w:cs="Arial"/>
          <w:sz w:val="24"/>
          <w:szCs w:val="24"/>
        </w:rPr>
        <w:t xml:space="preserve"> 898</w:t>
      </w:r>
      <w:r>
        <w:rPr>
          <w:rFonts w:ascii="Arial" w:hAnsi="Arial" w:cs="Arial"/>
          <w:sz w:val="24"/>
          <w:szCs w:val="24"/>
        </w:rPr>
        <w:t>.</w:t>
      </w:r>
    </w:p>
  </w:endnote>
  <w:endnote w:id="154">
    <w:p w14:paraId="469F04F3" w14:textId="77777777" w:rsidR="001778CD" w:rsidRPr="001945FE" w:rsidRDefault="001778CD" w:rsidP="001778CD">
      <w:pPr>
        <w:pStyle w:val="EndnoteText"/>
        <w:rPr>
          <w:rFonts w:ascii="Arial" w:hAnsi="Arial" w:cs="Arial"/>
          <w:sz w:val="24"/>
          <w:szCs w:val="24"/>
        </w:rPr>
      </w:pPr>
      <w:r w:rsidRPr="001945FE">
        <w:rPr>
          <w:rStyle w:val="EndnoteReference"/>
          <w:rFonts w:cs="Arial"/>
          <w:szCs w:val="24"/>
        </w:rPr>
        <w:endnoteRef/>
      </w:r>
      <w:r>
        <w:rPr>
          <w:rFonts w:ascii="Arial" w:hAnsi="Arial" w:cs="Arial"/>
          <w:sz w:val="24"/>
          <w:szCs w:val="24"/>
        </w:rPr>
        <w:t xml:space="preserve"> </w:t>
      </w:r>
      <w:r w:rsidRPr="00F01EE6">
        <w:rPr>
          <w:rFonts w:ascii="Arial" w:hAnsi="Arial" w:cs="Arial"/>
          <w:sz w:val="24"/>
          <w:szCs w:val="24"/>
        </w:rPr>
        <w:t xml:space="preserve">Panel on Department of Defense and AbilityOne Contracting, Oversight, Accountability, and Integrity, </w:t>
      </w:r>
      <w:r w:rsidRPr="00F01EE6">
        <w:rPr>
          <w:rFonts w:ascii="Arial" w:hAnsi="Arial" w:cs="Arial"/>
          <w:i/>
          <w:sz w:val="24"/>
          <w:szCs w:val="24"/>
        </w:rPr>
        <w:t>2018</w:t>
      </w:r>
      <w:r>
        <w:rPr>
          <w:rFonts w:ascii="Arial" w:hAnsi="Arial" w:cs="Arial"/>
          <w:sz w:val="24"/>
          <w:szCs w:val="24"/>
        </w:rPr>
        <w:t xml:space="preserve"> </w:t>
      </w:r>
      <w:r w:rsidRPr="00F01EE6">
        <w:rPr>
          <w:rFonts w:ascii="Arial" w:hAnsi="Arial" w:cs="Arial"/>
          <w:i/>
          <w:sz w:val="24"/>
          <w:szCs w:val="24"/>
        </w:rPr>
        <w:t>First Annual Report to Congress</w:t>
      </w:r>
      <w:r>
        <w:rPr>
          <w:rFonts w:ascii="Arial" w:hAnsi="Arial" w:cs="Arial"/>
          <w:sz w:val="24"/>
          <w:szCs w:val="24"/>
        </w:rPr>
        <w:t xml:space="preserve"> (Washington, D.C.: </w:t>
      </w:r>
      <w:r w:rsidRPr="00F01EE6">
        <w:rPr>
          <w:rFonts w:ascii="Arial" w:hAnsi="Arial" w:cs="Arial"/>
          <w:sz w:val="24"/>
          <w:szCs w:val="24"/>
        </w:rPr>
        <w:t>Office of the Under Secretary of Defense for Acquisition</w:t>
      </w:r>
      <w:r>
        <w:rPr>
          <w:rFonts w:ascii="Arial" w:hAnsi="Arial" w:cs="Arial"/>
          <w:sz w:val="24"/>
          <w:szCs w:val="24"/>
        </w:rPr>
        <w:t xml:space="preserve"> and Sustainment, July 18, 2018), </w:t>
      </w:r>
      <w:hyperlink r:id="rId39" w:history="1">
        <w:r w:rsidRPr="00003D91">
          <w:rPr>
            <w:rStyle w:val="Hyperlink"/>
            <w:rFonts w:cs="Arial"/>
            <w:szCs w:val="24"/>
          </w:rPr>
          <w:t>https://www.acq.osd.mil/dpap/cpic/cp/docs/First_Annual_RTC_on_the_Panel_on_DoD_and_AbilityOne_Signed_18_July_18.pdf</w:t>
        </w:r>
      </w:hyperlink>
      <w:r>
        <w:rPr>
          <w:rFonts w:ascii="Arial" w:hAnsi="Arial" w:cs="Arial"/>
          <w:sz w:val="24"/>
          <w:szCs w:val="24"/>
        </w:rPr>
        <w:t>.</w:t>
      </w:r>
    </w:p>
  </w:endnote>
  <w:endnote w:id="155">
    <w:p w14:paraId="5D8DC082" w14:textId="77777777" w:rsidR="001778CD" w:rsidRPr="00D947F3" w:rsidRDefault="001778CD" w:rsidP="001778CD">
      <w:pPr>
        <w:pStyle w:val="EndnoteText"/>
        <w:rPr>
          <w:rFonts w:ascii="Arial" w:hAnsi="Arial" w:cs="Arial"/>
          <w:sz w:val="24"/>
          <w:szCs w:val="24"/>
        </w:rPr>
      </w:pPr>
      <w:r>
        <w:rPr>
          <w:rStyle w:val="EndnoteReference"/>
        </w:rPr>
        <w:endnoteRef/>
      </w:r>
      <w:r>
        <w:t xml:space="preserve"> </w:t>
      </w:r>
      <w:r>
        <w:rPr>
          <w:rFonts w:ascii="Arial" w:hAnsi="Arial" w:cs="Arial"/>
          <w:sz w:val="24"/>
          <w:szCs w:val="24"/>
        </w:rPr>
        <w:t xml:space="preserve">Ibid., </w:t>
      </w:r>
      <w:r w:rsidRPr="00D947F3">
        <w:rPr>
          <w:rFonts w:ascii="Arial" w:hAnsi="Arial" w:cs="Arial"/>
          <w:sz w:val="24"/>
          <w:szCs w:val="24"/>
        </w:rPr>
        <w:t>16-17.</w:t>
      </w:r>
    </w:p>
  </w:endnote>
  <w:endnote w:id="156">
    <w:p w14:paraId="221F1A17" w14:textId="77777777" w:rsidR="001778CD" w:rsidRPr="001945FE" w:rsidRDefault="001778CD" w:rsidP="001778CD">
      <w:pPr>
        <w:pStyle w:val="EndnoteText"/>
        <w:rPr>
          <w:rFonts w:ascii="Arial" w:hAnsi="Arial" w:cs="Arial"/>
          <w:sz w:val="24"/>
          <w:szCs w:val="24"/>
        </w:rPr>
      </w:pPr>
      <w:r w:rsidRPr="001945FE">
        <w:rPr>
          <w:rStyle w:val="EndnoteReference"/>
          <w:rFonts w:cs="Arial"/>
          <w:szCs w:val="24"/>
        </w:rPr>
        <w:endnoteRef/>
      </w:r>
      <w:r>
        <w:rPr>
          <w:rFonts w:ascii="Arial" w:hAnsi="Arial" w:cs="Arial"/>
          <w:sz w:val="24"/>
          <w:szCs w:val="24"/>
        </w:rPr>
        <w:t xml:space="preserve"> </w:t>
      </w:r>
      <w:r w:rsidRPr="001945FE">
        <w:rPr>
          <w:rFonts w:ascii="Arial" w:hAnsi="Arial" w:cs="Arial"/>
          <w:sz w:val="24"/>
          <w:szCs w:val="24"/>
        </w:rPr>
        <w:t>Ibid</w:t>
      </w:r>
      <w:r>
        <w:rPr>
          <w:rFonts w:ascii="Arial" w:hAnsi="Arial" w:cs="Arial"/>
          <w:sz w:val="24"/>
          <w:szCs w:val="24"/>
        </w:rPr>
        <w:t>.</w:t>
      </w:r>
    </w:p>
  </w:endnote>
  <w:endnote w:id="157">
    <w:p w14:paraId="1E38962F" w14:textId="77777777" w:rsidR="001778CD" w:rsidRPr="001945FE" w:rsidRDefault="001778CD" w:rsidP="001778CD">
      <w:pPr>
        <w:pStyle w:val="EndnoteText"/>
        <w:rPr>
          <w:rFonts w:ascii="Arial" w:hAnsi="Arial" w:cs="Arial"/>
          <w:sz w:val="24"/>
          <w:szCs w:val="24"/>
        </w:rPr>
      </w:pPr>
      <w:r w:rsidRPr="001945FE">
        <w:rPr>
          <w:rStyle w:val="EndnoteReference"/>
          <w:rFonts w:cs="Arial"/>
          <w:szCs w:val="24"/>
        </w:rPr>
        <w:endnoteRef/>
      </w:r>
      <w:r w:rsidRPr="001945FE">
        <w:rPr>
          <w:rFonts w:ascii="Arial" w:hAnsi="Arial" w:cs="Arial"/>
          <w:sz w:val="24"/>
          <w:szCs w:val="24"/>
        </w:rPr>
        <w:t xml:space="preserve"> Ibid.,</w:t>
      </w:r>
      <w:r>
        <w:rPr>
          <w:rFonts w:ascii="Arial" w:hAnsi="Arial" w:cs="Arial"/>
          <w:sz w:val="24"/>
          <w:szCs w:val="24"/>
        </w:rPr>
        <w:t xml:space="preserve"> </w:t>
      </w:r>
      <w:r w:rsidRPr="001945FE">
        <w:rPr>
          <w:rFonts w:ascii="Arial" w:hAnsi="Arial" w:cs="Arial"/>
          <w:sz w:val="24"/>
          <w:szCs w:val="24"/>
        </w:rPr>
        <w:t>19.</w:t>
      </w:r>
    </w:p>
  </w:endnote>
  <w:endnote w:id="158">
    <w:p w14:paraId="7BE65AE5" w14:textId="77777777" w:rsidR="001778CD" w:rsidRPr="004D6F20" w:rsidRDefault="001778CD" w:rsidP="001778CD">
      <w:pPr>
        <w:pStyle w:val="EndnoteText"/>
        <w:rPr>
          <w:rFonts w:ascii="Arial" w:hAnsi="Arial" w:cs="Arial"/>
          <w:sz w:val="24"/>
          <w:szCs w:val="24"/>
        </w:rPr>
      </w:pPr>
      <w:r w:rsidRPr="001945FE">
        <w:rPr>
          <w:rStyle w:val="EndnoteReference"/>
          <w:rFonts w:cs="Arial"/>
          <w:szCs w:val="24"/>
        </w:rPr>
        <w:endnoteRef/>
      </w:r>
      <w:r>
        <w:rPr>
          <w:rFonts w:ascii="Arial" w:hAnsi="Arial" w:cs="Arial"/>
          <w:sz w:val="24"/>
          <w:szCs w:val="24"/>
        </w:rPr>
        <w:t xml:space="preserve"> </w:t>
      </w:r>
      <w:r w:rsidRPr="001945FE">
        <w:rPr>
          <w:rFonts w:ascii="Arial" w:hAnsi="Arial" w:cs="Arial"/>
          <w:sz w:val="24"/>
          <w:szCs w:val="24"/>
        </w:rPr>
        <w:t>Ibid.,</w:t>
      </w:r>
      <w:r>
        <w:rPr>
          <w:rFonts w:ascii="Arial" w:hAnsi="Arial" w:cs="Arial"/>
          <w:sz w:val="24"/>
          <w:szCs w:val="24"/>
        </w:rPr>
        <w:t xml:space="preserve"> </w:t>
      </w:r>
      <w:r w:rsidRPr="001945FE">
        <w:rPr>
          <w:rFonts w:ascii="Arial" w:hAnsi="Arial" w:cs="Arial"/>
          <w:sz w:val="24"/>
          <w:szCs w:val="24"/>
        </w:rPr>
        <w:t>19.</w:t>
      </w:r>
    </w:p>
  </w:endnote>
  <w:endnote w:id="159">
    <w:p w14:paraId="4F39EA84" w14:textId="77777777" w:rsidR="001778CD" w:rsidRPr="00B42ABE" w:rsidRDefault="001778CD" w:rsidP="001778CD">
      <w:pPr>
        <w:pStyle w:val="EndnoteText"/>
        <w:rPr>
          <w:sz w:val="24"/>
          <w:szCs w:val="24"/>
        </w:rPr>
      </w:pPr>
      <w:r>
        <w:rPr>
          <w:rStyle w:val="EndnoteReference"/>
        </w:rPr>
        <w:endnoteRef/>
      </w:r>
      <w:r>
        <w:rPr>
          <w:rFonts w:ascii="Arial" w:hAnsi="Arial" w:cs="Arial"/>
          <w:sz w:val="24"/>
          <w:szCs w:val="24"/>
        </w:rPr>
        <w:t xml:space="preserve"> Ibid., </w:t>
      </w:r>
      <w:r w:rsidRPr="00B42ABE">
        <w:rPr>
          <w:rFonts w:ascii="Arial" w:hAnsi="Arial" w:cs="Arial"/>
          <w:sz w:val="24"/>
          <w:szCs w:val="24"/>
        </w:rPr>
        <w:t>20</w:t>
      </w:r>
      <w:r>
        <w:rPr>
          <w:rFonts w:ascii="Arial" w:hAnsi="Arial" w:cs="Arial"/>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ITCFranklinGothicStd-Book">
    <w:altName w:val="Calibri"/>
    <w:charset w:val="4D"/>
    <w:family w:val="auto"/>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ITCFranklinGothicStd-Demi">
    <w:altName w:val="Calibri"/>
    <w:charset w:val="4D"/>
    <w:family w:val="auto"/>
    <w:pitch w:val="default"/>
    <w:sig w:usb0="00000003" w:usb1="00000000" w:usb2="00000000" w:usb3="00000000" w:csb0="00000001" w:csb1="00000000"/>
  </w:font>
  <w:font w:name="Arial Bold">
    <w:altName w:val="Arial"/>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adeGothic Bold">
    <w:altName w:val="Calibri"/>
    <w:charset w:val="00"/>
    <w:family w:val="swiss"/>
    <w:pitch w:val="default"/>
    <w:sig w:usb0="00000003" w:usb1="00000000" w:usb2="00000000" w:usb3="00000000" w:csb0="00000001" w:csb1="00000000"/>
  </w:font>
  <w:font w:name="TradeGothic Light">
    <w:altName w:val="Calibri"/>
    <w:charset w:val="00"/>
    <w:family w:val="swiss"/>
    <w:pitch w:val="default"/>
    <w:sig w:usb0="00000003" w:usb1="00000000" w:usb2="00000000" w:usb3="00000000" w:csb0="00000001" w:csb1="00000000"/>
  </w:font>
  <w:font w:name="Univers LT Std 45 Light">
    <w:altName w:val="Calibri"/>
    <w:charset w:val="00"/>
    <w:family w:val="swiss"/>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EE5BC" w14:textId="77777777" w:rsidR="00B85D45" w:rsidRDefault="00B85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323136"/>
      <w:docPartObj>
        <w:docPartGallery w:val="Page Numbers (Bottom of Page)"/>
        <w:docPartUnique/>
      </w:docPartObj>
    </w:sdtPr>
    <w:sdtEndPr>
      <w:rPr>
        <w:noProof/>
      </w:rPr>
    </w:sdtEndPr>
    <w:sdtContent>
      <w:p w14:paraId="5F1A5987" w14:textId="71D51515" w:rsidR="002E522D" w:rsidRDefault="002E522D">
        <w:pPr>
          <w:pStyle w:val="Footer"/>
          <w:jc w:val="right"/>
        </w:pPr>
        <w:r>
          <w:fldChar w:fldCharType="begin"/>
        </w:r>
        <w:r>
          <w:instrText xml:space="preserve"> PAGE   \* MERGEFORMAT </w:instrText>
        </w:r>
        <w:r>
          <w:fldChar w:fldCharType="separate"/>
        </w:r>
        <w:r w:rsidR="0057654B">
          <w:rPr>
            <w:noProof/>
          </w:rPr>
          <w:t>27</w:t>
        </w:r>
        <w:r>
          <w:rPr>
            <w:noProof/>
          </w:rPr>
          <w:fldChar w:fldCharType="end"/>
        </w:r>
      </w:p>
    </w:sdtContent>
  </w:sdt>
  <w:p w14:paraId="00AF6B17" w14:textId="77777777" w:rsidR="002E522D" w:rsidRDefault="002E52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6BF94" w14:textId="77777777" w:rsidR="00B85D45" w:rsidRDefault="00B85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F9B61" w14:textId="77777777" w:rsidR="00161750" w:rsidRDefault="00161750" w:rsidP="00841C72">
      <w:pPr>
        <w:spacing w:after="0" w:line="240" w:lineRule="auto"/>
      </w:pPr>
      <w:r>
        <w:separator/>
      </w:r>
    </w:p>
  </w:footnote>
  <w:footnote w:type="continuationSeparator" w:id="0">
    <w:p w14:paraId="74972925" w14:textId="77777777" w:rsidR="00161750" w:rsidRDefault="00161750" w:rsidP="00841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BC2F0" w14:textId="77777777" w:rsidR="00B85D45" w:rsidRDefault="00B85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E990" w14:textId="693343A7" w:rsidR="00B85D45" w:rsidRDefault="00B85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2D04E" w14:textId="77777777" w:rsidR="00B85D45" w:rsidRDefault="00B85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A7C7416"/>
    <w:multiLevelType w:val="multilevel"/>
    <w:tmpl w:val="AFE436C8"/>
    <w:styleLink w:val="Level1Bulle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7E35A0"/>
    <w:multiLevelType w:val="hybridMultilevel"/>
    <w:tmpl w:val="E33A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D3E96"/>
    <w:multiLevelType w:val="hybridMultilevel"/>
    <w:tmpl w:val="9A84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21BB7"/>
    <w:multiLevelType w:val="multilevel"/>
    <w:tmpl w:val="E84AFAF0"/>
    <w:styleLink w:val="List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6" w15:restartNumberingAfterBreak="0">
    <w:nsid w:val="3800193A"/>
    <w:multiLevelType w:val="hybridMultilevel"/>
    <w:tmpl w:val="D3782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DC4FDA"/>
    <w:multiLevelType w:val="hybridMultilevel"/>
    <w:tmpl w:val="9BA0C10E"/>
    <w:lvl w:ilvl="0" w:tplc="B638321C">
      <w:start w:val="1"/>
      <w:numFmt w:val="decimal"/>
      <w:pStyle w:val="TableNumbering"/>
      <w:lvlText w:val="%1."/>
      <w:lvlJc w:val="left"/>
      <w:pPr>
        <w:ind w:left="360" w:hanging="360"/>
      </w:pPr>
      <w:rPr>
        <w:rFonts w:ascii="Arial" w:hAnsi="Arial" w:cstheme="minorHAnsi" w:hint="default"/>
        <w:b w:val="0"/>
        <w:bCs w:val="0"/>
        <w:i w:val="0"/>
        <w:iCs w:val="0"/>
        <w:caps w:val="0"/>
        <w:strike w:val="0"/>
        <w:dstrike w:val="0"/>
        <w:vanish w:val="0"/>
        <w:color w:val="auto"/>
        <w:spacing w:val="0"/>
        <w:kern w:val="0"/>
        <w:position w:val="0"/>
        <w:sz w:val="2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603D76"/>
    <w:multiLevelType w:val="hybridMultilevel"/>
    <w:tmpl w:val="0B6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4679D"/>
    <w:multiLevelType w:val="multilevel"/>
    <w:tmpl w:val="61A20E64"/>
    <w:styleLink w:val="List2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10" w15:restartNumberingAfterBreak="0">
    <w:nsid w:val="42587471"/>
    <w:multiLevelType w:val="multilevel"/>
    <w:tmpl w:val="B73E6D4A"/>
    <w:styleLink w:val="List0"/>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1" w15:restartNumberingAfterBreak="0">
    <w:nsid w:val="43206BE4"/>
    <w:multiLevelType w:val="hybridMultilevel"/>
    <w:tmpl w:val="C5CCD1CC"/>
    <w:lvl w:ilvl="0" w:tplc="8BDCFA44">
      <w:start w:val="1"/>
      <w:numFmt w:val="bullet"/>
      <w:pStyle w:val="NCDBulletsLevel2"/>
      <w:lvlText w:val="o"/>
      <w:lvlJc w:val="left"/>
      <w:pPr>
        <w:ind w:left="720" w:hanging="360"/>
      </w:pPr>
      <w:rPr>
        <w:rFonts w:ascii="Courier New" w:hAnsi="Courier New"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5798C"/>
    <w:multiLevelType w:val="multilevel"/>
    <w:tmpl w:val="846A5BFE"/>
    <w:styleLink w:val="List311"/>
    <w:lvl w:ilvl="0">
      <w:numFmt w:val="bullet"/>
      <w:lvlText w:val="▪"/>
      <w:lvlJc w:val="left"/>
      <w:rPr>
        <w:rFonts w:ascii="Arial" w:eastAsia="Arial" w:hAnsi="Arial" w:cs="Arial"/>
        <w:color w:val="1F497D"/>
        <w:position w:val="0"/>
      </w:rPr>
    </w:lvl>
    <w:lvl w:ilvl="1">
      <w:start w:val="1"/>
      <w:numFmt w:val="bullet"/>
      <w:lvlText w:val="o"/>
      <w:lvlJc w:val="left"/>
      <w:rPr>
        <w:rFonts w:ascii="Arial" w:eastAsia="Arial" w:hAnsi="Arial" w:cs="Arial"/>
        <w:color w:val="1F497D"/>
        <w:position w:val="0"/>
      </w:rPr>
    </w:lvl>
    <w:lvl w:ilvl="2">
      <w:start w:val="1"/>
      <w:numFmt w:val="bullet"/>
      <w:lvlText w:val="▪"/>
      <w:lvlJc w:val="left"/>
      <w:rPr>
        <w:rFonts w:ascii="Arial" w:eastAsia="Arial" w:hAnsi="Arial" w:cs="Arial"/>
        <w:color w:val="1F497D"/>
        <w:position w:val="0"/>
      </w:rPr>
    </w:lvl>
    <w:lvl w:ilvl="3">
      <w:start w:val="1"/>
      <w:numFmt w:val="bullet"/>
      <w:lvlText w:val="•"/>
      <w:lvlJc w:val="left"/>
      <w:rPr>
        <w:rFonts w:ascii="Arial" w:eastAsia="Arial" w:hAnsi="Arial" w:cs="Arial"/>
        <w:color w:val="1F497D"/>
        <w:position w:val="0"/>
      </w:rPr>
    </w:lvl>
    <w:lvl w:ilvl="4">
      <w:start w:val="1"/>
      <w:numFmt w:val="bullet"/>
      <w:lvlText w:val="o"/>
      <w:lvlJc w:val="left"/>
      <w:rPr>
        <w:rFonts w:ascii="Arial" w:eastAsia="Arial" w:hAnsi="Arial" w:cs="Arial"/>
        <w:color w:val="1F497D"/>
        <w:position w:val="0"/>
      </w:rPr>
    </w:lvl>
    <w:lvl w:ilvl="5">
      <w:start w:val="1"/>
      <w:numFmt w:val="bullet"/>
      <w:lvlText w:val="▪"/>
      <w:lvlJc w:val="left"/>
      <w:rPr>
        <w:rFonts w:ascii="Arial" w:eastAsia="Arial" w:hAnsi="Arial" w:cs="Arial"/>
        <w:color w:val="1F497D"/>
        <w:position w:val="0"/>
      </w:rPr>
    </w:lvl>
    <w:lvl w:ilvl="6">
      <w:start w:val="1"/>
      <w:numFmt w:val="bullet"/>
      <w:lvlText w:val="•"/>
      <w:lvlJc w:val="left"/>
      <w:rPr>
        <w:rFonts w:ascii="Arial" w:eastAsia="Arial" w:hAnsi="Arial" w:cs="Arial"/>
        <w:color w:val="1F497D"/>
        <w:position w:val="0"/>
      </w:rPr>
    </w:lvl>
    <w:lvl w:ilvl="7">
      <w:start w:val="1"/>
      <w:numFmt w:val="bullet"/>
      <w:lvlText w:val="o"/>
      <w:lvlJc w:val="left"/>
      <w:rPr>
        <w:rFonts w:ascii="Arial" w:eastAsia="Arial" w:hAnsi="Arial" w:cs="Arial"/>
        <w:color w:val="1F497D"/>
        <w:position w:val="0"/>
      </w:rPr>
    </w:lvl>
    <w:lvl w:ilvl="8">
      <w:start w:val="1"/>
      <w:numFmt w:val="bullet"/>
      <w:lvlText w:val="▪"/>
      <w:lvlJc w:val="left"/>
      <w:rPr>
        <w:rFonts w:ascii="Arial" w:eastAsia="Arial" w:hAnsi="Arial" w:cs="Arial"/>
        <w:color w:val="1F497D"/>
        <w:position w:val="0"/>
      </w:rPr>
    </w:lvl>
  </w:abstractNum>
  <w:abstractNum w:abstractNumId="13" w15:restartNumberingAfterBreak="0">
    <w:nsid w:val="4A072237"/>
    <w:multiLevelType w:val="multilevel"/>
    <w:tmpl w:val="FD58C45E"/>
    <w:lvl w:ilvl="0">
      <w:start w:val="1"/>
      <w:numFmt w:val="bullet"/>
      <w:pStyle w:val="Bullet2"/>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6C55BF"/>
    <w:multiLevelType w:val="hybridMultilevel"/>
    <w:tmpl w:val="7A02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117EB"/>
    <w:multiLevelType w:val="multilevel"/>
    <w:tmpl w:val="8EB416CC"/>
    <w:styleLink w:val="Bullet"/>
    <w:lvl w:ilvl="0">
      <w:numFmt w:val="bullet"/>
      <w:lvlText w:val="•"/>
      <w:lvlJc w:val="left"/>
      <w:pPr>
        <w:tabs>
          <w:tab w:val="num" w:pos="196"/>
        </w:tabs>
        <w:ind w:left="1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1">
      <w:start w:val="1"/>
      <w:numFmt w:val="bullet"/>
      <w:lvlText w:val="•"/>
      <w:lvlJc w:val="left"/>
      <w:pPr>
        <w:tabs>
          <w:tab w:val="num" w:pos="376"/>
        </w:tabs>
        <w:ind w:left="3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2">
      <w:start w:val="1"/>
      <w:numFmt w:val="bullet"/>
      <w:lvlText w:val="•"/>
      <w:lvlJc w:val="left"/>
      <w:pPr>
        <w:tabs>
          <w:tab w:val="num" w:pos="556"/>
        </w:tabs>
        <w:ind w:left="5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3">
      <w:start w:val="1"/>
      <w:numFmt w:val="bullet"/>
      <w:lvlText w:val="•"/>
      <w:lvlJc w:val="left"/>
      <w:pPr>
        <w:tabs>
          <w:tab w:val="num" w:pos="736"/>
        </w:tabs>
        <w:ind w:left="7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4">
      <w:start w:val="1"/>
      <w:numFmt w:val="bullet"/>
      <w:lvlText w:val="•"/>
      <w:lvlJc w:val="left"/>
      <w:pPr>
        <w:tabs>
          <w:tab w:val="num" w:pos="916"/>
        </w:tabs>
        <w:ind w:left="91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5">
      <w:start w:val="1"/>
      <w:numFmt w:val="bullet"/>
      <w:lvlText w:val="•"/>
      <w:lvlJc w:val="left"/>
      <w:pPr>
        <w:tabs>
          <w:tab w:val="num" w:pos="1096"/>
        </w:tabs>
        <w:ind w:left="109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6">
      <w:start w:val="1"/>
      <w:numFmt w:val="bullet"/>
      <w:lvlText w:val="•"/>
      <w:lvlJc w:val="left"/>
      <w:pPr>
        <w:tabs>
          <w:tab w:val="num" w:pos="1276"/>
        </w:tabs>
        <w:ind w:left="127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7">
      <w:start w:val="1"/>
      <w:numFmt w:val="bullet"/>
      <w:lvlText w:val="•"/>
      <w:lvlJc w:val="left"/>
      <w:pPr>
        <w:tabs>
          <w:tab w:val="num" w:pos="1456"/>
        </w:tabs>
        <w:ind w:left="145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lvl w:ilvl="8">
      <w:start w:val="1"/>
      <w:numFmt w:val="bullet"/>
      <w:lvlText w:val="•"/>
      <w:lvlJc w:val="left"/>
      <w:pPr>
        <w:tabs>
          <w:tab w:val="num" w:pos="1636"/>
        </w:tabs>
        <w:ind w:left="1636" w:hanging="196"/>
      </w:pPr>
      <w:rPr>
        <w:rFonts w:ascii="Calibri" w:eastAsia="Calibri" w:hAnsi="Calibri" w:cs="Calibri"/>
        <w:b w:val="0"/>
        <w:bCs w:val="0"/>
        <w:i w:val="0"/>
        <w:iCs w:val="0"/>
        <w:caps w:val="0"/>
        <w:smallCaps w:val="0"/>
        <w:strike w:val="0"/>
        <w:dstrike w:val="0"/>
        <w:color w:val="000000"/>
        <w:spacing w:val="0"/>
        <w:kern w:val="0"/>
        <w:position w:val="-2"/>
        <w:sz w:val="24"/>
        <w:szCs w:val="24"/>
        <w:u w:val="none" w:color="000000"/>
        <w:vertAlign w:val="baseline"/>
        <w:rtl w:val="0"/>
        <w14:textOutline w14:w="0" w14:cap="rnd" w14:cmpd="sng" w14:algn="ctr">
          <w14:noFill/>
          <w14:prstDash w14:val="solid"/>
          <w14:bevel/>
        </w14:textOutline>
      </w:rPr>
    </w:lvl>
  </w:abstractNum>
  <w:abstractNum w:abstractNumId="16" w15:restartNumberingAfterBreak="0">
    <w:nsid w:val="51950CB3"/>
    <w:multiLevelType w:val="hybridMultilevel"/>
    <w:tmpl w:val="AD1E0CD6"/>
    <w:lvl w:ilvl="0" w:tplc="F2F2F7A4">
      <w:start w:val="1"/>
      <w:numFmt w:val="bullet"/>
      <w:pStyle w:val="NCDTextBox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5E2961"/>
    <w:multiLevelType w:val="multilevel"/>
    <w:tmpl w:val="5EC0862A"/>
    <w:styleLink w:val="Bullet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8" w15:restartNumberingAfterBreak="0">
    <w:nsid w:val="537E4F6B"/>
    <w:multiLevelType w:val="multilevel"/>
    <w:tmpl w:val="EA543000"/>
    <w:styleLink w:val="List21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19" w15:restartNumberingAfterBreak="0">
    <w:nsid w:val="53F11A35"/>
    <w:multiLevelType w:val="hybridMultilevel"/>
    <w:tmpl w:val="11148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62710"/>
    <w:multiLevelType w:val="multilevel"/>
    <w:tmpl w:val="B8FAC3FC"/>
    <w:styleLink w:val="List31"/>
    <w:lvl w:ilvl="0">
      <w:numFmt w:val="bullet"/>
      <w:lvlText w:val="▪"/>
      <w:lvlJc w:val="left"/>
      <w:rPr>
        <w:rFonts w:ascii="Arial" w:eastAsia="Arial" w:hAnsi="Arial" w:cs="Arial"/>
        <w:color w:val="1F497D"/>
        <w:spacing w:val="0"/>
        <w:position w:val="0"/>
      </w:rPr>
    </w:lvl>
    <w:lvl w:ilvl="1">
      <w:start w:val="1"/>
      <w:numFmt w:val="bullet"/>
      <w:lvlText w:val="o"/>
      <w:lvlJc w:val="left"/>
      <w:rPr>
        <w:rFonts w:ascii="Arial" w:eastAsia="Arial" w:hAnsi="Arial" w:cs="Arial"/>
        <w:color w:val="1F497D"/>
        <w:spacing w:val="0"/>
        <w:position w:val="0"/>
      </w:rPr>
    </w:lvl>
    <w:lvl w:ilvl="2">
      <w:start w:val="1"/>
      <w:numFmt w:val="bullet"/>
      <w:lvlText w:val="▪"/>
      <w:lvlJc w:val="left"/>
      <w:rPr>
        <w:rFonts w:ascii="Arial" w:eastAsia="Arial" w:hAnsi="Arial" w:cs="Arial"/>
        <w:color w:val="1F497D"/>
        <w:spacing w:val="0"/>
        <w:position w:val="0"/>
      </w:rPr>
    </w:lvl>
    <w:lvl w:ilvl="3">
      <w:start w:val="1"/>
      <w:numFmt w:val="bullet"/>
      <w:lvlText w:val="•"/>
      <w:lvlJc w:val="left"/>
      <w:rPr>
        <w:rFonts w:ascii="Arial" w:eastAsia="Arial" w:hAnsi="Arial" w:cs="Arial"/>
        <w:color w:val="1F497D"/>
        <w:spacing w:val="0"/>
        <w:position w:val="0"/>
      </w:rPr>
    </w:lvl>
    <w:lvl w:ilvl="4">
      <w:start w:val="1"/>
      <w:numFmt w:val="bullet"/>
      <w:lvlText w:val="o"/>
      <w:lvlJc w:val="left"/>
      <w:rPr>
        <w:rFonts w:ascii="Arial" w:eastAsia="Arial" w:hAnsi="Arial" w:cs="Arial"/>
        <w:color w:val="1F497D"/>
        <w:spacing w:val="0"/>
        <w:position w:val="0"/>
      </w:rPr>
    </w:lvl>
    <w:lvl w:ilvl="5">
      <w:start w:val="1"/>
      <w:numFmt w:val="bullet"/>
      <w:lvlText w:val="▪"/>
      <w:lvlJc w:val="left"/>
      <w:rPr>
        <w:rFonts w:ascii="Arial" w:eastAsia="Arial" w:hAnsi="Arial" w:cs="Arial"/>
        <w:color w:val="1F497D"/>
        <w:spacing w:val="0"/>
        <w:position w:val="0"/>
      </w:rPr>
    </w:lvl>
    <w:lvl w:ilvl="6">
      <w:start w:val="1"/>
      <w:numFmt w:val="bullet"/>
      <w:lvlText w:val="•"/>
      <w:lvlJc w:val="left"/>
      <w:rPr>
        <w:rFonts w:ascii="Arial" w:eastAsia="Arial" w:hAnsi="Arial" w:cs="Arial"/>
        <w:color w:val="1F497D"/>
        <w:spacing w:val="0"/>
        <w:position w:val="0"/>
      </w:rPr>
    </w:lvl>
    <w:lvl w:ilvl="7">
      <w:start w:val="1"/>
      <w:numFmt w:val="bullet"/>
      <w:lvlText w:val="o"/>
      <w:lvlJc w:val="left"/>
      <w:rPr>
        <w:rFonts w:ascii="Arial" w:eastAsia="Arial" w:hAnsi="Arial" w:cs="Arial"/>
        <w:color w:val="1F497D"/>
        <w:spacing w:val="0"/>
        <w:position w:val="0"/>
      </w:rPr>
    </w:lvl>
    <w:lvl w:ilvl="8">
      <w:start w:val="1"/>
      <w:numFmt w:val="bullet"/>
      <w:lvlText w:val="▪"/>
      <w:lvlJc w:val="left"/>
      <w:rPr>
        <w:rFonts w:ascii="Arial" w:eastAsia="Arial" w:hAnsi="Arial" w:cs="Arial"/>
        <w:color w:val="1F497D"/>
        <w:spacing w:val="0"/>
        <w:position w:val="0"/>
      </w:rPr>
    </w:lvl>
  </w:abstractNum>
  <w:abstractNum w:abstractNumId="21" w15:restartNumberingAfterBreak="0">
    <w:nsid w:val="5AF233AF"/>
    <w:multiLevelType w:val="multilevel"/>
    <w:tmpl w:val="F8E89D94"/>
    <w:styleLink w:val="Level2Bullet"/>
    <w:lvl w:ilvl="0">
      <w:start w:val="1"/>
      <w:numFmt w:val="bullet"/>
      <w:lvlText w:val=""/>
      <w:lvlJc w:val="left"/>
      <w:pPr>
        <w:tabs>
          <w:tab w:val="num" w:pos="1080"/>
        </w:tabs>
        <w:ind w:left="108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A141AC"/>
    <w:multiLevelType w:val="hybridMultilevel"/>
    <w:tmpl w:val="E056D2D8"/>
    <w:lvl w:ilvl="0" w:tplc="D88E7D56">
      <w:start w:val="1"/>
      <w:numFmt w:val="bullet"/>
      <w:pStyle w:val="Bullet3"/>
      <w:lvlText w:val="■"/>
      <w:lvlJc w:val="left"/>
      <w:pPr>
        <w:ind w:left="108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DB81B9B"/>
    <w:multiLevelType w:val="multilevel"/>
    <w:tmpl w:val="03C2830E"/>
    <w:lvl w:ilvl="0">
      <w:start w:val="1"/>
      <w:numFmt w:val="bullet"/>
      <w:pStyle w:val="Bullet10"/>
      <w:lvlText w:val="●"/>
      <w:lvlJc w:val="left"/>
      <w:pPr>
        <w:ind w:left="360" w:hanging="360"/>
      </w:pPr>
      <w:rPr>
        <w:rFonts w:ascii="Times New Roman" w:hAnsi="Times New Roman" w:cs="Times New Roman" w:hint="default"/>
        <w:b w:val="0"/>
        <w:i w:val="0"/>
        <w:color w:val="002C5F"/>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723E00"/>
    <w:multiLevelType w:val="hybridMultilevel"/>
    <w:tmpl w:val="72B4D5D4"/>
    <w:lvl w:ilvl="0" w:tplc="C19E5DEA">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10692"/>
    <w:multiLevelType w:val="hybridMultilevel"/>
    <w:tmpl w:val="EC50592E"/>
    <w:lvl w:ilvl="0" w:tplc="F078B23C">
      <w:start w:val="1"/>
      <w:numFmt w:val="bullet"/>
      <w:pStyle w:val="NCDBulletsLevel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9976CA16">
      <w:start w:val="1"/>
      <w:numFmt w:val="bullet"/>
      <w:pStyle w:val="NCDBulletsLeve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524AED"/>
    <w:multiLevelType w:val="hybridMultilevel"/>
    <w:tmpl w:val="0FE2B82C"/>
    <w:lvl w:ilvl="0" w:tplc="1CD45966">
      <w:start w:val="1"/>
      <w:numFmt w:val="bullet"/>
      <w:pStyle w:val="TableBullet1"/>
      <w:lvlText w:val="●"/>
      <w:lvlJc w:val="left"/>
      <w:pPr>
        <w:ind w:left="360" w:hanging="360"/>
      </w:pPr>
      <w:rPr>
        <w:rFonts w:ascii="Arial" w:hAnsi="Arial" w:hint="default"/>
        <w:color w:val="002C5F"/>
        <w:sz w:val="20"/>
      </w:rPr>
    </w:lvl>
    <w:lvl w:ilvl="1" w:tplc="E79A92C0">
      <w:start w:val="1"/>
      <w:numFmt w:val="bullet"/>
      <w:lvlText w:val=""/>
      <w:lvlJc w:val="left"/>
      <w:pPr>
        <w:ind w:left="1440" w:hanging="360"/>
      </w:pPr>
      <w:rPr>
        <w:rFonts w:ascii="Wingdings" w:hAnsi="Wingdings" w:hint="default"/>
        <w:color w:val="4B76A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3252A0"/>
    <w:multiLevelType w:val="hybridMultilevel"/>
    <w:tmpl w:val="3A92789A"/>
    <w:lvl w:ilvl="0" w:tplc="553C6A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827045"/>
    <w:multiLevelType w:val="hybridMultilevel"/>
    <w:tmpl w:val="52C49188"/>
    <w:lvl w:ilvl="0" w:tplc="2B8887C0">
      <w:start w:val="1"/>
      <w:numFmt w:val="bullet"/>
      <w:pStyle w:val="TableBullet2"/>
      <w:lvlText w:val="–"/>
      <w:lvlJc w:val="left"/>
      <w:pPr>
        <w:ind w:left="630" w:hanging="360"/>
      </w:pPr>
      <w:rPr>
        <w:rFonts w:ascii="Times New Roman" w:hAnsi="Times New Roman" w:cs="Times New Roman" w:hint="default"/>
        <w:b w:val="0"/>
        <w:i w:val="0"/>
        <w:color w:val="002C5F"/>
        <w:sz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6"/>
  </w:num>
  <w:num w:numId="2">
    <w:abstractNumId w:val="25"/>
  </w:num>
  <w:num w:numId="3">
    <w:abstractNumId w:val="17"/>
  </w:num>
  <w:num w:numId="4">
    <w:abstractNumId w:val="18"/>
  </w:num>
  <w:num w:numId="5">
    <w:abstractNumId w:val="10"/>
  </w:num>
  <w:num w:numId="6">
    <w:abstractNumId w:val="12"/>
  </w:num>
  <w:num w:numId="7">
    <w:abstractNumId w:val="5"/>
  </w:num>
  <w:num w:numId="8">
    <w:abstractNumId w:val="15"/>
  </w:num>
  <w:num w:numId="9">
    <w:abstractNumId w:val="9"/>
  </w:num>
  <w:num w:numId="10">
    <w:abstractNumId w:val="20"/>
  </w:num>
  <w:num w:numId="11">
    <w:abstractNumId w:val="11"/>
  </w:num>
  <w:num w:numId="12">
    <w:abstractNumId w:val="1"/>
  </w:num>
  <w:num w:numId="13">
    <w:abstractNumId w:val="23"/>
  </w:num>
  <w:num w:numId="14">
    <w:abstractNumId w:val="0"/>
  </w:num>
  <w:num w:numId="15">
    <w:abstractNumId w:val="13"/>
  </w:num>
  <w:num w:numId="16">
    <w:abstractNumId w:val="22"/>
  </w:num>
  <w:num w:numId="17">
    <w:abstractNumId w:val="2"/>
  </w:num>
  <w:num w:numId="18">
    <w:abstractNumId w:val="21"/>
  </w:num>
  <w:num w:numId="19">
    <w:abstractNumId w:val="24"/>
  </w:num>
  <w:num w:numId="20">
    <w:abstractNumId w:val="26"/>
  </w:num>
  <w:num w:numId="21">
    <w:abstractNumId w:val="28"/>
  </w:num>
  <w:num w:numId="22">
    <w:abstractNumId w:val="7"/>
  </w:num>
  <w:num w:numId="23">
    <w:abstractNumId w:val="27"/>
  </w:num>
  <w:num w:numId="24">
    <w:abstractNumId w:val="6"/>
  </w:num>
  <w:num w:numId="25">
    <w:abstractNumId w:val="19"/>
  </w:num>
  <w:num w:numId="26">
    <w:abstractNumId w:val="4"/>
  </w:num>
  <w:num w:numId="27">
    <w:abstractNumId w:val="14"/>
  </w:num>
  <w:num w:numId="28">
    <w:abstractNumId w:val="3"/>
  </w:num>
  <w:num w:numId="29">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2E830EE-7E4C-4DFF-BD02-003B420397B6}"/>
    <w:docVar w:name="dgnword-eventsink" w:val="376888800"/>
  </w:docVars>
  <w:rsids>
    <w:rsidRoot w:val="00AB3DA7"/>
    <w:rsid w:val="000000A7"/>
    <w:rsid w:val="00000610"/>
    <w:rsid w:val="000007C9"/>
    <w:rsid w:val="00000862"/>
    <w:rsid w:val="0000127F"/>
    <w:rsid w:val="00002A33"/>
    <w:rsid w:val="00002B3D"/>
    <w:rsid w:val="0000347E"/>
    <w:rsid w:val="0000426B"/>
    <w:rsid w:val="0000488E"/>
    <w:rsid w:val="00006306"/>
    <w:rsid w:val="00006E2F"/>
    <w:rsid w:val="0000737A"/>
    <w:rsid w:val="0000737D"/>
    <w:rsid w:val="00010376"/>
    <w:rsid w:val="00010434"/>
    <w:rsid w:val="00011289"/>
    <w:rsid w:val="000113A7"/>
    <w:rsid w:val="000118A8"/>
    <w:rsid w:val="00011DF9"/>
    <w:rsid w:val="00011F6A"/>
    <w:rsid w:val="000123CC"/>
    <w:rsid w:val="000130C1"/>
    <w:rsid w:val="00014F55"/>
    <w:rsid w:val="00015C6D"/>
    <w:rsid w:val="00015D1A"/>
    <w:rsid w:val="00016385"/>
    <w:rsid w:val="00016EDA"/>
    <w:rsid w:val="00017DE6"/>
    <w:rsid w:val="000207D7"/>
    <w:rsid w:val="00020F4D"/>
    <w:rsid w:val="00021130"/>
    <w:rsid w:val="000222AD"/>
    <w:rsid w:val="000228BA"/>
    <w:rsid w:val="00022FA3"/>
    <w:rsid w:val="000234D0"/>
    <w:rsid w:val="00023527"/>
    <w:rsid w:val="0002400A"/>
    <w:rsid w:val="00024031"/>
    <w:rsid w:val="000257F6"/>
    <w:rsid w:val="00026495"/>
    <w:rsid w:val="00030C83"/>
    <w:rsid w:val="00030D8D"/>
    <w:rsid w:val="0003136B"/>
    <w:rsid w:val="00031901"/>
    <w:rsid w:val="00031B19"/>
    <w:rsid w:val="00032663"/>
    <w:rsid w:val="00032A5A"/>
    <w:rsid w:val="000332BD"/>
    <w:rsid w:val="00034042"/>
    <w:rsid w:val="00034D45"/>
    <w:rsid w:val="00035F81"/>
    <w:rsid w:val="00036014"/>
    <w:rsid w:val="000365E2"/>
    <w:rsid w:val="00036C45"/>
    <w:rsid w:val="000378E0"/>
    <w:rsid w:val="00037AA7"/>
    <w:rsid w:val="00037AD9"/>
    <w:rsid w:val="00037C02"/>
    <w:rsid w:val="000412D9"/>
    <w:rsid w:val="00041BE1"/>
    <w:rsid w:val="00041DDA"/>
    <w:rsid w:val="000424A3"/>
    <w:rsid w:val="00042638"/>
    <w:rsid w:val="00043A14"/>
    <w:rsid w:val="00044DDB"/>
    <w:rsid w:val="000456A0"/>
    <w:rsid w:val="00045C50"/>
    <w:rsid w:val="00046181"/>
    <w:rsid w:val="00046998"/>
    <w:rsid w:val="00047948"/>
    <w:rsid w:val="00047954"/>
    <w:rsid w:val="000479DD"/>
    <w:rsid w:val="00050306"/>
    <w:rsid w:val="00051AF8"/>
    <w:rsid w:val="00051C68"/>
    <w:rsid w:val="0005287D"/>
    <w:rsid w:val="00052C1C"/>
    <w:rsid w:val="00053876"/>
    <w:rsid w:val="00053889"/>
    <w:rsid w:val="00054F4E"/>
    <w:rsid w:val="00055991"/>
    <w:rsid w:val="00055F44"/>
    <w:rsid w:val="00060097"/>
    <w:rsid w:val="000603EC"/>
    <w:rsid w:val="0006161A"/>
    <w:rsid w:val="000616DC"/>
    <w:rsid w:val="00061781"/>
    <w:rsid w:val="000623FB"/>
    <w:rsid w:val="00062AEE"/>
    <w:rsid w:val="000638E5"/>
    <w:rsid w:val="000639BB"/>
    <w:rsid w:val="00063CCD"/>
    <w:rsid w:val="00064576"/>
    <w:rsid w:val="0006495A"/>
    <w:rsid w:val="000651DF"/>
    <w:rsid w:val="00065257"/>
    <w:rsid w:val="00065E65"/>
    <w:rsid w:val="00067464"/>
    <w:rsid w:val="0007082D"/>
    <w:rsid w:val="00070E5B"/>
    <w:rsid w:val="00071569"/>
    <w:rsid w:val="00071CA3"/>
    <w:rsid w:val="00072481"/>
    <w:rsid w:val="00072EA3"/>
    <w:rsid w:val="00072EEE"/>
    <w:rsid w:val="0007302C"/>
    <w:rsid w:val="000735A4"/>
    <w:rsid w:val="000753AA"/>
    <w:rsid w:val="00075CE1"/>
    <w:rsid w:val="000760A2"/>
    <w:rsid w:val="00080E6A"/>
    <w:rsid w:val="0008276F"/>
    <w:rsid w:val="000835E8"/>
    <w:rsid w:val="0008750C"/>
    <w:rsid w:val="00087899"/>
    <w:rsid w:val="0009010A"/>
    <w:rsid w:val="0009023C"/>
    <w:rsid w:val="00090A5F"/>
    <w:rsid w:val="00091372"/>
    <w:rsid w:val="000913CA"/>
    <w:rsid w:val="000918AA"/>
    <w:rsid w:val="00093AFB"/>
    <w:rsid w:val="000945D9"/>
    <w:rsid w:val="00094CB4"/>
    <w:rsid w:val="00095428"/>
    <w:rsid w:val="000960AA"/>
    <w:rsid w:val="00096A46"/>
    <w:rsid w:val="000A06A6"/>
    <w:rsid w:val="000A07C7"/>
    <w:rsid w:val="000A0AAE"/>
    <w:rsid w:val="000A2944"/>
    <w:rsid w:val="000A40CC"/>
    <w:rsid w:val="000A4259"/>
    <w:rsid w:val="000A5988"/>
    <w:rsid w:val="000A6577"/>
    <w:rsid w:val="000B073C"/>
    <w:rsid w:val="000B07B2"/>
    <w:rsid w:val="000B0E38"/>
    <w:rsid w:val="000B1F14"/>
    <w:rsid w:val="000B2C9F"/>
    <w:rsid w:val="000B3398"/>
    <w:rsid w:val="000B4EF4"/>
    <w:rsid w:val="000B5C37"/>
    <w:rsid w:val="000B602A"/>
    <w:rsid w:val="000B6815"/>
    <w:rsid w:val="000B6F46"/>
    <w:rsid w:val="000B722C"/>
    <w:rsid w:val="000C09D8"/>
    <w:rsid w:val="000C1248"/>
    <w:rsid w:val="000C1C23"/>
    <w:rsid w:val="000C213B"/>
    <w:rsid w:val="000C3654"/>
    <w:rsid w:val="000C3B97"/>
    <w:rsid w:val="000C4EB0"/>
    <w:rsid w:val="000C50E8"/>
    <w:rsid w:val="000C5595"/>
    <w:rsid w:val="000C6F87"/>
    <w:rsid w:val="000C7DC4"/>
    <w:rsid w:val="000C7FAD"/>
    <w:rsid w:val="000D0859"/>
    <w:rsid w:val="000D0FF8"/>
    <w:rsid w:val="000D1AFE"/>
    <w:rsid w:val="000D25B0"/>
    <w:rsid w:val="000D2909"/>
    <w:rsid w:val="000D29E9"/>
    <w:rsid w:val="000D31E9"/>
    <w:rsid w:val="000D3218"/>
    <w:rsid w:val="000D32D8"/>
    <w:rsid w:val="000D3E9C"/>
    <w:rsid w:val="000D4782"/>
    <w:rsid w:val="000D4B35"/>
    <w:rsid w:val="000D5BC9"/>
    <w:rsid w:val="000D5E4F"/>
    <w:rsid w:val="000D6605"/>
    <w:rsid w:val="000D750E"/>
    <w:rsid w:val="000D7F1E"/>
    <w:rsid w:val="000E0D03"/>
    <w:rsid w:val="000E1340"/>
    <w:rsid w:val="000E3BA7"/>
    <w:rsid w:val="000E50B0"/>
    <w:rsid w:val="000E6112"/>
    <w:rsid w:val="000E62C8"/>
    <w:rsid w:val="000E65A2"/>
    <w:rsid w:val="000E6AC0"/>
    <w:rsid w:val="000E75CB"/>
    <w:rsid w:val="000E7A32"/>
    <w:rsid w:val="000F0DDC"/>
    <w:rsid w:val="000F13FF"/>
    <w:rsid w:val="000F16E4"/>
    <w:rsid w:val="000F1993"/>
    <w:rsid w:val="000F1ADA"/>
    <w:rsid w:val="000F1B83"/>
    <w:rsid w:val="000F31FE"/>
    <w:rsid w:val="000F438F"/>
    <w:rsid w:val="000F4632"/>
    <w:rsid w:val="000F4992"/>
    <w:rsid w:val="000F5905"/>
    <w:rsid w:val="000F7181"/>
    <w:rsid w:val="000F7A59"/>
    <w:rsid w:val="001003DE"/>
    <w:rsid w:val="00101B24"/>
    <w:rsid w:val="00104C51"/>
    <w:rsid w:val="001057D8"/>
    <w:rsid w:val="00105AD2"/>
    <w:rsid w:val="00105AE9"/>
    <w:rsid w:val="00105C64"/>
    <w:rsid w:val="00105F66"/>
    <w:rsid w:val="00106D9E"/>
    <w:rsid w:val="0011098D"/>
    <w:rsid w:val="001111B5"/>
    <w:rsid w:val="0011139E"/>
    <w:rsid w:val="00111443"/>
    <w:rsid w:val="001115C1"/>
    <w:rsid w:val="00112E8C"/>
    <w:rsid w:val="001141E6"/>
    <w:rsid w:val="00114F11"/>
    <w:rsid w:val="00115FAC"/>
    <w:rsid w:val="001177B6"/>
    <w:rsid w:val="00117854"/>
    <w:rsid w:val="00120A98"/>
    <w:rsid w:val="00120FD2"/>
    <w:rsid w:val="0012135A"/>
    <w:rsid w:val="001217ED"/>
    <w:rsid w:val="0012257A"/>
    <w:rsid w:val="00122CCF"/>
    <w:rsid w:val="00122FC3"/>
    <w:rsid w:val="00123E6D"/>
    <w:rsid w:val="0012408E"/>
    <w:rsid w:val="0012461E"/>
    <w:rsid w:val="00124FC7"/>
    <w:rsid w:val="0012732D"/>
    <w:rsid w:val="00130536"/>
    <w:rsid w:val="001322CA"/>
    <w:rsid w:val="00133E8B"/>
    <w:rsid w:val="00133F5E"/>
    <w:rsid w:val="0013480A"/>
    <w:rsid w:val="00135AA9"/>
    <w:rsid w:val="00136938"/>
    <w:rsid w:val="001404BF"/>
    <w:rsid w:val="00140836"/>
    <w:rsid w:val="00140BDB"/>
    <w:rsid w:val="00141572"/>
    <w:rsid w:val="00141A4F"/>
    <w:rsid w:val="00141FA8"/>
    <w:rsid w:val="001428F4"/>
    <w:rsid w:val="001428F5"/>
    <w:rsid w:val="00142D2A"/>
    <w:rsid w:val="00143048"/>
    <w:rsid w:val="001433AE"/>
    <w:rsid w:val="001436F9"/>
    <w:rsid w:val="00143B49"/>
    <w:rsid w:val="00144230"/>
    <w:rsid w:val="00145242"/>
    <w:rsid w:val="001501A5"/>
    <w:rsid w:val="001505C7"/>
    <w:rsid w:val="00150811"/>
    <w:rsid w:val="001508C8"/>
    <w:rsid w:val="0015093A"/>
    <w:rsid w:val="00151197"/>
    <w:rsid w:val="00151385"/>
    <w:rsid w:val="00152335"/>
    <w:rsid w:val="00154B58"/>
    <w:rsid w:val="00154B85"/>
    <w:rsid w:val="0015665E"/>
    <w:rsid w:val="00160741"/>
    <w:rsid w:val="00161750"/>
    <w:rsid w:val="001640DA"/>
    <w:rsid w:val="0016440B"/>
    <w:rsid w:val="00165169"/>
    <w:rsid w:val="001657F4"/>
    <w:rsid w:val="001670FE"/>
    <w:rsid w:val="00167B8A"/>
    <w:rsid w:val="0017021D"/>
    <w:rsid w:val="001720DF"/>
    <w:rsid w:val="001726CB"/>
    <w:rsid w:val="001736CB"/>
    <w:rsid w:val="00173755"/>
    <w:rsid w:val="00173F52"/>
    <w:rsid w:val="00174349"/>
    <w:rsid w:val="00175E12"/>
    <w:rsid w:val="00177766"/>
    <w:rsid w:val="001778CD"/>
    <w:rsid w:val="00177C18"/>
    <w:rsid w:val="00177D42"/>
    <w:rsid w:val="001801D0"/>
    <w:rsid w:val="00180507"/>
    <w:rsid w:val="00180509"/>
    <w:rsid w:val="00180A58"/>
    <w:rsid w:val="0018115C"/>
    <w:rsid w:val="001816A2"/>
    <w:rsid w:val="00181EAC"/>
    <w:rsid w:val="0018299E"/>
    <w:rsid w:val="00183FEF"/>
    <w:rsid w:val="001841C7"/>
    <w:rsid w:val="001842E2"/>
    <w:rsid w:val="0018438E"/>
    <w:rsid w:val="0018439A"/>
    <w:rsid w:val="001843C0"/>
    <w:rsid w:val="001849F2"/>
    <w:rsid w:val="0018555C"/>
    <w:rsid w:val="00186F2F"/>
    <w:rsid w:val="0018711F"/>
    <w:rsid w:val="00187FDA"/>
    <w:rsid w:val="00190E56"/>
    <w:rsid w:val="001910C6"/>
    <w:rsid w:val="0019132C"/>
    <w:rsid w:val="0019154A"/>
    <w:rsid w:val="0019154D"/>
    <w:rsid w:val="00191627"/>
    <w:rsid w:val="001917F9"/>
    <w:rsid w:val="00191C5F"/>
    <w:rsid w:val="00192549"/>
    <w:rsid w:val="00192B26"/>
    <w:rsid w:val="001934EE"/>
    <w:rsid w:val="00193573"/>
    <w:rsid w:val="00193809"/>
    <w:rsid w:val="00193835"/>
    <w:rsid w:val="00193933"/>
    <w:rsid w:val="001945FE"/>
    <w:rsid w:val="00195490"/>
    <w:rsid w:val="0019617C"/>
    <w:rsid w:val="00196EAC"/>
    <w:rsid w:val="001A0D97"/>
    <w:rsid w:val="001A0FBB"/>
    <w:rsid w:val="001A1A26"/>
    <w:rsid w:val="001A1BC9"/>
    <w:rsid w:val="001A3145"/>
    <w:rsid w:val="001A3855"/>
    <w:rsid w:val="001A456E"/>
    <w:rsid w:val="001A491C"/>
    <w:rsid w:val="001A55A7"/>
    <w:rsid w:val="001A5B3D"/>
    <w:rsid w:val="001A6223"/>
    <w:rsid w:val="001A6906"/>
    <w:rsid w:val="001A6DD3"/>
    <w:rsid w:val="001A71EF"/>
    <w:rsid w:val="001B07C9"/>
    <w:rsid w:val="001B0B60"/>
    <w:rsid w:val="001B1562"/>
    <w:rsid w:val="001B27DC"/>
    <w:rsid w:val="001B2BDB"/>
    <w:rsid w:val="001B3A8D"/>
    <w:rsid w:val="001B5A77"/>
    <w:rsid w:val="001B5A8F"/>
    <w:rsid w:val="001B6815"/>
    <w:rsid w:val="001B6E59"/>
    <w:rsid w:val="001B7225"/>
    <w:rsid w:val="001B7B84"/>
    <w:rsid w:val="001B7E46"/>
    <w:rsid w:val="001C2D5A"/>
    <w:rsid w:val="001C30D9"/>
    <w:rsid w:val="001C364D"/>
    <w:rsid w:val="001C3B34"/>
    <w:rsid w:val="001C5C2B"/>
    <w:rsid w:val="001C5CBC"/>
    <w:rsid w:val="001C5E43"/>
    <w:rsid w:val="001C61BF"/>
    <w:rsid w:val="001C65EB"/>
    <w:rsid w:val="001C70E4"/>
    <w:rsid w:val="001C737E"/>
    <w:rsid w:val="001D0821"/>
    <w:rsid w:val="001D0C96"/>
    <w:rsid w:val="001D1F7F"/>
    <w:rsid w:val="001D3AA3"/>
    <w:rsid w:val="001D3BBE"/>
    <w:rsid w:val="001D4C99"/>
    <w:rsid w:val="001D4ECC"/>
    <w:rsid w:val="001D579E"/>
    <w:rsid w:val="001D5F59"/>
    <w:rsid w:val="001D69A5"/>
    <w:rsid w:val="001E134E"/>
    <w:rsid w:val="001E180D"/>
    <w:rsid w:val="001E5D80"/>
    <w:rsid w:val="001E6D61"/>
    <w:rsid w:val="001E6F65"/>
    <w:rsid w:val="001F0072"/>
    <w:rsid w:val="001F0326"/>
    <w:rsid w:val="001F04F1"/>
    <w:rsid w:val="001F14D5"/>
    <w:rsid w:val="001F158E"/>
    <w:rsid w:val="001F17A4"/>
    <w:rsid w:val="001F1BA1"/>
    <w:rsid w:val="001F2238"/>
    <w:rsid w:val="001F357D"/>
    <w:rsid w:val="001F4FD8"/>
    <w:rsid w:val="001F51A2"/>
    <w:rsid w:val="001F5C20"/>
    <w:rsid w:val="001F5F1D"/>
    <w:rsid w:val="001F6698"/>
    <w:rsid w:val="001F7AF8"/>
    <w:rsid w:val="001F7BA7"/>
    <w:rsid w:val="001F7C9B"/>
    <w:rsid w:val="0020003D"/>
    <w:rsid w:val="00200A16"/>
    <w:rsid w:val="002013A0"/>
    <w:rsid w:val="0020247B"/>
    <w:rsid w:val="0020275F"/>
    <w:rsid w:val="00203682"/>
    <w:rsid w:val="00203E1F"/>
    <w:rsid w:val="00205485"/>
    <w:rsid w:val="002058B2"/>
    <w:rsid w:val="002059E9"/>
    <w:rsid w:val="002060E5"/>
    <w:rsid w:val="002114B0"/>
    <w:rsid w:val="00212424"/>
    <w:rsid w:val="0021255D"/>
    <w:rsid w:val="00212DD1"/>
    <w:rsid w:val="00212ECD"/>
    <w:rsid w:val="00213C95"/>
    <w:rsid w:val="00214C3C"/>
    <w:rsid w:val="00215D2C"/>
    <w:rsid w:val="002166B9"/>
    <w:rsid w:val="00216CEA"/>
    <w:rsid w:val="00217FF8"/>
    <w:rsid w:val="00220832"/>
    <w:rsid w:val="00221255"/>
    <w:rsid w:val="00221354"/>
    <w:rsid w:val="00221D77"/>
    <w:rsid w:val="00222259"/>
    <w:rsid w:val="002226EA"/>
    <w:rsid w:val="002228A2"/>
    <w:rsid w:val="002230C4"/>
    <w:rsid w:val="0022562E"/>
    <w:rsid w:val="00225638"/>
    <w:rsid w:val="00226156"/>
    <w:rsid w:val="00226936"/>
    <w:rsid w:val="00226A59"/>
    <w:rsid w:val="00226B5D"/>
    <w:rsid w:val="00226E53"/>
    <w:rsid w:val="00230404"/>
    <w:rsid w:val="00230B8F"/>
    <w:rsid w:val="00230D0E"/>
    <w:rsid w:val="00230DDE"/>
    <w:rsid w:val="00231707"/>
    <w:rsid w:val="00231759"/>
    <w:rsid w:val="002333C3"/>
    <w:rsid w:val="00233854"/>
    <w:rsid w:val="00234731"/>
    <w:rsid w:val="0023793A"/>
    <w:rsid w:val="00237DB8"/>
    <w:rsid w:val="00240357"/>
    <w:rsid w:val="002407E0"/>
    <w:rsid w:val="00241DF1"/>
    <w:rsid w:val="00242AEF"/>
    <w:rsid w:val="00242B06"/>
    <w:rsid w:val="00243E27"/>
    <w:rsid w:val="0024459D"/>
    <w:rsid w:val="0024501D"/>
    <w:rsid w:val="00245F23"/>
    <w:rsid w:val="0024709A"/>
    <w:rsid w:val="002473D4"/>
    <w:rsid w:val="002511F9"/>
    <w:rsid w:val="00251C60"/>
    <w:rsid w:val="002535C0"/>
    <w:rsid w:val="0025361F"/>
    <w:rsid w:val="0025424E"/>
    <w:rsid w:val="002561C0"/>
    <w:rsid w:val="002564AF"/>
    <w:rsid w:val="00256596"/>
    <w:rsid w:val="00256897"/>
    <w:rsid w:val="002571B8"/>
    <w:rsid w:val="00257424"/>
    <w:rsid w:val="00260226"/>
    <w:rsid w:val="002604BB"/>
    <w:rsid w:val="00260E5C"/>
    <w:rsid w:val="002614ED"/>
    <w:rsid w:val="00261C88"/>
    <w:rsid w:val="00262365"/>
    <w:rsid w:val="00263070"/>
    <w:rsid w:val="0026318A"/>
    <w:rsid w:val="002631EF"/>
    <w:rsid w:val="002636E3"/>
    <w:rsid w:val="0026457A"/>
    <w:rsid w:val="00264906"/>
    <w:rsid w:val="00265798"/>
    <w:rsid w:val="00266663"/>
    <w:rsid w:val="00266A50"/>
    <w:rsid w:val="00266AFC"/>
    <w:rsid w:val="00266FBC"/>
    <w:rsid w:val="002679FA"/>
    <w:rsid w:val="00271387"/>
    <w:rsid w:val="0027171F"/>
    <w:rsid w:val="002721E7"/>
    <w:rsid w:val="00272A36"/>
    <w:rsid w:val="00272F64"/>
    <w:rsid w:val="002736CA"/>
    <w:rsid w:val="00273770"/>
    <w:rsid w:val="002744EA"/>
    <w:rsid w:val="00274D6A"/>
    <w:rsid w:val="0027509F"/>
    <w:rsid w:val="00275218"/>
    <w:rsid w:val="0027537C"/>
    <w:rsid w:val="002764D9"/>
    <w:rsid w:val="00276843"/>
    <w:rsid w:val="00276926"/>
    <w:rsid w:val="00276A65"/>
    <w:rsid w:val="00277A5A"/>
    <w:rsid w:val="002813BA"/>
    <w:rsid w:val="00283241"/>
    <w:rsid w:val="00283596"/>
    <w:rsid w:val="00284265"/>
    <w:rsid w:val="002848F9"/>
    <w:rsid w:val="002868E3"/>
    <w:rsid w:val="0028742B"/>
    <w:rsid w:val="002876B2"/>
    <w:rsid w:val="00287B11"/>
    <w:rsid w:val="00287BC5"/>
    <w:rsid w:val="00290125"/>
    <w:rsid w:val="0029338D"/>
    <w:rsid w:val="002936D2"/>
    <w:rsid w:val="002947C3"/>
    <w:rsid w:val="00295289"/>
    <w:rsid w:val="002957E2"/>
    <w:rsid w:val="00295990"/>
    <w:rsid w:val="00296607"/>
    <w:rsid w:val="002966DC"/>
    <w:rsid w:val="00297316"/>
    <w:rsid w:val="00297998"/>
    <w:rsid w:val="00297A67"/>
    <w:rsid w:val="00297DDA"/>
    <w:rsid w:val="002A070B"/>
    <w:rsid w:val="002A0A16"/>
    <w:rsid w:val="002A153D"/>
    <w:rsid w:val="002A1736"/>
    <w:rsid w:val="002A2266"/>
    <w:rsid w:val="002A287E"/>
    <w:rsid w:val="002A30E8"/>
    <w:rsid w:val="002A35B9"/>
    <w:rsid w:val="002A3766"/>
    <w:rsid w:val="002A3AAC"/>
    <w:rsid w:val="002A3D1D"/>
    <w:rsid w:val="002A4632"/>
    <w:rsid w:val="002A4999"/>
    <w:rsid w:val="002A7949"/>
    <w:rsid w:val="002A7CE8"/>
    <w:rsid w:val="002B01BB"/>
    <w:rsid w:val="002B10CA"/>
    <w:rsid w:val="002B227B"/>
    <w:rsid w:val="002B2D61"/>
    <w:rsid w:val="002B3029"/>
    <w:rsid w:val="002B34DD"/>
    <w:rsid w:val="002B3EC2"/>
    <w:rsid w:val="002B4829"/>
    <w:rsid w:val="002B49A0"/>
    <w:rsid w:val="002B6177"/>
    <w:rsid w:val="002B69BA"/>
    <w:rsid w:val="002B6DB1"/>
    <w:rsid w:val="002B78E2"/>
    <w:rsid w:val="002B7CA1"/>
    <w:rsid w:val="002C083D"/>
    <w:rsid w:val="002C09BE"/>
    <w:rsid w:val="002C0D39"/>
    <w:rsid w:val="002C1087"/>
    <w:rsid w:val="002C1B1E"/>
    <w:rsid w:val="002C51C1"/>
    <w:rsid w:val="002C52AB"/>
    <w:rsid w:val="002C74DA"/>
    <w:rsid w:val="002C7C16"/>
    <w:rsid w:val="002C7E88"/>
    <w:rsid w:val="002D0469"/>
    <w:rsid w:val="002D1D67"/>
    <w:rsid w:val="002D1E82"/>
    <w:rsid w:val="002D2103"/>
    <w:rsid w:val="002D27D8"/>
    <w:rsid w:val="002D3ED2"/>
    <w:rsid w:val="002D5620"/>
    <w:rsid w:val="002D5C37"/>
    <w:rsid w:val="002D5D08"/>
    <w:rsid w:val="002D620F"/>
    <w:rsid w:val="002D72C0"/>
    <w:rsid w:val="002D75AE"/>
    <w:rsid w:val="002D76AC"/>
    <w:rsid w:val="002D7B94"/>
    <w:rsid w:val="002E0120"/>
    <w:rsid w:val="002E051F"/>
    <w:rsid w:val="002E0786"/>
    <w:rsid w:val="002E1766"/>
    <w:rsid w:val="002E18D3"/>
    <w:rsid w:val="002E2545"/>
    <w:rsid w:val="002E254D"/>
    <w:rsid w:val="002E2C1E"/>
    <w:rsid w:val="002E3DA6"/>
    <w:rsid w:val="002E42E5"/>
    <w:rsid w:val="002E522D"/>
    <w:rsid w:val="002E59E7"/>
    <w:rsid w:val="002E5C57"/>
    <w:rsid w:val="002E63B7"/>
    <w:rsid w:val="002E6A65"/>
    <w:rsid w:val="002F10E3"/>
    <w:rsid w:val="002F2249"/>
    <w:rsid w:val="002F2538"/>
    <w:rsid w:val="002F3E81"/>
    <w:rsid w:val="002F54D4"/>
    <w:rsid w:val="002F5EAF"/>
    <w:rsid w:val="002F5F07"/>
    <w:rsid w:val="002F64EB"/>
    <w:rsid w:val="002F6A9A"/>
    <w:rsid w:val="002F78B9"/>
    <w:rsid w:val="002F78F8"/>
    <w:rsid w:val="00300479"/>
    <w:rsid w:val="003010C0"/>
    <w:rsid w:val="0030158B"/>
    <w:rsid w:val="00301A2B"/>
    <w:rsid w:val="00301ECD"/>
    <w:rsid w:val="00302FF3"/>
    <w:rsid w:val="003039C5"/>
    <w:rsid w:val="00303A68"/>
    <w:rsid w:val="00303F93"/>
    <w:rsid w:val="003103AB"/>
    <w:rsid w:val="00310C1A"/>
    <w:rsid w:val="00310DB0"/>
    <w:rsid w:val="003117F8"/>
    <w:rsid w:val="00312908"/>
    <w:rsid w:val="003132D7"/>
    <w:rsid w:val="00314DB8"/>
    <w:rsid w:val="00315FA2"/>
    <w:rsid w:val="003165C7"/>
    <w:rsid w:val="003168DE"/>
    <w:rsid w:val="00316ACA"/>
    <w:rsid w:val="003170A7"/>
    <w:rsid w:val="00317350"/>
    <w:rsid w:val="00317547"/>
    <w:rsid w:val="00317DB6"/>
    <w:rsid w:val="00320B71"/>
    <w:rsid w:val="00321365"/>
    <w:rsid w:val="00321519"/>
    <w:rsid w:val="003226DF"/>
    <w:rsid w:val="00322ECB"/>
    <w:rsid w:val="003232B9"/>
    <w:rsid w:val="00323DCF"/>
    <w:rsid w:val="003241DF"/>
    <w:rsid w:val="00324629"/>
    <w:rsid w:val="003249CD"/>
    <w:rsid w:val="00324B7D"/>
    <w:rsid w:val="003251D5"/>
    <w:rsid w:val="0032549F"/>
    <w:rsid w:val="00325C5C"/>
    <w:rsid w:val="00326035"/>
    <w:rsid w:val="003267D8"/>
    <w:rsid w:val="00327498"/>
    <w:rsid w:val="00327632"/>
    <w:rsid w:val="00327CF5"/>
    <w:rsid w:val="003304C7"/>
    <w:rsid w:val="00330B6C"/>
    <w:rsid w:val="0033193D"/>
    <w:rsid w:val="0033221A"/>
    <w:rsid w:val="00332530"/>
    <w:rsid w:val="003326BC"/>
    <w:rsid w:val="00332D17"/>
    <w:rsid w:val="00333903"/>
    <w:rsid w:val="0033396C"/>
    <w:rsid w:val="003341AB"/>
    <w:rsid w:val="003343E6"/>
    <w:rsid w:val="00334422"/>
    <w:rsid w:val="003363EC"/>
    <w:rsid w:val="00337A0E"/>
    <w:rsid w:val="00340153"/>
    <w:rsid w:val="003406D8"/>
    <w:rsid w:val="00341333"/>
    <w:rsid w:val="003417D8"/>
    <w:rsid w:val="00341AA3"/>
    <w:rsid w:val="00341E51"/>
    <w:rsid w:val="003429E0"/>
    <w:rsid w:val="00343EE6"/>
    <w:rsid w:val="003443DD"/>
    <w:rsid w:val="0034491F"/>
    <w:rsid w:val="00344D15"/>
    <w:rsid w:val="003460F9"/>
    <w:rsid w:val="0034677E"/>
    <w:rsid w:val="003471ED"/>
    <w:rsid w:val="00347C68"/>
    <w:rsid w:val="003505B5"/>
    <w:rsid w:val="003506EB"/>
    <w:rsid w:val="003510F5"/>
    <w:rsid w:val="0035136A"/>
    <w:rsid w:val="00351E73"/>
    <w:rsid w:val="00352A5E"/>
    <w:rsid w:val="00352BE2"/>
    <w:rsid w:val="00352CB2"/>
    <w:rsid w:val="00353DC7"/>
    <w:rsid w:val="00355320"/>
    <w:rsid w:val="0035605A"/>
    <w:rsid w:val="00356410"/>
    <w:rsid w:val="003571A5"/>
    <w:rsid w:val="0035768A"/>
    <w:rsid w:val="00357971"/>
    <w:rsid w:val="00357B39"/>
    <w:rsid w:val="00357EB7"/>
    <w:rsid w:val="00360733"/>
    <w:rsid w:val="003616DB"/>
    <w:rsid w:val="00361EEB"/>
    <w:rsid w:val="00362BAA"/>
    <w:rsid w:val="00363205"/>
    <w:rsid w:val="00363573"/>
    <w:rsid w:val="003642C0"/>
    <w:rsid w:val="00364DF6"/>
    <w:rsid w:val="00364FC8"/>
    <w:rsid w:val="00365193"/>
    <w:rsid w:val="00365B63"/>
    <w:rsid w:val="00365D86"/>
    <w:rsid w:val="003663FC"/>
    <w:rsid w:val="00366B30"/>
    <w:rsid w:val="00370593"/>
    <w:rsid w:val="00370A71"/>
    <w:rsid w:val="00370F6C"/>
    <w:rsid w:val="00371410"/>
    <w:rsid w:val="0037211F"/>
    <w:rsid w:val="00373051"/>
    <w:rsid w:val="0037340D"/>
    <w:rsid w:val="00374B19"/>
    <w:rsid w:val="003757BF"/>
    <w:rsid w:val="00377422"/>
    <w:rsid w:val="00377858"/>
    <w:rsid w:val="00380A88"/>
    <w:rsid w:val="00382345"/>
    <w:rsid w:val="00382ABA"/>
    <w:rsid w:val="003849F7"/>
    <w:rsid w:val="00384BF0"/>
    <w:rsid w:val="00384ECD"/>
    <w:rsid w:val="00384EEC"/>
    <w:rsid w:val="003862A8"/>
    <w:rsid w:val="003868BB"/>
    <w:rsid w:val="00387167"/>
    <w:rsid w:val="00387559"/>
    <w:rsid w:val="00387742"/>
    <w:rsid w:val="00387E17"/>
    <w:rsid w:val="00390069"/>
    <w:rsid w:val="003904DE"/>
    <w:rsid w:val="00390773"/>
    <w:rsid w:val="003907CC"/>
    <w:rsid w:val="003909E6"/>
    <w:rsid w:val="00391391"/>
    <w:rsid w:val="00391EB7"/>
    <w:rsid w:val="003922D9"/>
    <w:rsid w:val="0039256D"/>
    <w:rsid w:val="0039262F"/>
    <w:rsid w:val="00392A20"/>
    <w:rsid w:val="00392C93"/>
    <w:rsid w:val="00393B62"/>
    <w:rsid w:val="00394449"/>
    <w:rsid w:val="003945A2"/>
    <w:rsid w:val="003951D5"/>
    <w:rsid w:val="00396F53"/>
    <w:rsid w:val="003971BB"/>
    <w:rsid w:val="003972AB"/>
    <w:rsid w:val="00397A4C"/>
    <w:rsid w:val="00397DC4"/>
    <w:rsid w:val="003A0843"/>
    <w:rsid w:val="003A0F35"/>
    <w:rsid w:val="003A149D"/>
    <w:rsid w:val="003A3092"/>
    <w:rsid w:val="003A511E"/>
    <w:rsid w:val="003A5487"/>
    <w:rsid w:val="003A6395"/>
    <w:rsid w:val="003A65C3"/>
    <w:rsid w:val="003A752D"/>
    <w:rsid w:val="003A7C92"/>
    <w:rsid w:val="003A7E99"/>
    <w:rsid w:val="003B08EB"/>
    <w:rsid w:val="003B0A2F"/>
    <w:rsid w:val="003B11E2"/>
    <w:rsid w:val="003B3200"/>
    <w:rsid w:val="003B38D1"/>
    <w:rsid w:val="003B40CD"/>
    <w:rsid w:val="003B4AA4"/>
    <w:rsid w:val="003B52D8"/>
    <w:rsid w:val="003B5CC9"/>
    <w:rsid w:val="003B6330"/>
    <w:rsid w:val="003C0523"/>
    <w:rsid w:val="003C1520"/>
    <w:rsid w:val="003C175D"/>
    <w:rsid w:val="003C183D"/>
    <w:rsid w:val="003C1E57"/>
    <w:rsid w:val="003C232E"/>
    <w:rsid w:val="003C269C"/>
    <w:rsid w:val="003C2CBE"/>
    <w:rsid w:val="003C2E3F"/>
    <w:rsid w:val="003C2FA7"/>
    <w:rsid w:val="003C3807"/>
    <w:rsid w:val="003C384E"/>
    <w:rsid w:val="003C45FA"/>
    <w:rsid w:val="003C46D2"/>
    <w:rsid w:val="003C4E11"/>
    <w:rsid w:val="003C4E41"/>
    <w:rsid w:val="003C6524"/>
    <w:rsid w:val="003C6A36"/>
    <w:rsid w:val="003C6E30"/>
    <w:rsid w:val="003C7017"/>
    <w:rsid w:val="003C7240"/>
    <w:rsid w:val="003D00C5"/>
    <w:rsid w:val="003D128E"/>
    <w:rsid w:val="003D21AF"/>
    <w:rsid w:val="003D249D"/>
    <w:rsid w:val="003D293C"/>
    <w:rsid w:val="003D40F3"/>
    <w:rsid w:val="003D5B05"/>
    <w:rsid w:val="003D5CBA"/>
    <w:rsid w:val="003D5E50"/>
    <w:rsid w:val="003D69F9"/>
    <w:rsid w:val="003D6F40"/>
    <w:rsid w:val="003D700F"/>
    <w:rsid w:val="003D79CC"/>
    <w:rsid w:val="003E01A0"/>
    <w:rsid w:val="003E18A0"/>
    <w:rsid w:val="003E29D6"/>
    <w:rsid w:val="003E3408"/>
    <w:rsid w:val="003E3676"/>
    <w:rsid w:val="003E4545"/>
    <w:rsid w:val="003E4583"/>
    <w:rsid w:val="003E4B64"/>
    <w:rsid w:val="003E5236"/>
    <w:rsid w:val="003E5ABF"/>
    <w:rsid w:val="003E60DA"/>
    <w:rsid w:val="003E6537"/>
    <w:rsid w:val="003E6A0F"/>
    <w:rsid w:val="003F0782"/>
    <w:rsid w:val="003F19AC"/>
    <w:rsid w:val="003F2269"/>
    <w:rsid w:val="003F2929"/>
    <w:rsid w:val="003F2AC6"/>
    <w:rsid w:val="003F3A7E"/>
    <w:rsid w:val="003F5A39"/>
    <w:rsid w:val="003F5B30"/>
    <w:rsid w:val="003F7D39"/>
    <w:rsid w:val="0040131D"/>
    <w:rsid w:val="00401FB3"/>
    <w:rsid w:val="00402166"/>
    <w:rsid w:val="00402655"/>
    <w:rsid w:val="004029ED"/>
    <w:rsid w:val="0040350B"/>
    <w:rsid w:val="0040400C"/>
    <w:rsid w:val="00405183"/>
    <w:rsid w:val="00405B43"/>
    <w:rsid w:val="00405DA5"/>
    <w:rsid w:val="004060FB"/>
    <w:rsid w:val="004107F1"/>
    <w:rsid w:val="0041089E"/>
    <w:rsid w:val="00412504"/>
    <w:rsid w:val="004128BC"/>
    <w:rsid w:val="0041299B"/>
    <w:rsid w:val="00412A3B"/>
    <w:rsid w:val="00413732"/>
    <w:rsid w:val="00413DAB"/>
    <w:rsid w:val="00413F78"/>
    <w:rsid w:val="004157F6"/>
    <w:rsid w:val="00415A65"/>
    <w:rsid w:val="00415B9F"/>
    <w:rsid w:val="00416770"/>
    <w:rsid w:val="00416945"/>
    <w:rsid w:val="00416DAA"/>
    <w:rsid w:val="00417180"/>
    <w:rsid w:val="00417A87"/>
    <w:rsid w:val="00417F86"/>
    <w:rsid w:val="00422229"/>
    <w:rsid w:val="004226C5"/>
    <w:rsid w:val="00422C79"/>
    <w:rsid w:val="004233AC"/>
    <w:rsid w:val="00423551"/>
    <w:rsid w:val="004237DE"/>
    <w:rsid w:val="00423D2F"/>
    <w:rsid w:val="00424658"/>
    <w:rsid w:val="00424845"/>
    <w:rsid w:val="004249AE"/>
    <w:rsid w:val="00425A23"/>
    <w:rsid w:val="00425BBA"/>
    <w:rsid w:val="00426019"/>
    <w:rsid w:val="004263C3"/>
    <w:rsid w:val="00426494"/>
    <w:rsid w:val="004267BF"/>
    <w:rsid w:val="00426D8D"/>
    <w:rsid w:val="00430BEE"/>
    <w:rsid w:val="00431D51"/>
    <w:rsid w:val="00431EC1"/>
    <w:rsid w:val="00432C3F"/>
    <w:rsid w:val="00432E86"/>
    <w:rsid w:val="00433EF6"/>
    <w:rsid w:val="00435B12"/>
    <w:rsid w:val="00437970"/>
    <w:rsid w:val="0044091A"/>
    <w:rsid w:val="004418B6"/>
    <w:rsid w:val="00441BF7"/>
    <w:rsid w:val="004432B2"/>
    <w:rsid w:val="004434BC"/>
    <w:rsid w:val="00443F3F"/>
    <w:rsid w:val="004446C4"/>
    <w:rsid w:val="00444926"/>
    <w:rsid w:val="0045197D"/>
    <w:rsid w:val="00451FFB"/>
    <w:rsid w:val="0045227E"/>
    <w:rsid w:val="0045399A"/>
    <w:rsid w:val="0045448F"/>
    <w:rsid w:val="004546B5"/>
    <w:rsid w:val="00454B20"/>
    <w:rsid w:val="00455392"/>
    <w:rsid w:val="004558CC"/>
    <w:rsid w:val="00455AED"/>
    <w:rsid w:val="00455ECB"/>
    <w:rsid w:val="004567EA"/>
    <w:rsid w:val="00456BEB"/>
    <w:rsid w:val="00460741"/>
    <w:rsid w:val="00461EA4"/>
    <w:rsid w:val="00462407"/>
    <w:rsid w:val="004628DE"/>
    <w:rsid w:val="00464243"/>
    <w:rsid w:val="004648C8"/>
    <w:rsid w:val="00465235"/>
    <w:rsid w:val="00465281"/>
    <w:rsid w:val="00465D5D"/>
    <w:rsid w:val="00465F58"/>
    <w:rsid w:val="00467543"/>
    <w:rsid w:val="004677EB"/>
    <w:rsid w:val="00470056"/>
    <w:rsid w:val="004702EA"/>
    <w:rsid w:val="0047034E"/>
    <w:rsid w:val="004703FF"/>
    <w:rsid w:val="0047162B"/>
    <w:rsid w:val="00471836"/>
    <w:rsid w:val="00471E8F"/>
    <w:rsid w:val="00472243"/>
    <w:rsid w:val="004729FC"/>
    <w:rsid w:val="00473164"/>
    <w:rsid w:val="00473BEF"/>
    <w:rsid w:val="00473DAC"/>
    <w:rsid w:val="00474FD8"/>
    <w:rsid w:val="00475168"/>
    <w:rsid w:val="0047527D"/>
    <w:rsid w:val="00475CEE"/>
    <w:rsid w:val="00480D16"/>
    <w:rsid w:val="00481AB8"/>
    <w:rsid w:val="004820C0"/>
    <w:rsid w:val="00483F6C"/>
    <w:rsid w:val="004846DE"/>
    <w:rsid w:val="004848D4"/>
    <w:rsid w:val="004855B1"/>
    <w:rsid w:val="004859EC"/>
    <w:rsid w:val="00486428"/>
    <w:rsid w:val="004870BC"/>
    <w:rsid w:val="004877EF"/>
    <w:rsid w:val="00487F15"/>
    <w:rsid w:val="004907F4"/>
    <w:rsid w:val="00490F8C"/>
    <w:rsid w:val="004920D2"/>
    <w:rsid w:val="00493EF1"/>
    <w:rsid w:val="0049497B"/>
    <w:rsid w:val="00495A75"/>
    <w:rsid w:val="00496676"/>
    <w:rsid w:val="004968E7"/>
    <w:rsid w:val="00496B84"/>
    <w:rsid w:val="004975AC"/>
    <w:rsid w:val="00497BD9"/>
    <w:rsid w:val="004A04E2"/>
    <w:rsid w:val="004A052F"/>
    <w:rsid w:val="004A095C"/>
    <w:rsid w:val="004A1048"/>
    <w:rsid w:val="004A15C1"/>
    <w:rsid w:val="004A1887"/>
    <w:rsid w:val="004A214A"/>
    <w:rsid w:val="004A2ADA"/>
    <w:rsid w:val="004A3399"/>
    <w:rsid w:val="004A3B2B"/>
    <w:rsid w:val="004A6A9C"/>
    <w:rsid w:val="004A71F7"/>
    <w:rsid w:val="004A7BC0"/>
    <w:rsid w:val="004A7D1F"/>
    <w:rsid w:val="004B0346"/>
    <w:rsid w:val="004B27CD"/>
    <w:rsid w:val="004B2A53"/>
    <w:rsid w:val="004B3FF5"/>
    <w:rsid w:val="004B4490"/>
    <w:rsid w:val="004B4C9D"/>
    <w:rsid w:val="004B6006"/>
    <w:rsid w:val="004B65EA"/>
    <w:rsid w:val="004B67F2"/>
    <w:rsid w:val="004B6D08"/>
    <w:rsid w:val="004B7940"/>
    <w:rsid w:val="004C1278"/>
    <w:rsid w:val="004C3270"/>
    <w:rsid w:val="004C39B4"/>
    <w:rsid w:val="004C3D5A"/>
    <w:rsid w:val="004C50BC"/>
    <w:rsid w:val="004C54BB"/>
    <w:rsid w:val="004C5D71"/>
    <w:rsid w:val="004C632A"/>
    <w:rsid w:val="004D09FF"/>
    <w:rsid w:val="004D0A18"/>
    <w:rsid w:val="004D179F"/>
    <w:rsid w:val="004D1863"/>
    <w:rsid w:val="004D1CB5"/>
    <w:rsid w:val="004D2517"/>
    <w:rsid w:val="004D2FE2"/>
    <w:rsid w:val="004D35AE"/>
    <w:rsid w:val="004D38D3"/>
    <w:rsid w:val="004D4D86"/>
    <w:rsid w:val="004D5E12"/>
    <w:rsid w:val="004D6A65"/>
    <w:rsid w:val="004D6F20"/>
    <w:rsid w:val="004D6F72"/>
    <w:rsid w:val="004D7443"/>
    <w:rsid w:val="004D784A"/>
    <w:rsid w:val="004E14F3"/>
    <w:rsid w:val="004E2C93"/>
    <w:rsid w:val="004E43EC"/>
    <w:rsid w:val="004E4589"/>
    <w:rsid w:val="004E599F"/>
    <w:rsid w:val="004E6636"/>
    <w:rsid w:val="004E76C1"/>
    <w:rsid w:val="004E7839"/>
    <w:rsid w:val="004E7D2E"/>
    <w:rsid w:val="004F0B32"/>
    <w:rsid w:val="004F0C8B"/>
    <w:rsid w:val="004F15B5"/>
    <w:rsid w:val="004F1B11"/>
    <w:rsid w:val="004F5117"/>
    <w:rsid w:val="004F52E3"/>
    <w:rsid w:val="004F6404"/>
    <w:rsid w:val="004F6AB3"/>
    <w:rsid w:val="004F7BF7"/>
    <w:rsid w:val="004F7F26"/>
    <w:rsid w:val="00501CB1"/>
    <w:rsid w:val="00502189"/>
    <w:rsid w:val="005023B3"/>
    <w:rsid w:val="005026A6"/>
    <w:rsid w:val="0050270E"/>
    <w:rsid w:val="00502A85"/>
    <w:rsid w:val="0050335C"/>
    <w:rsid w:val="00503A82"/>
    <w:rsid w:val="00503D2F"/>
    <w:rsid w:val="005060B3"/>
    <w:rsid w:val="00506DC6"/>
    <w:rsid w:val="0050751A"/>
    <w:rsid w:val="00510393"/>
    <w:rsid w:val="005104E8"/>
    <w:rsid w:val="00510AA9"/>
    <w:rsid w:val="005125EA"/>
    <w:rsid w:val="00512D71"/>
    <w:rsid w:val="00512E36"/>
    <w:rsid w:val="0051379A"/>
    <w:rsid w:val="00513B4F"/>
    <w:rsid w:val="00513BCB"/>
    <w:rsid w:val="00513CB4"/>
    <w:rsid w:val="00514672"/>
    <w:rsid w:val="00514763"/>
    <w:rsid w:val="00514792"/>
    <w:rsid w:val="005148E9"/>
    <w:rsid w:val="005149E8"/>
    <w:rsid w:val="0051508E"/>
    <w:rsid w:val="00516BAA"/>
    <w:rsid w:val="005179C6"/>
    <w:rsid w:val="00521B67"/>
    <w:rsid w:val="00522DC8"/>
    <w:rsid w:val="00522F90"/>
    <w:rsid w:val="00524087"/>
    <w:rsid w:val="00524127"/>
    <w:rsid w:val="00524932"/>
    <w:rsid w:val="00524B02"/>
    <w:rsid w:val="00524D4E"/>
    <w:rsid w:val="00525794"/>
    <w:rsid w:val="00526111"/>
    <w:rsid w:val="00526C15"/>
    <w:rsid w:val="0052730D"/>
    <w:rsid w:val="005275FC"/>
    <w:rsid w:val="00527B4D"/>
    <w:rsid w:val="005303A0"/>
    <w:rsid w:val="00531255"/>
    <w:rsid w:val="00531E9D"/>
    <w:rsid w:val="0053215E"/>
    <w:rsid w:val="00532263"/>
    <w:rsid w:val="00532E37"/>
    <w:rsid w:val="00533C8C"/>
    <w:rsid w:val="005341F2"/>
    <w:rsid w:val="00536503"/>
    <w:rsid w:val="005377F8"/>
    <w:rsid w:val="00537B09"/>
    <w:rsid w:val="00537E44"/>
    <w:rsid w:val="005405E4"/>
    <w:rsid w:val="00540655"/>
    <w:rsid w:val="00540EA2"/>
    <w:rsid w:val="005414DC"/>
    <w:rsid w:val="00541651"/>
    <w:rsid w:val="00542281"/>
    <w:rsid w:val="005422A8"/>
    <w:rsid w:val="00543361"/>
    <w:rsid w:val="0054388C"/>
    <w:rsid w:val="00543D02"/>
    <w:rsid w:val="00545E3A"/>
    <w:rsid w:val="00546ACD"/>
    <w:rsid w:val="00547443"/>
    <w:rsid w:val="00547481"/>
    <w:rsid w:val="00547E4F"/>
    <w:rsid w:val="00547EFD"/>
    <w:rsid w:val="00550D78"/>
    <w:rsid w:val="00550EFC"/>
    <w:rsid w:val="00551A30"/>
    <w:rsid w:val="005524CC"/>
    <w:rsid w:val="00552C2A"/>
    <w:rsid w:val="005530B8"/>
    <w:rsid w:val="0055334C"/>
    <w:rsid w:val="00553E3C"/>
    <w:rsid w:val="00553E40"/>
    <w:rsid w:val="005541BF"/>
    <w:rsid w:val="0055505E"/>
    <w:rsid w:val="00555DF6"/>
    <w:rsid w:val="005561F0"/>
    <w:rsid w:val="00556403"/>
    <w:rsid w:val="00556439"/>
    <w:rsid w:val="005574A3"/>
    <w:rsid w:val="0055780E"/>
    <w:rsid w:val="005579DD"/>
    <w:rsid w:val="00557FA1"/>
    <w:rsid w:val="00560683"/>
    <w:rsid w:val="00560729"/>
    <w:rsid w:val="00561303"/>
    <w:rsid w:val="0056188D"/>
    <w:rsid w:val="0056277B"/>
    <w:rsid w:val="00562925"/>
    <w:rsid w:val="00562DF6"/>
    <w:rsid w:val="00562EA3"/>
    <w:rsid w:val="00563BBE"/>
    <w:rsid w:val="00564756"/>
    <w:rsid w:val="00564A81"/>
    <w:rsid w:val="00565EF6"/>
    <w:rsid w:val="005664BA"/>
    <w:rsid w:val="00566703"/>
    <w:rsid w:val="0057027C"/>
    <w:rsid w:val="00570708"/>
    <w:rsid w:val="00570F1D"/>
    <w:rsid w:val="00571425"/>
    <w:rsid w:val="0057249B"/>
    <w:rsid w:val="0057251B"/>
    <w:rsid w:val="00573C0E"/>
    <w:rsid w:val="005756DE"/>
    <w:rsid w:val="005764EF"/>
    <w:rsid w:val="0057654B"/>
    <w:rsid w:val="0057660E"/>
    <w:rsid w:val="005773F9"/>
    <w:rsid w:val="00577854"/>
    <w:rsid w:val="005779DC"/>
    <w:rsid w:val="00580896"/>
    <w:rsid w:val="005825C8"/>
    <w:rsid w:val="0058278C"/>
    <w:rsid w:val="00584DE5"/>
    <w:rsid w:val="00584E99"/>
    <w:rsid w:val="00585023"/>
    <w:rsid w:val="005851C1"/>
    <w:rsid w:val="0058573B"/>
    <w:rsid w:val="00586413"/>
    <w:rsid w:val="0058685F"/>
    <w:rsid w:val="00587289"/>
    <w:rsid w:val="00587411"/>
    <w:rsid w:val="0058757F"/>
    <w:rsid w:val="005908B8"/>
    <w:rsid w:val="00590C37"/>
    <w:rsid w:val="005914DF"/>
    <w:rsid w:val="00592E29"/>
    <w:rsid w:val="00592E9D"/>
    <w:rsid w:val="0059357D"/>
    <w:rsid w:val="005954E8"/>
    <w:rsid w:val="005959A1"/>
    <w:rsid w:val="00596D8A"/>
    <w:rsid w:val="00597C8C"/>
    <w:rsid w:val="00597E42"/>
    <w:rsid w:val="005A0117"/>
    <w:rsid w:val="005A114F"/>
    <w:rsid w:val="005A15C7"/>
    <w:rsid w:val="005A2B23"/>
    <w:rsid w:val="005A49BC"/>
    <w:rsid w:val="005A5E84"/>
    <w:rsid w:val="005A6ADB"/>
    <w:rsid w:val="005A6F64"/>
    <w:rsid w:val="005B0080"/>
    <w:rsid w:val="005B11DE"/>
    <w:rsid w:val="005B32E2"/>
    <w:rsid w:val="005B4A06"/>
    <w:rsid w:val="005B5670"/>
    <w:rsid w:val="005B5787"/>
    <w:rsid w:val="005B6025"/>
    <w:rsid w:val="005B7705"/>
    <w:rsid w:val="005B7F6D"/>
    <w:rsid w:val="005C0107"/>
    <w:rsid w:val="005C06D0"/>
    <w:rsid w:val="005C0983"/>
    <w:rsid w:val="005C15AD"/>
    <w:rsid w:val="005C1FC0"/>
    <w:rsid w:val="005C360E"/>
    <w:rsid w:val="005C408E"/>
    <w:rsid w:val="005C4E9C"/>
    <w:rsid w:val="005C4F00"/>
    <w:rsid w:val="005C5160"/>
    <w:rsid w:val="005C5A26"/>
    <w:rsid w:val="005C6145"/>
    <w:rsid w:val="005C6CEA"/>
    <w:rsid w:val="005C7A61"/>
    <w:rsid w:val="005D029A"/>
    <w:rsid w:val="005D0330"/>
    <w:rsid w:val="005D0B87"/>
    <w:rsid w:val="005D1D5E"/>
    <w:rsid w:val="005D21A8"/>
    <w:rsid w:val="005D22BB"/>
    <w:rsid w:val="005D288A"/>
    <w:rsid w:val="005D2FD7"/>
    <w:rsid w:val="005D3081"/>
    <w:rsid w:val="005D3C78"/>
    <w:rsid w:val="005D3D82"/>
    <w:rsid w:val="005D3F8D"/>
    <w:rsid w:val="005D446C"/>
    <w:rsid w:val="005D4754"/>
    <w:rsid w:val="005D55C2"/>
    <w:rsid w:val="005D5C21"/>
    <w:rsid w:val="005D5CBC"/>
    <w:rsid w:val="005D5DDA"/>
    <w:rsid w:val="005D66E3"/>
    <w:rsid w:val="005D66FE"/>
    <w:rsid w:val="005D68F6"/>
    <w:rsid w:val="005D7748"/>
    <w:rsid w:val="005D7BB4"/>
    <w:rsid w:val="005E06EC"/>
    <w:rsid w:val="005E0AF7"/>
    <w:rsid w:val="005E1201"/>
    <w:rsid w:val="005E180E"/>
    <w:rsid w:val="005E1A45"/>
    <w:rsid w:val="005E2467"/>
    <w:rsid w:val="005E2EAD"/>
    <w:rsid w:val="005E38F6"/>
    <w:rsid w:val="005E3F8B"/>
    <w:rsid w:val="005E50DA"/>
    <w:rsid w:val="005E5CEF"/>
    <w:rsid w:val="005E706F"/>
    <w:rsid w:val="005F15DB"/>
    <w:rsid w:val="005F1DEA"/>
    <w:rsid w:val="005F25DB"/>
    <w:rsid w:val="005F2D4D"/>
    <w:rsid w:val="005F2F49"/>
    <w:rsid w:val="005F35C8"/>
    <w:rsid w:val="005F4385"/>
    <w:rsid w:val="005F439E"/>
    <w:rsid w:val="005F4725"/>
    <w:rsid w:val="005F476E"/>
    <w:rsid w:val="005F62F7"/>
    <w:rsid w:val="005F6B65"/>
    <w:rsid w:val="005F716F"/>
    <w:rsid w:val="00600673"/>
    <w:rsid w:val="0060092F"/>
    <w:rsid w:val="00600B24"/>
    <w:rsid w:val="006012D7"/>
    <w:rsid w:val="0060133B"/>
    <w:rsid w:val="006022EE"/>
    <w:rsid w:val="00602F98"/>
    <w:rsid w:val="006045D6"/>
    <w:rsid w:val="00604CD1"/>
    <w:rsid w:val="0060510F"/>
    <w:rsid w:val="00605248"/>
    <w:rsid w:val="00605459"/>
    <w:rsid w:val="00605B86"/>
    <w:rsid w:val="006077A0"/>
    <w:rsid w:val="006078C4"/>
    <w:rsid w:val="006102F2"/>
    <w:rsid w:val="00610F89"/>
    <w:rsid w:val="0061103F"/>
    <w:rsid w:val="00611117"/>
    <w:rsid w:val="00613C97"/>
    <w:rsid w:val="0061535C"/>
    <w:rsid w:val="00615C15"/>
    <w:rsid w:val="006166B2"/>
    <w:rsid w:val="00620676"/>
    <w:rsid w:val="0062280D"/>
    <w:rsid w:val="006229DF"/>
    <w:rsid w:val="006248CA"/>
    <w:rsid w:val="00624BB7"/>
    <w:rsid w:val="0062573D"/>
    <w:rsid w:val="00625850"/>
    <w:rsid w:val="00625A33"/>
    <w:rsid w:val="00627CC1"/>
    <w:rsid w:val="00627E59"/>
    <w:rsid w:val="0063081D"/>
    <w:rsid w:val="00630D1F"/>
    <w:rsid w:val="00631C03"/>
    <w:rsid w:val="006327CF"/>
    <w:rsid w:val="00633E33"/>
    <w:rsid w:val="00635860"/>
    <w:rsid w:val="006366CC"/>
    <w:rsid w:val="00636C1A"/>
    <w:rsid w:val="00637803"/>
    <w:rsid w:val="00640493"/>
    <w:rsid w:val="006411AA"/>
    <w:rsid w:val="0064187C"/>
    <w:rsid w:val="00642D36"/>
    <w:rsid w:val="00644A41"/>
    <w:rsid w:val="00646D51"/>
    <w:rsid w:val="00647004"/>
    <w:rsid w:val="00647291"/>
    <w:rsid w:val="006474CA"/>
    <w:rsid w:val="00647EF7"/>
    <w:rsid w:val="00651052"/>
    <w:rsid w:val="0065115D"/>
    <w:rsid w:val="0065184E"/>
    <w:rsid w:val="0065209E"/>
    <w:rsid w:val="00654600"/>
    <w:rsid w:val="00654E07"/>
    <w:rsid w:val="00655234"/>
    <w:rsid w:val="006564F4"/>
    <w:rsid w:val="006569D6"/>
    <w:rsid w:val="00656EBF"/>
    <w:rsid w:val="006606F6"/>
    <w:rsid w:val="00660754"/>
    <w:rsid w:val="00661EB7"/>
    <w:rsid w:val="00662285"/>
    <w:rsid w:val="0066264C"/>
    <w:rsid w:val="006626F2"/>
    <w:rsid w:val="00662A90"/>
    <w:rsid w:val="00663008"/>
    <w:rsid w:val="00663245"/>
    <w:rsid w:val="00663550"/>
    <w:rsid w:val="0066488A"/>
    <w:rsid w:val="00665A72"/>
    <w:rsid w:val="00666312"/>
    <w:rsid w:val="006675D4"/>
    <w:rsid w:val="00667C07"/>
    <w:rsid w:val="00670373"/>
    <w:rsid w:val="00671AD7"/>
    <w:rsid w:val="00671B11"/>
    <w:rsid w:val="00671FB1"/>
    <w:rsid w:val="006722F9"/>
    <w:rsid w:val="00672422"/>
    <w:rsid w:val="0067250D"/>
    <w:rsid w:val="00673096"/>
    <w:rsid w:val="00673356"/>
    <w:rsid w:val="00675072"/>
    <w:rsid w:val="00675BB0"/>
    <w:rsid w:val="00676450"/>
    <w:rsid w:val="0067655E"/>
    <w:rsid w:val="00676A96"/>
    <w:rsid w:val="00677A23"/>
    <w:rsid w:val="00680E06"/>
    <w:rsid w:val="00682A80"/>
    <w:rsid w:val="006835F7"/>
    <w:rsid w:val="006840E7"/>
    <w:rsid w:val="00685EA2"/>
    <w:rsid w:val="0068624D"/>
    <w:rsid w:val="006862DA"/>
    <w:rsid w:val="00686BA2"/>
    <w:rsid w:val="006872E3"/>
    <w:rsid w:val="00687798"/>
    <w:rsid w:val="00690FA7"/>
    <w:rsid w:val="006936C7"/>
    <w:rsid w:val="0069386B"/>
    <w:rsid w:val="00693B1F"/>
    <w:rsid w:val="00695022"/>
    <w:rsid w:val="006956D7"/>
    <w:rsid w:val="00695762"/>
    <w:rsid w:val="00695ED0"/>
    <w:rsid w:val="00697E57"/>
    <w:rsid w:val="00697F24"/>
    <w:rsid w:val="006A0557"/>
    <w:rsid w:val="006A0566"/>
    <w:rsid w:val="006A18A6"/>
    <w:rsid w:val="006A19D0"/>
    <w:rsid w:val="006A2449"/>
    <w:rsid w:val="006A302E"/>
    <w:rsid w:val="006A326C"/>
    <w:rsid w:val="006A362D"/>
    <w:rsid w:val="006A38D6"/>
    <w:rsid w:val="006A3D1C"/>
    <w:rsid w:val="006A5EE7"/>
    <w:rsid w:val="006A60F4"/>
    <w:rsid w:val="006A60FA"/>
    <w:rsid w:val="006A61CF"/>
    <w:rsid w:val="006A6C49"/>
    <w:rsid w:val="006A72E5"/>
    <w:rsid w:val="006A78C4"/>
    <w:rsid w:val="006B1135"/>
    <w:rsid w:val="006B1D43"/>
    <w:rsid w:val="006B299A"/>
    <w:rsid w:val="006B2C0B"/>
    <w:rsid w:val="006B2FB6"/>
    <w:rsid w:val="006B3CF0"/>
    <w:rsid w:val="006B4665"/>
    <w:rsid w:val="006B4841"/>
    <w:rsid w:val="006B515F"/>
    <w:rsid w:val="006B66CB"/>
    <w:rsid w:val="006B6D27"/>
    <w:rsid w:val="006B6F86"/>
    <w:rsid w:val="006C03EB"/>
    <w:rsid w:val="006C055F"/>
    <w:rsid w:val="006C1993"/>
    <w:rsid w:val="006C1FE1"/>
    <w:rsid w:val="006C2085"/>
    <w:rsid w:val="006C2F81"/>
    <w:rsid w:val="006C3828"/>
    <w:rsid w:val="006C59F2"/>
    <w:rsid w:val="006C6484"/>
    <w:rsid w:val="006C7616"/>
    <w:rsid w:val="006D1440"/>
    <w:rsid w:val="006D1DB8"/>
    <w:rsid w:val="006D1E04"/>
    <w:rsid w:val="006D236D"/>
    <w:rsid w:val="006D267C"/>
    <w:rsid w:val="006D294D"/>
    <w:rsid w:val="006D2B9C"/>
    <w:rsid w:val="006D4DE1"/>
    <w:rsid w:val="006D5CAF"/>
    <w:rsid w:val="006D687B"/>
    <w:rsid w:val="006D6DC2"/>
    <w:rsid w:val="006E0113"/>
    <w:rsid w:val="006E01CE"/>
    <w:rsid w:val="006E1438"/>
    <w:rsid w:val="006E211C"/>
    <w:rsid w:val="006E3AE6"/>
    <w:rsid w:val="006E3FB0"/>
    <w:rsid w:val="006E46EB"/>
    <w:rsid w:val="006E4824"/>
    <w:rsid w:val="006E484B"/>
    <w:rsid w:val="006E50DB"/>
    <w:rsid w:val="006E641C"/>
    <w:rsid w:val="006E66B0"/>
    <w:rsid w:val="006E76B1"/>
    <w:rsid w:val="006F0A34"/>
    <w:rsid w:val="006F0B8F"/>
    <w:rsid w:val="006F10E7"/>
    <w:rsid w:val="006F1473"/>
    <w:rsid w:val="006F14CE"/>
    <w:rsid w:val="006F1EA4"/>
    <w:rsid w:val="006F1EDD"/>
    <w:rsid w:val="006F247F"/>
    <w:rsid w:val="006F28B4"/>
    <w:rsid w:val="006F4942"/>
    <w:rsid w:val="006F6A63"/>
    <w:rsid w:val="006F7579"/>
    <w:rsid w:val="006F7B1D"/>
    <w:rsid w:val="00700A89"/>
    <w:rsid w:val="00702BA9"/>
    <w:rsid w:val="00702E87"/>
    <w:rsid w:val="00702F3A"/>
    <w:rsid w:val="00703EB9"/>
    <w:rsid w:val="00703FDC"/>
    <w:rsid w:val="007059F0"/>
    <w:rsid w:val="00705EFF"/>
    <w:rsid w:val="00706131"/>
    <w:rsid w:val="00706248"/>
    <w:rsid w:val="007070B8"/>
    <w:rsid w:val="0071082A"/>
    <w:rsid w:val="007108B5"/>
    <w:rsid w:val="00711ED5"/>
    <w:rsid w:val="00712631"/>
    <w:rsid w:val="0071444E"/>
    <w:rsid w:val="00715C29"/>
    <w:rsid w:val="00715DA9"/>
    <w:rsid w:val="007166BC"/>
    <w:rsid w:val="00716C8A"/>
    <w:rsid w:val="00716D6A"/>
    <w:rsid w:val="00717234"/>
    <w:rsid w:val="0071752A"/>
    <w:rsid w:val="007175BA"/>
    <w:rsid w:val="00717A43"/>
    <w:rsid w:val="007201A8"/>
    <w:rsid w:val="007207DC"/>
    <w:rsid w:val="00721317"/>
    <w:rsid w:val="007216E2"/>
    <w:rsid w:val="007221E5"/>
    <w:rsid w:val="00722C8A"/>
    <w:rsid w:val="00722D46"/>
    <w:rsid w:val="00723850"/>
    <w:rsid w:val="00723856"/>
    <w:rsid w:val="0072415B"/>
    <w:rsid w:val="00724D3B"/>
    <w:rsid w:val="00725130"/>
    <w:rsid w:val="0072531C"/>
    <w:rsid w:val="00725749"/>
    <w:rsid w:val="007260A5"/>
    <w:rsid w:val="0072636A"/>
    <w:rsid w:val="007267A0"/>
    <w:rsid w:val="007268F8"/>
    <w:rsid w:val="00726B62"/>
    <w:rsid w:val="00730BE6"/>
    <w:rsid w:val="00731288"/>
    <w:rsid w:val="00731C74"/>
    <w:rsid w:val="00731FAE"/>
    <w:rsid w:val="007320AD"/>
    <w:rsid w:val="00733874"/>
    <w:rsid w:val="00735CE7"/>
    <w:rsid w:val="007364E2"/>
    <w:rsid w:val="00736AEE"/>
    <w:rsid w:val="00736C90"/>
    <w:rsid w:val="00736DA8"/>
    <w:rsid w:val="00736DB7"/>
    <w:rsid w:val="007373CA"/>
    <w:rsid w:val="00737CCC"/>
    <w:rsid w:val="00740ECD"/>
    <w:rsid w:val="00740FFB"/>
    <w:rsid w:val="00741352"/>
    <w:rsid w:val="007425A2"/>
    <w:rsid w:val="00742BF8"/>
    <w:rsid w:val="00742E48"/>
    <w:rsid w:val="00745029"/>
    <w:rsid w:val="007450E6"/>
    <w:rsid w:val="0074648E"/>
    <w:rsid w:val="0074673B"/>
    <w:rsid w:val="0075016C"/>
    <w:rsid w:val="00750895"/>
    <w:rsid w:val="0075156F"/>
    <w:rsid w:val="007516FC"/>
    <w:rsid w:val="007518D4"/>
    <w:rsid w:val="00751E27"/>
    <w:rsid w:val="0075204E"/>
    <w:rsid w:val="00752148"/>
    <w:rsid w:val="00752BCD"/>
    <w:rsid w:val="00752D6F"/>
    <w:rsid w:val="00753A8A"/>
    <w:rsid w:val="00754223"/>
    <w:rsid w:val="0075458B"/>
    <w:rsid w:val="007546AD"/>
    <w:rsid w:val="0075481B"/>
    <w:rsid w:val="00755733"/>
    <w:rsid w:val="00755EEC"/>
    <w:rsid w:val="00756EF4"/>
    <w:rsid w:val="00757531"/>
    <w:rsid w:val="007577F0"/>
    <w:rsid w:val="00760EF2"/>
    <w:rsid w:val="007625BF"/>
    <w:rsid w:val="00762694"/>
    <w:rsid w:val="00763161"/>
    <w:rsid w:val="007637CE"/>
    <w:rsid w:val="007644EB"/>
    <w:rsid w:val="0076564F"/>
    <w:rsid w:val="00765AC6"/>
    <w:rsid w:val="00765E3E"/>
    <w:rsid w:val="0076669A"/>
    <w:rsid w:val="00766F85"/>
    <w:rsid w:val="00770986"/>
    <w:rsid w:val="00770C44"/>
    <w:rsid w:val="0077260B"/>
    <w:rsid w:val="0077270E"/>
    <w:rsid w:val="00772A65"/>
    <w:rsid w:val="00772BB5"/>
    <w:rsid w:val="00772F82"/>
    <w:rsid w:val="007732EB"/>
    <w:rsid w:val="0077368A"/>
    <w:rsid w:val="007745F2"/>
    <w:rsid w:val="00775507"/>
    <w:rsid w:val="00775573"/>
    <w:rsid w:val="00776091"/>
    <w:rsid w:val="00780B85"/>
    <w:rsid w:val="00783040"/>
    <w:rsid w:val="007830DC"/>
    <w:rsid w:val="0078384C"/>
    <w:rsid w:val="00783D1D"/>
    <w:rsid w:val="007851FC"/>
    <w:rsid w:val="00785A00"/>
    <w:rsid w:val="007863FB"/>
    <w:rsid w:val="007872AE"/>
    <w:rsid w:val="007906B5"/>
    <w:rsid w:val="00791558"/>
    <w:rsid w:val="00791726"/>
    <w:rsid w:val="0079353D"/>
    <w:rsid w:val="007939DC"/>
    <w:rsid w:val="007943AF"/>
    <w:rsid w:val="007948D8"/>
    <w:rsid w:val="00794E23"/>
    <w:rsid w:val="007954DA"/>
    <w:rsid w:val="00795DCE"/>
    <w:rsid w:val="007961F7"/>
    <w:rsid w:val="007966EC"/>
    <w:rsid w:val="00796AF8"/>
    <w:rsid w:val="007A0CCA"/>
    <w:rsid w:val="007A11F5"/>
    <w:rsid w:val="007A1B66"/>
    <w:rsid w:val="007A1BAD"/>
    <w:rsid w:val="007A250E"/>
    <w:rsid w:val="007A339B"/>
    <w:rsid w:val="007A37E0"/>
    <w:rsid w:val="007A5433"/>
    <w:rsid w:val="007A5639"/>
    <w:rsid w:val="007A5E08"/>
    <w:rsid w:val="007A725A"/>
    <w:rsid w:val="007A73BA"/>
    <w:rsid w:val="007B002C"/>
    <w:rsid w:val="007B054B"/>
    <w:rsid w:val="007B09A6"/>
    <w:rsid w:val="007B0D88"/>
    <w:rsid w:val="007B1425"/>
    <w:rsid w:val="007B1432"/>
    <w:rsid w:val="007B14F4"/>
    <w:rsid w:val="007B46D0"/>
    <w:rsid w:val="007B6D93"/>
    <w:rsid w:val="007B71BF"/>
    <w:rsid w:val="007B7E10"/>
    <w:rsid w:val="007C0767"/>
    <w:rsid w:val="007C1E9F"/>
    <w:rsid w:val="007C2088"/>
    <w:rsid w:val="007C29DA"/>
    <w:rsid w:val="007C46E0"/>
    <w:rsid w:val="007C4DDD"/>
    <w:rsid w:val="007C523E"/>
    <w:rsid w:val="007C6207"/>
    <w:rsid w:val="007C6FE6"/>
    <w:rsid w:val="007C7663"/>
    <w:rsid w:val="007C77E4"/>
    <w:rsid w:val="007C7CE3"/>
    <w:rsid w:val="007C7FF7"/>
    <w:rsid w:val="007D100B"/>
    <w:rsid w:val="007D3876"/>
    <w:rsid w:val="007D40A9"/>
    <w:rsid w:val="007D5059"/>
    <w:rsid w:val="007D5129"/>
    <w:rsid w:val="007D51E3"/>
    <w:rsid w:val="007D5A15"/>
    <w:rsid w:val="007D6723"/>
    <w:rsid w:val="007D791B"/>
    <w:rsid w:val="007E1593"/>
    <w:rsid w:val="007E1B0D"/>
    <w:rsid w:val="007E1E66"/>
    <w:rsid w:val="007E24CD"/>
    <w:rsid w:val="007E2A3C"/>
    <w:rsid w:val="007E56C2"/>
    <w:rsid w:val="007E61DC"/>
    <w:rsid w:val="007E6206"/>
    <w:rsid w:val="007E66DE"/>
    <w:rsid w:val="007E6918"/>
    <w:rsid w:val="007F041B"/>
    <w:rsid w:val="007F0438"/>
    <w:rsid w:val="007F0AAE"/>
    <w:rsid w:val="007F112C"/>
    <w:rsid w:val="007F1883"/>
    <w:rsid w:val="007F1F67"/>
    <w:rsid w:val="007F23DC"/>
    <w:rsid w:val="007F23FC"/>
    <w:rsid w:val="007F278E"/>
    <w:rsid w:val="007F290D"/>
    <w:rsid w:val="007F29DE"/>
    <w:rsid w:val="007F3016"/>
    <w:rsid w:val="007F3B02"/>
    <w:rsid w:val="007F4036"/>
    <w:rsid w:val="007F41FE"/>
    <w:rsid w:val="007F597F"/>
    <w:rsid w:val="007F5B42"/>
    <w:rsid w:val="007F620E"/>
    <w:rsid w:val="007F6E50"/>
    <w:rsid w:val="00800EB8"/>
    <w:rsid w:val="00801954"/>
    <w:rsid w:val="00801FFA"/>
    <w:rsid w:val="008027F5"/>
    <w:rsid w:val="00802995"/>
    <w:rsid w:val="00803707"/>
    <w:rsid w:val="00803BF7"/>
    <w:rsid w:val="00803F18"/>
    <w:rsid w:val="00803F6D"/>
    <w:rsid w:val="0080486C"/>
    <w:rsid w:val="008053F0"/>
    <w:rsid w:val="0081015E"/>
    <w:rsid w:val="008104BC"/>
    <w:rsid w:val="00811E99"/>
    <w:rsid w:val="00812E28"/>
    <w:rsid w:val="00813111"/>
    <w:rsid w:val="00813A57"/>
    <w:rsid w:val="00813E63"/>
    <w:rsid w:val="00813FE2"/>
    <w:rsid w:val="00815631"/>
    <w:rsid w:val="00816009"/>
    <w:rsid w:val="00816165"/>
    <w:rsid w:val="0081631A"/>
    <w:rsid w:val="00817F4E"/>
    <w:rsid w:val="00820D13"/>
    <w:rsid w:val="00821387"/>
    <w:rsid w:val="0082221D"/>
    <w:rsid w:val="0082278C"/>
    <w:rsid w:val="008231D1"/>
    <w:rsid w:val="00823D8F"/>
    <w:rsid w:val="0082537B"/>
    <w:rsid w:val="00825986"/>
    <w:rsid w:val="008263B5"/>
    <w:rsid w:val="00826429"/>
    <w:rsid w:val="00826958"/>
    <w:rsid w:val="00826D62"/>
    <w:rsid w:val="00827DBB"/>
    <w:rsid w:val="00827F55"/>
    <w:rsid w:val="00831588"/>
    <w:rsid w:val="00831C2C"/>
    <w:rsid w:val="008320F3"/>
    <w:rsid w:val="00833F64"/>
    <w:rsid w:val="00835033"/>
    <w:rsid w:val="0083608B"/>
    <w:rsid w:val="0083753C"/>
    <w:rsid w:val="00837AE0"/>
    <w:rsid w:val="00837FD2"/>
    <w:rsid w:val="00840CD1"/>
    <w:rsid w:val="008418E0"/>
    <w:rsid w:val="00841C72"/>
    <w:rsid w:val="00842335"/>
    <w:rsid w:val="00842409"/>
    <w:rsid w:val="0084264C"/>
    <w:rsid w:val="00842B57"/>
    <w:rsid w:val="008430A7"/>
    <w:rsid w:val="008431B8"/>
    <w:rsid w:val="00843A26"/>
    <w:rsid w:val="008441E0"/>
    <w:rsid w:val="008442B4"/>
    <w:rsid w:val="00845C87"/>
    <w:rsid w:val="00845F08"/>
    <w:rsid w:val="008518A3"/>
    <w:rsid w:val="00852824"/>
    <w:rsid w:val="00852CC6"/>
    <w:rsid w:val="00852FA8"/>
    <w:rsid w:val="00853D1E"/>
    <w:rsid w:val="00855FC3"/>
    <w:rsid w:val="008577C1"/>
    <w:rsid w:val="0085784B"/>
    <w:rsid w:val="00857A1F"/>
    <w:rsid w:val="00857A5C"/>
    <w:rsid w:val="00860244"/>
    <w:rsid w:val="0086040C"/>
    <w:rsid w:val="00860459"/>
    <w:rsid w:val="008612C3"/>
    <w:rsid w:val="0086131D"/>
    <w:rsid w:val="00861471"/>
    <w:rsid w:val="00861FCB"/>
    <w:rsid w:val="0086227B"/>
    <w:rsid w:val="0086336F"/>
    <w:rsid w:val="008634B3"/>
    <w:rsid w:val="008636A5"/>
    <w:rsid w:val="00863859"/>
    <w:rsid w:val="00863A76"/>
    <w:rsid w:val="00865CA7"/>
    <w:rsid w:val="00865E89"/>
    <w:rsid w:val="0086629B"/>
    <w:rsid w:val="00866306"/>
    <w:rsid w:val="008666C1"/>
    <w:rsid w:val="0086726B"/>
    <w:rsid w:val="008674E2"/>
    <w:rsid w:val="00870531"/>
    <w:rsid w:val="008713E7"/>
    <w:rsid w:val="00873BDB"/>
    <w:rsid w:val="00874003"/>
    <w:rsid w:val="008740BF"/>
    <w:rsid w:val="0087420C"/>
    <w:rsid w:val="00874555"/>
    <w:rsid w:val="0087474B"/>
    <w:rsid w:val="00874CC5"/>
    <w:rsid w:val="0087591D"/>
    <w:rsid w:val="00875B2D"/>
    <w:rsid w:val="008765BD"/>
    <w:rsid w:val="00877CB8"/>
    <w:rsid w:val="00880D30"/>
    <w:rsid w:val="00880DBF"/>
    <w:rsid w:val="00880E68"/>
    <w:rsid w:val="00881359"/>
    <w:rsid w:val="00881465"/>
    <w:rsid w:val="00883DD3"/>
    <w:rsid w:val="00884575"/>
    <w:rsid w:val="008845AC"/>
    <w:rsid w:val="008857B6"/>
    <w:rsid w:val="008858A1"/>
    <w:rsid w:val="00887269"/>
    <w:rsid w:val="0088748B"/>
    <w:rsid w:val="00887799"/>
    <w:rsid w:val="00887A2B"/>
    <w:rsid w:val="00887AE6"/>
    <w:rsid w:val="00891293"/>
    <w:rsid w:val="008920BA"/>
    <w:rsid w:val="00893685"/>
    <w:rsid w:val="008939AB"/>
    <w:rsid w:val="00893FC7"/>
    <w:rsid w:val="00894448"/>
    <w:rsid w:val="00895677"/>
    <w:rsid w:val="00896023"/>
    <w:rsid w:val="008977B0"/>
    <w:rsid w:val="00897FF6"/>
    <w:rsid w:val="008A0FAD"/>
    <w:rsid w:val="008A2814"/>
    <w:rsid w:val="008A30A4"/>
    <w:rsid w:val="008A3358"/>
    <w:rsid w:val="008A3584"/>
    <w:rsid w:val="008A36DA"/>
    <w:rsid w:val="008A4474"/>
    <w:rsid w:val="008A48CE"/>
    <w:rsid w:val="008A4A41"/>
    <w:rsid w:val="008A5DB6"/>
    <w:rsid w:val="008A663B"/>
    <w:rsid w:val="008A7B06"/>
    <w:rsid w:val="008A7EF4"/>
    <w:rsid w:val="008B0293"/>
    <w:rsid w:val="008B0776"/>
    <w:rsid w:val="008B09E3"/>
    <w:rsid w:val="008B12EF"/>
    <w:rsid w:val="008B15D1"/>
    <w:rsid w:val="008B1A8F"/>
    <w:rsid w:val="008B1E17"/>
    <w:rsid w:val="008B1F98"/>
    <w:rsid w:val="008B26A9"/>
    <w:rsid w:val="008B2BCA"/>
    <w:rsid w:val="008B3437"/>
    <w:rsid w:val="008B526A"/>
    <w:rsid w:val="008B548C"/>
    <w:rsid w:val="008B5AB4"/>
    <w:rsid w:val="008B5C45"/>
    <w:rsid w:val="008B6F57"/>
    <w:rsid w:val="008B6FEB"/>
    <w:rsid w:val="008B7AC4"/>
    <w:rsid w:val="008B7E9B"/>
    <w:rsid w:val="008C0596"/>
    <w:rsid w:val="008C2574"/>
    <w:rsid w:val="008C2B5D"/>
    <w:rsid w:val="008C3185"/>
    <w:rsid w:val="008C33A3"/>
    <w:rsid w:val="008C340C"/>
    <w:rsid w:val="008C4BEC"/>
    <w:rsid w:val="008C52BA"/>
    <w:rsid w:val="008C557F"/>
    <w:rsid w:val="008C5612"/>
    <w:rsid w:val="008C568D"/>
    <w:rsid w:val="008C6B39"/>
    <w:rsid w:val="008D0465"/>
    <w:rsid w:val="008D1009"/>
    <w:rsid w:val="008D1542"/>
    <w:rsid w:val="008D1EA7"/>
    <w:rsid w:val="008D22A8"/>
    <w:rsid w:val="008D2B05"/>
    <w:rsid w:val="008D2E97"/>
    <w:rsid w:val="008D37D5"/>
    <w:rsid w:val="008D426F"/>
    <w:rsid w:val="008D49AE"/>
    <w:rsid w:val="008D63BC"/>
    <w:rsid w:val="008D6889"/>
    <w:rsid w:val="008D7AE6"/>
    <w:rsid w:val="008D7CDF"/>
    <w:rsid w:val="008E03C8"/>
    <w:rsid w:val="008E1D50"/>
    <w:rsid w:val="008E5186"/>
    <w:rsid w:val="008E7BA2"/>
    <w:rsid w:val="008F00B4"/>
    <w:rsid w:val="008F061B"/>
    <w:rsid w:val="008F09A8"/>
    <w:rsid w:val="008F0B48"/>
    <w:rsid w:val="008F1F67"/>
    <w:rsid w:val="008F259F"/>
    <w:rsid w:val="008F396F"/>
    <w:rsid w:val="008F3B14"/>
    <w:rsid w:val="008F3CFC"/>
    <w:rsid w:val="008F4275"/>
    <w:rsid w:val="008F4850"/>
    <w:rsid w:val="008F48C0"/>
    <w:rsid w:val="008F570E"/>
    <w:rsid w:val="008F6769"/>
    <w:rsid w:val="008F6ADD"/>
    <w:rsid w:val="0090087C"/>
    <w:rsid w:val="0090152A"/>
    <w:rsid w:val="0090222F"/>
    <w:rsid w:val="009027A5"/>
    <w:rsid w:val="009029E9"/>
    <w:rsid w:val="009030A3"/>
    <w:rsid w:val="00904F35"/>
    <w:rsid w:val="009051E1"/>
    <w:rsid w:val="00907927"/>
    <w:rsid w:val="009100F1"/>
    <w:rsid w:val="00910303"/>
    <w:rsid w:val="00910348"/>
    <w:rsid w:val="00910EC9"/>
    <w:rsid w:val="00911696"/>
    <w:rsid w:val="00912645"/>
    <w:rsid w:val="00914B55"/>
    <w:rsid w:val="0091517B"/>
    <w:rsid w:val="009171C0"/>
    <w:rsid w:val="00917900"/>
    <w:rsid w:val="009211A4"/>
    <w:rsid w:val="0092200C"/>
    <w:rsid w:val="00923565"/>
    <w:rsid w:val="0092388A"/>
    <w:rsid w:val="0092497A"/>
    <w:rsid w:val="00924F3F"/>
    <w:rsid w:val="009256F9"/>
    <w:rsid w:val="00926512"/>
    <w:rsid w:val="00926711"/>
    <w:rsid w:val="009273C3"/>
    <w:rsid w:val="00930A80"/>
    <w:rsid w:val="00930FAF"/>
    <w:rsid w:val="00931135"/>
    <w:rsid w:val="0093162D"/>
    <w:rsid w:val="0093261A"/>
    <w:rsid w:val="0093316E"/>
    <w:rsid w:val="00933930"/>
    <w:rsid w:val="00933A78"/>
    <w:rsid w:val="00933D8D"/>
    <w:rsid w:val="00934CE7"/>
    <w:rsid w:val="00934DB5"/>
    <w:rsid w:val="00935CAF"/>
    <w:rsid w:val="0093749E"/>
    <w:rsid w:val="00940210"/>
    <w:rsid w:val="00940273"/>
    <w:rsid w:val="00940510"/>
    <w:rsid w:val="009416E5"/>
    <w:rsid w:val="00941C8D"/>
    <w:rsid w:val="00941F4A"/>
    <w:rsid w:val="009428D6"/>
    <w:rsid w:val="00942BF3"/>
    <w:rsid w:val="00942E38"/>
    <w:rsid w:val="009448AD"/>
    <w:rsid w:val="00944B94"/>
    <w:rsid w:val="00945033"/>
    <w:rsid w:val="00945FE7"/>
    <w:rsid w:val="00946397"/>
    <w:rsid w:val="009466D7"/>
    <w:rsid w:val="00950769"/>
    <w:rsid w:val="00950C1F"/>
    <w:rsid w:val="00952751"/>
    <w:rsid w:val="00953756"/>
    <w:rsid w:val="00954B72"/>
    <w:rsid w:val="009559E9"/>
    <w:rsid w:val="00957FC4"/>
    <w:rsid w:val="00960010"/>
    <w:rsid w:val="00960652"/>
    <w:rsid w:val="009613FF"/>
    <w:rsid w:val="00961FB5"/>
    <w:rsid w:val="009628EF"/>
    <w:rsid w:val="00962ED2"/>
    <w:rsid w:val="00963B18"/>
    <w:rsid w:val="009644E9"/>
    <w:rsid w:val="00965237"/>
    <w:rsid w:val="00965884"/>
    <w:rsid w:val="00965BDB"/>
    <w:rsid w:val="00966382"/>
    <w:rsid w:val="00966505"/>
    <w:rsid w:val="00966B61"/>
    <w:rsid w:val="0096769F"/>
    <w:rsid w:val="00970407"/>
    <w:rsid w:val="009708FD"/>
    <w:rsid w:val="009711D4"/>
    <w:rsid w:val="00971258"/>
    <w:rsid w:val="009716D6"/>
    <w:rsid w:val="00971B10"/>
    <w:rsid w:val="00972726"/>
    <w:rsid w:val="00974087"/>
    <w:rsid w:val="00975779"/>
    <w:rsid w:val="009765BE"/>
    <w:rsid w:val="00976ED7"/>
    <w:rsid w:val="009770A2"/>
    <w:rsid w:val="00981364"/>
    <w:rsid w:val="00981E0E"/>
    <w:rsid w:val="00983B9A"/>
    <w:rsid w:val="00984152"/>
    <w:rsid w:val="00984336"/>
    <w:rsid w:val="009844E7"/>
    <w:rsid w:val="00984A0E"/>
    <w:rsid w:val="00986516"/>
    <w:rsid w:val="009865AC"/>
    <w:rsid w:val="00986838"/>
    <w:rsid w:val="00986CD7"/>
    <w:rsid w:val="0099144C"/>
    <w:rsid w:val="00992499"/>
    <w:rsid w:val="0099337C"/>
    <w:rsid w:val="0099378C"/>
    <w:rsid w:val="00994EAA"/>
    <w:rsid w:val="00996A93"/>
    <w:rsid w:val="009A0668"/>
    <w:rsid w:val="009A0724"/>
    <w:rsid w:val="009A0876"/>
    <w:rsid w:val="009A0CAD"/>
    <w:rsid w:val="009A1214"/>
    <w:rsid w:val="009A1515"/>
    <w:rsid w:val="009A1B7A"/>
    <w:rsid w:val="009A3E7E"/>
    <w:rsid w:val="009A4DF7"/>
    <w:rsid w:val="009A506E"/>
    <w:rsid w:val="009A6E3D"/>
    <w:rsid w:val="009A6ECF"/>
    <w:rsid w:val="009B0AEC"/>
    <w:rsid w:val="009B1A28"/>
    <w:rsid w:val="009B3895"/>
    <w:rsid w:val="009B3998"/>
    <w:rsid w:val="009B3BDE"/>
    <w:rsid w:val="009B592C"/>
    <w:rsid w:val="009B68A3"/>
    <w:rsid w:val="009B6FEC"/>
    <w:rsid w:val="009B76C0"/>
    <w:rsid w:val="009B7774"/>
    <w:rsid w:val="009B799D"/>
    <w:rsid w:val="009C0B00"/>
    <w:rsid w:val="009C1294"/>
    <w:rsid w:val="009C2637"/>
    <w:rsid w:val="009C2A20"/>
    <w:rsid w:val="009C300D"/>
    <w:rsid w:val="009C3257"/>
    <w:rsid w:val="009C3641"/>
    <w:rsid w:val="009C4848"/>
    <w:rsid w:val="009C488D"/>
    <w:rsid w:val="009C4E64"/>
    <w:rsid w:val="009C5835"/>
    <w:rsid w:val="009C6244"/>
    <w:rsid w:val="009C6F50"/>
    <w:rsid w:val="009C71C2"/>
    <w:rsid w:val="009C784B"/>
    <w:rsid w:val="009D06EC"/>
    <w:rsid w:val="009D1031"/>
    <w:rsid w:val="009D1554"/>
    <w:rsid w:val="009D18AB"/>
    <w:rsid w:val="009D2008"/>
    <w:rsid w:val="009D225A"/>
    <w:rsid w:val="009D29B3"/>
    <w:rsid w:val="009D4C67"/>
    <w:rsid w:val="009D55C4"/>
    <w:rsid w:val="009D7897"/>
    <w:rsid w:val="009D7D3B"/>
    <w:rsid w:val="009E1E98"/>
    <w:rsid w:val="009E2254"/>
    <w:rsid w:val="009E2348"/>
    <w:rsid w:val="009E32D0"/>
    <w:rsid w:val="009E34BD"/>
    <w:rsid w:val="009E4200"/>
    <w:rsid w:val="009E477C"/>
    <w:rsid w:val="009E48B9"/>
    <w:rsid w:val="009E4954"/>
    <w:rsid w:val="009E4C4C"/>
    <w:rsid w:val="009E59FA"/>
    <w:rsid w:val="009E681F"/>
    <w:rsid w:val="009E6A84"/>
    <w:rsid w:val="009E6C88"/>
    <w:rsid w:val="009E71B2"/>
    <w:rsid w:val="009E7A3F"/>
    <w:rsid w:val="009F01F0"/>
    <w:rsid w:val="009F1D23"/>
    <w:rsid w:val="009F1DEB"/>
    <w:rsid w:val="009F222C"/>
    <w:rsid w:val="009F4519"/>
    <w:rsid w:val="009F6166"/>
    <w:rsid w:val="009F6205"/>
    <w:rsid w:val="009F6B8C"/>
    <w:rsid w:val="00A005AF"/>
    <w:rsid w:val="00A00BA9"/>
    <w:rsid w:val="00A00CED"/>
    <w:rsid w:val="00A00EE8"/>
    <w:rsid w:val="00A01D1B"/>
    <w:rsid w:val="00A027EB"/>
    <w:rsid w:val="00A05229"/>
    <w:rsid w:val="00A055E0"/>
    <w:rsid w:val="00A05F09"/>
    <w:rsid w:val="00A066E9"/>
    <w:rsid w:val="00A07220"/>
    <w:rsid w:val="00A0793B"/>
    <w:rsid w:val="00A07E69"/>
    <w:rsid w:val="00A07FB4"/>
    <w:rsid w:val="00A10D7B"/>
    <w:rsid w:val="00A11688"/>
    <w:rsid w:val="00A124BD"/>
    <w:rsid w:val="00A135EC"/>
    <w:rsid w:val="00A14571"/>
    <w:rsid w:val="00A16112"/>
    <w:rsid w:val="00A2017C"/>
    <w:rsid w:val="00A2029F"/>
    <w:rsid w:val="00A22156"/>
    <w:rsid w:val="00A223F1"/>
    <w:rsid w:val="00A22C44"/>
    <w:rsid w:val="00A23A6F"/>
    <w:rsid w:val="00A23FA0"/>
    <w:rsid w:val="00A24060"/>
    <w:rsid w:val="00A24EA8"/>
    <w:rsid w:val="00A25C12"/>
    <w:rsid w:val="00A262ED"/>
    <w:rsid w:val="00A26E97"/>
    <w:rsid w:val="00A3031C"/>
    <w:rsid w:val="00A309A6"/>
    <w:rsid w:val="00A31F32"/>
    <w:rsid w:val="00A322AA"/>
    <w:rsid w:val="00A322FF"/>
    <w:rsid w:val="00A32575"/>
    <w:rsid w:val="00A328D7"/>
    <w:rsid w:val="00A332B2"/>
    <w:rsid w:val="00A3345A"/>
    <w:rsid w:val="00A33CE5"/>
    <w:rsid w:val="00A343E9"/>
    <w:rsid w:val="00A35129"/>
    <w:rsid w:val="00A35B08"/>
    <w:rsid w:val="00A36733"/>
    <w:rsid w:val="00A37077"/>
    <w:rsid w:val="00A371DF"/>
    <w:rsid w:val="00A403FB"/>
    <w:rsid w:val="00A40410"/>
    <w:rsid w:val="00A40DC3"/>
    <w:rsid w:val="00A41E8F"/>
    <w:rsid w:val="00A4245F"/>
    <w:rsid w:val="00A42473"/>
    <w:rsid w:val="00A44C8D"/>
    <w:rsid w:val="00A44F2E"/>
    <w:rsid w:val="00A454C7"/>
    <w:rsid w:val="00A454F2"/>
    <w:rsid w:val="00A4653F"/>
    <w:rsid w:val="00A46F95"/>
    <w:rsid w:val="00A4714C"/>
    <w:rsid w:val="00A47477"/>
    <w:rsid w:val="00A517BB"/>
    <w:rsid w:val="00A51ADC"/>
    <w:rsid w:val="00A5270C"/>
    <w:rsid w:val="00A53B52"/>
    <w:rsid w:val="00A53DF3"/>
    <w:rsid w:val="00A54C77"/>
    <w:rsid w:val="00A552AC"/>
    <w:rsid w:val="00A5564F"/>
    <w:rsid w:val="00A5645B"/>
    <w:rsid w:val="00A566A1"/>
    <w:rsid w:val="00A56973"/>
    <w:rsid w:val="00A56FB3"/>
    <w:rsid w:val="00A57BCF"/>
    <w:rsid w:val="00A57DDB"/>
    <w:rsid w:val="00A57F82"/>
    <w:rsid w:val="00A60E84"/>
    <w:rsid w:val="00A61C59"/>
    <w:rsid w:val="00A6275E"/>
    <w:rsid w:val="00A63099"/>
    <w:rsid w:val="00A65671"/>
    <w:rsid w:val="00A6581C"/>
    <w:rsid w:val="00A65D88"/>
    <w:rsid w:val="00A66EF3"/>
    <w:rsid w:val="00A67991"/>
    <w:rsid w:val="00A67A2B"/>
    <w:rsid w:val="00A70444"/>
    <w:rsid w:val="00A70522"/>
    <w:rsid w:val="00A720F1"/>
    <w:rsid w:val="00A7385F"/>
    <w:rsid w:val="00A73B58"/>
    <w:rsid w:val="00A7453B"/>
    <w:rsid w:val="00A75AED"/>
    <w:rsid w:val="00A75C8C"/>
    <w:rsid w:val="00A76D68"/>
    <w:rsid w:val="00A8128F"/>
    <w:rsid w:val="00A8154F"/>
    <w:rsid w:val="00A81749"/>
    <w:rsid w:val="00A817B2"/>
    <w:rsid w:val="00A8192B"/>
    <w:rsid w:val="00A82DEF"/>
    <w:rsid w:val="00A83D3D"/>
    <w:rsid w:val="00A85931"/>
    <w:rsid w:val="00A85E97"/>
    <w:rsid w:val="00A86608"/>
    <w:rsid w:val="00A8690A"/>
    <w:rsid w:val="00A8793C"/>
    <w:rsid w:val="00A87A1B"/>
    <w:rsid w:val="00A90334"/>
    <w:rsid w:val="00A90E0F"/>
    <w:rsid w:val="00A92095"/>
    <w:rsid w:val="00A93179"/>
    <w:rsid w:val="00A93D53"/>
    <w:rsid w:val="00A93FEF"/>
    <w:rsid w:val="00A950CD"/>
    <w:rsid w:val="00A96C3E"/>
    <w:rsid w:val="00A96FF7"/>
    <w:rsid w:val="00A97CB8"/>
    <w:rsid w:val="00AA18BB"/>
    <w:rsid w:val="00AA1D84"/>
    <w:rsid w:val="00AA223A"/>
    <w:rsid w:val="00AA2BF5"/>
    <w:rsid w:val="00AA41A2"/>
    <w:rsid w:val="00AA438F"/>
    <w:rsid w:val="00AA5097"/>
    <w:rsid w:val="00AA58E1"/>
    <w:rsid w:val="00AA7906"/>
    <w:rsid w:val="00AB05F3"/>
    <w:rsid w:val="00AB071A"/>
    <w:rsid w:val="00AB1DB4"/>
    <w:rsid w:val="00AB22E2"/>
    <w:rsid w:val="00AB2864"/>
    <w:rsid w:val="00AB3994"/>
    <w:rsid w:val="00AB3DA7"/>
    <w:rsid w:val="00AB4773"/>
    <w:rsid w:val="00AB510A"/>
    <w:rsid w:val="00AB5422"/>
    <w:rsid w:val="00AB6927"/>
    <w:rsid w:val="00AB71DE"/>
    <w:rsid w:val="00AC1223"/>
    <w:rsid w:val="00AC1823"/>
    <w:rsid w:val="00AC27EC"/>
    <w:rsid w:val="00AC35B6"/>
    <w:rsid w:val="00AC6D47"/>
    <w:rsid w:val="00AD039B"/>
    <w:rsid w:val="00AD1839"/>
    <w:rsid w:val="00AD257D"/>
    <w:rsid w:val="00AD28C3"/>
    <w:rsid w:val="00AD387A"/>
    <w:rsid w:val="00AD39BE"/>
    <w:rsid w:val="00AD4FEC"/>
    <w:rsid w:val="00AD5C27"/>
    <w:rsid w:val="00AD68DB"/>
    <w:rsid w:val="00AD704B"/>
    <w:rsid w:val="00AD783B"/>
    <w:rsid w:val="00AE022D"/>
    <w:rsid w:val="00AE0468"/>
    <w:rsid w:val="00AE0E44"/>
    <w:rsid w:val="00AE10D9"/>
    <w:rsid w:val="00AE136D"/>
    <w:rsid w:val="00AE21D3"/>
    <w:rsid w:val="00AE2996"/>
    <w:rsid w:val="00AE2C3D"/>
    <w:rsid w:val="00AE2E80"/>
    <w:rsid w:val="00AE3BAC"/>
    <w:rsid w:val="00AE4E05"/>
    <w:rsid w:val="00AE5185"/>
    <w:rsid w:val="00AE7016"/>
    <w:rsid w:val="00AE720D"/>
    <w:rsid w:val="00AE729E"/>
    <w:rsid w:val="00AE764C"/>
    <w:rsid w:val="00AE77FF"/>
    <w:rsid w:val="00AE796A"/>
    <w:rsid w:val="00AF090B"/>
    <w:rsid w:val="00AF0C5F"/>
    <w:rsid w:val="00AF2074"/>
    <w:rsid w:val="00AF213A"/>
    <w:rsid w:val="00AF41B4"/>
    <w:rsid w:val="00AF41E4"/>
    <w:rsid w:val="00AF4575"/>
    <w:rsid w:val="00AF5ADA"/>
    <w:rsid w:val="00AF5BF1"/>
    <w:rsid w:val="00AF7231"/>
    <w:rsid w:val="00B00648"/>
    <w:rsid w:val="00B02778"/>
    <w:rsid w:val="00B02BBF"/>
    <w:rsid w:val="00B02E23"/>
    <w:rsid w:val="00B03500"/>
    <w:rsid w:val="00B0391E"/>
    <w:rsid w:val="00B03C17"/>
    <w:rsid w:val="00B04DAD"/>
    <w:rsid w:val="00B05408"/>
    <w:rsid w:val="00B0570D"/>
    <w:rsid w:val="00B05EB0"/>
    <w:rsid w:val="00B06022"/>
    <w:rsid w:val="00B1043C"/>
    <w:rsid w:val="00B108FA"/>
    <w:rsid w:val="00B11228"/>
    <w:rsid w:val="00B11320"/>
    <w:rsid w:val="00B1150D"/>
    <w:rsid w:val="00B11923"/>
    <w:rsid w:val="00B11C02"/>
    <w:rsid w:val="00B11F4B"/>
    <w:rsid w:val="00B1328A"/>
    <w:rsid w:val="00B140AF"/>
    <w:rsid w:val="00B145B3"/>
    <w:rsid w:val="00B16604"/>
    <w:rsid w:val="00B16AB9"/>
    <w:rsid w:val="00B172CE"/>
    <w:rsid w:val="00B17810"/>
    <w:rsid w:val="00B17990"/>
    <w:rsid w:val="00B21F11"/>
    <w:rsid w:val="00B22875"/>
    <w:rsid w:val="00B22CFA"/>
    <w:rsid w:val="00B23CF1"/>
    <w:rsid w:val="00B23D11"/>
    <w:rsid w:val="00B2452C"/>
    <w:rsid w:val="00B24BAD"/>
    <w:rsid w:val="00B24F32"/>
    <w:rsid w:val="00B25573"/>
    <w:rsid w:val="00B256F3"/>
    <w:rsid w:val="00B25D8A"/>
    <w:rsid w:val="00B2687C"/>
    <w:rsid w:val="00B26C83"/>
    <w:rsid w:val="00B270DD"/>
    <w:rsid w:val="00B33D31"/>
    <w:rsid w:val="00B340F1"/>
    <w:rsid w:val="00B35DA7"/>
    <w:rsid w:val="00B360C6"/>
    <w:rsid w:val="00B367A3"/>
    <w:rsid w:val="00B37984"/>
    <w:rsid w:val="00B37A50"/>
    <w:rsid w:val="00B37FFB"/>
    <w:rsid w:val="00B405FC"/>
    <w:rsid w:val="00B42ABE"/>
    <w:rsid w:val="00B42CC7"/>
    <w:rsid w:val="00B42CE8"/>
    <w:rsid w:val="00B43C35"/>
    <w:rsid w:val="00B43C98"/>
    <w:rsid w:val="00B44432"/>
    <w:rsid w:val="00B4550E"/>
    <w:rsid w:val="00B45C2E"/>
    <w:rsid w:val="00B45D83"/>
    <w:rsid w:val="00B45F5D"/>
    <w:rsid w:val="00B474B0"/>
    <w:rsid w:val="00B478BA"/>
    <w:rsid w:val="00B47D8D"/>
    <w:rsid w:val="00B47DF3"/>
    <w:rsid w:val="00B47F27"/>
    <w:rsid w:val="00B50314"/>
    <w:rsid w:val="00B5057C"/>
    <w:rsid w:val="00B50799"/>
    <w:rsid w:val="00B50B1A"/>
    <w:rsid w:val="00B5152D"/>
    <w:rsid w:val="00B5263F"/>
    <w:rsid w:val="00B531F8"/>
    <w:rsid w:val="00B53492"/>
    <w:rsid w:val="00B542EB"/>
    <w:rsid w:val="00B54D8A"/>
    <w:rsid w:val="00B55655"/>
    <w:rsid w:val="00B55A9B"/>
    <w:rsid w:val="00B55D2E"/>
    <w:rsid w:val="00B55E5B"/>
    <w:rsid w:val="00B564E5"/>
    <w:rsid w:val="00B57A83"/>
    <w:rsid w:val="00B57C13"/>
    <w:rsid w:val="00B609AA"/>
    <w:rsid w:val="00B60A54"/>
    <w:rsid w:val="00B60DE6"/>
    <w:rsid w:val="00B610D0"/>
    <w:rsid w:val="00B615C5"/>
    <w:rsid w:val="00B618C0"/>
    <w:rsid w:val="00B62016"/>
    <w:rsid w:val="00B62325"/>
    <w:rsid w:val="00B6397B"/>
    <w:rsid w:val="00B64EC4"/>
    <w:rsid w:val="00B651A9"/>
    <w:rsid w:val="00B6607C"/>
    <w:rsid w:val="00B671A7"/>
    <w:rsid w:val="00B674C4"/>
    <w:rsid w:val="00B70C8A"/>
    <w:rsid w:val="00B714F4"/>
    <w:rsid w:val="00B720D1"/>
    <w:rsid w:val="00B72275"/>
    <w:rsid w:val="00B72A79"/>
    <w:rsid w:val="00B72C1B"/>
    <w:rsid w:val="00B733B4"/>
    <w:rsid w:val="00B73DBA"/>
    <w:rsid w:val="00B73FEF"/>
    <w:rsid w:val="00B74982"/>
    <w:rsid w:val="00B75A5B"/>
    <w:rsid w:val="00B75B39"/>
    <w:rsid w:val="00B75FDC"/>
    <w:rsid w:val="00B775A5"/>
    <w:rsid w:val="00B80AD9"/>
    <w:rsid w:val="00B81135"/>
    <w:rsid w:val="00B82CFA"/>
    <w:rsid w:val="00B82FFE"/>
    <w:rsid w:val="00B83B1E"/>
    <w:rsid w:val="00B83F09"/>
    <w:rsid w:val="00B83FF7"/>
    <w:rsid w:val="00B84A0E"/>
    <w:rsid w:val="00B84C28"/>
    <w:rsid w:val="00B85337"/>
    <w:rsid w:val="00B85556"/>
    <w:rsid w:val="00B85D45"/>
    <w:rsid w:val="00B86713"/>
    <w:rsid w:val="00B86C3C"/>
    <w:rsid w:val="00B905BF"/>
    <w:rsid w:val="00B90717"/>
    <w:rsid w:val="00B90C53"/>
    <w:rsid w:val="00B91B11"/>
    <w:rsid w:val="00B92A8E"/>
    <w:rsid w:val="00B92FA7"/>
    <w:rsid w:val="00B937FF"/>
    <w:rsid w:val="00B95501"/>
    <w:rsid w:val="00B95ECE"/>
    <w:rsid w:val="00B95F7D"/>
    <w:rsid w:val="00B96964"/>
    <w:rsid w:val="00B9699D"/>
    <w:rsid w:val="00B9775F"/>
    <w:rsid w:val="00BA02A7"/>
    <w:rsid w:val="00BA0AF9"/>
    <w:rsid w:val="00BA123C"/>
    <w:rsid w:val="00BA15EF"/>
    <w:rsid w:val="00BA17DB"/>
    <w:rsid w:val="00BA1A23"/>
    <w:rsid w:val="00BA1C0D"/>
    <w:rsid w:val="00BA1CAB"/>
    <w:rsid w:val="00BA1D75"/>
    <w:rsid w:val="00BA2B89"/>
    <w:rsid w:val="00BA2C4D"/>
    <w:rsid w:val="00BA2E54"/>
    <w:rsid w:val="00BA3764"/>
    <w:rsid w:val="00BA3DDE"/>
    <w:rsid w:val="00BA441C"/>
    <w:rsid w:val="00BA4545"/>
    <w:rsid w:val="00BA4582"/>
    <w:rsid w:val="00BA4E79"/>
    <w:rsid w:val="00BA51F9"/>
    <w:rsid w:val="00BA576C"/>
    <w:rsid w:val="00BA6109"/>
    <w:rsid w:val="00BA6C9A"/>
    <w:rsid w:val="00BA6CA0"/>
    <w:rsid w:val="00BA7CDD"/>
    <w:rsid w:val="00BB16B0"/>
    <w:rsid w:val="00BB177D"/>
    <w:rsid w:val="00BB2423"/>
    <w:rsid w:val="00BB4987"/>
    <w:rsid w:val="00BB4AD4"/>
    <w:rsid w:val="00BB4EBC"/>
    <w:rsid w:val="00BB5D6B"/>
    <w:rsid w:val="00BB608E"/>
    <w:rsid w:val="00BB7254"/>
    <w:rsid w:val="00BB7342"/>
    <w:rsid w:val="00BB7343"/>
    <w:rsid w:val="00BC2849"/>
    <w:rsid w:val="00BC43E5"/>
    <w:rsid w:val="00BC455E"/>
    <w:rsid w:val="00BC52DB"/>
    <w:rsid w:val="00BC5E12"/>
    <w:rsid w:val="00BC6F75"/>
    <w:rsid w:val="00BC71BB"/>
    <w:rsid w:val="00BC7EB1"/>
    <w:rsid w:val="00BD1154"/>
    <w:rsid w:val="00BD2B66"/>
    <w:rsid w:val="00BD44D3"/>
    <w:rsid w:val="00BD51FD"/>
    <w:rsid w:val="00BD6637"/>
    <w:rsid w:val="00BD6AF0"/>
    <w:rsid w:val="00BD751C"/>
    <w:rsid w:val="00BE0B8E"/>
    <w:rsid w:val="00BE1603"/>
    <w:rsid w:val="00BE1926"/>
    <w:rsid w:val="00BE234B"/>
    <w:rsid w:val="00BE2FDD"/>
    <w:rsid w:val="00BE38C7"/>
    <w:rsid w:val="00BE3996"/>
    <w:rsid w:val="00BE45EE"/>
    <w:rsid w:val="00BE5CA6"/>
    <w:rsid w:val="00BE6673"/>
    <w:rsid w:val="00BE70F4"/>
    <w:rsid w:val="00BE7257"/>
    <w:rsid w:val="00BE7897"/>
    <w:rsid w:val="00BF0466"/>
    <w:rsid w:val="00BF0D70"/>
    <w:rsid w:val="00BF1D58"/>
    <w:rsid w:val="00BF1E45"/>
    <w:rsid w:val="00BF1F73"/>
    <w:rsid w:val="00BF278B"/>
    <w:rsid w:val="00BF40BB"/>
    <w:rsid w:val="00BF4130"/>
    <w:rsid w:val="00BF42EA"/>
    <w:rsid w:val="00BF42EB"/>
    <w:rsid w:val="00BF478F"/>
    <w:rsid w:val="00BF551C"/>
    <w:rsid w:val="00BF6022"/>
    <w:rsid w:val="00BF6235"/>
    <w:rsid w:val="00BF6A4C"/>
    <w:rsid w:val="00BF7675"/>
    <w:rsid w:val="00BF7FE8"/>
    <w:rsid w:val="00C0050A"/>
    <w:rsid w:val="00C00C0A"/>
    <w:rsid w:val="00C0162F"/>
    <w:rsid w:val="00C025BA"/>
    <w:rsid w:val="00C02ACB"/>
    <w:rsid w:val="00C02E00"/>
    <w:rsid w:val="00C02E3C"/>
    <w:rsid w:val="00C04B83"/>
    <w:rsid w:val="00C04C1C"/>
    <w:rsid w:val="00C04C34"/>
    <w:rsid w:val="00C04F27"/>
    <w:rsid w:val="00C05815"/>
    <w:rsid w:val="00C0599D"/>
    <w:rsid w:val="00C061D6"/>
    <w:rsid w:val="00C0635D"/>
    <w:rsid w:val="00C07FE6"/>
    <w:rsid w:val="00C1027E"/>
    <w:rsid w:val="00C1073E"/>
    <w:rsid w:val="00C10860"/>
    <w:rsid w:val="00C11174"/>
    <w:rsid w:val="00C1128D"/>
    <w:rsid w:val="00C112D5"/>
    <w:rsid w:val="00C11C3D"/>
    <w:rsid w:val="00C11F28"/>
    <w:rsid w:val="00C1334F"/>
    <w:rsid w:val="00C136BB"/>
    <w:rsid w:val="00C14959"/>
    <w:rsid w:val="00C152F4"/>
    <w:rsid w:val="00C16D93"/>
    <w:rsid w:val="00C20556"/>
    <w:rsid w:val="00C211D5"/>
    <w:rsid w:val="00C21224"/>
    <w:rsid w:val="00C22CAE"/>
    <w:rsid w:val="00C24E46"/>
    <w:rsid w:val="00C2573F"/>
    <w:rsid w:val="00C26E6E"/>
    <w:rsid w:val="00C274AC"/>
    <w:rsid w:val="00C30882"/>
    <w:rsid w:val="00C33911"/>
    <w:rsid w:val="00C348E9"/>
    <w:rsid w:val="00C35799"/>
    <w:rsid w:val="00C36AB6"/>
    <w:rsid w:val="00C36AEC"/>
    <w:rsid w:val="00C36C24"/>
    <w:rsid w:val="00C37350"/>
    <w:rsid w:val="00C374CB"/>
    <w:rsid w:val="00C379B2"/>
    <w:rsid w:val="00C37AE1"/>
    <w:rsid w:val="00C37B3B"/>
    <w:rsid w:val="00C40209"/>
    <w:rsid w:val="00C40A4B"/>
    <w:rsid w:val="00C41CBC"/>
    <w:rsid w:val="00C430AB"/>
    <w:rsid w:val="00C43E5A"/>
    <w:rsid w:val="00C44033"/>
    <w:rsid w:val="00C44051"/>
    <w:rsid w:val="00C4494D"/>
    <w:rsid w:val="00C45786"/>
    <w:rsid w:val="00C45D70"/>
    <w:rsid w:val="00C462E9"/>
    <w:rsid w:val="00C46323"/>
    <w:rsid w:val="00C4659A"/>
    <w:rsid w:val="00C470A5"/>
    <w:rsid w:val="00C474C4"/>
    <w:rsid w:val="00C47EC5"/>
    <w:rsid w:val="00C50395"/>
    <w:rsid w:val="00C512FA"/>
    <w:rsid w:val="00C51666"/>
    <w:rsid w:val="00C51DA5"/>
    <w:rsid w:val="00C525DE"/>
    <w:rsid w:val="00C528E2"/>
    <w:rsid w:val="00C5291A"/>
    <w:rsid w:val="00C53289"/>
    <w:rsid w:val="00C53F62"/>
    <w:rsid w:val="00C54638"/>
    <w:rsid w:val="00C546AA"/>
    <w:rsid w:val="00C55296"/>
    <w:rsid w:val="00C554BD"/>
    <w:rsid w:val="00C561A1"/>
    <w:rsid w:val="00C56381"/>
    <w:rsid w:val="00C56D16"/>
    <w:rsid w:val="00C60E45"/>
    <w:rsid w:val="00C61B35"/>
    <w:rsid w:val="00C61E91"/>
    <w:rsid w:val="00C6229C"/>
    <w:rsid w:val="00C62746"/>
    <w:rsid w:val="00C63379"/>
    <w:rsid w:val="00C64118"/>
    <w:rsid w:val="00C65497"/>
    <w:rsid w:val="00C660DB"/>
    <w:rsid w:val="00C66C34"/>
    <w:rsid w:val="00C66C8A"/>
    <w:rsid w:val="00C70373"/>
    <w:rsid w:val="00C768C8"/>
    <w:rsid w:val="00C76D29"/>
    <w:rsid w:val="00C808FC"/>
    <w:rsid w:val="00C81C58"/>
    <w:rsid w:val="00C81D1F"/>
    <w:rsid w:val="00C82450"/>
    <w:rsid w:val="00C8245F"/>
    <w:rsid w:val="00C83BFA"/>
    <w:rsid w:val="00C83F9B"/>
    <w:rsid w:val="00C8410D"/>
    <w:rsid w:val="00C847C1"/>
    <w:rsid w:val="00C84E27"/>
    <w:rsid w:val="00C864C6"/>
    <w:rsid w:val="00C86860"/>
    <w:rsid w:val="00C8694C"/>
    <w:rsid w:val="00C86F60"/>
    <w:rsid w:val="00C87701"/>
    <w:rsid w:val="00C90169"/>
    <w:rsid w:val="00C9027B"/>
    <w:rsid w:val="00C90487"/>
    <w:rsid w:val="00C915D2"/>
    <w:rsid w:val="00C92404"/>
    <w:rsid w:val="00C928B3"/>
    <w:rsid w:val="00C92BC0"/>
    <w:rsid w:val="00C92F15"/>
    <w:rsid w:val="00C9313D"/>
    <w:rsid w:val="00C94130"/>
    <w:rsid w:val="00C95ED7"/>
    <w:rsid w:val="00C97870"/>
    <w:rsid w:val="00CA0417"/>
    <w:rsid w:val="00CA0535"/>
    <w:rsid w:val="00CA0FBD"/>
    <w:rsid w:val="00CA1787"/>
    <w:rsid w:val="00CA22AE"/>
    <w:rsid w:val="00CA288E"/>
    <w:rsid w:val="00CA3305"/>
    <w:rsid w:val="00CA40F7"/>
    <w:rsid w:val="00CA43A9"/>
    <w:rsid w:val="00CA4465"/>
    <w:rsid w:val="00CA5796"/>
    <w:rsid w:val="00CA5D45"/>
    <w:rsid w:val="00CA6C54"/>
    <w:rsid w:val="00CA7C5A"/>
    <w:rsid w:val="00CA7C6E"/>
    <w:rsid w:val="00CB0275"/>
    <w:rsid w:val="00CB149F"/>
    <w:rsid w:val="00CB19ED"/>
    <w:rsid w:val="00CB29F8"/>
    <w:rsid w:val="00CB2BDE"/>
    <w:rsid w:val="00CB2C10"/>
    <w:rsid w:val="00CB322D"/>
    <w:rsid w:val="00CB3EFF"/>
    <w:rsid w:val="00CB5A25"/>
    <w:rsid w:val="00CB637B"/>
    <w:rsid w:val="00CB6469"/>
    <w:rsid w:val="00CB736C"/>
    <w:rsid w:val="00CC057E"/>
    <w:rsid w:val="00CC05A6"/>
    <w:rsid w:val="00CC064C"/>
    <w:rsid w:val="00CC0C00"/>
    <w:rsid w:val="00CC120B"/>
    <w:rsid w:val="00CC15F1"/>
    <w:rsid w:val="00CC1865"/>
    <w:rsid w:val="00CC2331"/>
    <w:rsid w:val="00CC285E"/>
    <w:rsid w:val="00CC3536"/>
    <w:rsid w:val="00CC357A"/>
    <w:rsid w:val="00CC4BFE"/>
    <w:rsid w:val="00CC4C0B"/>
    <w:rsid w:val="00CC4FA5"/>
    <w:rsid w:val="00CC59E3"/>
    <w:rsid w:val="00CC607E"/>
    <w:rsid w:val="00CC61B2"/>
    <w:rsid w:val="00CC7636"/>
    <w:rsid w:val="00CD0DFF"/>
    <w:rsid w:val="00CD14BB"/>
    <w:rsid w:val="00CD177E"/>
    <w:rsid w:val="00CD1B9E"/>
    <w:rsid w:val="00CD1D1F"/>
    <w:rsid w:val="00CD1F36"/>
    <w:rsid w:val="00CD2163"/>
    <w:rsid w:val="00CD23E2"/>
    <w:rsid w:val="00CD2DD3"/>
    <w:rsid w:val="00CD35F3"/>
    <w:rsid w:val="00CD3B0E"/>
    <w:rsid w:val="00CD3F35"/>
    <w:rsid w:val="00CD3FEA"/>
    <w:rsid w:val="00CD409A"/>
    <w:rsid w:val="00CD4C81"/>
    <w:rsid w:val="00CD7733"/>
    <w:rsid w:val="00CE0481"/>
    <w:rsid w:val="00CE0FCB"/>
    <w:rsid w:val="00CE107A"/>
    <w:rsid w:val="00CE161A"/>
    <w:rsid w:val="00CE2880"/>
    <w:rsid w:val="00CE2AD3"/>
    <w:rsid w:val="00CE34D8"/>
    <w:rsid w:val="00CE39B0"/>
    <w:rsid w:val="00CE3D72"/>
    <w:rsid w:val="00CE44A6"/>
    <w:rsid w:val="00CE57D8"/>
    <w:rsid w:val="00CE75A2"/>
    <w:rsid w:val="00CE7843"/>
    <w:rsid w:val="00CF1375"/>
    <w:rsid w:val="00CF25D7"/>
    <w:rsid w:val="00CF2BA6"/>
    <w:rsid w:val="00CF2D56"/>
    <w:rsid w:val="00CF35BC"/>
    <w:rsid w:val="00CF417C"/>
    <w:rsid w:val="00CF4F03"/>
    <w:rsid w:val="00CF5045"/>
    <w:rsid w:val="00CF511B"/>
    <w:rsid w:val="00CF5341"/>
    <w:rsid w:val="00CF6813"/>
    <w:rsid w:val="00CF6EAA"/>
    <w:rsid w:val="00CF71AF"/>
    <w:rsid w:val="00D00179"/>
    <w:rsid w:val="00D0031F"/>
    <w:rsid w:val="00D0076B"/>
    <w:rsid w:val="00D0220A"/>
    <w:rsid w:val="00D02842"/>
    <w:rsid w:val="00D02CC6"/>
    <w:rsid w:val="00D032EA"/>
    <w:rsid w:val="00D041B2"/>
    <w:rsid w:val="00D04415"/>
    <w:rsid w:val="00D052B0"/>
    <w:rsid w:val="00D0564E"/>
    <w:rsid w:val="00D06CB2"/>
    <w:rsid w:val="00D06DB6"/>
    <w:rsid w:val="00D0721A"/>
    <w:rsid w:val="00D07783"/>
    <w:rsid w:val="00D07C07"/>
    <w:rsid w:val="00D10784"/>
    <w:rsid w:val="00D109BA"/>
    <w:rsid w:val="00D12225"/>
    <w:rsid w:val="00D12681"/>
    <w:rsid w:val="00D13174"/>
    <w:rsid w:val="00D1318D"/>
    <w:rsid w:val="00D14151"/>
    <w:rsid w:val="00D14575"/>
    <w:rsid w:val="00D15191"/>
    <w:rsid w:val="00D15F95"/>
    <w:rsid w:val="00D170A2"/>
    <w:rsid w:val="00D17C4A"/>
    <w:rsid w:val="00D2044F"/>
    <w:rsid w:val="00D20526"/>
    <w:rsid w:val="00D20A4A"/>
    <w:rsid w:val="00D20B1D"/>
    <w:rsid w:val="00D20D72"/>
    <w:rsid w:val="00D224BB"/>
    <w:rsid w:val="00D23BBF"/>
    <w:rsid w:val="00D24101"/>
    <w:rsid w:val="00D24270"/>
    <w:rsid w:val="00D24720"/>
    <w:rsid w:val="00D249A7"/>
    <w:rsid w:val="00D2550A"/>
    <w:rsid w:val="00D2576A"/>
    <w:rsid w:val="00D26254"/>
    <w:rsid w:val="00D269CB"/>
    <w:rsid w:val="00D26BBD"/>
    <w:rsid w:val="00D26F83"/>
    <w:rsid w:val="00D27DC5"/>
    <w:rsid w:val="00D3032C"/>
    <w:rsid w:val="00D30886"/>
    <w:rsid w:val="00D3180B"/>
    <w:rsid w:val="00D33214"/>
    <w:rsid w:val="00D34888"/>
    <w:rsid w:val="00D34F8C"/>
    <w:rsid w:val="00D35334"/>
    <w:rsid w:val="00D368EA"/>
    <w:rsid w:val="00D3790C"/>
    <w:rsid w:val="00D37B93"/>
    <w:rsid w:val="00D37D5C"/>
    <w:rsid w:val="00D4071B"/>
    <w:rsid w:val="00D41ACF"/>
    <w:rsid w:val="00D41D9B"/>
    <w:rsid w:val="00D41EDD"/>
    <w:rsid w:val="00D42602"/>
    <w:rsid w:val="00D42C44"/>
    <w:rsid w:val="00D42D48"/>
    <w:rsid w:val="00D43591"/>
    <w:rsid w:val="00D449F4"/>
    <w:rsid w:val="00D475CC"/>
    <w:rsid w:val="00D4761B"/>
    <w:rsid w:val="00D50E2E"/>
    <w:rsid w:val="00D523D1"/>
    <w:rsid w:val="00D52BE6"/>
    <w:rsid w:val="00D52C93"/>
    <w:rsid w:val="00D52F65"/>
    <w:rsid w:val="00D53F07"/>
    <w:rsid w:val="00D53F48"/>
    <w:rsid w:val="00D55450"/>
    <w:rsid w:val="00D559E5"/>
    <w:rsid w:val="00D55A28"/>
    <w:rsid w:val="00D56C1A"/>
    <w:rsid w:val="00D57DEA"/>
    <w:rsid w:val="00D6014E"/>
    <w:rsid w:val="00D606EB"/>
    <w:rsid w:val="00D608D2"/>
    <w:rsid w:val="00D60D9A"/>
    <w:rsid w:val="00D61C48"/>
    <w:rsid w:val="00D6254E"/>
    <w:rsid w:val="00D62C42"/>
    <w:rsid w:val="00D63B54"/>
    <w:rsid w:val="00D63FFD"/>
    <w:rsid w:val="00D6454D"/>
    <w:rsid w:val="00D64647"/>
    <w:rsid w:val="00D646D7"/>
    <w:rsid w:val="00D64E18"/>
    <w:rsid w:val="00D6549F"/>
    <w:rsid w:val="00D65605"/>
    <w:rsid w:val="00D65D15"/>
    <w:rsid w:val="00D669B6"/>
    <w:rsid w:val="00D66FF4"/>
    <w:rsid w:val="00D6751E"/>
    <w:rsid w:val="00D67AEF"/>
    <w:rsid w:val="00D67BA5"/>
    <w:rsid w:val="00D7005F"/>
    <w:rsid w:val="00D7054E"/>
    <w:rsid w:val="00D7064E"/>
    <w:rsid w:val="00D70765"/>
    <w:rsid w:val="00D70AA0"/>
    <w:rsid w:val="00D711D0"/>
    <w:rsid w:val="00D7262D"/>
    <w:rsid w:val="00D72908"/>
    <w:rsid w:val="00D730C8"/>
    <w:rsid w:val="00D73232"/>
    <w:rsid w:val="00D73733"/>
    <w:rsid w:val="00D73900"/>
    <w:rsid w:val="00D744D9"/>
    <w:rsid w:val="00D75664"/>
    <w:rsid w:val="00D75CA1"/>
    <w:rsid w:val="00D762FC"/>
    <w:rsid w:val="00D7644E"/>
    <w:rsid w:val="00D76FB1"/>
    <w:rsid w:val="00D80E88"/>
    <w:rsid w:val="00D81239"/>
    <w:rsid w:val="00D812E6"/>
    <w:rsid w:val="00D81EA4"/>
    <w:rsid w:val="00D826D7"/>
    <w:rsid w:val="00D83542"/>
    <w:rsid w:val="00D83621"/>
    <w:rsid w:val="00D83A0A"/>
    <w:rsid w:val="00D83AC9"/>
    <w:rsid w:val="00D859DF"/>
    <w:rsid w:val="00D85A05"/>
    <w:rsid w:val="00D8658E"/>
    <w:rsid w:val="00D86D63"/>
    <w:rsid w:val="00D90647"/>
    <w:rsid w:val="00D90E1D"/>
    <w:rsid w:val="00D9125E"/>
    <w:rsid w:val="00D92194"/>
    <w:rsid w:val="00D92662"/>
    <w:rsid w:val="00D92922"/>
    <w:rsid w:val="00D929B5"/>
    <w:rsid w:val="00D9361B"/>
    <w:rsid w:val="00D93CA2"/>
    <w:rsid w:val="00D94175"/>
    <w:rsid w:val="00D941A9"/>
    <w:rsid w:val="00D9449E"/>
    <w:rsid w:val="00D947F3"/>
    <w:rsid w:val="00D95024"/>
    <w:rsid w:val="00D950BD"/>
    <w:rsid w:val="00D95402"/>
    <w:rsid w:val="00D959DF"/>
    <w:rsid w:val="00D95B48"/>
    <w:rsid w:val="00D9600C"/>
    <w:rsid w:val="00D961EC"/>
    <w:rsid w:val="00D96B9F"/>
    <w:rsid w:val="00D96BB2"/>
    <w:rsid w:val="00DA0870"/>
    <w:rsid w:val="00DA0B29"/>
    <w:rsid w:val="00DA10AA"/>
    <w:rsid w:val="00DA159E"/>
    <w:rsid w:val="00DA2606"/>
    <w:rsid w:val="00DA2E61"/>
    <w:rsid w:val="00DA378B"/>
    <w:rsid w:val="00DA53DD"/>
    <w:rsid w:val="00DA5835"/>
    <w:rsid w:val="00DA77E1"/>
    <w:rsid w:val="00DB078C"/>
    <w:rsid w:val="00DB0DB2"/>
    <w:rsid w:val="00DB14B0"/>
    <w:rsid w:val="00DB1A99"/>
    <w:rsid w:val="00DB32D0"/>
    <w:rsid w:val="00DB353D"/>
    <w:rsid w:val="00DB36D0"/>
    <w:rsid w:val="00DB61D3"/>
    <w:rsid w:val="00DB68B9"/>
    <w:rsid w:val="00DB6CA7"/>
    <w:rsid w:val="00DB7147"/>
    <w:rsid w:val="00DB71C7"/>
    <w:rsid w:val="00DB798A"/>
    <w:rsid w:val="00DB79F4"/>
    <w:rsid w:val="00DB7A4F"/>
    <w:rsid w:val="00DB7EEA"/>
    <w:rsid w:val="00DC01F9"/>
    <w:rsid w:val="00DC041E"/>
    <w:rsid w:val="00DC0F6F"/>
    <w:rsid w:val="00DC19CA"/>
    <w:rsid w:val="00DC3271"/>
    <w:rsid w:val="00DC5231"/>
    <w:rsid w:val="00DC5F3F"/>
    <w:rsid w:val="00DC5FCB"/>
    <w:rsid w:val="00DC65AA"/>
    <w:rsid w:val="00DC6BA9"/>
    <w:rsid w:val="00DC7921"/>
    <w:rsid w:val="00DD0549"/>
    <w:rsid w:val="00DD0733"/>
    <w:rsid w:val="00DD081D"/>
    <w:rsid w:val="00DD2A89"/>
    <w:rsid w:val="00DD38F7"/>
    <w:rsid w:val="00DD49CF"/>
    <w:rsid w:val="00DD5435"/>
    <w:rsid w:val="00DD57B0"/>
    <w:rsid w:val="00DD7E65"/>
    <w:rsid w:val="00DE2E14"/>
    <w:rsid w:val="00DE2FFC"/>
    <w:rsid w:val="00DE55D0"/>
    <w:rsid w:val="00DE5E60"/>
    <w:rsid w:val="00DE6848"/>
    <w:rsid w:val="00DE6FE6"/>
    <w:rsid w:val="00DF11A2"/>
    <w:rsid w:val="00DF138B"/>
    <w:rsid w:val="00DF263A"/>
    <w:rsid w:val="00DF2725"/>
    <w:rsid w:val="00DF2F0C"/>
    <w:rsid w:val="00DF3717"/>
    <w:rsid w:val="00DF3760"/>
    <w:rsid w:val="00DF5328"/>
    <w:rsid w:val="00DF5605"/>
    <w:rsid w:val="00DF6532"/>
    <w:rsid w:val="00DF6667"/>
    <w:rsid w:val="00DF6FA7"/>
    <w:rsid w:val="00DF7A05"/>
    <w:rsid w:val="00DF7CC8"/>
    <w:rsid w:val="00E009A5"/>
    <w:rsid w:val="00E00D62"/>
    <w:rsid w:val="00E0118C"/>
    <w:rsid w:val="00E01320"/>
    <w:rsid w:val="00E014ED"/>
    <w:rsid w:val="00E0169E"/>
    <w:rsid w:val="00E01914"/>
    <w:rsid w:val="00E01FEC"/>
    <w:rsid w:val="00E02611"/>
    <w:rsid w:val="00E03507"/>
    <w:rsid w:val="00E0404B"/>
    <w:rsid w:val="00E04669"/>
    <w:rsid w:val="00E04CB0"/>
    <w:rsid w:val="00E051AE"/>
    <w:rsid w:val="00E05359"/>
    <w:rsid w:val="00E059D2"/>
    <w:rsid w:val="00E05C55"/>
    <w:rsid w:val="00E06A40"/>
    <w:rsid w:val="00E07168"/>
    <w:rsid w:val="00E07E5E"/>
    <w:rsid w:val="00E109FA"/>
    <w:rsid w:val="00E11787"/>
    <w:rsid w:val="00E1196E"/>
    <w:rsid w:val="00E11A36"/>
    <w:rsid w:val="00E120E2"/>
    <w:rsid w:val="00E12256"/>
    <w:rsid w:val="00E132BD"/>
    <w:rsid w:val="00E1454A"/>
    <w:rsid w:val="00E14B76"/>
    <w:rsid w:val="00E14F64"/>
    <w:rsid w:val="00E15ACD"/>
    <w:rsid w:val="00E16078"/>
    <w:rsid w:val="00E16B5B"/>
    <w:rsid w:val="00E17BFA"/>
    <w:rsid w:val="00E20329"/>
    <w:rsid w:val="00E20476"/>
    <w:rsid w:val="00E21A5D"/>
    <w:rsid w:val="00E21DD9"/>
    <w:rsid w:val="00E225E7"/>
    <w:rsid w:val="00E22D86"/>
    <w:rsid w:val="00E241CD"/>
    <w:rsid w:val="00E24558"/>
    <w:rsid w:val="00E24D81"/>
    <w:rsid w:val="00E25A77"/>
    <w:rsid w:val="00E275F0"/>
    <w:rsid w:val="00E276DA"/>
    <w:rsid w:val="00E27F73"/>
    <w:rsid w:val="00E30B49"/>
    <w:rsid w:val="00E310EA"/>
    <w:rsid w:val="00E31149"/>
    <w:rsid w:val="00E31E80"/>
    <w:rsid w:val="00E33F5C"/>
    <w:rsid w:val="00E4144C"/>
    <w:rsid w:val="00E42ED0"/>
    <w:rsid w:val="00E43311"/>
    <w:rsid w:val="00E437C6"/>
    <w:rsid w:val="00E43AA7"/>
    <w:rsid w:val="00E43C31"/>
    <w:rsid w:val="00E43D84"/>
    <w:rsid w:val="00E4531A"/>
    <w:rsid w:val="00E45428"/>
    <w:rsid w:val="00E4650B"/>
    <w:rsid w:val="00E50028"/>
    <w:rsid w:val="00E5005D"/>
    <w:rsid w:val="00E509D4"/>
    <w:rsid w:val="00E51017"/>
    <w:rsid w:val="00E51FB3"/>
    <w:rsid w:val="00E52184"/>
    <w:rsid w:val="00E521B0"/>
    <w:rsid w:val="00E526A3"/>
    <w:rsid w:val="00E5287E"/>
    <w:rsid w:val="00E52AB3"/>
    <w:rsid w:val="00E52AE8"/>
    <w:rsid w:val="00E52FA0"/>
    <w:rsid w:val="00E53B5D"/>
    <w:rsid w:val="00E53DCD"/>
    <w:rsid w:val="00E550F9"/>
    <w:rsid w:val="00E55414"/>
    <w:rsid w:val="00E55A54"/>
    <w:rsid w:val="00E55BF1"/>
    <w:rsid w:val="00E56183"/>
    <w:rsid w:val="00E56E06"/>
    <w:rsid w:val="00E57300"/>
    <w:rsid w:val="00E57A15"/>
    <w:rsid w:val="00E612A9"/>
    <w:rsid w:val="00E62920"/>
    <w:rsid w:val="00E630E3"/>
    <w:rsid w:val="00E63F73"/>
    <w:rsid w:val="00E6421A"/>
    <w:rsid w:val="00E64AEA"/>
    <w:rsid w:val="00E653CF"/>
    <w:rsid w:val="00E662F9"/>
    <w:rsid w:val="00E70C6F"/>
    <w:rsid w:val="00E715BC"/>
    <w:rsid w:val="00E71606"/>
    <w:rsid w:val="00E71797"/>
    <w:rsid w:val="00E71FD2"/>
    <w:rsid w:val="00E7238C"/>
    <w:rsid w:val="00E740CA"/>
    <w:rsid w:val="00E7456F"/>
    <w:rsid w:val="00E747C3"/>
    <w:rsid w:val="00E750EF"/>
    <w:rsid w:val="00E766A8"/>
    <w:rsid w:val="00E776EB"/>
    <w:rsid w:val="00E80833"/>
    <w:rsid w:val="00E81397"/>
    <w:rsid w:val="00E828A1"/>
    <w:rsid w:val="00E82D3D"/>
    <w:rsid w:val="00E838DE"/>
    <w:rsid w:val="00E839B4"/>
    <w:rsid w:val="00E8507E"/>
    <w:rsid w:val="00E853B6"/>
    <w:rsid w:val="00E85867"/>
    <w:rsid w:val="00E859E1"/>
    <w:rsid w:val="00E86113"/>
    <w:rsid w:val="00E865B6"/>
    <w:rsid w:val="00E87DAE"/>
    <w:rsid w:val="00E902D3"/>
    <w:rsid w:val="00E91132"/>
    <w:rsid w:val="00E913C4"/>
    <w:rsid w:val="00E931C4"/>
    <w:rsid w:val="00E932DB"/>
    <w:rsid w:val="00E93557"/>
    <w:rsid w:val="00E935F8"/>
    <w:rsid w:val="00E94528"/>
    <w:rsid w:val="00E94812"/>
    <w:rsid w:val="00E97E5D"/>
    <w:rsid w:val="00EA022E"/>
    <w:rsid w:val="00EA15FA"/>
    <w:rsid w:val="00EA198E"/>
    <w:rsid w:val="00EA2147"/>
    <w:rsid w:val="00EA3127"/>
    <w:rsid w:val="00EA36B5"/>
    <w:rsid w:val="00EA3E41"/>
    <w:rsid w:val="00EA5283"/>
    <w:rsid w:val="00EB1049"/>
    <w:rsid w:val="00EB138D"/>
    <w:rsid w:val="00EB13B1"/>
    <w:rsid w:val="00EB17D6"/>
    <w:rsid w:val="00EB19F9"/>
    <w:rsid w:val="00EB1D1F"/>
    <w:rsid w:val="00EB243B"/>
    <w:rsid w:val="00EB2BA6"/>
    <w:rsid w:val="00EB3698"/>
    <w:rsid w:val="00EB3B99"/>
    <w:rsid w:val="00EB3C82"/>
    <w:rsid w:val="00EB3EDF"/>
    <w:rsid w:val="00EB4602"/>
    <w:rsid w:val="00EB4B6B"/>
    <w:rsid w:val="00EB4C37"/>
    <w:rsid w:val="00EB526B"/>
    <w:rsid w:val="00EB63B6"/>
    <w:rsid w:val="00EB7564"/>
    <w:rsid w:val="00EB763A"/>
    <w:rsid w:val="00EC1841"/>
    <w:rsid w:val="00EC21E3"/>
    <w:rsid w:val="00EC2663"/>
    <w:rsid w:val="00EC2687"/>
    <w:rsid w:val="00EC4E3A"/>
    <w:rsid w:val="00EC598A"/>
    <w:rsid w:val="00EC619E"/>
    <w:rsid w:val="00EC61E9"/>
    <w:rsid w:val="00EC672D"/>
    <w:rsid w:val="00EC6790"/>
    <w:rsid w:val="00EC6FAB"/>
    <w:rsid w:val="00EC7BD1"/>
    <w:rsid w:val="00EC7CD9"/>
    <w:rsid w:val="00ED07E0"/>
    <w:rsid w:val="00ED0B09"/>
    <w:rsid w:val="00ED1871"/>
    <w:rsid w:val="00ED2328"/>
    <w:rsid w:val="00ED2622"/>
    <w:rsid w:val="00ED2A88"/>
    <w:rsid w:val="00ED5FBC"/>
    <w:rsid w:val="00ED607C"/>
    <w:rsid w:val="00ED68CA"/>
    <w:rsid w:val="00ED7FEC"/>
    <w:rsid w:val="00EE033F"/>
    <w:rsid w:val="00EE07D6"/>
    <w:rsid w:val="00EE1131"/>
    <w:rsid w:val="00EE2EC8"/>
    <w:rsid w:val="00EE33D1"/>
    <w:rsid w:val="00EE39CD"/>
    <w:rsid w:val="00EE5123"/>
    <w:rsid w:val="00EE544D"/>
    <w:rsid w:val="00EE54F5"/>
    <w:rsid w:val="00EE5A4C"/>
    <w:rsid w:val="00EE5AF4"/>
    <w:rsid w:val="00EE5D65"/>
    <w:rsid w:val="00EE6D63"/>
    <w:rsid w:val="00EF00D5"/>
    <w:rsid w:val="00EF0C5C"/>
    <w:rsid w:val="00EF0CAF"/>
    <w:rsid w:val="00EF2B09"/>
    <w:rsid w:val="00EF2CDF"/>
    <w:rsid w:val="00EF33F5"/>
    <w:rsid w:val="00EF38BC"/>
    <w:rsid w:val="00EF609A"/>
    <w:rsid w:val="00EF6371"/>
    <w:rsid w:val="00EF6B03"/>
    <w:rsid w:val="00EF6C9F"/>
    <w:rsid w:val="00EF6EAF"/>
    <w:rsid w:val="00EF7C24"/>
    <w:rsid w:val="00F00DC3"/>
    <w:rsid w:val="00F012F2"/>
    <w:rsid w:val="00F01EE6"/>
    <w:rsid w:val="00F02D23"/>
    <w:rsid w:val="00F04040"/>
    <w:rsid w:val="00F042CC"/>
    <w:rsid w:val="00F043D5"/>
    <w:rsid w:val="00F059A5"/>
    <w:rsid w:val="00F1094A"/>
    <w:rsid w:val="00F13385"/>
    <w:rsid w:val="00F13B4D"/>
    <w:rsid w:val="00F13E1B"/>
    <w:rsid w:val="00F142B5"/>
    <w:rsid w:val="00F147A5"/>
    <w:rsid w:val="00F168F1"/>
    <w:rsid w:val="00F170E3"/>
    <w:rsid w:val="00F2001C"/>
    <w:rsid w:val="00F20B7A"/>
    <w:rsid w:val="00F21A3D"/>
    <w:rsid w:val="00F22E18"/>
    <w:rsid w:val="00F23AF4"/>
    <w:rsid w:val="00F24C54"/>
    <w:rsid w:val="00F24D01"/>
    <w:rsid w:val="00F24E03"/>
    <w:rsid w:val="00F25A53"/>
    <w:rsid w:val="00F263D7"/>
    <w:rsid w:val="00F26AE8"/>
    <w:rsid w:val="00F26B2E"/>
    <w:rsid w:val="00F26D3A"/>
    <w:rsid w:val="00F305FD"/>
    <w:rsid w:val="00F3087D"/>
    <w:rsid w:val="00F30A25"/>
    <w:rsid w:val="00F31616"/>
    <w:rsid w:val="00F319A6"/>
    <w:rsid w:val="00F319C9"/>
    <w:rsid w:val="00F32952"/>
    <w:rsid w:val="00F3319B"/>
    <w:rsid w:val="00F3344B"/>
    <w:rsid w:val="00F3352E"/>
    <w:rsid w:val="00F34885"/>
    <w:rsid w:val="00F353D8"/>
    <w:rsid w:val="00F355EF"/>
    <w:rsid w:val="00F35AE0"/>
    <w:rsid w:val="00F3615E"/>
    <w:rsid w:val="00F36AED"/>
    <w:rsid w:val="00F3775A"/>
    <w:rsid w:val="00F378A3"/>
    <w:rsid w:val="00F379FE"/>
    <w:rsid w:val="00F37E82"/>
    <w:rsid w:val="00F37FC2"/>
    <w:rsid w:val="00F42EF7"/>
    <w:rsid w:val="00F43B86"/>
    <w:rsid w:val="00F43FCE"/>
    <w:rsid w:val="00F44777"/>
    <w:rsid w:val="00F44A72"/>
    <w:rsid w:val="00F454B0"/>
    <w:rsid w:val="00F45600"/>
    <w:rsid w:val="00F47444"/>
    <w:rsid w:val="00F50585"/>
    <w:rsid w:val="00F5069F"/>
    <w:rsid w:val="00F50C4E"/>
    <w:rsid w:val="00F518FF"/>
    <w:rsid w:val="00F522AC"/>
    <w:rsid w:val="00F555CA"/>
    <w:rsid w:val="00F56EDE"/>
    <w:rsid w:val="00F56F2F"/>
    <w:rsid w:val="00F5712B"/>
    <w:rsid w:val="00F60EC8"/>
    <w:rsid w:val="00F617D3"/>
    <w:rsid w:val="00F623AF"/>
    <w:rsid w:val="00F63432"/>
    <w:rsid w:val="00F637E5"/>
    <w:rsid w:val="00F64AA1"/>
    <w:rsid w:val="00F65DCD"/>
    <w:rsid w:val="00F6717F"/>
    <w:rsid w:val="00F6772A"/>
    <w:rsid w:val="00F6792F"/>
    <w:rsid w:val="00F7098C"/>
    <w:rsid w:val="00F71070"/>
    <w:rsid w:val="00F73332"/>
    <w:rsid w:val="00F7420E"/>
    <w:rsid w:val="00F7599F"/>
    <w:rsid w:val="00F75B4C"/>
    <w:rsid w:val="00F75E6B"/>
    <w:rsid w:val="00F768B8"/>
    <w:rsid w:val="00F76B34"/>
    <w:rsid w:val="00F76F26"/>
    <w:rsid w:val="00F77620"/>
    <w:rsid w:val="00F77ACB"/>
    <w:rsid w:val="00F77D72"/>
    <w:rsid w:val="00F80DC5"/>
    <w:rsid w:val="00F81A36"/>
    <w:rsid w:val="00F81D56"/>
    <w:rsid w:val="00F82A57"/>
    <w:rsid w:val="00F8339A"/>
    <w:rsid w:val="00F83523"/>
    <w:rsid w:val="00F860BB"/>
    <w:rsid w:val="00F86285"/>
    <w:rsid w:val="00F8728F"/>
    <w:rsid w:val="00F91312"/>
    <w:rsid w:val="00F91329"/>
    <w:rsid w:val="00F9182E"/>
    <w:rsid w:val="00F91A0B"/>
    <w:rsid w:val="00F93EC2"/>
    <w:rsid w:val="00F94F74"/>
    <w:rsid w:val="00F952DF"/>
    <w:rsid w:val="00F95421"/>
    <w:rsid w:val="00F96DAA"/>
    <w:rsid w:val="00F97175"/>
    <w:rsid w:val="00F971EB"/>
    <w:rsid w:val="00F97426"/>
    <w:rsid w:val="00F9778A"/>
    <w:rsid w:val="00F97DEF"/>
    <w:rsid w:val="00FA03F2"/>
    <w:rsid w:val="00FA143E"/>
    <w:rsid w:val="00FA1480"/>
    <w:rsid w:val="00FA2DD5"/>
    <w:rsid w:val="00FA42E7"/>
    <w:rsid w:val="00FA4DC7"/>
    <w:rsid w:val="00FA6DEE"/>
    <w:rsid w:val="00FA7D85"/>
    <w:rsid w:val="00FB03E8"/>
    <w:rsid w:val="00FB1156"/>
    <w:rsid w:val="00FB13F0"/>
    <w:rsid w:val="00FB2011"/>
    <w:rsid w:val="00FB2047"/>
    <w:rsid w:val="00FB20E8"/>
    <w:rsid w:val="00FB23A9"/>
    <w:rsid w:val="00FB349A"/>
    <w:rsid w:val="00FB45D7"/>
    <w:rsid w:val="00FB5144"/>
    <w:rsid w:val="00FB59D7"/>
    <w:rsid w:val="00FB6465"/>
    <w:rsid w:val="00FB65E0"/>
    <w:rsid w:val="00FB7CCD"/>
    <w:rsid w:val="00FC0C5A"/>
    <w:rsid w:val="00FC180B"/>
    <w:rsid w:val="00FC2827"/>
    <w:rsid w:val="00FC2FF2"/>
    <w:rsid w:val="00FC3A66"/>
    <w:rsid w:val="00FC4A82"/>
    <w:rsid w:val="00FC5EC4"/>
    <w:rsid w:val="00FC61F2"/>
    <w:rsid w:val="00FC622E"/>
    <w:rsid w:val="00FC695A"/>
    <w:rsid w:val="00FC77E2"/>
    <w:rsid w:val="00FD0265"/>
    <w:rsid w:val="00FD02A4"/>
    <w:rsid w:val="00FD032F"/>
    <w:rsid w:val="00FD08DC"/>
    <w:rsid w:val="00FD2EB7"/>
    <w:rsid w:val="00FD307B"/>
    <w:rsid w:val="00FD3DED"/>
    <w:rsid w:val="00FD53B7"/>
    <w:rsid w:val="00FD55AE"/>
    <w:rsid w:val="00FD5B65"/>
    <w:rsid w:val="00FD636F"/>
    <w:rsid w:val="00FD6372"/>
    <w:rsid w:val="00FD66F7"/>
    <w:rsid w:val="00FD688D"/>
    <w:rsid w:val="00FD7182"/>
    <w:rsid w:val="00FE0097"/>
    <w:rsid w:val="00FE083A"/>
    <w:rsid w:val="00FE08CA"/>
    <w:rsid w:val="00FE0B61"/>
    <w:rsid w:val="00FE11DC"/>
    <w:rsid w:val="00FE125E"/>
    <w:rsid w:val="00FE1997"/>
    <w:rsid w:val="00FE1BE9"/>
    <w:rsid w:val="00FE21E8"/>
    <w:rsid w:val="00FE26ED"/>
    <w:rsid w:val="00FE3A02"/>
    <w:rsid w:val="00FE4656"/>
    <w:rsid w:val="00FE4A36"/>
    <w:rsid w:val="00FE4AB6"/>
    <w:rsid w:val="00FE5D70"/>
    <w:rsid w:val="00FE7639"/>
    <w:rsid w:val="00FE7A31"/>
    <w:rsid w:val="00FE7DFA"/>
    <w:rsid w:val="00FF0005"/>
    <w:rsid w:val="00FF00D7"/>
    <w:rsid w:val="00FF0A65"/>
    <w:rsid w:val="00FF2510"/>
    <w:rsid w:val="00FF3986"/>
    <w:rsid w:val="00FF5019"/>
    <w:rsid w:val="00FF6039"/>
    <w:rsid w:val="00FF7036"/>
    <w:rsid w:val="00FF7110"/>
    <w:rsid w:val="00FF751F"/>
    <w:rsid w:val="00FF7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00B6D71E"/>
  <w15:docId w15:val="{3E1476BF-199E-47A0-9B5E-67D64BC7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5E0"/>
    <w:pPr>
      <w:spacing w:after="120"/>
    </w:pPr>
    <w:rPr>
      <w:rFonts w:ascii="Calibri" w:eastAsia="Calibri" w:hAnsi="Calibri" w:cs="Times New Roman"/>
      <w:sz w:val="24"/>
    </w:rPr>
  </w:style>
  <w:style w:type="paragraph" w:styleId="Heading1">
    <w:name w:val="heading 1"/>
    <w:aliases w:val="NCD.Heading 1,Doc Title"/>
    <w:next w:val="Normal"/>
    <w:link w:val="Heading1Char"/>
    <w:autoRedefine/>
    <w:uiPriority w:val="9"/>
    <w:qFormat/>
    <w:rsid w:val="00AA2BF5"/>
    <w:pPr>
      <w:spacing w:before="240" w:after="360"/>
      <w:outlineLvl w:val="0"/>
    </w:pPr>
    <w:rPr>
      <w:rFonts w:ascii="Arial" w:hAnsi="Arial" w:cs="Arial"/>
      <w:b/>
      <w:i/>
      <w:sz w:val="24"/>
      <w:szCs w:val="32"/>
    </w:rPr>
  </w:style>
  <w:style w:type="paragraph" w:styleId="Heading2">
    <w:name w:val="heading 2"/>
    <w:aliases w:val="NCD.Heading 2"/>
    <w:basedOn w:val="Normal"/>
    <w:next w:val="NCDBodyText"/>
    <w:link w:val="Heading2Char"/>
    <w:uiPriority w:val="9"/>
    <w:qFormat/>
    <w:rsid w:val="00B95ECE"/>
    <w:pPr>
      <w:keepNext/>
      <w:keepLines/>
      <w:spacing w:after="360" w:line="240" w:lineRule="auto"/>
      <w:outlineLvl w:val="1"/>
    </w:pPr>
    <w:rPr>
      <w:rFonts w:ascii="Arial" w:eastAsia="Times New Roman" w:hAnsi="Arial"/>
      <w:caps/>
      <w:color w:val="7F7F7F" w:themeColor="text1" w:themeTint="80"/>
      <w:sz w:val="36"/>
      <w:szCs w:val="32"/>
    </w:rPr>
  </w:style>
  <w:style w:type="paragraph" w:styleId="Heading3">
    <w:name w:val="heading 3"/>
    <w:aliases w:val="NCD.Heading 3"/>
    <w:next w:val="Normal"/>
    <w:link w:val="Heading3Char"/>
    <w:uiPriority w:val="9"/>
    <w:unhideWhenUsed/>
    <w:qFormat/>
    <w:rsid w:val="00541651"/>
    <w:pPr>
      <w:keepNext/>
      <w:spacing w:after="240" w:line="240" w:lineRule="auto"/>
      <w:outlineLvl w:val="2"/>
    </w:pPr>
    <w:rPr>
      <w:rFonts w:ascii="Arial" w:eastAsia="Calibri" w:hAnsi="Arial" w:cs="Arial"/>
      <w:b/>
      <w:sz w:val="24"/>
      <w:szCs w:val="24"/>
    </w:rPr>
  </w:style>
  <w:style w:type="paragraph" w:styleId="Heading4">
    <w:name w:val="heading 4"/>
    <w:aliases w:val="NCD.Heading 4"/>
    <w:next w:val="Normal"/>
    <w:link w:val="Heading4Char"/>
    <w:uiPriority w:val="9"/>
    <w:unhideWhenUsed/>
    <w:qFormat/>
    <w:rsid w:val="004702EA"/>
    <w:pPr>
      <w:keepNext/>
      <w:autoSpaceDE w:val="0"/>
      <w:autoSpaceDN w:val="0"/>
      <w:adjustRightInd w:val="0"/>
      <w:spacing w:after="240" w:line="240" w:lineRule="auto"/>
      <w:outlineLvl w:val="3"/>
    </w:pPr>
    <w:rPr>
      <w:rFonts w:ascii="Arial" w:eastAsia="Calibri" w:hAnsi="Arial" w:cs="Arial"/>
      <w:b/>
      <w:i/>
      <w:sz w:val="24"/>
      <w:szCs w:val="24"/>
    </w:rPr>
  </w:style>
  <w:style w:type="paragraph" w:styleId="Heading5">
    <w:name w:val="heading 5"/>
    <w:basedOn w:val="BodyText"/>
    <w:next w:val="Normal"/>
    <w:link w:val="Heading5Char"/>
    <w:uiPriority w:val="9"/>
    <w:unhideWhenUsed/>
    <w:qFormat/>
    <w:rsid w:val="003907CC"/>
    <w:pPr>
      <w:spacing w:after="0"/>
      <w:outlineLvl w:val="4"/>
    </w:pPr>
    <w:rPr>
      <w:b/>
    </w:rPr>
  </w:style>
  <w:style w:type="paragraph" w:styleId="Heading6">
    <w:name w:val="heading 6"/>
    <w:basedOn w:val="BodyText"/>
    <w:next w:val="Normal"/>
    <w:link w:val="Heading6Char"/>
    <w:uiPriority w:val="9"/>
    <w:unhideWhenUsed/>
    <w:rsid w:val="003907CC"/>
    <w:pPr>
      <w:outlineLvl w:val="5"/>
    </w:pPr>
    <w:rPr>
      <w:b/>
      <w:i/>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CD.Heading 1 Char,Doc Title Char"/>
    <w:basedOn w:val="DefaultParagraphFont"/>
    <w:link w:val="Heading1"/>
    <w:uiPriority w:val="9"/>
    <w:rsid w:val="00AA2BF5"/>
    <w:rPr>
      <w:rFonts w:ascii="Arial" w:hAnsi="Arial" w:cs="Arial"/>
      <w:b/>
      <w:i/>
      <w:sz w:val="24"/>
      <w:szCs w:val="32"/>
    </w:rPr>
  </w:style>
  <w:style w:type="paragraph" w:styleId="CommentText">
    <w:name w:val="annotation text"/>
    <w:basedOn w:val="Normal"/>
    <w:link w:val="CommentTextChar"/>
    <w:uiPriority w:val="99"/>
    <w:unhideWhenUsed/>
    <w:rsid w:val="00841C72"/>
    <w:pPr>
      <w:spacing w:line="240" w:lineRule="auto"/>
    </w:pPr>
    <w:rPr>
      <w:sz w:val="20"/>
      <w:szCs w:val="20"/>
    </w:rPr>
  </w:style>
  <w:style w:type="character" w:customStyle="1" w:styleId="CommentTextChar">
    <w:name w:val="Comment Text Char"/>
    <w:basedOn w:val="DefaultParagraphFont"/>
    <w:link w:val="CommentText"/>
    <w:uiPriority w:val="99"/>
    <w:rsid w:val="00841C72"/>
    <w:rPr>
      <w:rFonts w:ascii="Calibri" w:eastAsia="Calibri" w:hAnsi="Calibri" w:cs="Times New Roman"/>
      <w:sz w:val="20"/>
      <w:szCs w:val="20"/>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paragraph" w:customStyle="1" w:styleId="TableNote">
    <w:name w:val="Table Note"/>
    <w:qFormat/>
    <w:rsid w:val="00EE6D63"/>
    <w:pPr>
      <w:spacing w:before="60" w:after="240" w:line="240" w:lineRule="auto"/>
      <w:contextualSpacing/>
    </w:pPr>
    <w:rPr>
      <w:rFonts w:ascii="Arial" w:eastAsia="Times New Roman" w:hAnsi="Arial" w:cs="Times New Roman"/>
      <w:sz w:val="18"/>
      <w:szCs w:val="24"/>
    </w:rPr>
  </w:style>
  <w:style w:type="character" w:customStyle="1" w:styleId="apple-converted-space">
    <w:name w:val="apple-converted-space"/>
    <w:basedOn w:val="DefaultParagraphFont"/>
    <w:rsid w:val="00592E9D"/>
  </w:style>
  <w:style w:type="paragraph" w:customStyle="1" w:styleId="Default">
    <w:name w:val="Default"/>
    <w:rsid w:val="00592E9D"/>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italic">
    <w:name w:val="italic"/>
    <w:basedOn w:val="DefaultParagraphFont"/>
    <w:rsid w:val="00592E9D"/>
  </w:style>
  <w:style w:type="character" w:customStyle="1" w:styleId="Heading2Char">
    <w:name w:val="Heading 2 Char"/>
    <w:aliases w:val="NCD.Heading 2 Char"/>
    <w:basedOn w:val="DefaultParagraphFont"/>
    <w:link w:val="Heading2"/>
    <w:uiPriority w:val="9"/>
    <w:rsid w:val="00B95ECE"/>
    <w:rPr>
      <w:rFonts w:ascii="Arial" w:eastAsia="Times New Roman" w:hAnsi="Arial" w:cs="Times New Roman"/>
      <w:caps/>
      <w:color w:val="7F7F7F" w:themeColor="text1" w:themeTint="80"/>
      <w:sz w:val="36"/>
      <w:szCs w:val="32"/>
    </w:rPr>
  </w:style>
  <w:style w:type="paragraph" w:customStyle="1" w:styleId="NCDBodyText">
    <w:name w:val="NCD.Body Text"/>
    <w:rsid w:val="00D02CC6"/>
    <w:pPr>
      <w:pBdr>
        <w:top w:val="nil"/>
        <w:left w:val="nil"/>
        <w:bottom w:val="nil"/>
        <w:right w:val="nil"/>
        <w:between w:val="nil"/>
        <w:bar w:val="nil"/>
      </w:pBdr>
      <w:spacing w:after="360" w:line="360" w:lineRule="auto"/>
    </w:pPr>
    <w:rPr>
      <w:rFonts w:ascii="Arial" w:eastAsia="Calibri" w:hAnsi="Arial" w:cs="Calibri"/>
      <w:color w:val="000000"/>
      <w:sz w:val="24"/>
      <w:szCs w:val="24"/>
      <w:u w:color="000000"/>
      <w:bdr w:val="nil"/>
    </w:rPr>
  </w:style>
  <w:style w:type="paragraph" w:customStyle="1" w:styleId="Footnote">
    <w:name w:val="Footnote"/>
    <w:rsid w:val="0006161A"/>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character" w:customStyle="1" w:styleId="Hyperlink0">
    <w:name w:val="Hyperlink.0"/>
    <w:basedOn w:val="Hyperlink"/>
    <w:rsid w:val="0006161A"/>
    <w:rPr>
      <w:rFonts w:ascii="Arial" w:hAnsi="Arial"/>
      <w:color w:val="0000FF"/>
      <w:sz w:val="24"/>
      <w:u w:val="single" w:color="0000FF"/>
    </w:rPr>
  </w:style>
  <w:style w:type="numbering" w:customStyle="1" w:styleId="List0">
    <w:name w:val="List 0"/>
    <w:basedOn w:val="NoList"/>
    <w:rsid w:val="0006161A"/>
    <w:pPr>
      <w:numPr>
        <w:numId w:val="5"/>
      </w:numPr>
    </w:pPr>
  </w:style>
  <w:style w:type="numbering" w:customStyle="1" w:styleId="List1">
    <w:name w:val="List 1"/>
    <w:basedOn w:val="NoList"/>
    <w:rsid w:val="0006161A"/>
    <w:pPr>
      <w:numPr>
        <w:numId w:val="7"/>
      </w:numPr>
    </w:pPr>
  </w:style>
  <w:style w:type="numbering" w:customStyle="1" w:styleId="Bullet">
    <w:name w:val="Bullet"/>
    <w:rsid w:val="0006161A"/>
    <w:pPr>
      <w:numPr>
        <w:numId w:val="8"/>
      </w:numPr>
    </w:pPr>
  </w:style>
  <w:style w:type="numbering" w:customStyle="1" w:styleId="List21">
    <w:name w:val="List 21"/>
    <w:basedOn w:val="NoList"/>
    <w:rsid w:val="0006161A"/>
    <w:pPr>
      <w:numPr>
        <w:numId w:val="9"/>
      </w:numPr>
    </w:pPr>
  </w:style>
  <w:style w:type="numbering" w:customStyle="1" w:styleId="List31">
    <w:name w:val="List 31"/>
    <w:basedOn w:val="NoList"/>
    <w:rsid w:val="0006161A"/>
    <w:pPr>
      <w:numPr>
        <w:numId w:val="10"/>
      </w:numPr>
    </w:pPr>
  </w:style>
  <w:style w:type="character" w:customStyle="1" w:styleId="Hyperlink1">
    <w:name w:val="Hyperlink.1"/>
    <w:basedOn w:val="DefaultParagraphFont"/>
    <w:rsid w:val="0006161A"/>
    <w:rPr>
      <w:rFonts w:ascii="Arial" w:eastAsia="Arial" w:hAnsi="Arial" w:cs="Arial"/>
      <w:caps w:val="0"/>
      <w:smallCaps w:val="0"/>
      <w:strike w:val="0"/>
      <w:dstrike w:val="0"/>
      <w:color w:val="000000"/>
      <w:spacing w:val="0"/>
      <w:kern w:val="0"/>
      <w:position w:val="0"/>
      <w:sz w:val="24"/>
      <w:szCs w:val="24"/>
      <w:u w:val="none" w:color="000000"/>
      <w:vertAlign w:val="baseline"/>
      <w:lang w:val="en-US"/>
      <w14:textOutline w14:w="0" w14:cap="rnd" w14:cmpd="sng" w14:algn="ctr">
        <w14:noFill/>
        <w14:prstDash w14:val="solid"/>
        <w14:bevel/>
      </w14:textOutline>
    </w:rPr>
  </w:style>
  <w:style w:type="character" w:customStyle="1" w:styleId="Hyperlink2">
    <w:name w:val="Hyperlink.2"/>
    <w:basedOn w:val="Hyperlink0"/>
    <w:rsid w:val="0006161A"/>
    <w:rPr>
      <w:rFonts w:ascii="Arial" w:eastAsia="Arial" w:hAnsi="Arial" w:cs="Arial"/>
      <w:caps w:val="0"/>
      <w:smallCaps w:val="0"/>
      <w:strike w:val="0"/>
      <w:dstrike w:val="0"/>
      <w:color w:val="0000FF"/>
      <w:spacing w:val="0"/>
      <w:kern w:val="0"/>
      <w:position w:val="0"/>
      <w:sz w:val="24"/>
      <w:szCs w:val="24"/>
      <w:u w:val="single" w:color="0000FF"/>
      <w:vertAlign w:val="baseline"/>
      <w:lang w:val="en-US"/>
      <w14:textOutline w14:w="0" w14:cap="rnd" w14:cmpd="sng" w14:algn="ctr">
        <w14:noFill/>
        <w14:prstDash w14:val="solid"/>
        <w14:bevel/>
      </w14:textOutline>
    </w:rPr>
  </w:style>
  <w:style w:type="paragraph" w:styleId="CommentSubject">
    <w:name w:val="annotation subject"/>
    <w:basedOn w:val="CommentText"/>
    <w:next w:val="CommentText"/>
    <w:link w:val="CommentSubjectChar"/>
    <w:uiPriority w:val="99"/>
    <w:semiHidden/>
    <w:unhideWhenUsed/>
    <w:rsid w:val="005B32E2"/>
    <w:rPr>
      <w:b/>
      <w:bCs/>
    </w:rPr>
  </w:style>
  <w:style w:type="character" w:customStyle="1" w:styleId="CommentSubjectChar">
    <w:name w:val="Comment Subject Char"/>
    <w:basedOn w:val="CommentTextChar"/>
    <w:link w:val="CommentSubject"/>
    <w:uiPriority w:val="99"/>
    <w:semiHidden/>
    <w:rsid w:val="005B32E2"/>
    <w:rPr>
      <w:rFonts w:ascii="Calibri" w:eastAsia="Calibri" w:hAnsi="Calibri" w:cs="Times New Roman"/>
      <w:b/>
      <w:bCs/>
      <w:sz w:val="20"/>
      <w:szCs w:val="20"/>
    </w:rPr>
  </w:style>
  <w:style w:type="numbering" w:customStyle="1" w:styleId="Bullet1">
    <w:name w:val="Bullet1"/>
    <w:rsid w:val="00AB5422"/>
    <w:pPr>
      <w:numPr>
        <w:numId w:val="3"/>
      </w:numPr>
    </w:pPr>
  </w:style>
  <w:style w:type="numbering" w:customStyle="1" w:styleId="List211">
    <w:name w:val="List 211"/>
    <w:basedOn w:val="NoList"/>
    <w:rsid w:val="00AB5422"/>
    <w:pPr>
      <w:numPr>
        <w:numId w:val="4"/>
      </w:numPr>
    </w:pPr>
  </w:style>
  <w:style w:type="numbering" w:customStyle="1" w:styleId="List311">
    <w:name w:val="List 311"/>
    <w:basedOn w:val="NoList"/>
    <w:rsid w:val="00AB5422"/>
    <w:pPr>
      <w:numPr>
        <w:numId w:val="6"/>
      </w:numPr>
    </w:pPr>
  </w:style>
  <w:style w:type="character" w:customStyle="1" w:styleId="Heading3Char">
    <w:name w:val="Heading 3 Char"/>
    <w:aliases w:val="NCD.Heading 3 Char"/>
    <w:basedOn w:val="DefaultParagraphFont"/>
    <w:link w:val="Heading3"/>
    <w:uiPriority w:val="9"/>
    <w:rsid w:val="00541651"/>
    <w:rPr>
      <w:rFonts w:ascii="Arial" w:eastAsia="Calibri" w:hAnsi="Arial" w:cs="Arial"/>
      <w:b/>
      <w:sz w:val="24"/>
      <w:szCs w:val="24"/>
    </w:rPr>
  </w:style>
  <w:style w:type="table" w:styleId="TableGrid">
    <w:name w:val="Table Grid"/>
    <w:basedOn w:val="TableNormal"/>
    <w:uiPriority w:val="59"/>
    <w:rsid w:val="00541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CDTextBoxBullets">
    <w:name w:val="NCD.Text Box Bullets"/>
    <w:qFormat/>
    <w:rsid w:val="00E43AA7"/>
    <w:pPr>
      <w:numPr>
        <w:numId w:val="1"/>
      </w:numPr>
      <w:tabs>
        <w:tab w:val="num" w:pos="360"/>
      </w:tabs>
      <w:spacing w:after="240" w:line="240" w:lineRule="auto"/>
      <w:ind w:left="360"/>
    </w:pPr>
    <w:rPr>
      <w:rFonts w:ascii="Arial" w:eastAsia="Calibri" w:hAnsi="Arial" w:cs="Arial"/>
      <w:sz w:val="24"/>
      <w:szCs w:val="24"/>
    </w:rPr>
  </w:style>
  <w:style w:type="paragraph" w:customStyle="1" w:styleId="NCDTextBoxHeader">
    <w:name w:val="NCD.Text Box Header"/>
    <w:qFormat/>
    <w:rsid w:val="0035136A"/>
    <w:pPr>
      <w:keepNext/>
      <w:spacing w:after="240" w:line="240" w:lineRule="auto"/>
      <w:jc w:val="center"/>
    </w:pPr>
    <w:rPr>
      <w:rFonts w:ascii="Arial" w:eastAsia="Calibri" w:hAnsi="Arial" w:cs="Arial"/>
      <w:b/>
      <w:sz w:val="24"/>
      <w:szCs w:val="28"/>
    </w:rPr>
  </w:style>
  <w:style w:type="paragraph" w:customStyle="1" w:styleId="NCDBodyTextSpaceBefore">
    <w:name w:val="NCD.Body Text Space Before"/>
    <w:basedOn w:val="NCDBodyText"/>
    <w:qFormat/>
    <w:rsid w:val="00702BA9"/>
    <w:pPr>
      <w:spacing w:before="240"/>
    </w:pPr>
  </w:style>
  <w:style w:type="paragraph" w:customStyle="1" w:styleId="NCDTableText">
    <w:name w:val="NCD.Table Text"/>
    <w:qFormat/>
    <w:rsid w:val="003A65C3"/>
    <w:pPr>
      <w:spacing w:after="0" w:line="240" w:lineRule="auto"/>
    </w:pPr>
    <w:rPr>
      <w:rFonts w:ascii="Arial" w:eastAsia="Times New Roman" w:hAnsi="Arial" w:cs="Arial"/>
      <w:sz w:val="20"/>
      <w:szCs w:val="24"/>
    </w:rPr>
  </w:style>
  <w:style w:type="paragraph" w:customStyle="1" w:styleId="NCDTableHeader">
    <w:name w:val="NCD.Table Header"/>
    <w:basedOn w:val="Normal"/>
    <w:qFormat/>
    <w:rsid w:val="00283241"/>
    <w:pPr>
      <w:spacing w:after="0" w:line="240" w:lineRule="auto"/>
      <w:jc w:val="center"/>
    </w:pPr>
    <w:rPr>
      <w:rFonts w:ascii="Arial" w:eastAsia="Times New Roman" w:hAnsi="Arial" w:cs="Arial"/>
      <w:b/>
      <w:bCs/>
      <w:color w:val="FFFFFF" w:themeColor="background1"/>
      <w:szCs w:val="24"/>
    </w:rPr>
  </w:style>
  <w:style w:type="paragraph" w:customStyle="1" w:styleId="NCDBulletsLevel1">
    <w:name w:val="NCD.Bullets Level 1"/>
    <w:qFormat/>
    <w:rsid w:val="00D66FF4"/>
    <w:pPr>
      <w:numPr>
        <w:numId w:val="2"/>
      </w:numPr>
      <w:spacing w:after="240" w:line="360" w:lineRule="auto"/>
      <w:ind w:left="360"/>
    </w:pPr>
    <w:rPr>
      <w:rFonts w:ascii="Arial" w:eastAsia="Calibri" w:hAnsi="Arial" w:cs="Arial"/>
      <w:sz w:val="24"/>
      <w:szCs w:val="24"/>
    </w:rPr>
  </w:style>
  <w:style w:type="paragraph" w:customStyle="1" w:styleId="NCDTextBoxText">
    <w:name w:val="NCD.Text Box Text"/>
    <w:qFormat/>
    <w:rsid w:val="00D449F4"/>
    <w:pPr>
      <w:spacing w:after="0" w:line="240" w:lineRule="auto"/>
    </w:pPr>
    <w:rPr>
      <w:rFonts w:ascii="Arial" w:eastAsia="Calibri" w:hAnsi="Arial" w:cs="Arial"/>
      <w:color w:val="FFFFFF" w:themeColor="background1"/>
      <w:sz w:val="24"/>
      <w:szCs w:val="24"/>
    </w:rPr>
  </w:style>
  <w:style w:type="paragraph" w:customStyle="1" w:styleId="NCDExhibitTitle">
    <w:name w:val="NCD.Exhibit Title"/>
    <w:qFormat/>
    <w:rsid w:val="00EB3698"/>
    <w:pPr>
      <w:keepNext/>
      <w:spacing w:after="240" w:line="240" w:lineRule="auto"/>
    </w:pPr>
    <w:rPr>
      <w:rFonts w:ascii="Arial" w:eastAsia="Calibri" w:hAnsi="Arial" w:cs="Calibri"/>
      <w:b/>
      <w:color w:val="000000"/>
      <w:sz w:val="24"/>
      <w:szCs w:val="24"/>
      <w:u w:color="000000"/>
      <w:bdr w:val="nil"/>
    </w:rPr>
  </w:style>
  <w:style w:type="character" w:customStyle="1" w:styleId="Heading4Char">
    <w:name w:val="Heading 4 Char"/>
    <w:aliases w:val="NCD.Heading 4 Char"/>
    <w:basedOn w:val="DefaultParagraphFont"/>
    <w:link w:val="Heading4"/>
    <w:uiPriority w:val="9"/>
    <w:rsid w:val="004702EA"/>
    <w:rPr>
      <w:rFonts w:ascii="Arial" w:eastAsia="Calibri" w:hAnsi="Arial" w:cs="Arial"/>
      <w:b/>
      <w:i/>
      <w:sz w:val="24"/>
      <w:szCs w:val="24"/>
    </w:rPr>
  </w:style>
  <w:style w:type="paragraph" w:customStyle="1" w:styleId="NCDTableSubhead">
    <w:name w:val="NCD.Table Subhead"/>
    <w:basedOn w:val="Normal"/>
    <w:qFormat/>
    <w:rsid w:val="00741352"/>
    <w:pPr>
      <w:spacing w:after="0" w:line="240" w:lineRule="auto"/>
    </w:pPr>
    <w:rPr>
      <w:rFonts w:ascii="Arial" w:eastAsia="Times New Roman" w:hAnsi="Arial" w:cs="Arial"/>
      <w:b/>
      <w:bCs/>
      <w:szCs w:val="24"/>
    </w:rPr>
  </w:style>
  <w:style w:type="paragraph" w:customStyle="1" w:styleId="NCDTableTextItalic">
    <w:name w:val="NCD.Table Text Italic"/>
    <w:qFormat/>
    <w:rsid w:val="00741352"/>
    <w:pPr>
      <w:spacing w:after="0" w:line="240" w:lineRule="auto"/>
    </w:pPr>
    <w:rPr>
      <w:rFonts w:ascii="Arial" w:eastAsia="Times New Roman" w:hAnsi="Arial" w:cs="Arial"/>
      <w:i/>
      <w:iCs/>
    </w:rPr>
  </w:style>
  <w:style w:type="paragraph" w:customStyle="1" w:styleId="NCDTableTextReverseSubhead">
    <w:name w:val="NCD.Table Text Reverse Subhead"/>
    <w:basedOn w:val="NCDTableTextItalic"/>
    <w:qFormat/>
    <w:rsid w:val="00741352"/>
    <w:rPr>
      <w:b/>
      <w:color w:val="FFFFFF" w:themeColor="background1"/>
    </w:rPr>
  </w:style>
  <w:style w:type="paragraph" w:customStyle="1" w:styleId="Heading2noTOC">
    <w:name w:val="Heading 2 no TOC"/>
    <w:basedOn w:val="Heading2"/>
    <w:qFormat/>
    <w:rsid w:val="0075458B"/>
  </w:style>
  <w:style w:type="paragraph" w:customStyle="1" w:styleId="NCDBulletsLevel2">
    <w:name w:val="NCD.Bullets Level 2"/>
    <w:qFormat/>
    <w:rsid w:val="00CD2DD3"/>
    <w:pPr>
      <w:numPr>
        <w:numId w:val="11"/>
      </w:numPr>
      <w:spacing w:after="120" w:line="360" w:lineRule="auto"/>
    </w:pPr>
    <w:rPr>
      <w:rFonts w:ascii="Arial" w:eastAsia="Calibri" w:hAnsi="Arial" w:cs="Calibri"/>
      <w:color w:val="000000"/>
      <w:sz w:val="24"/>
      <w:szCs w:val="24"/>
      <w:u w:color="000000"/>
      <w:bdr w:val="nil"/>
    </w:rPr>
  </w:style>
  <w:style w:type="paragraph" w:customStyle="1" w:styleId="NCDBulletsLevel3">
    <w:name w:val="NCD.Bullets Level 3"/>
    <w:qFormat/>
    <w:rsid w:val="00E43AA7"/>
    <w:pPr>
      <w:numPr>
        <w:ilvl w:val="2"/>
        <w:numId w:val="2"/>
      </w:numPr>
      <w:shd w:val="clear" w:color="auto" w:fill="FFFFFF"/>
      <w:spacing w:after="120" w:line="360" w:lineRule="auto"/>
      <w:ind w:left="1080"/>
      <w:textAlignment w:val="baseline"/>
    </w:pPr>
    <w:rPr>
      <w:rFonts w:ascii="Arial" w:eastAsia="Calibri" w:hAnsi="Arial" w:cs="Arial"/>
      <w:sz w:val="24"/>
      <w:szCs w:val="24"/>
    </w:rPr>
  </w:style>
  <w:style w:type="paragraph" w:customStyle="1" w:styleId="NCDSpace">
    <w:name w:val="NCD.Space"/>
    <w:qFormat/>
    <w:rsid w:val="00BF40BB"/>
    <w:pPr>
      <w:spacing w:after="0" w:line="240" w:lineRule="auto"/>
    </w:pPr>
    <w:rPr>
      <w:rFonts w:ascii="Arial" w:eastAsia="Calibri" w:hAnsi="Arial" w:cs="Calibri"/>
      <w:color w:val="000000"/>
      <w:sz w:val="24"/>
      <w:szCs w:val="24"/>
      <w:u w:color="000000"/>
      <w:bdr w:val="nil"/>
    </w:rPr>
  </w:style>
  <w:style w:type="paragraph" w:customStyle="1" w:styleId="NCDHeading3noTOC">
    <w:name w:val="NCD.Heading 3 no TOC"/>
    <w:qFormat/>
    <w:rsid w:val="00FE4656"/>
    <w:pPr>
      <w:keepNext/>
      <w:spacing w:before="360" w:after="240" w:line="240" w:lineRule="auto"/>
    </w:pPr>
    <w:rPr>
      <w:rFonts w:ascii="Arial" w:eastAsia="Calibri" w:hAnsi="Arial" w:cs="Arial"/>
      <w:b/>
      <w:sz w:val="24"/>
      <w:szCs w:val="24"/>
    </w:rPr>
  </w:style>
  <w:style w:type="paragraph" w:styleId="TOC1">
    <w:name w:val="toc 1"/>
    <w:basedOn w:val="Normal"/>
    <w:next w:val="Normal"/>
    <w:autoRedefine/>
    <w:uiPriority w:val="39"/>
    <w:unhideWhenUsed/>
    <w:rsid w:val="00CD2163"/>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rsid w:val="007577F0"/>
    <w:pPr>
      <w:spacing w:after="40" w:line="240" w:lineRule="auto"/>
      <w:ind w:left="432"/>
    </w:pPr>
    <w:rPr>
      <w:rFonts w:ascii="Arial" w:hAnsi="Arial"/>
    </w:rPr>
  </w:style>
  <w:style w:type="paragraph" w:styleId="TOC3">
    <w:name w:val="toc 3"/>
    <w:basedOn w:val="Normal"/>
    <w:next w:val="Normal"/>
    <w:autoRedefine/>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numbering" w:customStyle="1" w:styleId="NoList1">
    <w:name w:val="No List1"/>
    <w:next w:val="NoList"/>
    <w:uiPriority w:val="99"/>
    <w:semiHidden/>
    <w:unhideWhenUsed/>
    <w:rsid w:val="003907CC"/>
  </w:style>
  <w:style w:type="numbering" w:customStyle="1" w:styleId="NoList11">
    <w:name w:val="No List11"/>
    <w:next w:val="NoList"/>
    <w:uiPriority w:val="99"/>
    <w:semiHidden/>
    <w:unhideWhenUsed/>
    <w:rsid w:val="003907CC"/>
  </w:style>
  <w:style w:type="paragraph" w:styleId="Title">
    <w:name w:val="Title"/>
    <w:basedOn w:val="Normal"/>
    <w:next w:val="Normal"/>
    <w:link w:val="TitleChar"/>
    <w:uiPriority w:val="10"/>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table" w:customStyle="1" w:styleId="TableGrid1">
    <w:name w:val="Table Grid1"/>
    <w:basedOn w:val="TableNormal"/>
    <w:next w:val="TableGrid"/>
    <w:uiPriority w:val="59"/>
    <w:rsid w:val="00390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P9Hyperlink">
    <w:name w:val="WP9_Hyperlink"/>
    <w:rsid w:val="003907CC"/>
    <w:rPr>
      <w:color w:val="0000FF"/>
      <w:u w:val="single"/>
    </w:rPr>
  </w:style>
  <w:style w:type="table" w:customStyle="1" w:styleId="TableGrid2">
    <w:name w:val="Table Grid2"/>
    <w:basedOn w:val="TableNormal"/>
    <w:next w:val="TableGrid"/>
    <w:uiPriority w:val="59"/>
    <w:rsid w:val="00390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IRDarkBlueTable">
    <w:name w:val="AIR Dark Blue Table"/>
    <w:basedOn w:val="TableNormal"/>
    <w:uiPriority w:val="99"/>
    <w:qFormat/>
    <w:rsid w:val="003907CC"/>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character" w:customStyle="1" w:styleId="hvr">
    <w:name w:val="hvr"/>
    <w:basedOn w:val="DefaultParagraphFont"/>
    <w:rsid w:val="003907CC"/>
  </w:style>
  <w:style w:type="numbering" w:customStyle="1" w:styleId="NoList111">
    <w:name w:val="No List111"/>
    <w:next w:val="NoList"/>
    <w:uiPriority w:val="99"/>
    <w:semiHidden/>
    <w:unhideWhenUsed/>
    <w:rsid w:val="003907CC"/>
  </w:style>
  <w:style w:type="paragraph" w:customStyle="1" w:styleId="AboutAIRLocations">
    <w:name w:val="About AIR Locations"/>
    <w:qFormat/>
    <w:rsid w:val="003907CC"/>
    <w:pPr>
      <w:suppressAutoHyphens/>
      <w:spacing w:after="0" w:line="240" w:lineRule="auto"/>
    </w:pPr>
    <w:rPr>
      <w:rFonts w:ascii="Franklin Gothic Book" w:eastAsia="Calibri" w:hAnsi="Franklin Gothic Book" w:cs="ITCFranklinGothicStd-Book"/>
      <w:color w:val="005295"/>
      <w:sz w:val="24"/>
      <w:szCs w:val="24"/>
    </w:rPr>
  </w:style>
  <w:style w:type="paragraph" w:customStyle="1" w:styleId="AboutAIRText">
    <w:name w:val="About AIR Text"/>
    <w:basedOn w:val="Normal"/>
    <w:qFormat/>
    <w:rsid w:val="003907CC"/>
    <w:pPr>
      <w:suppressAutoHyphens/>
      <w:autoSpaceDE w:val="0"/>
      <w:autoSpaceDN w:val="0"/>
      <w:adjustRightInd w:val="0"/>
      <w:spacing w:before="60" w:after="0" w:line="360" w:lineRule="auto"/>
      <w:textAlignment w:val="center"/>
    </w:pPr>
    <w:rPr>
      <w:rFonts w:ascii="Franklin Gothic Book" w:hAnsi="Franklin Gothic Book" w:cs="ITCFranklinGothicStd-Book"/>
      <w:color w:val="000000"/>
      <w:sz w:val="18"/>
      <w:szCs w:val="18"/>
    </w:rPr>
  </w:style>
  <w:style w:type="paragraph" w:customStyle="1" w:styleId="AboutAIRTitle">
    <w:name w:val="About AIR Title"/>
    <w:basedOn w:val="Normal"/>
    <w:qFormat/>
    <w:rsid w:val="003907CC"/>
    <w:pPr>
      <w:suppressAutoHyphens/>
      <w:autoSpaceDE w:val="0"/>
      <w:autoSpaceDN w:val="0"/>
      <w:adjustRightInd w:val="0"/>
      <w:spacing w:after="0" w:line="288" w:lineRule="auto"/>
      <w:textAlignment w:val="center"/>
    </w:pPr>
    <w:rPr>
      <w:rFonts w:ascii="Franklin Gothic Book" w:hAnsi="Franklin Gothic Book" w:cs="ITCFranklinGothicStd-Book"/>
      <w:caps/>
      <w:color w:val="005295"/>
      <w:szCs w:val="24"/>
    </w:rPr>
  </w:style>
  <w:style w:type="table" w:customStyle="1" w:styleId="AIRDarkBlueTable1">
    <w:name w:val="AIR Dark Blue Table1"/>
    <w:basedOn w:val="TableNormal"/>
    <w:uiPriority w:val="99"/>
    <w:qFormat/>
    <w:rsid w:val="003907CC"/>
    <w:pPr>
      <w:spacing w:before="40" w:after="40" w:line="240" w:lineRule="auto"/>
    </w:pPr>
    <w:rPr>
      <w:rFonts w:ascii="Arial" w:eastAsia="Times New Roman" w:hAnsi="Arial" w:cs="Times New Roman"/>
      <w:sz w:val="20"/>
      <w:szCs w:val="24"/>
    </w:rPr>
    <w:tblPr>
      <w:tblStyleRowBandSize w:val="1"/>
      <w:tblStyleColBandSize w:val="1"/>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43" w:type="dxa"/>
        <w:left w:w="72" w:type="dxa"/>
        <w:bottom w:w="43" w:type="dxa"/>
        <w:right w:w="72" w:type="dxa"/>
      </w:tblCellMar>
    </w:tblPr>
    <w:trPr>
      <w:cantSplit/>
    </w:trPr>
    <w:tcPr>
      <w:vAlign w:val="center"/>
    </w:tcPr>
    <w:tblStylePr w:type="firstRow">
      <w:pPr>
        <w:wordWrap/>
        <w:spacing w:beforeLines="0" w:before="40" w:beforeAutospacing="0" w:afterLines="0" w:after="40" w:afterAutospacing="0" w:line="240" w:lineRule="auto"/>
        <w:ind w:leftChars="0" w:left="0" w:rightChars="0" w:right="0" w:firstLineChars="0" w:firstLine="0"/>
        <w:contextualSpacing w:val="0"/>
        <w:jc w:val="center"/>
      </w:pPr>
      <w:rPr>
        <w:rFonts w:ascii="Arial" w:hAnsi="Arial"/>
        <w:b/>
        <w:i w:val="0"/>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l2br w:val="nil"/>
          <w:tr2bl w:val="nil"/>
        </w:tcBorders>
        <w:shd w:val="clear" w:color="auto" w:fill="002C5F"/>
        <w:vAlign w:val="bottom"/>
      </w:tcPr>
    </w:tblStylePr>
  </w:style>
  <w:style w:type="table" w:customStyle="1" w:styleId="AIRLightBlueTable">
    <w:name w:val="AIR Light Blue Table"/>
    <w:basedOn w:val="TableNormal"/>
    <w:uiPriority w:val="99"/>
    <w:rsid w:val="003907CC"/>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shd w:val="clear" w:color="auto" w:fill="auto"/>
      <w:vAlign w:val="center"/>
    </w:tcPr>
    <w:tblStylePr w:type="firstRow">
      <w:pPr>
        <w:wordWrap/>
        <w:contextualSpacing w:val="0"/>
        <w:jc w:val="left"/>
      </w:pPr>
      <w:rPr>
        <w:rFonts w:asciiTheme="minorHAnsi" w:hAnsiTheme="minorHAnsi"/>
        <w:b/>
        <w:sz w:val="22"/>
      </w:rPr>
      <w:tblPr/>
      <w:tcPr>
        <w:shd w:val="clear" w:color="auto" w:fill="8DB3E2" w:themeFill="text2" w:themeFillTint="66"/>
      </w:tcPr>
    </w:tblStylePr>
    <w:tblStylePr w:type="band1Horz">
      <w:tblPr/>
      <w:tcPr>
        <w:shd w:val="clear" w:color="auto" w:fill="C6D9F1" w:themeFill="text2" w:themeFillTint="33"/>
      </w:tcPr>
    </w:tblStylePr>
  </w:style>
  <w:style w:type="table" w:customStyle="1" w:styleId="AIRLightGrayTable">
    <w:name w:val="AIR Light Gray Table"/>
    <w:basedOn w:val="TableNormal"/>
    <w:uiPriority w:val="99"/>
    <w:rsid w:val="003907CC"/>
    <w:pPr>
      <w:spacing w:before="40" w:after="40" w:line="240" w:lineRule="auto"/>
    </w:pPr>
    <w:rPr>
      <w:rFonts w:eastAsia="Times New Roman" w:cs="Times New Roman"/>
      <w:szCs w:val="24"/>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cPr>
      <w:vAlign w:val="center"/>
    </w:tcPr>
    <w:tblStylePr w:type="firstRow">
      <w:pPr>
        <w:jc w:val="left"/>
      </w:pPr>
      <w:rPr>
        <w:rFonts w:asciiTheme="minorHAnsi" w:hAnsiTheme="minorHAnsi"/>
        <w:b/>
        <w:sz w:val="22"/>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center"/>
      </w:tcPr>
    </w:tblStylePr>
    <w:tblStylePr w:type="lastRow">
      <w:pPr>
        <w:wordWrap/>
        <w:spacing w:beforeLines="0" w:before="40" w:beforeAutospacing="0" w:afterLines="0" w:after="40" w:afterAutospacing="0" w:line="240" w:lineRule="auto"/>
        <w:contextualSpacing w:val="0"/>
      </w:pPr>
      <w:rPr>
        <w:rFonts w:asciiTheme="minorHAnsi" w:hAnsiTheme="minorHAnsi"/>
        <w:sz w:val="22"/>
      </w:rPr>
    </w:tblStylePr>
  </w:style>
  <w:style w:type="table" w:customStyle="1" w:styleId="AIRTable">
    <w:name w:val="AIR Table"/>
    <w:basedOn w:val="TableNormal"/>
    <w:uiPriority w:val="99"/>
    <w:qFormat/>
    <w:rsid w:val="003907CC"/>
    <w:pPr>
      <w:spacing w:after="0" w:line="240" w:lineRule="auto"/>
    </w:pPr>
    <w:rPr>
      <w:rFonts w:ascii="Arial" w:eastAsia="Times New Roman" w:hAnsi="Arial" w:cs="Times New Roman"/>
      <w:sz w:val="20"/>
    </w:rPr>
    <w:tblPr>
      <w:tblInd w:w="86" w:type="dxa"/>
      <w:tblBorders>
        <w:top w:val="single" w:sz="4" w:space="0" w:color="005295"/>
        <w:left w:val="single" w:sz="4" w:space="0" w:color="005295"/>
        <w:bottom w:val="single" w:sz="4" w:space="0" w:color="005295"/>
        <w:right w:val="single" w:sz="4" w:space="0" w:color="005295"/>
        <w:insideH w:val="single" w:sz="4" w:space="0" w:color="005295"/>
        <w:insideV w:val="single" w:sz="4" w:space="0" w:color="005295"/>
      </w:tblBorders>
      <w:tblCellMar>
        <w:top w:w="29" w:type="dxa"/>
        <w:left w:w="72" w:type="dxa"/>
        <w:bottom w:w="29" w:type="dxa"/>
        <w:right w:w="72" w:type="dxa"/>
      </w:tblCellMar>
    </w:tblPr>
    <w:tblStylePr w:type="firstRow">
      <w:pPr>
        <w:wordWrap/>
        <w:spacing w:beforeLines="0" w:beforeAutospacing="0" w:afterLines="0" w:afterAutospacing="0" w:line="240" w:lineRule="auto"/>
        <w:ind w:leftChars="0" w:left="0" w:rightChars="0" w:right="0" w:firstLineChars="0" w:firstLine="0"/>
        <w:jc w:val="center"/>
      </w:pPr>
      <w:rPr>
        <w:rFonts w:ascii="Arial" w:hAnsi="Arial"/>
        <w:color w:val="FFFFFF" w:themeColor="background1"/>
        <w:sz w:val="20"/>
      </w:rPr>
      <w:tblPr/>
      <w:tcPr>
        <w:tcBorders>
          <w:top w:val="single" w:sz="4" w:space="0" w:color="002C5F"/>
          <w:left w:val="single" w:sz="4" w:space="0" w:color="002C5F"/>
          <w:bottom w:val="single" w:sz="4" w:space="0" w:color="002C5F"/>
          <w:right w:val="single" w:sz="4" w:space="0" w:color="002C5F"/>
          <w:insideH w:val="single" w:sz="4" w:space="0" w:color="002C5F"/>
          <w:insideV w:val="single" w:sz="4" w:space="0" w:color="FFFFFF" w:themeColor="background1"/>
          <w:tl2br w:val="nil"/>
          <w:tr2bl w:val="nil"/>
        </w:tcBorders>
        <w:shd w:val="clear" w:color="auto" w:fill="002C5F"/>
      </w:tcPr>
    </w:tblStylePr>
  </w:style>
  <w:style w:type="paragraph" w:customStyle="1" w:styleId="BackCoverAddress">
    <w:name w:val="Back Cover Address"/>
    <w:basedOn w:val="Normal"/>
    <w:qFormat/>
    <w:rsid w:val="003907CC"/>
    <w:pPr>
      <w:suppressAutoHyphens/>
      <w:spacing w:after="0" w:line="288" w:lineRule="auto"/>
    </w:pPr>
    <w:rPr>
      <w:rFonts w:ascii="Franklin Gothic Book" w:eastAsiaTheme="minorEastAsia" w:hAnsi="Franklin Gothic Book" w:cs="ITCFranklinGothicStd-Book"/>
      <w:sz w:val="20"/>
      <w:szCs w:val="20"/>
    </w:rPr>
  </w:style>
  <w:style w:type="paragraph" w:customStyle="1" w:styleId="BackCoverLocationTitle">
    <w:name w:val="Back Cover Location Title"/>
    <w:qFormat/>
    <w:rsid w:val="003907CC"/>
    <w:pPr>
      <w:suppressAutoHyphens/>
      <w:spacing w:after="120"/>
    </w:pPr>
    <w:rPr>
      <w:rFonts w:ascii="Franklin Gothic Book" w:eastAsia="Calibri" w:hAnsi="Franklin Gothic Book" w:cs="ITCFranklinGothicStd-Book"/>
      <w:caps/>
      <w:color w:val="005295"/>
      <w:sz w:val="24"/>
      <w:szCs w:val="24"/>
    </w:rPr>
  </w:style>
  <w:style w:type="paragraph" w:customStyle="1" w:styleId="BackCoverLocationH2">
    <w:name w:val="Back Cover Location H2"/>
    <w:basedOn w:val="BackCoverLocationTitle"/>
    <w:qFormat/>
    <w:rsid w:val="003907CC"/>
    <w:pPr>
      <w:spacing w:after="0"/>
    </w:pPr>
    <w:rPr>
      <w:caps w:val="0"/>
    </w:rPr>
  </w:style>
  <w:style w:type="paragraph" w:customStyle="1" w:styleId="BackCoverURL">
    <w:name w:val="Back Cover URL"/>
    <w:basedOn w:val="BackCoverAddress"/>
    <w:qFormat/>
    <w:rsid w:val="003907CC"/>
    <w:pPr>
      <w:spacing w:before="120"/>
    </w:pPr>
    <w:rPr>
      <w:b/>
    </w:rPr>
  </w:style>
  <w:style w:type="paragraph" w:styleId="BodyText">
    <w:name w:val="Body Text"/>
    <w:link w:val="BodyTextChar"/>
    <w:uiPriority w:val="99"/>
    <w:qFormat/>
    <w:rsid w:val="003907CC"/>
    <w:pPr>
      <w:spacing w:after="240" w:line="240" w:lineRule="auto"/>
    </w:pPr>
    <w:rPr>
      <w:rFonts w:eastAsia="Times New Roman" w:cs="Times New Roman"/>
      <w:sz w:val="24"/>
      <w:szCs w:val="24"/>
    </w:rPr>
  </w:style>
  <w:style w:type="character" w:customStyle="1" w:styleId="BodyTextChar">
    <w:name w:val="Body Text Char"/>
    <w:basedOn w:val="DefaultParagraphFont"/>
    <w:link w:val="BodyText"/>
    <w:uiPriority w:val="99"/>
    <w:rsid w:val="003907CC"/>
    <w:rPr>
      <w:rFonts w:eastAsia="Times New Roman" w:cs="Times New Roman"/>
      <w:sz w:val="24"/>
      <w:szCs w:val="24"/>
    </w:rPr>
  </w:style>
  <w:style w:type="paragraph" w:customStyle="1" w:styleId="BlockQuote">
    <w:name w:val="Block Quote"/>
    <w:basedOn w:val="BodyText"/>
    <w:qFormat/>
    <w:rsid w:val="003907CC"/>
    <w:pPr>
      <w:spacing w:before="120"/>
      <w:ind w:left="720"/>
    </w:pPr>
  </w:style>
  <w:style w:type="paragraph" w:styleId="ListBullet">
    <w:name w:val="List Bullet"/>
    <w:basedOn w:val="Normal"/>
    <w:uiPriority w:val="99"/>
    <w:semiHidden/>
    <w:unhideWhenUsed/>
    <w:rsid w:val="003907CC"/>
    <w:pPr>
      <w:numPr>
        <w:numId w:val="12"/>
      </w:numPr>
      <w:spacing w:after="0" w:line="240" w:lineRule="auto"/>
      <w:contextualSpacing/>
    </w:pPr>
    <w:rPr>
      <w:rFonts w:asciiTheme="minorHAnsi" w:eastAsiaTheme="minorEastAsia" w:hAnsiTheme="minorHAnsi" w:cstheme="minorBidi"/>
    </w:rPr>
  </w:style>
  <w:style w:type="paragraph" w:customStyle="1" w:styleId="Bullet10">
    <w:name w:val="Bullet 1"/>
    <w:basedOn w:val="ListBullet"/>
    <w:qFormat/>
    <w:rsid w:val="003907CC"/>
    <w:pPr>
      <w:numPr>
        <w:numId w:val="13"/>
      </w:numPr>
      <w:spacing w:after="120"/>
      <w:contextualSpacing w:val="0"/>
    </w:pPr>
    <w:rPr>
      <w:rFonts w:eastAsia="Times New Roman" w:cs="Times New Roman"/>
      <w:szCs w:val="24"/>
    </w:rPr>
  </w:style>
  <w:style w:type="paragraph" w:customStyle="1" w:styleId="Bullet1Last">
    <w:name w:val="Bullet 1_Last"/>
    <w:basedOn w:val="Bullet10"/>
    <w:qFormat/>
    <w:rsid w:val="003907CC"/>
    <w:pPr>
      <w:numPr>
        <w:numId w:val="0"/>
      </w:numPr>
      <w:spacing w:after="240"/>
    </w:pPr>
  </w:style>
  <w:style w:type="paragraph" w:styleId="ListBullet2">
    <w:name w:val="List Bullet 2"/>
    <w:basedOn w:val="Normal"/>
    <w:uiPriority w:val="99"/>
    <w:semiHidden/>
    <w:unhideWhenUsed/>
    <w:rsid w:val="003907CC"/>
    <w:pPr>
      <w:numPr>
        <w:numId w:val="14"/>
      </w:numPr>
      <w:spacing w:after="0" w:line="240" w:lineRule="auto"/>
      <w:contextualSpacing/>
    </w:pPr>
    <w:rPr>
      <w:rFonts w:asciiTheme="minorHAnsi" w:eastAsiaTheme="minorEastAsia" w:hAnsiTheme="minorHAnsi" w:cstheme="minorBidi"/>
    </w:rPr>
  </w:style>
  <w:style w:type="paragraph" w:customStyle="1" w:styleId="Bullet2">
    <w:name w:val="Bullet 2"/>
    <w:basedOn w:val="ListBullet2"/>
    <w:qFormat/>
    <w:rsid w:val="003907CC"/>
    <w:pPr>
      <w:numPr>
        <w:numId w:val="15"/>
      </w:numPr>
      <w:spacing w:after="120"/>
    </w:pPr>
    <w:rPr>
      <w:rFonts w:eastAsia="Times New Roman" w:cs="Times New Roman"/>
      <w:szCs w:val="24"/>
    </w:rPr>
  </w:style>
  <w:style w:type="paragraph" w:styleId="ListBullet3">
    <w:name w:val="List Bullet 3"/>
    <w:basedOn w:val="Normal"/>
    <w:uiPriority w:val="99"/>
    <w:unhideWhenUsed/>
    <w:rsid w:val="003907CC"/>
    <w:pPr>
      <w:numPr>
        <w:ilvl w:val="1"/>
        <w:numId w:val="15"/>
      </w:numPr>
      <w:spacing w:after="0" w:line="240" w:lineRule="auto"/>
      <w:contextualSpacing/>
    </w:pPr>
    <w:rPr>
      <w:rFonts w:asciiTheme="minorHAnsi" w:eastAsiaTheme="minorEastAsia" w:hAnsiTheme="minorHAnsi" w:cstheme="minorBidi"/>
    </w:rPr>
  </w:style>
  <w:style w:type="paragraph" w:customStyle="1" w:styleId="Bullet3">
    <w:name w:val="Bullet 3"/>
    <w:basedOn w:val="ListBullet3"/>
    <w:qFormat/>
    <w:rsid w:val="003907CC"/>
    <w:pPr>
      <w:numPr>
        <w:ilvl w:val="0"/>
        <w:numId w:val="16"/>
      </w:numPr>
      <w:spacing w:after="120"/>
    </w:pPr>
  </w:style>
  <w:style w:type="paragraph" w:customStyle="1" w:styleId="TableTitle">
    <w:name w:val="Table Title"/>
    <w:qFormat/>
    <w:rsid w:val="003907CC"/>
    <w:pPr>
      <w:keepNext/>
      <w:spacing w:after="120" w:line="240" w:lineRule="auto"/>
    </w:pPr>
    <w:rPr>
      <w:rFonts w:ascii="Arial" w:eastAsia="Times New Roman" w:hAnsi="Arial" w:cs="Times"/>
      <w:b/>
      <w:color w:val="002C5F"/>
      <w:sz w:val="20"/>
      <w:szCs w:val="24"/>
    </w:rPr>
  </w:style>
  <w:style w:type="paragraph" w:styleId="Caption">
    <w:name w:val="caption"/>
    <w:basedOn w:val="TableTitle"/>
    <w:next w:val="Normal"/>
    <w:uiPriority w:val="35"/>
    <w:unhideWhenUsed/>
    <w:qFormat/>
    <w:rsid w:val="003907CC"/>
  </w:style>
  <w:style w:type="paragraph" w:customStyle="1" w:styleId="ContentsHeading">
    <w:name w:val="Contents Heading"/>
    <w:next w:val="BodyText"/>
    <w:qFormat/>
    <w:rsid w:val="003907CC"/>
    <w:pPr>
      <w:spacing w:after="360" w:line="240" w:lineRule="auto"/>
      <w:jc w:val="center"/>
    </w:pPr>
    <w:rPr>
      <w:rFonts w:ascii="Arial" w:eastAsia="Perpetua" w:hAnsi="Arial" w:cstheme="majorHAnsi"/>
      <w:b/>
      <w:noProof/>
      <w:color w:val="002C5F"/>
      <w:sz w:val="36"/>
      <w:szCs w:val="36"/>
    </w:rPr>
  </w:style>
  <w:style w:type="paragraph" w:customStyle="1" w:styleId="ContentsPage">
    <w:name w:val="Contents_Page"/>
    <w:basedOn w:val="Normal"/>
    <w:qFormat/>
    <w:rsid w:val="003907CC"/>
    <w:pPr>
      <w:spacing w:line="240" w:lineRule="auto"/>
      <w:jc w:val="right"/>
    </w:pPr>
    <w:rPr>
      <w:rFonts w:asciiTheme="minorHAnsi" w:eastAsia="Times New Roman" w:hAnsiTheme="minorHAnsi"/>
      <w:b/>
      <w:bCs/>
      <w:szCs w:val="20"/>
    </w:rPr>
  </w:style>
  <w:style w:type="paragraph" w:customStyle="1" w:styleId="Copyrightinfo">
    <w:name w:val="Copyright info"/>
    <w:basedOn w:val="Normal"/>
    <w:link w:val="CopyrightinfoChar"/>
    <w:qFormat/>
    <w:rsid w:val="003907CC"/>
    <w:pPr>
      <w:spacing w:line="240" w:lineRule="auto"/>
    </w:pPr>
    <w:rPr>
      <w:rFonts w:asciiTheme="minorHAnsi" w:eastAsia="Times New Roman" w:hAnsiTheme="minorHAnsi"/>
      <w:iCs/>
      <w:sz w:val="20"/>
      <w:szCs w:val="20"/>
    </w:rPr>
  </w:style>
  <w:style w:type="character" w:customStyle="1" w:styleId="CopyrightinfoChar">
    <w:name w:val="Copyright info Char"/>
    <w:basedOn w:val="DefaultParagraphFont"/>
    <w:link w:val="Copyrightinfo"/>
    <w:rsid w:val="003907CC"/>
    <w:rPr>
      <w:rFonts w:eastAsia="Times New Roman" w:cs="Times New Roman"/>
      <w:iCs/>
      <w:sz w:val="20"/>
      <w:szCs w:val="20"/>
    </w:rPr>
  </w:style>
  <w:style w:type="paragraph" w:customStyle="1" w:styleId="CoverAffiliation">
    <w:name w:val="Cover Affiliation"/>
    <w:link w:val="CoverAffiliationChar"/>
    <w:qFormat/>
    <w:rsid w:val="003907CC"/>
    <w:pPr>
      <w:spacing w:line="240" w:lineRule="auto"/>
      <w:ind w:left="2434"/>
    </w:pPr>
    <w:rPr>
      <w:rFonts w:ascii="Arial" w:eastAsia="Perpetua" w:hAnsi="Arial" w:cs="Times New Roman"/>
      <w:color w:val="595959"/>
      <w:sz w:val="28"/>
      <w:szCs w:val="28"/>
    </w:rPr>
  </w:style>
  <w:style w:type="character" w:customStyle="1" w:styleId="CoverAffiliationChar">
    <w:name w:val="Cover Affiliation Char"/>
    <w:basedOn w:val="DefaultParagraphFont"/>
    <w:link w:val="CoverAffiliation"/>
    <w:rsid w:val="003907CC"/>
    <w:rPr>
      <w:rFonts w:ascii="Arial" w:eastAsia="Perpetua" w:hAnsi="Arial" w:cs="Times New Roman"/>
      <w:color w:val="595959"/>
      <w:sz w:val="28"/>
      <w:szCs w:val="28"/>
    </w:rPr>
  </w:style>
  <w:style w:type="paragraph" w:customStyle="1" w:styleId="CoverAuthorName">
    <w:name w:val="Cover Author Name"/>
    <w:link w:val="CoverAuthorNameChar"/>
    <w:qFormat/>
    <w:rsid w:val="003907CC"/>
    <w:pPr>
      <w:spacing w:before="240" w:line="240" w:lineRule="auto"/>
      <w:ind w:left="2434"/>
    </w:pPr>
    <w:rPr>
      <w:rFonts w:ascii="Arial" w:eastAsia="Perpetua" w:hAnsi="Arial" w:cs="Times New Roman"/>
      <w:b/>
      <w:color w:val="595959"/>
      <w:sz w:val="28"/>
      <w:szCs w:val="28"/>
    </w:rPr>
  </w:style>
  <w:style w:type="character" w:customStyle="1" w:styleId="CoverAuthorNameChar">
    <w:name w:val="Cover Author Name Char"/>
    <w:basedOn w:val="DefaultParagraphFont"/>
    <w:link w:val="CoverAuthorName"/>
    <w:rsid w:val="003907CC"/>
    <w:rPr>
      <w:rFonts w:ascii="Arial" w:eastAsia="Perpetua" w:hAnsi="Arial" w:cs="Times New Roman"/>
      <w:b/>
      <w:color w:val="595959"/>
      <w:sz w:val="28"/>
      <w:szCs w:val="28"/>
    </w:rPr>
  </w:style>
  <w:style w:type="paragraph" w:customStyle="1" w:styleId="CoverBackAddress">
    <w:name w:val="Cover Back Address"/>
    <w:basedOn w:val="Normal"/>
    <w:qFormat/>
    <w:rsid w:val="003907CC"/>
    <w:pPr>
      <w:suppressAutoHyphens/>
      <w:autoSpaceDE w:val="0"/>
      <w:autoSpaceDN w:val="0"/>
      <w:adjustRightInd w:val="0"/>
      <w:spacing w:after="0" w:line="288" w:lineRule="auto"/>
      <w:textAlignment w:val="center"/>
    </w:pPr>
    <w:rPr>
      <w:rFonts w:ascii="Franklin Gothic Book" w:hAnsi="Franklin Gothic Book" w:cs="ITCFranklinGothicStd-Book"/>
      <w:color w:val="000000"/>
      <w:sz w:val="20"/>
      <w:szCs w:val="20"/>
    </w:rPr>
  </w:style>
  <w:style w:type="paragraph" w:customStyle="1" w:styleId="CoverBackFooter">
    <w:name w:val="Cover Back Footer"/>
    <w:basedOn w:val="Normal"/>
    <w:qFormat/>
    <w:rsid w:val="003907CC"/>
    <w:pPr>
      <w:tabs>
        <w:tab w:val="center" w:pos="4680"/>
        <w:tab w:val="right" w:pos="9360"/>
      </w:tabs>
      <w:spacing w:after="0" w:line="240" w:lineRule="auto"/>
      <w:ind w:left="720"/>
      <w:jc w:val="right"/>
    </w:pPr>
    <w:rPr>
      <w:rFonts w:ascii="Franklin Gothic Book" w:eastAsia="Times New Roman" w:hAnsi="Franklin Gothic Book"/>
      <w:sz w:val="18"/>
      <w:szCs w:val="18"/>
    </w:rPr>
  </w:style>
  <w:style w:type="paragraph" w:customStyle="1" w:styleId="CoverBackURL">
    <w:name w:val="Cover Back URL"/>
    <w:basedOn w:val="Normal"/>
    <w:qFormat/>
    <w:rsid w:val="003907CC"/>
    <w:pPr>
      <w:suppressAutoHyphens/>
      <w:autoSpaceDE w:val="0"/>
      <w:autoSpaceDN w:val="0"/>
      <w:adjustRightInd w:val="0"/>
      <w:spacing w:before="90" w:after="0" w:line="288" w:lineRule="auto"/>
      <w:textAlignment w:val="center"/>
    </w:pPr>
    <w:rPr>
      <w:rFonts w:ascii="Franklin Gothic Demi" w:hAnsi="Franklin Gothic Demi" w:cs="ITCFranklinGothicStd-Demi"/>
      <w:color w:val="000000"/>
      <w:sz w:val="20"/>
      <w:szCs w:val="20"/>
    </w:rPr>
  </w:style>
  <w:style w:type="paragraph" w:customStyle="1" w:styleId="CoverDate">
    <w:name w:val="Cover Date"/>
    <w:basedOn w:val="Normal"/>
    <w:qFormat/>
    <w:rsid w:val="003907CC"/>
    <w:pPr>
      <w:spacing w:after="200"/>
      <w:jc w:val="center"/>
    </w:pPr>
    <w:rPr>
      <w:rFonts w:ascii="Franklin Gothic Book" w:eastAsia="Perpetua" w:hAnsi="Franklin Gothic Book"/>
      <w:color w:val="FFFFFF"/>
      <w:spacing w:val="12"/>
      <w:sz w:val="22"/>
    </w:rPr>
  </w:style>
  <w:style w:type="paragraph" w:customStyle="1" w:styleId="CoverSubtitle">
    <w:name w:val="Cover Subtitle"/>
    <w:link w:val="CoverSubtitleChar"/>
    <w:qFormat/>
    <w:rsid w:val="003907CC"/>
    <w:pPr>
      <w:spacing w:after="240" w:line="240" w:lineRule="auto"/>
      <w:ind w:left="2434"/>
    </w:pPr>
    <w:rPr>
      <w:rFonts w:ascii="Franklin Gothic Book" w:eastAsia="Perpetua" w:hAnsi="Franklin Gothic Book" w:cs="Times New Roman"/>
      <w:b/>
      <w:color w:val="005295"/>
      <w:sz w:val="40"/>
      <w:szCs w:val="40"/>
    </w:rPr>
  </w:style>
  <w:style w:type="character" w:customStyle="1" w:styleId="CoverSubtitleChar">
    <w:name w:val="Cover Subtitle Char"/>
    <w:basedOn w:val="DefaultParagraphFont"/>
    <w:link w:val="CoverSubtitle"/>
    <w:rsid w:val="003907CC"/>
    <w:rPr>
      <w:rFonts w:ascii="Franklin Gothic Book" w:eastAsia="Perpetua" w:hAnsi="Franklin Gothic Book" w:cs="Times New Roman"/>
      <w:b/>
      <w:color w:val="005295"/>
      <w:sz w:val="40"/>
      <w:szCs w:val="40"/>
    </w:rPr>
  </w:style>
  <w:style w:type="paragraph" w:customStyle="1" w:styleId="CoverTitle">
    <w:name w:val="Cover Title"/>
    <w:link w:val="CoverTitleChar"/>
    <w:qFormat/>
    <w:rsid w:val="003907CC"/>
    <w:pPr>
      <w:spacing w:before="4440" w:after="240" w:line="240" w:lineRule="auto"/>
      <w:ind w:left="2434"/>
    </w:pPr>
    <w:rPr>
      <w:rFonts w:ascii="Franklin Gothic Demi" w:eastAsia="Perpetua" w:hAnsi="Franklin Gothic Demi" w:cs="Times New Roman"/>
      <w:color w:val="005295"/>
      <w:sz w:val="50"/>
      <w:szCs w:val="50"/>
    </w:rPr>
  </w:style>
  <w:style w:type="character" w:customStyle="1" w:styleId="CoverTitleChar">
    <w:name w:val="Cover Title Char"/>
    <w:basedOn w:val="DefaultParagraphFont"/>
    <w:link w:val="CoverTitle"/>
    <w:rsid w:val="003907CC"/>
    <w:rPr>
      <w:rFonts w:ascii="Franklin Gothic Demi" w:eastAsia="Perpetua" w:hAnsi="Franklin Gothic Demi" w:cs="Times New Roman"/>
      <w:color w:val="005295"/>
      <w:sz w:val="50"/>
      <w:szCs w:val="50"/>
    </w:rPr>
  </w:style>
  <w:style w:type="paragraph" w:customStyle="1" w:styleId="FooterLetter">
    <w:name w:val="Footer Letter"/>
    <w:basedOn w:val="Normal"/>
    <w:rsid w:val="003907CC"/>
    <w:pPr>
      <w:pBdr>
        <w:top w:val="single" w:sz="4" w:space="1" w:color="002C5F"/>
      </w:pBdr>
      <w:tabs>
        <w:tab w:val="left" w:pos="216"/>
      </w:tabs>
      <w:spacing w:after="0" w:line="240" w:lineRule="auto"/>
      <w:jc w:val="center"/>
    </w:pPr>
    <w:rPr>
      <w:rFonts w:ascii="Franklin Gothic Book" w:eastAsia="Times New Roman" w:hAnsi="Franklin Gothic Book" w:cs="Calibri"/>
      <w:color w:val="1F487C"/>
      <w:sz w:val="17"/>
      <w:szCs w:val="17"/>
    </w:rPr>
  </w:style>
  <w:style w:type="paragraph" w:customStyle="1" w:styleId="Footer2">
    <w:name w:val="Footer2"/>
    <w:basedOn w:val="Footer"/>
    <w:rsid w:val="003907CC"/>
    <w:pPr>
      <w:pBdr>
        <w:top w:val="single" w:sz="4" w:space="1" w:color="002C5F"/>
      </w:pBdr>
      <w:tabs>
        <w:tab w:val="clear" w:pos="4680"/>
        <w:tab w:val="clear" w:pos="9360"/>
        <w:tab w:val="right" w:pos="10224"/>
      </w:tabs>
      <w:ind w:right="1800"/>
    </w:pPr>
    <w:rPr>
      <w:rFonts w:eastAsia="Times New Roman" w:cs="Arial"/>
      <w:color w:val="000000" w:themeColor="text1"/>
      <w:sz w:val="12"/>
      <w:szCs w:val="10"/>
    </w:rPr>
  </w:style>
  <w:style w:type="paragraph" w:customStyle="1" w:styleId="Heading1a-Subtitle">
    <w:name w:val="Heading 1a-Subtitle"/>
    <w:qFormat/>
    <w:rsid w:val="003907CC"/>
    <w:pPr>
      <w:spacing w:after="240" w:line="240" w:lineRule="auto"/>
      <w:ind w:left="2430"/>
    </w:pPr>
    <w:rPr>
      <w:rFonts w:ascii="Arial" w:eastAsia="Perpetua" w:hAnsi="Arial" w:cs="Times New Roman"/>
      <w:b/>
      <w:color w:val="002C5F"/>
      <w:sz w:val="40"/>
      <w:szCs w:val="50"/>
    </w:rPr>
  </w:style>
  <w:style w:type="numbering" w:customStyle="1" w:styleId="Level1Bullet">
    <w:name w:val="Level 1 Bullet"/>
    <w:basedOn w:val="NoList"/>
    <w:rsid w:val="003907CC"/>
    <w:pPr>
      <w:numPr>
        <w:numId w:val="17"/>
      </w:numPr>
    </w:pPr>
  </w:style>
  <w:style w:type="numbering" w:customStyle="1" w:styleId="Level2Bullet">
    <w:name w:val="Level 2 Bullet"/>
    <w:basedOn w:val="NoList"/>
    <w:rsid w:val="003907CC"/>
    <w:pPr>
      <w:numPr>
        <w:numId w:val="18"/>
      </w:numPr>
    </w:p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paragraph" w:styleId="NoSpacing">
    <w:name w:val="No Spacing"/>
    <w:link w:val="NoSpacingChar"/>
    <w:uiPriority w:val="1"/>
    <w:qFormat/>
    <w:rsid w:val="003907CC"/>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3907CC"/>
    <w:rPr>
      <w:rFonts w:eastAsiaTheme="minorEastAsia"/>
      <w:sz w:val="24"/>
    </w:rPr>
  </w:style>
  <w:style w:type="paragraph" w:styleId="NormalWeb">
    <w:name w:val="Normal (Web)"/>
    <w:basedOn w:val="Normal"/>
    <w:uiPriority w:val="99"/>
    <w:unhideWhenUsed/>
    <w:rsid w:val="003907CC"/>
    <w:pPr>
      <w:spacing w:before="100" w:beforeAutospacing="1" w:after="100" w:afterAutospacing="1" w:line="240" w:lineRule="auto"/>
    </w:pPr>
    <w:rPr>
      <w:rFonts w:ascii="Times New Roman" w:eastAsia="Times New Roman" w:hAnsi="Times New Roman"/>
      <w:szCs w:val="24"/>
    </w:rPr>
  </w:style>
  <w:style w:type="paragraph" w:customStyle="1" w:styleId="NumberedList">
    <w:name w:val="Numbered List"/>
    <w:qFormat/>
    <w:rsid w:val="003907CC"/>
    <w:pPr>
      <w:numPr>
        <w:numId w:val="19"/>
      </w:numPr>
      <w:spacing w:after="240" w:line="240" w:lineRule="auto"/>
    </w:pPr>
    <w:rPr>
      <w:rFonts w:eastAsia="Times New Roman" w:cs="Times New Roman"/>
      <w:sz w:val="24"/>
      <w:szCs w:val="24"/>
    </w:rPr>
  </w:style>
  <w:style w:type="character" w:styleId="PageNumber">
    <w:name w:val="page number"/>
    <w:basedOn w:val="DefaultParagraphFont"/>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paragraph" w:customStyle="1" w:styleId="Reference">
    <w:name w:val="Reference"/>
    <w:basedOn w:val="Normal"/>
    <w:link w:val="ReferenceChar"/>
    <w:rsid w:val="002F78F8"/>
    <w:pPr>
      <w:spacing w:after="240" w:line="240" w:lineRule="auto"/>
      <w:ind w:left="360" w:hanging="360"/>
    </w:pPr>
    <w:rPr>
      <w:rFonts w:ascii="Arial" w:eastAsiaTheme="minorHAnsi" w:hAnsi="Arial" w:cs="Arial"/>
      <w:szCs w:val="24"/>
    </w:rPr>
  </w:style>
  <w:style w:type="character" w:customStyle="1" w:styleId="ReferenceChar">
    <w:name w:val="Reference Char"/>
    <w:basedOn w:val="DefaultParagraphFont"/>
    <w:link w:val="Reference"/>
    <w:rsid w:val="002F78F8"/>
    <w:rPr>
      <w:rFonts w:ascii="Arial" w:hAnsi="Arial" w:cs="Arial"/>
      <w:sz w:val="24"/>
      <w:szCs w:val="24"/>
    </w:rPr>
  </w:style>
  <w:style w:type="character" w:customStyle="1" w:styleId="ReferenceItalics">
    <w:name w:val="Reference Italics"/>
    <w:basedOn w:val="DefaultParagraphFont"/>
    <w:uiPriority w:val="1"/>
    <w:qFormat/>
    <w:rsid w:val="003907CC"/>
    <w:rPr>
      <w:i/>
    </w:rPr>
  </w:style>
  <w:style w:type="character" w:styleId="Strong">
    <w:name w:val="Strong"/>
    <w:basedOn w:val="DefaultParagraphFont"/>
    <w:uiPriority w:val="22"/>
    <w:qFormat/>
    <w:rsid w:val="003907CC"/>
    <w:rPr>
      <w:b/>
      <w:bCs/>
    </w:rPr>
  </w:style>
  <w:style w:type="paragraph" w:customStyle="1" w:styleId="StyleHeading2pHeading220pt">
    <w:name w:val="Style Heading 2p.Heading 2 + 20 pt"/>
    <w:rsid w:val="003907CC"/>
    <w:rPr>
      <w:rFonts w:ascii="Arial" w:eastAsia="Perpetua" w:hAnsi="Arial" w:cs="Times New Roman"/>
      <w:b/>
      <w:bCs/>
      <w:noProof/>
      <w:color w:val="002C5F"/>
      <w:sz w:val="40"/>
      <w:szCs w:val="50"/>
    </w:rPr>
  </w:style>
  <w:style w:type="paragraph" w:customStyle="1" w:styleId="StyleHeading2pHeading220pt1">
    <w:name w:val="Style Heading 2p.Heading 2 + 20 pt1"/>
    <w:rsid w:val="003907CC"/>
    <w:pPr>
      <w:spacing w:after="240" w:line="240" w:lineRule="auto"/>
    </w:pPr>
    <w:rPr>
      <w:rFonts w:ascii="Arial" w:eastAsia="Perpetua" w:hAnsi="Arial" w:cs="Times New Roman"/>
      <w:b/>
      <w:bCs/>
      <w:noProof/>
      <w:color w:val="002C5F"/>
      <w:sz w:val="40"/>
      <w:szCs w:val="50"/>
    </w:rPr>
  </w:style>
  <w:style w:type="paragraph" w:customStyle="1" w:styleId="TableText">
    <w:name w:val="Table Text"/>
    <w:qFormat/>
    <w:rsid w:val="003907CC"/>
    <w:pPr>
      <w:spacing w:before="40" w:after="40"/>
    </w:pPr>
    <w:rPr>
      <w:rFonts w:ascii="Arial" w:eastAsia="Times New Roman" w:hAnsi="Arial" w:cs="Times New Roman"/>
      <w:sz w:val="20"/>
      <w:szCs w:val="24"/>
    </w:rPr>
  </w:style>
  <w:style w:type="paragraph" w:customStyle="1" w:styleId="TableBullet1">
    <w:name w:val="Table Bullet 1"/>
    <w:basedOn w:val="TableText"/>
    <w:qFormat/>
    <w:rsid w:val="003907CC"/>
    <w:pPr>
      <w:numPr>
        <w:numId w:val="20"/>
      </w:numPr>
      <w:spacing w:line="240" w:lineRule="auto"/>
    </w:pPr>
    <w:rPr>
      <w:rFonts w:eastAsiaTheme="minorEastAsia"/>
    </w:rPr>
  </w:style>
  <w:style w:type="paragraph" w:customStyle="1" w:styleId="TableBullet2">
    <w:name w:val="Table Bullet 2"/>
    <w:basedOn w:val="TableText"/>
    <w:qFormat/>
    <w:rsid w:val="003907CC"/>
    <w:pPr>
      <w:numPr>
        <w:numId w:val="21"/>
      </w:numPr>
      <w:spacing w:line="240" w:lineRule="auto"/>
    </w:pPr>
    <w:rPr>
      <w:rFonts w:eastAsiaTheme="minorEastAsia"/>
    </w:rPr>
  </w:style>
  <w:style w:type="paragraph" w:customStyle="1" w:styleId="TableColHeadingLeft">
    <w:name w:val="Table Col Heading Left"/>
    <w:basedOn w:val="TableText"/>
    <w:qFormat/>
    <w:rsid w:val="003907CC"/>
    <w:pPr>
      <w:spacing w:line="240" w:lineRule="auto"/>
    </w:pPr>
    <w:rPr>
      <w:rFonts w:ascii="Arial Bold" w:eastAsiaTheme="minorEastAsia" w:hAnsi="Arial Bold"/>
      <w:bCs/>
      <w:szCs w:val="20"/>
    </w:rPr>
  </w:style>
  <w:style w:type="paragraph" w:customStyle="1" w:styleId="TableColHeadingCenter">
    <w:name w:val="Table Col Heading Center"/>
    <w:basedOn w:val="TableColHeadingLeft"/>
    <w:qFormat/>
    <w:rsid w:val="003907CC"/>
    <w:pPr>
      <w:jc w:val="center"/>
    </w:pPr>
  </w:style>
  <w:style w:type="table" w:customStyle="1" w:styleId="TableGrid3">
    <w:name w:val="Table Grid3"/>
    <w:basedOn w:val="TableNormal"/>
    <w:next w:val="TableGrid"/>
    <w:rsid w:val="003907C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907CC"/>
    <w:pPr>
      <w:spacing w:after="0" w:line="240" w:lineRule="auto"/>
    </w:pPr>
    <w:rPr>
      <w:rFonts w:ascii="Franklin Gothic Book" w:eastAsia="Calibri" w:hAnsi="Franklin Gothic Boo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umbering">
    <w:name w:val="Table Numbering"/>
    <w:basedOn w:val="TableText"/>
    <w:qFormat/>
    <w:rsid w:val="003907CC"/>
    <w:pPr>
      <w:numPr>
        <w:numId w:val="22"/>
      </w:numPr>
      <w:spacing w:line="240" w:lineRule="auto"/>
    </w:pPr>
    <w:rPr>
      <w:rFonts w:eastAsiaTheme="minorEastAsia"/>
    </w:rPr>
  </w:style>
  <w:style w:type="paragraph" w:customStyle="1" w:styleId="TableSubheading">
    <w:name w:val="Table Subheading"/>
    <w:qFormat/>
    <w:rsid w:val="003907CC"/>
    <w:rPr>
      <w:rFonts w:ascii="Arial" w:eastAsiaTheme="minorEastAsia" w:hAnsi="Arial" w:cs="Times New Roman"/>
      <w:b/>
      <w:sz w:val="20"/>
      <w:szCs w:val="24"/>
    </w:rPr>
  </w:style>
  <w:style w:type="paragraph" w:customStyle="1" w:styleId="TableTextCentered">
    <w:name w:val="Table Text Centered"/>
    <w:basedOn w:val="TableText"/>
    <w:qFormat/>
    <w:rsid w:val="003907CC"/>
    <w:pPr>
      <w:spacing w:line="240" w:lineRule="auto"/>
      <w:jc w:val="center"/>
    </w:pPr>
  </w:style>
  <w:style w:type="paragraph" w:customStyle="1" w:styleId="TitlePageText">
    <w:name w:val="Title Page Text"/>
    <w:basedOn w:val="Normal"/>
    <w:qFormat/>
    <w:rsid w:val="003907CC"/>
    <w:pPr>
      <w:spacing w:after="0" w:line="240" w:lineRule="auto"/>
      <w:ind w:left="900"/>
    </w:pPr>
    <w:rPr>
      <w:rFonts w:asciiTheme="minorHAnsi" w:hAnsiTheme="minorHAnsi" w:cstheme="minorBidi"/>
      <w:sz w:val="20"/>
    </w:rPr>
  </w:style>
  <w:style w:type="paragraph" w:customStyle="1" w:styleId="TitlePageAddress">
    <w:name w:val="Title Page Address"/>
    <w:basedOn w:val="TitlePageText"/>
    <w:link w:val="TitlePageAddressChar"/>
    <w:qFormat/>
    <w:rsid w:val="003907CC"/>
    <w:pPr>
      <w:spacing w:before="120" w:after="240"/>
      <w:ind w:left="907"/>
    </w:pPr>
    <w:rPr>
      <w:rFonts w:cs="Times New Roman"/>
      <w:noProof/>
      <w:sz w:val="24"/>
      <w:szCs w:val="24"/>
    </w:rPr>
  </w:style>
  <w:style w:type="character" w:customStyle="1" w:styleId="TitlePageAddressChar">
    <w:name w:val="Title Page Address Char"/>
    <w:basedOn w:val="DefaultParagraphFont"/>
    <w:link w:val="TitlePageAddress"/>
    <w:rsid w:val="003907CC"/>
    <w:rPr>
      <w:rFonts w:eastAsia="Calibri" w:cs="Times New Roman"/>
      <w:noProof/>
      <w:sz w:val="24"/>
      <w:szCs w:val="24"/>
    </w:rPr>
  </w:style>
  <w:style w:type="paragraph" w:customStyle="1" w:styleId="TitlePageAuthor">
    <w:name w:val="Title Page Author"/>
    <w:basedOn w:val="TitlePageText"/>
    <w:qFormat/>
    <w:rsid w:val="003907CC"/>
    <w:pPr>
      <w:spacing w:before="240"/>
      <w:ind w:left="907"/>
    </w:pPr>
    <w:rPr>
      <w:rFonts w:ascii="Arial" w:hAnsi="Arial"/>
      <w:b/>
      <w:sz w:val="28"/>
    </w:rPr>
  </w:style>
  <w:style w:type="paragraph" w:customStyle="1" w:styleId="TitlePageCopyrightText">
    <w:name w:val="Title Page Copyright Text"/>
    <w:basedOn w:val="Normal"/>
    <w:link w:val="TitlePageCopyrightTextChar"/>
    <w:qFormat/>
    <w:rsid w:val="003907CC"/>
    <w:pPr>
      <w:spacing w:after="0" w:line="240" w:lineRule="auto"/>
      <w:ind w:left="900"/>
    </w:pPr>
    <w:rPr>
      <w:rFonts w:asciiTheme="minorHAnsi" w:eastAsia="Times New Roman" w:hAnsiTheme="minorHAnsi"/>
      <w:sz w:val="20"/>
      <w:szCs w:val="24"/>
    </w:rPr>
  </w:style>
  <w:style w:type="character" w:customStyle="1" w:styleId="TitlePageCopyrightTextChar">
    <w:name w:val="Title Page Copyright Text Char"/>
    <w:basedOn w:val="DefaultParagraphFont"/>
    <w:link w:val="TitlePageCopyrightText"/>
    <w:rsid w:val="003907CC"/>
    <w:rPr>
      <w:rFonts w:eastAsia="Times New Roman" w:cs="Times New Roman"/>
      <w:sz w:val="20"/>
      <w:szCs w:val="24"/>
    </w:rPr>
  </w:style>
  <w:style w:type="paragraph" w:customStyle="1" w:styleId="TitlePageDate">
    <w:name w:val="Title Page Date"/>
    <w:basedOn w:val="TitlePageText"/>
    <w:next w:val="TitlePageText"/>
    <w:qFormat/>
    <w:rsid w:val="003907CC"/>
    <w:pPr>
      <w:spacing w:after="720"/>
      <w:ind w:left="907"/>
    </w:pPr>
    <w:rPr>
      <w:rFonts w:ascii="Arial" w:hAnsi="Arial"/>
      <w:b/>
      <w:sz w:val="32"/>
    </w:rPr>
  </w:style>
  <w:style w:type="paragraph" w:customStyle="1" w:styleId="TitlePageOrganization">
    <w:name w:val="Title Page Organization"/>
    <w:basedOn w:val="TitlePageAuthor"/>
    <w:qFormat/>
    <w:rsid w:val="003907CC"/>
    <w:pPr>
      <w:spacing w:after="2400"/>
    </w:pPr>
    <w:rPr>
      <w:i/>
      <w:iCs/>
    </w:rPr>
  </w:style>
  <w:style w:type="paragraph" w:customStyle="1" w:styleId="TitlePagePublicationNumber">
    <w:name w:val="Title Page Publication Number"/>
    <w:basedOn w:val="Normal"/>
    <w:qFormat/>
    <w:rsid w:val="003907CC"/>
    <w:pPr>
      <w:tabs>
        <w:tab w:val="right" w:pos="9360"/>
      </w:tabs>
      <w:spacing w:after="0" w:line="240" w:lineRule="auto"/>
      <w:jc w:val="right"/>
    </w:pPr>
    <w:rPr>
      <w:rFonts w:asciiTheme="minorHAnsi" w:eastAsia="Times New Roman" w:hAnsiTheme="minorHAnsi"/>
      <w:sz w:val="16"/>
      <w:szCs w:val="16"/>
    </w:rPr>
  </w:style>
  <w:style w:type="paragraph" w:customStyle="1" w:styleId="TitlePagePublicationNumberandDate">
    <w:name w:val="Title Page Publication Number and Date"/>
    <w:basedOn w:val="BodyText"/>
    <w:next w:val="BodyText"/>
    <w:link w:val="TitlePagePublicationNumberandDateChar"/>
    <w:qFormat/>
    <w:rsid w:val="003907CC"/>
    <w:pPr>
      <w:spacing w:after="120"/>
    </w:pPr>
    <w:rPr>
      <w:sz w:val="20"/>
    </w:rPr>
  </w:style>
  <w:style w:type="character" w:customStyle="1" w:styleId="TitlePagePublicationNumberandDateChar">
    <w:name w:val="Title Page Publication Number and Date Char"/>
    <w:basedOn w:val="CopyrightinfoChar"/>
    <w:link w:val="TitlePagePublicationNumberandDate"/>
    <w:rsid w:val="003907CC"/>
    <w:rPr>
      <w:rFonts w:eastAsia="Times New Roman" w:cs="Times New Roman"/>
      <w:iCs w:val="0"/>
      <w:sz w:val="20"/>
      <w:szCs w:val="24"/>
    </w:rPr>
  </w:style>
  <w:style w:type="paragraph" w:customStyle="1" w:styleId="TitlePageTitleSubtitle">
    <w:name w:val="Title Page Title/Subtitle"/>
    <w:basedOn w:val="TitlePageText"/>
    <w:qFormat/>
    <w:rsid w:val="003907CC"/>
    <w:pPr>
      <w:keepNext/>
      <w:keepLines/>
      <w:spacing w:before="960" w:after="960"/>
      <w:ind w:left="907"/>
    </w:pPr>
    <w:rPr>
      <w:rFonts w:ascii="Arial" w:eastAsia="Times New Roman" w:hAnsi="Arial" w:cs="Times New Roman"/>
      <w:b/>
      <w:bCs/>
      <w:sz w:val="48"/>
      <w:szCs w:val="48"/>
    </w:rPr>
  </w:style>
  <w:style w:type="paragraph" w:customStyle="1" w:styleId="TitlePageURL">
    <w:name w:val="Title Page URL"/>
    <w:basedOn w:val="TitlePageAddress"/>
    <w:qFormat/>
    <w:rsid w:val="003907CC"/>
    <w:rPr>
      <w:b/>
    </w:rPr>
  </w:style>
  <w:style w:type="paragraph" w:styleId="TOC4">
    <w:name w:val="toc 4"/>
    <w:basedOn w:val="Normal"/>
    <w:next w:val="Normal"/>
    <w:autoRedefine/>
    <w:uiPriority w:val="39"/>
    <w:rsid w:val="003907CC"/>
    <w:pPr>
      <w:tabs>
        <w:tab w:val="right" w:leader="dot" w:pos="9350"/>
      </w:tabs>
      <w:spacing w:before="120" w:after="0" w:line="240" w:lineRule="auto"/>
      <w:ind w:left="1166" w:right="720" w:hanging="86"/>
    </w:pPr>
    <w:rPr>
      <w:rFonts w:asciiTheme="minorHAnsi" w:eastAsia="Times New Roman" w:hAnsiTheme="minorHAnsi" w:cs="Times"/>
    </w:rPr>
  </w:style>
  <w:style w:type="paragraph" w:customStyle="1" w:styleId="TableTextRight">
    <w:name w:val="Table Text Right"/>
    <w:basedOn w:val="TableText"/>
    <w:qFormat/>
    <w:rsid w:val="003907CC"/>
    <w:pPr>
      <w:spacing w:line="240" w:lineRule="auto"/>
      <w:jc w:val="right"/>
    </w:pPr>
  </w:style>
  <w:style w:type="paragraph" w:customStyle="1" w:styleId="TableColHeadCenter-Narrow">
    <w:name w:val="Table Col Head Center-Narrow"/>
    <w:basedOn w:val="TableColHeadingCenter"/>
    <w:qFormat/>
    <w:rsid w:val="003907CC"/>
    <w:rPr>
      <w:rFonts w:ascii="Arial Narrow" w:hAnsi="Arial Narrow"/>
    </w:rPr>
  </w:style>
  <w:style w:type="paragraph" w:customStyle="1" w:styleId="TableHead">
    <w:name w:val="Table Head"/>
    <w:next w:val="TableofFigures"/>
    <w:qFormat/>
    <w:rsid w:val="003907CC"/>
    <w:pPr>
      <w:keepNext/>
      <w:keepLines/>
      <w:spacing w:before="40" w:after="40" w:line="240" w:lineRule="auto"/>
      <w:jc w:val="center"/>
    </w:pPr>
    <w:rPr>
      <w:rFonts w:ascii="Arial" w:eastAsia="Calibri" w:hAnsi="Arial" w:cs="Arial"/>
      <w:b/>
      <w:sz w:val="24"/>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font5">
    <w:name w:val="font5"/>
    <w:basedOn w:val="Normal"/>
    <w:rsid w:val="003907CC"/>
    <w:pPr>
      <w:spacing w:before="100" w:beforeAutospacing="1" w:after="100" w:afterAutospacing="1" w:line="240" w:lineRule="auto"/>
    </w:pPr>
    <w:rPr>
      <w:rFonts w:ascii="Tahoma" w:eastAsia="Times New Roman" w:hAnsi="Tahoma" w:cs="Tahoma"/>
      <w:color w:val="333333"/>
      <w:sz w:val="18"/>
      <w:szCs w:val="18"/>
    </w:rPr>
  </w:style>
  <w:style w:type="paragraph" w:customStyle="1" w:styleId="xl65">
    <w:name w:val="xl65"/>
    <w:basedOn w:val="Normal"/>
    <w:rsid w:val="003907CC"/>
    <w:pPr>
      <w:shd w:val="clear" w:color="000000" w:fill="FFFFFF"/>
      <w:spacing w:before="100" w:beforeAutospacing="1" w:after="100" w:afterAutospacing="1" w:line="240" w:lineRule="auto"/>
      <w:textAlignment w:val="center"/>
    </w:pPr>
    <w:rPr>
      <w:rFonts w:ascii="Times New Roman" w:eastAsia="Times New Roman" w:hAnsi="Times New Roman"/>
      <w:b/>
      <w:bCs/>
      <w:color w:val="660000"/>
      <w:sz w:val="20"/>
      <w:szCs w:val="20"/>
    </w:rPr>
  </w:style>
  <w:style w:type="paragraph" w:customStyle="1" w:styleId="xl66">
    <w:name w:val="xl66"/>
    <w:basedOn w:val="Normal"/>
    <w:rsid w:val="003907CC"/>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7">
    <w:name w:val="xl67"/>
    <w:basedOn w:val="Normal"/>
    <w:rsid w:val="003907CC"/>
    <w:pPr>
      <w:spacing w:before="100" w:beforeAutospacing="1" w:after="100" w:afterAutospacing="1" w:line="240" w:lineRule="auto"/>
      <w:jc w:val="right"/>
      <w:textAlignment w:val="center"/>
    </w:pPr>
    <w:rPr>
      <w:rFonts w:ascii="Tahoma" w:eastAsia="Times New Roman" w:hAnsi="Tahoma" w:cs="Tahoma"/>
      <w:sz w:val="18"/>
      <w:szCs w:val="18"/>
    </w:rPr>
  </w:style>
  <w:style w:type="paragraph" w:customStyle="1" w:styleId="xl68">
    <w:name w:val="xl68"/>
    <w:basedOn w:val="Normal"/>
    <w:rsid w:val="003907CC"/>
    <w:pPr>
      <w:spacing w:before="100" w:beforeAutospacing="1" w:after="100" w:afterAutospacing="1" w:line="240" w:lineRule="auto"/>
      <w:jc w:val="right"/>
    </w:pPr>
    <w:rPr>
      <w:rFonts w:ascii="Tahoma" w:eastAsia="Times New Roman" w:hAnsi="Tahoma" w:cs="Tahoma"/>
      <w:b/>
      <w:bCs/>
      <w:sz w:val="18"/>
      <w:szCs w:val="18"/>
    </w:rPr>
  </w:style>
  <w:style w:type="paragraph" w:customStyle="1" w:styleId="xl69">
    <w:name w:val="xl69"/>
    <w:basedOn w:val="Normal"/>
    <w:rsid w:val="003907CC"/>
    <w:pPr>
      <w:spacing w:before="100" w:beforeAutospacing="1" w:after="100" w:afterAutospacing="1" w:line="240" w:lineRule="auto"/>
      <w:jc w:val="right"/>
      <w:textAlignment w:val="center"/>
    </w:pPr>
    <w:rPr>
      <w:rFonts w:ascii="Tahoma" w:eastAsia="Times New Roman" w:hAnsi="Tahoma" w:cs="Tahoma"/>
      <w:b/>
      <w:bCs/>
      <w:sz w:val="18"/>
      <w:szCs w:val="18"/>
    </w:rPr>
  </w:style>
  <w:style w:type="paragraph" w:customStyle="1" w:styleId="xl70">
    <w:name w:val="xl70"/>
    <w:basedOn w:val="Normal"/>
    <w:rsid w:val="003907CC"/>
    <w:pPr>
      <w:spacing w:before="100" w:beforeAutospacing="1" w:after="100" w:afterAutospacing="1" w:line="240" w:lineRule="auto"/>
      <w:jc w:val="right"/>
      <w:textAlignment w:val="center"/>
    </w:pPr>
    <w:rPr>
      <w:rFonts w:ascii="Tahoma" w:eastAsia="Times New Roman" w:hAnsi="Tahoma" w:cs="Tahoma"/>
      <w:b/>
      <w:bCs/>
      <w:color w:val="333333"/>
      <w:sz w:val="18"/>
      <w:szCs w:val="18"/>
    </w:rPr>
  </w:style>
  <w:style w:type="paragraph" w:customStyle="1" w:styleId="xl71">
    <w:name w:val="xl71"/>
    <w:basedOn w:val="Normal"/>
    <w:rsid w:val="003907CC"/>
    <w:pPr>
      <w:spacing w:before="100" w:beforeAutospacing="1" w:after="100" w:afterAutospacing="1" w:line="240" w:lineRule="auto"/>
      <w:jc w:val="right"/>
    </w:pPr>
    <w:rPr>
      <w:rFonts w:ascii="Times New Roman" w:eastAsia="Times New Roman" w:hAnsi="Times New Roman"/>
      <w:szCs w:val="24"/>
    </w:rPr>
  </w:style>
  <w:style w:type="paragraph" w:customStyle="1" w:styleId="xl72">
    <w:name w:val="xl72"/>
    <w:basedOn w:val="Normal"/>
    <w:rsid w:val="003907CC"/>
    <w:pPr>
      <w:spacing w:before="100" w:beforeAutospacing="1" w:after="100" w:afterAutospacing="1" w:line="240" w:lineRule="auto"/>
      <w:jc w:val="right"/>
      <w:textAlignment w:val="center"/>
    </w:pPr>
    <w:rPr>
      <w:rFonts w:ascii="Tahoma" w:eastAsia="Times New Roman" w:hAnsi="Tahoma" w:cs="Tahoma"/>
      <w:color w:val="333333"/>
      <w:sz w:val="18"/>
      <w:szCs w:val="18"/>
    </w:rPr>
  </w:style>
  <w:style w:type="paragraph" w:customStyle="1" w:styleId="xl73">
    <w:name w:val="xl73"/>
    <w:basedOn w:val="Normal"/>
    <w:rsid w:val="003907CC"/>
    <w:pPr>
      <w:spacing w:before="100" w:beforeAutospacing="1" w:after="100" w:afterAutospacing="1" w:line="240" w:lineRule="auto"/>
      <w:jc w:val="right"/>
      <w:textAlignment w:val="center"/>
    </w:pPr>
    <w:rPr>
      <w:rFonts w:ascii="Tahoma" w:eastAsia="Times New Roman" w:hAnsi="Tahoma" w:cs="Tahoma"/>
      <w:color w:val="003399"/>
      <w:sz w:val="18"/>
      <w:szCs w:val="18"/>
      <w:u w:val="single"/>
    </w:rPr>
  </w:style>
  <w:style w:type="paragraph" w:customStyle="1" w:styleId="NCDLetterofTransmittal">
    <w:name w:val="NCD.Letter of Transmittal"/>
    <w:qFormat/>
    <w:rsid w:val="00B95ECE"/>
    <w:pPr>
      <w:spacing w:before="480" w:after="240" w:line="240" w:lineRule="auto"/>
      <w:jc w:val="center"/>
      <w:outlineLvl w:val="0"/>
    </w:pPr>
    <w:rPr>
      <w:rFonts w:ascii="Arial" w:eastAsia="Times New Roman" w:hAnsi="Arial" w:cs="Times New Roman"/>
      <w:b/>
      <w:bCs/>
      <w:sz w:val="28"/>
      <w:szCs w:val="24"/>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B55655"/>
    <w:pPr>
      <w:spacing w:before="120" w:after="240" w:line="240" w:lineRule="auto"/>
    </w:pPr>
    <w:rPr>
      <w:rFonts w:ascii="Arial" w:hAnsi="Arial" w:cs="Arial"/>
      <w:sz w:val="20"/>
      <w:szCs w:val="20"/>
    </w:rPr>
  </w:style>
  <w:style w:type="paragraph" w:customStyle="1" w:styleId="NCDInsideCoverText">
    <w:name w:val="NCD.Inside Cover Text"/>
    <w:qFormat/>
    <w:rsid w:val="00F47444"/>
    <w:pPr>
      <w:spacing w:before="480"/>
    </w:pPr>
    <w:rPr>
      <w:rFonts w:ascii="Arial" w:hAnsi="Arial" w:cs="Arial"/>
      <w:sz w:val="24"/>
      <w:szCs w:val="32"/>
    </w:rPr>
  </w:style>
  <w:style w:type="paragraph" w:customStyle="1" w:styleId="NCDInsideCoverTitle">
    <w:name w:val="NCD.Inside Cover Title"/>
    <w:qFormat/>
    <w:rsid w:val="00F47444"/>
    <w:pPr>
      <w:spacing w:before="480" w:after="0" w:line="360" w:lineRule="auto"/>
    </w:pPr>
    <w:rPr>
      <w:rFonts w:ascii="Arial" w:hAnsi="Arial" w:cs="Arial"/>
      <w:b/>
      <w:i/>
      <w:sz w:val="24"/>
      <w:szCs w:val="32"/>
    </w:rPr>
  </w:style>
  <w:style w:type="paragraph" w:customStyle="1" w:styleId="NCDCoverLetterText">
    <w:name w:val="NCD.Cover Letter Text"/>
    <w:qFormat/>
    <w:rsid w:val="00F47444"/>
    <w:pPr>
      <w:autoSpaceDE w:val="0"/>
      <w:autoSpaceDN w:val="0"/>
      <w:spacing w:after="240" w:line="240" w:lineRule="auto"/>
    </w:pPr>
    <w:rPr>
      <w:rFonts w:ascii="Arial" w:eastAsia="Times New Roman" w:hAnsi="Arial" w:cs="Arial"/>
      <w:iCs/>
      <w:sz w:val="24"/>
      <w:szCs w:val="24"/>
    </w:rPr>
  </w:style>
  <w:style w:type="paragraph" w:customStyle="1" w:styleId="NCDResourcesBoxHeader">
    <w:name w:val="NCD.Resources Box Header"/>
    <w:qFormat/>
    <w:rsid w:val="00D109BA"/>
    <w:pPr>
      <w:spacing w:after="240" w:line="240" w:lineRule="auto"/>
      <w:jc w:val="center"/>
    </w:pPr>
    <w:rPr>
      <w:rFonts w:ascii="Arial" w:eastAsia="Calibri" w:hAnsi="Arial" w:cs="Calibri"/>
      <w:b/>
      <w:color w:val="000000"/>
      <w:sz w:val="24"/>
      <w:szCs w:val="24"/>
      <w:u w:color="000000"/>
      <w:bdr w:val="nil"/>
    </w:rPr>
  </w:style>
  <w:style w:type="paragraph" w:customStyle="1" w:styleId="NCDTableColumnHeadLeft">
    <w:name w:val="NCD.Table Column Head Left"/>
    <w:qFormat/>
    <w:rsid w:val="006E641C"/>
    <w:pPr>
      <w:keepLines/>
      <w:spacing w:before="40" w:after="40" w:line="240" w:lineRule="auto"/>
    </w:pPr>
    <w:rPr>
      <w:rFonts w:ascii="Arial" w:eastAsia="Calibri" w:hAnsi="Arial" w:cs="Calibri"/>
      <w:b/>
      <w:color w:val="000000"/>
      <w:sz w:val="20"/>
      <w:szCs w:val="20"/>
      <w:u w:color="000000"/>
      <w:bdr w:val="nil"/>
    </w:rPr>
  </w:style>
  <w:style w:type="paragraph" w:customStyle="1" w:styleId="NCDTableColumnHeadRight">
    <w:name w:val="NCD.Table Column Head Right"/>
    <w:qFormat/>
    <w:rsid w:val="00817F4E"/>
    <w:pPr>
      <w:spacing w:before="40" w:after="40" w:line="240" w:lineRule="auto"/>
      <w:jc w:val="right"/>
    </w:pPr>
    <w:rPr>
      <w:rFonts w:ascii="Arial" w:eastAsia="Calibri" w:hAnsi="Arial" w:cs="Calibri"/>
      <w:b/>
      <w:color w:val="000000"/>
      <w:sz w:val="20"/>
      <w:szCs w:val="20"/>
      <w:u w:color="000000"/>
      <w:bdr w:val="nil"/>
    </w:rPr>
  </w:style>
  <w:style w:type="paragraph" w:customStyle="1" w:styleId="NCDTableTextNew">
    <w:name w:val="NCD.Table Text New"/>
    <w:qFormat/>
    <w:rsid w:val="00817F4E"/>
    <w:pPr>
      <w:keepLines/>
      <w:spacing w:before="40" w:after="40" w:line="240" w:lineRule="auto"/>
    </w:pPr>
    <w:rPr>
      <w:rFonts w:ascii="Arial" w:eastAsia="Calibri" w:hAnsi="Arial" w:cs="Calibri"/>
      <w:color w:val="000000"/>
      <w:sz w:val="20"/>
      <w:szCs w:val="20"/>
      <w:u w:color="000000"/>
      <w:bdr w:val="nil"/>
    </w:rPr>
  </w:style>
  <w:style w:type="paragraph" w:customStyle="1" w:styleId="NCDContentsTitle">
    <w:name w:val="NCD.Contents Title"/>
    <w:qFormat/>
    <w:rsid w:val="00034D45"/>
    <w:pPr>
      <w:spacing w:after="360" w:line="240" w:lineRule="auto"/>
    </w:pPr>
    <w:rPr>
      <w:rFonts w:ascii="Arial" w:eastAsia="Times New Roman" w:hAnsi="Arial" w:cs="Times New Roman"/>
      <w:caps/>
      <w:color w:val="7F7F7F" w:themeColor="text1" w:themeTint="80"/>
      <w:sz w:val="36"/>
      <w:szCs w:val="32"/>
    </w:rPr>
  </w:style>
  <w:style w:type="paragraph" w:customStyle="1" w:styleId="PBodyText">
    <w:name w:val="P.Body Text"/>
    <w:link w:val="PBodyTextChar"/>
    <w:uiPriority w:val="99"/>
    <w:qFormat/>
    <w:rsid w:val="00F86285"/>
    <w:pPr>
      <w:spacing w:after="240" w:line="360" w:lineRule="auto"/>
    </w:pPr>
    <w:rPr>
      <w:rFonts w:ascii="Arial" w:eastAsia="Times New Roman" w:hAnsi="Arial" w:cs="Times"/>
      <w:sz w:val="24"/>
      <w:szCs w:val="24"/>
    </w:rPr>
  </w:style>
  <w:style w:type="character" w:customStyle="1" w:styleId="PBodyTextChar">
    <w:name w:val="P.Body Text Char"/>
    <w:basedOn w:val="DefaultParagraphFont"/>
    <w:link w:val="PBodyText"/>
    <w:uiPriority w:val="99"/>
    <w:locked/>
    <w:rsid w:val="00F86285"/>
    <w:rPr>
      <w:rFonts w:ascii="Arial" w:eastAsia="Times New Roman" w:hAnsi="Arial" w:cs="Times"/>
      <w:sz w:val="24"/>
      <w:szCs w:val="24"/>
    </w:rPr>
  </w:style>
  <w:style w:type="paragraph" w:styleId="Subtitle">
    <w:name w:val="Subtitle"/>
    <w:basedOn w:val="Normal"/>
    <w:next w:val="Normal"/>
    <w:link w:val="SubtitleChar"/>
    <w:uiPriority w:val="11"/>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character" w:styleId="Emphasis">
    <w:name w:val="Emphasis"/>
    <w:basedOn w:val="DefaultParagraphFont"/>
    <w:uiPriority w:val="20"/>
    <w:qFormat/>
    <w:rsid w:val="00225638"/>
    <w:rPr>
      <w:i/>
      <w:iCs/>
    </w:rPr>
  </w:style>
  <w:style w:type="paragraph" w:styleId="TOCHeading">
    <w:name w:val="TOC Heading"/>
    <w:basedOn w:val="Heading1"/>
    <w:next w:val="Normal"/>
    <w:uiPriority w:val="39"/>
    <w:unhideWhenUsed/>
    <w:qFormat/>
    <w:rsid w:val="00573C0E"/>
    <w:pPr>
      <w:keepNext/>
      <w:keepLines/>
      <w:spacing w:after="0" w:line="259" w:lineRule="auto"/>
      <w:outlineLvl w:val="9"/>
    </w:pPr>
    <w:rPr>
      <w:rFonts w:asciiTheme="majorHAnsi" w:eastAsiaTheme="majorEastAsia" w:hAnsiTheme="majorHAnsi" w:cstheme="majorBidi"/>
      <w:b w:val="0"/>
      <w:i w:val="0"/>
      <w:color w:val="365F91" w:themeColor="accent1" w:themeShade="BF"/>
      <w:sz w:val="32"/>
    </w:rPr>
  </w:style>
  <w:style w:type="paragraph" w:styleId="EndnoteText">
    <w:name w:val="endnote text"/>
    <w:basedOn w:val="Normal"/>
    <w:link w:val="EndnoteTextChar"/>
    <w:uiPriority w:val="99"/>
    <w:unhideWhenUsed/>
    <w:rsid w:val="00BD6637"/>
    <w:pPr>
      <w:spacing w:after="0" w:line="240" w:lineRule="auto"/>
    </w:pPr>
    <w:rPr>
      <w:sz w:val="20"/>
      <w:szCs w:val="20"/>
    </w:rPr>
  </w:style>
  <w:style w:type="character" w:customStyle="1" w:styleId="EndnoteTextChar">
    <w:name w:val="Endnote Text Char"/>
    <w:basedOn w:val="DefaultParagraphFont"/>
    <w:link w:val="EndnoteText"/>
    <w:uiPriority w:val="99"/>
    <w:rsid w:val="00BD6637"/>
    <w:rPr>
      <w:rFonts w:ascii="Calibri" w:eastAsia="Calibri" w:hAnsi="Calibri" w:cs="Times New Roman"/>
      <w:sz w:val="20"/>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CM137">
    <w:name w:val="CM137"/>
    <w:basedOn w:val="Default"/>
    <w:next w:val="Default"/>
    <w:uiPriority w:val="99"/>
    <w:rsid w:val="002E0120"/>
    <w:rPr>
      <w:rFonts w:ascii="Arial" w:eastAsiaTheme="minorHAnsi" w:hAnsi="Arial" w:cs="Arial"/>
      <w:color w:val="auto"/>
    </w:rPr>
  </w:style>
  <w:style w:type="paragraph" w:customStyle="1" w:styleId="CM28">
    <w:name w:val="CM28"/>
    <w:basedOn w:val="Default"/>
    <w:next w:val="Default"/>
    <w:uiPriority w:val="99"/>
    <w:rsid w:val="002E0120"/>
    <w:pPr>
      <w:spacing w:line="286" w:lineRule="atLeast"/>
    </w:pPr>
    <w:rPr>
      <w:rFonts w:eastAsiaTheme="minorHAnsi"/>
      <w:color w:val="auto"/>
    </w:rPr>
  </w:style>
  <w:style w:type="paragraph" w:customStyle="1" w:styleId="CM136">
    <w:name w:val="CM136"/>
    <w:basedOn w:val="Default"/>
    <w:next w:val="Default"/>
    <w:uiPriority w:val="99"/>
    <w:rsid w:val="002E0120"/>
    <w:rPr>
      <w:rFonts w:eastAsiaTheme="minorHAnsi"/>
      <w:color w:val="auto"/>
    </w:rPr>
  </w:style>
  <w:style w:type="paragraph" w:customStyle="1" w:styleId="CM13">
    <w:name w:val="CM13"/>
    <w:basedOn w:val="Default"/>
    <w:next w:val="Default"/>
    <w:uiPriority w:val="99"/>
    <w:rsid w:val="002E0120"/>
    <w:pPr>
      <w:spacing w:line="423" w:lineRule="atLeast"/>
    </w:pPr>
    <w:rPr>
      <w:rFonts w:eastAsiaTheme="minorHAnsi"/>
      <w:color w:val="auto"/>
    </w:rPr>
  </w:style>
  <w:style w:type="character" w:customStyle="1" w:styleId="y0nh2b">
    <w:name w:val="y0nh2b"/>
    <w:rsid w:val="009708FD"/>
  </w:style>
  <w:style w:type="character" w:customStyle="1" w:styleId="A17">
    <w:name w:val="A17"/>
    <w:uiPriority w:val="99"/>
    <w:rsid w:val="00B03500"/>
    <w:rPr>
      <w:rFonts w:cs="TradeGothic Bold"/>
      <w:b/>
      <w:bCs/>
      <w:color w:val="000000"/>
      <w:sz w:val="22"/>
      <w:szCs w:val="22"/>
    </w:rPr>
  </w:style>
  <w:style w:type="character" w:customStyle="1" w:styleId="A4">
    <w:name w:val="A4"/>
    <w:uiPriority w:val="99"/>
    <w:rsid w:val="00B03500"/>
    <w:rPr>
      <w:rFonts w:ascii="TradeGothic Light" w:hAnsi="TradeGothic Light" w:cs="TradeGothic Light"/>
      <w:color w:val="000000"/>
      <w:sz w:val="18"/>
      <w:szCs w:val="18"/>
    </w:rPr>
  </w:style>
  <w:style w:type="numbering" w:customStyle="1" w:styleId="NoList2">
    <w:name w:val="No List2"/>
    <w:next w:val="NoList"/>
    <w:uiPriority w:val="99"/>
    <w:semiHidden/>
    <w:unhideWhenUsed/>
    <w:rsid w:val="00934DB5"/>
  </w:style>
  <w:style w:type="character" w:customStyle="1" w:styleId="chapeau">
    <w:name w:val="chapeau"/>
    <w:basedOn w:val="DefaultParagraphFont"/>
    <w:rsid w:val="00934DB5"/>
  </w:style>
  <w:style w:type="character" w:customStyle="1" w:styleId="num">
    <w:name w:val="num"/>
    <w:basedOn w:val="DefaultParagraphFont"/>
    <w:rsid w:val="00934DB5"/>
  </w:style>
  <w:style w:type="numbering" w:customStyle="1" w:styleId="List01">
    <w:name w:val="List 01"/>
    <w:basedOn w:val="NoList"/>
    <w:rsid w:val="00D7262D"/>
  </w:style>
  <w:style w:type="numbering" w:customStyle="1" w:styleId="List11">
    <w:name w:val="List 11"/>
    <w:basedOn w:val="NoList"/>
    <w:rsid w:val="00D7262D"/>
  </w:style>
  <w:style w:type="numbering" w:customStyle="1" w:styleId="Bullet20">
    <w:name w:val="Bullet2"/>
    <w:rsid w:val="00D7262D"/>
  </w:style>
  <w:style w:type="numbering" w:customStyle="1" w:styleId="List212">
    <w:name w:val="List 212"/>
    <w:basedOn w:val="NoList"/>
    <w:rsid w:val="00D7262D"/>
  </w:style>
  <w:style w:type="numbering" w:customStyle="1" w:styleId="List312">
    <w:name w:val="List 312"/>
    <w:basedOn w:val="NoList"/>
    <w:rsid w:val="00D7262D"/>
  </w:style>
  <w:style w:type="numbering" w:customStyle="1" w:styleId="Bullet11">
    <w:name w:val="Bullet11"/>
    <w:rsid w:val="00D7262D"/>
  </w:style>
  <w:style w:type="numbering" w:customStyle="1" w:styleId="List2111">
    <w:name w:val="List 2111"/>
    <w:basedOn w:val="NoList"/>
    <w:rsid w:val="00D7262D"/>
  </w:style>
  <w:style w:type="numbering" w:customStyle="1" w:styleId="List3111">
    <w:name w:val="List 3111"/>
    <w:basedOn w:val="NoList"/>
    <w:rsid w:val="00D7262D"/>
  </w:style>
  <w:style w:type="paragraph" w:customStyle="1" w:styleId="Pa2">
    <w:name w:val="Pa2"/>
    <w:basedOn w:val="Default"/>
    <w:next w:val="Default"/>
    <w:uiPriority w:val="99"/>
    <w:rsid w:val="00FA4DC7"/>
    <w:pPr>
      <w:spacing w:line="201" w:lineRule="atLeast"/>
    </w:pPr>
    <w:rPr>
      <w:rFonts w:ascii="Univers LT Std 45 Light" w:eastAsiaTheme="minorHAnsi" w:hAnsi="Univers LT Std 45 Light" w:cstheme="minorBidi"/>
      <w:color w:val="auto"/>
    </w:rPr>
  </w:style>
  <w:style w:type="paragraph" w:customStyle="1" w:styleId="Pa3">
    <w:name w:val="Pa3"/>
    <w:basedOn w:val="Default"/>
    <w:next w:val="Default"/>
    <w:uiPriority w:val="99"/>
    <w:rsid w:val="00FA4DC7"/>
    <w:pPr>
      <w:spacing w:line="201" w:lineRule="atLeast"/>
    </w:pPr>
    <w:rPr>
      <w:rFonts w:ascii="Univers LT Std 45 Light" w:eastAsiaTheme="minorHAnsi" w:hAnsi="Univers LT Std 45 Light" w:cstheme="minorBidi"/>
      <w:color w:val="auto"/>
    </w:rPr>
  </w:style>
  <w:style w:type="paragraph" w:customStyle="1" w:styleId="Pa4">
    <w:name w:val="Pa4"/>
    <w:basedOn w:val="Default"/>
    <w:next w:val="Default"/>
    <w:uiPriority w:val="99"/>
    <w:rsid w:val="00FA4DC7"/>
    <w:pPr>
      <w:spacing w:line="201" w:lineRule="atLeast"/>
    </w:pPr>
    <w:rPr>
      <w:rFonts w:ascii="Univers LT Std 45 Light" w:eastAsiaTheme="minorHAnsi" w:hAnsi="Univers LT Std 45 Light" w:cstheme="minorBidi"/>
      <w:color w:val="auto"/>
    </w:rPr>
  </w:style>
  <w:style w:type="character" w:customStyle="1" w:styleId="paperstitle1">
    <w:name w:val="paperstitle1"/>
    <w:basedOn w:val="DefaultParagraphFont"/>
    <w:rsid w:val="00B43C35"/>
    <w:rPr>
      <w:rFonts w:ascii="Georgia" w:hAnsi="Georgia" w:hint="default"/>
      <w:b/>
      <w:bCs/>
      <w:color w:val="333333"/>
    </w:rPr>
  </w:style>
  <w:style w:type="paragraph" w:customStyle="1" w:styleId="psection-2">
    <w:name w:val="psection-2"/>
    <w:basedOn w:val="Normal"/>
    <w:rsid w:val="0055505E"/>
    <w:pPr>
      <w:spacing w:before="100" w:beforeAutospacing="1" w:after="100" w:afterAutospacing="1" w:line="240" w:lineRule="auto"/>
    </w:pPr>
    <w:rPr>
      <w:rFonts w:ascii="Times New Roman" w:eastAsia="Times New Roman" w:hAnsi="Times New Roman"/>
      <w:szCs w:val="24"/>
    </w:rPr>
  </w:style>
  <w:style w:type="character" w:customStyle="1" w:styleId="enumxml">
    <w:name w:val="enumxml"/>
    <w:basedOn w:val="DefaultParagraphFont"/>
    <w:rsid w:val="0055505E"/>
  </w:style>
  <w:style w:type="character" w:customStyle="1" w:styleId="et03">
    <w:name w:val="et03"/>
    <w:basedOn w:val="DefaultParagraphFont"/>
    <w:rsid w:val="0055505E"/>
  </w:style>
  <w:style w:type="paragraph" w:customStyle="1" w:styleId="psection-3">
    <w:name w:val="psection-3"/>
    <w:basedOn w:val="Normal"/>
    <w:rsid w:val="0055505E"/>
    <w:pPr>
      <w:spacing w:before="100" w:beforeAutospacing="1" w:after="100" w:afterAutospacing="1" w:line="240" w:lineRule="auto"/>
    </w:pPr>
    <w:rPr>
      <w:rFonts w:ascii="Times New Roman" w:eastAsia="Times New Roman" w:hAnsi="Times New Roman"/>
      <w:szCs w:val="24"/>
    </w:rPr>
  </w:style>
  <w:style w:type="paragraph" w:customStyle="1" w:styleId="psection-4">
    <w:name w:val="psection-4"/>
    <w:basedOn w:val="Normal"/>
    <w:rsid w:val="0055505E"/>
    <w:pPr>
      <w:spacing w:before="100" w:beforeAutospacing="1" w:after="100" w:afterAutospacing="1" w:line="240" w:lineRule="auto"/>
    </w:pPr>
    <w:rPr>
      <w:rFonts w:ascii="Times New Roman" w:eastAsia="Times New Roman" w:hAnsi="Times New Roman"/>
      <w:szCs w:val="24"/>
    </w:rPr>
  </w:style>
  <w:style w:type="character" w:customStyle="1" w:styleId="ya-q-full-text1">
    <w:name w:val="ya-q-full-text1"/>
    <w:basedOn w:val="DefaultParagraphFont"/>
    <w:rsid w:val="00070E5B"/>
    <w:rPr>
      <w:color w:val="26282A"/>
      <w:sz w:val="23"/>
      <w:szCs w:val="23"/>
    </w:rPr>
  </w:style>
  <w:style w:type="paragraph" w:customStyle="1" w:styleId="CM4">
    <w:name w:val="CM4"/>
    <w:basedOn w:val="Default"/>
    <w:next w:val="Default"/>
    <w:uiPriority w:val="99"/>
    <w:rsid w:val="00B85D45"/>
    <w:pPr>
      <w:spacing w:line="276" w:lineRule="atLeast"/>
    </w:pPr>
    <w:rPr>
      <w:rFonts w:ascii="Arial" w:eastAsiaTheme="minorHAnsi" w:hAnsi="Arial" w:cs="Arial"/>
      <w:color w:val="auto"/>
    </w:rPr>
  </w:style>
  <w:style w:type="paragraph" w:customStyle="1" w:styleId="CM48">
    <w:name w:val="CM48"/>
    <w:basedOn w:val="Default"/>
    <w:next w:val="Default"/>
    <w:uiPriority w:val="99"/>
    <w:rsid w:val="00B85D45"/>
    <w:rPr>
      <w:rFonts w:ascii="Arial" w:eastAsiaTheme="minorHAnsi" w:hAnsi="Arial" w:cs="Arial"/>
      <w:color w:val="auto"/>
    </w:rPr>
  </w:style>
  <w:style w:type="character" w:styleId="UnresolvedMention">
    <w:name w:val="Unresolved Mention"/>
    <w:basedOn w:val="DefaultParagraphFont"/>
    <w:uiPriority w:val="99"/>
    <w:semiHidden/>
    <w:unhideWhenUsed/>
    <w:rsid w:val="00357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884">
      <w:bodyDiv w:val="1"/>
      <w:marLeft w:val="0"/>
      <w:marRight w:val="0"/>
      <w:marTop w:val="0"/>
      <w:marBottom w:val="0"/>
      <w:divBdr>
        <w:top w:val="none" w:sz="0" w:space="0" w:color="auto"/>
        <w:left w:val="none" w:sz="0" w:space="0" w:color="auto"/>
        <w:bottom w:val="none" w:sz="0" w:space="0" w:color="auto"/>
        <w:right w:val="none" w:sz="0" w:space="0" w:color="auto"/>
      </w:divBdr>
      <w:divsChild>
        <w:div w:id="462432806">
          <w:marLeft w:val="0"/>
          <w:marRight w:val="0"/>
          <w:marTop w:val="0"/>
          <w:marBottom w:val="0"/>
          <w:divBdr>
            <w:top w:val="none" w:sz="0" w:space="0" w:color="auto"/>
            <w:left w:val="none" w:sz="0" w:space="0" w:color="auto"/>
            <w:bottom w:val="none" w:sz="0" w:space="0" w:color="auto"/>
            <w:right w:val="none" w:sz="0" w:space="0" w:color="auto"/>
          </w:divBdr>
          <w:divsChild>
            <w:div w:id="1856646281">
              <w:marLeft w:val="0"/>
              <w:marRight w:val="0"/>
              <w:marTop w:val="0"/>
              <w:marBottom w:val="0"/>
              <w:divBdr>
                <w:top w:val="none" w:sz="0" w:space="0" w:color="auto"/>
                <w:left w:val="none" w:sz="0" w:space="0" w:color="auto"/>
                <w:bottom w:val="none" w:sz="0" w:space="0" w:color="auto"/>
                <w:right w:val="none" w:sz="0" w:space="0" w:color="auto"/>
              </w:divBdr>
              <w:divsChild>
                <w:div w:id="22636847">
                  <w:marLeft w:val="0"/>
                  <w:marRight w:val="0"/>
                  <w:marTop w:val="0"/>
                  <w:marBottom w:val="0"/>
                  <w:divBdr>
                    <w:top w:val="none" w:sz="0" w:space="0" w:color="auto"/>
                    <w:left w:val="none" w:sz="0" w:space="0" w:color="auto"/>
                    <w:bottom w:val="none" w:sz="0" w:space="0" w:color="auto"/>
                    <w:right w:val="none" w:sz="0" w:space="0" w:color="auto"/>
                  </w:divBdr>
                  <w:divsChild>
                    <w:div w:id="1262108396">
                      <w:marLeft w:val="0"/>
                      <w:marRight w:val="0"/>
                      <w:marTop w:val="0"/>
                      <w:marBottom w:val="0"/>
                      <w:divBdr>
                        <w:top w:val="none" w:sz="0" w:space="0" w:color="auto"/>
                        <w:left w:val="none" w:sz="0" w:space="0" w:color="auto"/>
                        <w:bottom w:val="none" w:sz="0" w:space="0" w:color="auto"/>
                        <w:right w:val="none" w:sz="0" w:space="0" w:color="auto"/>
                      </w:divBdr>
                    </w:div>
                  </w:divsChild>
                </w:div>
                <w:div w:id="148058891">
                  <w:marLeft w:val="0"/>
                  <w:marRight w:val="0"/>
                  <w:marTop w:val="0"/>
                  <w:marBottom w:val="0"/>
                  <w:divBdr>
                    <w:top w:val="none" w:sz="0" w:space="0" w:color="auto"/>
                    <w:left w:val="none" w:sz="0" w:space="0" w:color="auto"/>
                    <w:bottom w:val="none" w:sz="0" w:space="0" w:color="auto"/>
                    <w:right w:val="none" w:sz="0" w:space="0" w:color="auto"/>
                  </w:divBdr>
                  <w:divsChild>
                    <w:div w:id="625698680">
                      <w:marLeft w:val="0"/>
                      <w:marRight w:val="0"/>
                      <w:marTop w:val="0"/>
                      <w:marBottom w:val="0"/>
                      <w:divBdr>
                        <w:top w:val="none" w:sz="0" w:space="0" w:color="auto"/>
                        <w:left w:val="none" w:sz="0" w:space="0" w:color="auto"/>
                        <w:bottom w:val="none" w:sz="0" w:space="0" w:color="auto"/>
                        <w:right w:val="none" w:sz="0" w:space="0" w:color="auto"/>
                      </w:divBdr>
                      <w:divsChild>
                        <w:div w:id="11986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225">
                  <w:marLeft w:val="0"/>
                  <w:marRight w:val="0"/>
                  <w:marTop w:val="0"/>
                  <w:marBottom w:val="0"/>
                  <w:divBdr>
                    <w:top w:val="none" w:sz="0" w:space="0" w:color="auto"/>
                    <w:left w:val="none" w:sz="0" w:space="0" w:color="auto"/>
                    <w:bottom w:val="none" w:sz="0" w:space="0" w:color="auto"/>
                    <w:right w:val="none" w:sz="0" w:space="0" w:color="auto"/>
                  </w:divBdr>
                  <w:divsChild>
                    <w:div w:id="1923250675">
                      <w:marLeft w:val="0"/>
                      <w:marRight w:val="0"/>
                      <w:marTop w:val="0"/>
                      <w:marBottom w:val="0"/>
                      <w:divBdr>
                        <w:top w:val="none" w:sz="0" w:space="0" w:color="auto"/>
                        <w:left w:val="none" w:sz="0" w:space="0" w:color="auto"/>
                        <w:bottom w:val="none" w:sz="0" w:space="0" w:color="auto"/>
                        <w:right w:val="none" w:sz="0" w:space="0" w:color="auto"/>
                      </w:divBdr>
                      <w:divsChild>
                        <w:div w:id="10982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5688">
      <w:bodyDiv w:val="1"/>
      <w:marLeft w:val="0"/>
      <w:marRight w:val="0"/>
      <w:marTop w:val="0"/>
      <w:marBottom w:val="0"/>
      <w:divBdr>
        <w:top w:val="none" w:sz="0" w:space="0" w:color="auto"/>
        <w:left w:val="none" w:sz="0" w:space="0" w:color="auto"/>
        <w:bottom w:val="none" w:sz="0" w:space="0" w:color="auto"/>
        <w:right w:val="none" w:sz="0" w:space="0" w:color="auto"/>
      </w:divBdr>
    </w:div>
    <w:div w:id="56824850">
      <w:bodyDiv w:val="1"/>
      <w:marLeft w:val="0"/>
      <w:marRight w:val="0"/>
      <w:marTop w:val="0"/>
      <w:marBottom w:val="0"/>
      <w:divBdr>
        <w:top w:val="none" w:sz="0" w:space="0" w:color="auto"/>
        <w:left w:val="none" w:sz="0" w:space="0" w:color="auto"/>
        <w:bottom w:val="none" w:sz="0" w:space="0" w:color="auto"/>
        <w:right w:val="none" w:sz="0" w:space="0" w:color="auto"/>
      </w:divBdr>
    </w:div>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748577392">
      <w:bodyDiv w:val="1"/>
      <w:marLeft w:val="0"/>
      <w:marRight w:val="0"/>
      <w:marTop w:val="0"/>
      <w:marBottom w:val="0"/>
      <w:divBdr>
        <w:top w:val="none" w:sz="0" w:space="0" w:color="auto"/>
        <w:left w:val="none" w:sz="0" w:space="0" w:color="auto"/>
        <w:bottom w:val="none" w:sz="0" w:space="0" w:color="auto"/>
        <w:right w:val="none" w:sz="0" w:space="0" w:color="auto"/>
      </w:divBdr>
    </w:div>
    <w:div w:id="826171358">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498619770">
      <w:bodyDiv w:val="1"/>
      <w:marLeft w:val="0"/>
      <w:marRight w:val="0"/>
      <w:marTop w:val="0"/>
      <w:marBottom w:val="0"/>
      <w:divBdr>
        <w:top w:val="none" w:sz="0" w:space="0" w:color="auto"/>
        <w:left w:val="none" w:sz="0" w:space="0" w:color="auto"/>
        <w:bottom w:val="none" w:sz="0" w:space="0" w:color="auto"/>
        <w:right w:val="none" w:sz="0" w:space="0" w:color="auto"/>
      </w:divBdr>
      <w:divsChild>
        <w:div w:id="977733598">
          <w:marLeft w:val="0"/>
          <w:marRight w:val="0"/>
          <w:marTop w:val="0"/>
          <w:marBottom w:val="0"/>
          <w:divBdr>
            <w:top w:val="none" w:sz="0" w:space="0" w:color="auto"/>
            <w:left w:val="none" w:sz="0" w:space="0" w:color="auto"/>
            <w:bottom w:val="none" w:sz="0" w:space="0" w:color="auto"/>
            <w:right w:val="none" w:sz="0" w:space="0" w:color="auto"/>
          </w:divBdr>
          <w:divsChild>
            <w:div w:id="83959932">
              <w:marLeft w:val="0"/>
              <w:marRight w:val="0"/>
              <w:marTop w:val="0"/>
              <w:marBottom w:val="0"/>
              <w:divBdr>
                <w:top w:val="none" w:sz="0" w:space="0" w:color="auto"/>
                <w:left w:val="none" w:sz="0" w:space="0" w:color="auto"/>
                <w:bottom w:val="none" w:sz="0" w:space="0" w:color="auto"/>
                <w:right w:val="none" w:sz="0" w:space="0" w:color="auto"/>
              </w:divBdr>
              <w:divsChild>
                <w:div w:id="2115905295">
                  <w:marLeft w:val="0"/>
                  <w:marRight w:val="0"/>
                  <w:marTop w:val="0"/>
                  <w:marBottom w:val="0"/>
                  <w:divBdr>
                    <w:top w:val="none" w:sz="0" w:space="0" w:color="auto"/>
                    <w:left w:val="none" w:sz="0" w:space="0" w:color="auto"/>
                    <w:bottom w:val="none" w:sz="0" w:space="0" w:color="auto"/>
                    <w:right w:val="none" w:sz="0" w:space="0" w:color="auto"/>
                  </w:divBdr>
                  <w:divsChild>
                    <w:div w:id="510484513">
                      <w:marLeft w:val="0"/>
                      <w:marRight w:val="0"/>
                      <w:marTop w:val="0"/>
                      <w:marBottom w:val="0"/>
                      <w:divBdr>
                        <w:top w:val="none" w:sz="0" w:space="0" w:color="auto"/>
                        <w:left w:val="none" w:sz="0" w:space="0" w:color="auto"/>
                        <w:bottom w:val="none" w:sz="0" w:space="0" w:color="auto"/>
                        <w:right w:val="none" w:sz="0" w:space="0" w:color="auto"/>
                      </w:divBdr>
                      <w:divsChild>
                        <w:div w:id="580337953">
                          <w:marLeft w:val="0"/>
                          <w:marRight w:val="0"/>
                          <w:marTop w:val="0"/>
                          <w:marBottom w:val="0"/>
                          <w:divBdr>
                            <w:top w:val="none" w:sz="0" w:space="0" w:color="auto"/>
                            <w:left w:val="none" w:sz="0" w:space="0" w:color="auto"/>
                            <w:bottom w:val="none" w:sz="0" w:space="0" w:color="auto"/>
                            <w:right w:val="none" w:sz="0" w:space="0" w:color="auto"/>
                          </w:divBdr>
                          <w:divsChild>
                            <w:div w:id="703796143">
                              <w:marLeft w:val="0"/>
                              <w:marRight w:val="0"/>
                              <w:marTop w:val="0"/>
                              <w:marBottom w:val="0"/>
                              <w:divBdr>
                                <w:top w:val="none" w:sz="0" w:space="0" w:color="auto"/>
                                <w:left w:val="none" w:sz="0" w:space="0" w:color="auto"/>
                                <w:bottom w:val="none" w:sz="0" w:space="0" w:color="auto"/>
                                <w:right w:val="none" w:sz="0" w:space="0" w:color="auto"/>
                              </w:divBdr>
                              <w:divsChild>
                                <w:div w:id="1245408518">
                                  <w:marLeft w:val="0"/>
                                  <w:marRight w:val="0"/>
                                  <w:marTop w:val="0"/>
                                  <w:marBottom w:val="0"/>
                                  <w:divBdr>
                                    <w:top w:val="none" w:sz="0" w:space="0" w:color="auto"/>
                                    <w:left w:val="none" w:sz="0" w:space="0" w:color="auto"/>
                                    <w:bottom w:val="none" w:sz="0" w:space="0" w:color="auto"/>
                                    <w:right w:val="none" w:sz="0" w:space="0" w:color="auto"/>
                                  </w:divBdr>
                                  <w:divsChild>
                                    <w:div w:id="688146609">
                                      <w:marLeft w:val="0"/>
                                      <w:marRight w:val="0"/>
                                      <w:marTop w:val="0"/>
                                      <w:marBottom w:val="0"/>
                                      <w:divBdr>
                                        <w:top w:val="none" w:sz="0" w:space="0" w:color="auto"/>
                                        <w:left w:val="none" w:sz="0" w:space="0" w:color="auto"/>
                                        <w:bottom w:val="none" w:sz="0" w:space="0" w:color="auto"/>
                                        <w:right w:val="none" w:sz="0" w:space="0" w:color="auto"/>
                                      </w:divBdr>
                                      <w:divsChild>
                                        <w:div w:id="1744765459">
                                          <w:marLeft w:val="0"/>
                                          <w:marRight w:val="0"/>
                                          <w:marTop w:val="0"/>
                                          <w:marBottom w:val="0"/>
                                          <w:divBdr>
                                            <w:top w:val="none" w:sz="0" w:space="0" w:color="auto"/>
                                            <w:left w:val="none" w:sz="0" w:space="0" w:color="auto"/>
                                            <w:bottom w:val="none" w:sz="0" w:space="0" w:color="auto"/>
                                            <w:right w:val="none" w:sz="0" w:space="0" w:color="auto"/>
                                          </w:divBdr>
                                          <w:divsChild>
                                            <w:div w:id="311913145">
                                              <w:marLeft w:val="0"/>
                                              <w:marRight w:val="0"/>
                                              <w:marTop w:val="0"/>
                                              <w:marBottom w:val="0"/>
                                              <w:divBdr>
                                                <w:top w:val="none" w:sz="0" w:space="0" w:color="auto"/>
                                                <w:left w:val="none" w:sz="0" w:space="0" w:color="auto"/>
                                                <w:bottom w:val="none" w:sz="0" w:space="0" w:color="auto"/>
                                                <w:right w:val="none" w:sz="0" w:space="0" w:color="auto"/>
                                              </w:divBdr>
                                              <w:divsChild>
                                                <w:div w:id="864714751">
                                                  <w:marLeft w:val="0"/>
                                                  <w:marRight w:val="0"/>
                                                  <w:marTop w:val="0"/>
                                                  <w:marBottom w:val="0"/>
                                                  <w:divBdr>
                                                    <w:top w:val="none" w:sz="0" w:space="0" w:color="auto"/>
                                                    <w:left w:val="none" w:sz="0" w:space="0" w:color="auto"/>
                                                    <w:bottom w:val="none" w:sz="0" w:space="0" w:color="auto"/>
                                                    <w:right w:val="none" w:sz="0" w:space="0" w:color="auto"/>
                                                  </w:divBdr>
                                                  <w:divsChild>
                                                    <w:div w:id="347098342">
                                                      <w:marLeft w:val="0"/>
                                                      <w:marRight w:val="0"/>
                                                      <w:marTop w:val="240"/>
                                                      <w:marBottom w:val="60"/>
                                                      <w:divBdr>
                                                        <w:top w:val="none" w:sz="0" w:space="0" w:color="auto"/>
                                                        <w:left w:val="none" w:sz="0" w:space="0" w:color="auto"/>
                                                        <w:bottom w:val="none" w:sz="0" w:space="0" w:color="auto"/>
                                                        <w:right w:val="none" w:sz="0" w:space="0" w:color="auto"/>
                                                      </w:divBdr>
                                                      <w:divsChild>
                                                        <w:div w:id="56637214">
                                                          <w:marLeft w:val="240"/>
                                                          <w:marRight w:val="0"/>
                                                          <w:marTop w:val="60"/>
                                                          <w:marBottom w:val="60"/>
                                                          <w:divBdr>
                                                            <w:top w:val="none" w:sz="0" w:space="0" w:color="auto"/>
                                                            <w:left w:val="none" w:sz="0" w:space="0" w:color="auto"/>
                                                            <w:bottom w:val="none" w:sz="0" w:space="0" w:color="auto"/>
                                                            <w:right w:val="none" w:sz="0" w:space="0" w:color="auto"/>
                                                          </w:divBdr>
                                                          <w:divsChild>
                                                            <w:div w:id="577524852">
                                                              <w:marLeft w:val="240"/>
                                                              <w:marRight w:val="0"/>
                                                              <w:marTop w:val="60"/>
                                                              <w:marBottom w:val="60"/>
                                                              <w:divBdr>
                                                                <w:top w:val="none" w:sz="0" w:space="0" w:color="auto"/>
                                                                <w:left w:val="none" w:sz="0" w:space="0" w:color="auto"/>
                                                                <w:bottom w:val="none" w:sz="0" w:space="0" w:color="auto"/>
                                                                <w:right w:val="none" w:sz="0" w:space="0" w:color="auto"/>
                                                              </w:divBdr>
                                                              <w:divsChild>
                                                                <w:div w:id="13353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05437632">
      <w:bodyDiv w:val="1"/>
      <w:marLeft w:val="0"/>
      <w:marRight w:val="0"/>
      <w:marTop w:val="0"/>
      <w:marBottom w:val="0"/>
      <w:divBdr>
        <w:top w:val="none" w:sz="0" w:space="0" w:color="auto"/>
        <w:left w:val="none" w:sz="0" w:space="0" w:color="auto"/>
        <w:bottom w:val="none" w:sz="0" w:space="0" w:color="auto"/>
        <w:right w:val="none" w:sz="0" w:space="0" w:color="auto"/>
      </w:divBdr>
      <w:divsChild>
        <w:div w:id="233394954">
          <w:marLeft w:val="0"/>
          <w:marRight w:val="0"/>
          <w:marTop w:val="0"/>
          <w:marBottom w:val="0"/>
          <w:divBdr>
            <w:top w:val="none" w:sz="0" w:space="0" w:color="auto"/>
            <w:left w:val="none" w:sz="0" w:space="0" w:color="auto"/>
            <w:bottom w:val="none" w:sz="0" w:space="0" w:color="auto"/>
            <w:right w:val="none" w:sz="0" w:space="0" w:color="auto"/>
          </w:divBdr>
          <w:divsChild>
            <w:div w:id="1686248620">
              <w:marLeft w:val="0"/>
              <w:marRight w:val="0"/>
              <w:marTop w:val="0"/>
              <w:marBottom w:val="0"/>
              <w:divBdr>
                <w:top w:val="none" w:sz="0" w:space="0" w:color="auto"/>
                <w:left w:val="none" w:sz="0" w:space="0" w:color="auto"/>
                <w:bottom w:val="none" w:sz="0" w:space="0" w:color="auto"/>
                <w:right w:val="none" w:sz="0" w:space="0" w:color="auto"/>
              </w:divBdr>
              <w:divsChild>
                <w:div w:id="14952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1861767">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57304884">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31955837">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37210526">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aw.cornell.edu/definitions/uscode.php?width=840&amp;height=800&amp;iframe=true&amp;def_id=42-USC-897050771-1880128328&amp;term_occur=1115&amp;term_src=title:42:chapter:126:section:12101"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8" Type="http://schemas.openxmlformats.org/officeDocument/2006/relationships/hyperlink" Target="https://www.oversight.gov/sites/default/files/oig-reports/Financial%20Statement%20Report%20Final%20Report.pdf" TargetMode="External"/><Relationship Id="rId13" Type="http://schemas.openxmlformats.org/officeDocument/2006/relationships/hyperlink" Target="https://www.eeoc.gov/eeoc/history/35th/thelaw/ada.html" TargetMode="External"/><Relationship Id="rId18" Type="http://schemas.openxmlformats.org/officeDocument/2006/relationships/hyperlink" Target="https://www.abilityone.gov/procurement_list/product_aircraft.html" TargetMode="External"/><Relationship Id="rId26" Type="http://schemas.openxmlformats.org/officeDocument/2006/relationships/hyperlink" Target="https://www.dol.gov/odep/topics/pdf/ACICIEID_Final_Report_9-8-16.pdf" TargetMode="External"/><Relationship Id="rId39" Type="http://schemas.openxmlformats.org/officeDocument/2006/relationships/hyperlink" Target="https://www.acq.osd.mil/dpap/cpic/cp/docs/First_Annual_RTC_on_the_Panel_on_DoD_and_AbilityOne_Signed_18_July_18.pdf" TargetMode="External"/><Relationship Id="rId3" Type="http://schemas.openxmlformats.org/officeDocument/2006/relationships/hyperlink" Target="https://www.gao.gov/products/GAO-13-457" TargetMode="External"/><Relationship Id="rId21" Type="http://schemas.openxmlformats.org/officeDocument/2006/relationships/hyperlink" Target="https://www.abilityone.gov/laws,_regulations_and_policy/documents/ComplianceManual.pdf" TargetMode="External"/><Relationship Id="rId34" Type="http://schemas.openxmlformats.org/officeDocument/2006/relationships/hyperlink" Target="https://www.abilityone.gov/laws,_regulations_and_policy/documents/A01_SA_CA_Incorporating_Mod06_-_Final_1.18.18.pdf" TargetMode="External"/><Relationship Id="rId7" Type="http://schemas.openxmlformats.org/officeDocument/2006/relationships/hyperlink" Target="https://www.abilityone.gov/commission/documents/FY18%20US%20AbilityOne%20Commission%20CPPBSD%20Budget%20Justification%20Final.pdf" TargetMode="External"/><Relationship Id="rId12" Type="http://schemas.openxmlformats.org/officeDocument/2006/relationships/hyperlink" Target="https://www.abilityone.gov/commission/documents/FY%202016%20CPPBSD%20AbilityOne%20Commission%20PAR%20Final.pdf" TargetMode="External"/><Relationship Id="rId17" Type="http://schemas.openxmlformats.org/officeDocument/2006/relationships/hyperlink" Target="https://www.abilityone.com/OA_HTML/xxnib_ibeCCtpSctDspRte.jsp?section=11702&amp;sitex=10040:22372:US" TargetMode="External"/><Relationship Id="rId25" Type="http://schemas.openxmlformats.org/officeDocument/2006/relationships/hyperlink" Target="https://www.abilityone.gov/commission/documents/CFPBD%20FY10%20PAR%20final.pdf" TargetMode="External"/><Relationship Id="rId33" Type="http://schemas.openxmlformats.org/officeDocument/2006/relationships/hyperlink" Target="https://www.abilityone.gov/media_room/documents/AbilityOne_Cmsn_SourceAmerica_CA_Signed_FINAL_20160615.pdf" TargetMode="External"/><Relationship Id="rId38" Type="http://schemas.openxmlformats.org/officeDocument/2006/relationships/hyperlink" Target="https://www.abilityone.gov/commission/documents/CPPBSD%20OIG_SAR%20(October%201%202017-%20March%2031%202018)_FINAL_.pdf" TargetMode="External"/><Relationship Id="rId2" Type="http://schemas.openxmlformats.org/officeDocument/2006/relationships/hyperlink" Target="https://www.abilityone.gov/commission/documents/U.S.%20AbilityOne%20Commission%20FY%202017%20PAR-Final.pdf" TargetMode="External"/><Relationship Id="rId16" Type="http://schemas.openxmlformats.org/officeDocument/2006/relationships/hyperlink" Target="https://www.abilityone.gov/procurement_list/product_list.html" TargetMode="External"/><Relationship Id="rId20" Type="http://schemas.openxmlformats.org/officeDocument/2006/relationships/hyperlink" Target="https://www.abilityone.gov/commission/performance.html" TargetMode="External"/><Relationship Id="rId29" Type="http://schemas.openxmlformats.org/officeDocument/2006/relationships/hyperlink" Target="https://www.dol.gov/whd/flsa/eo13658/EO-factsheet.pdf" TargetMode="External"/><Relationship Id="rId1" Type="http://schemas.openxmlformats.org/officeDocument/2006/relationships/hyperlink" Target="https://www.abilityone.gov/abilityone_program/history.html" TargetMode="External"/><Relationship Id="rId6" Type="http://schemas.openxmlformats.org/officeDocument/2006/relationships/hyperlink" Target="https://fas.org/sgp/crs/natsec/R44010.pdf" TargetMode="External"/><Relationship Id="rId11" Type="http://schemas.openxmlformats.org/officeDocument/2006/relationships/hyperlink" Target="https://www.abilityone.gov/commission/documents/FY18%20US%20AbilityOne%20Commission%20CPPBSD%20Budget%20Justification%20Final.pdf" TargetMode="External"/><Relationship Id="rId24" Type="http://schemas.openxmlformats.org/officeDocument/2006/relationships/hyperlink" Target="https://www2.ed.gov/about/offices/list/osers/rsa/wioa/employment-outcomes-competitive-integrated-employment.pdf" TargetMode="External"/><Relationship Id="rId32" Type="http://schemas.openxmlformats.org/officeDocument/2006/relationships/hyperlink" Target="https://www.abilityone.gov/commission/documents/FY%202016%20CPPBSD%20AbilityOne%20Commission%20PAR%20Final.pdf" TargetMode="External"/><Relationship Id="rId37" Type="http://schemas.openxmlformats.org/officeDocument/2006/relationships/hyperlink" Target="https://www.abilityone.gov/commission/documents/FY-15%20CPPBSD%20Budget%20Justification%20Narrative-a.pdf" TargetMode="External"/><Relationship Id="rId5" Type="http://schemas.openxmlformats.org/officeDocument/2006/relationships/hyperlink" Target="https://www.abilityone.gov/commission/documents/CPPBSD%20FY2019%20Budget%20Justification%2020180212%20Final.pdf" TargetMode="External"/><Relationship Id="rId15" Type="http://schemas.openxmlformats.org/officeDocument/2006/relationships/hyperlink" Target="https://ncd.gov/sites/default/files/New%20Deal%20to%20Real%20Deal%20FINAL_508.PDF" TargetMode="External"/><Relationship Id="rId23" Type="http://schemas.openxmlformats.org/officeDocument/2006/relationships/hyperlink" Target="https://www.eeoc.gov/policy/docs/accommodation.html" TargetMode="External"/><Relationship Id="rId28" Type="http://schemas.openxmlformats.org/officeDocument/2006/relationships/hyperlink" Target="https://www2.ed.gov/about/offices/list/osers/rsa/wioa/competitive-integrated-employment-faq.html" TargetMode="External"/><Relationship Id="rId36" Type="http://schemas.openxmlformats.org/officeDocument/2006/relationships/hyperlink" Target="https://www.abilityone.gov/commission/documents/FY-16%20CPPBSD%20Congressional%20Budget%20Justification%20Final%20Feb%202015.pdf" TargetMode="External"/><Relationship Id="rId10" Type="http://schemas.openxmlformats.org/officeDocument/2006/relationships/hyperlink" Target="https://nfb.org/national-federation-blind-sues-us-abilityone-commission" TargetMode="External"/><Relationship Id="rId19" Type="http://schemas.openxmlformats.org/officeDocument/2006/relationships/hyperlink" Target="https://www.abilityone.gov/procurement_list/services_list.html" TargetMode="External"/><Relationship Id="rId31" Type="http://schemas.openxmlformats.org/officeDocument/2006/relationships/hyperlink" Target="https://www.congress.gov/114/plaws/publ328/PLAW-114publ328.pdf" TargetMode="External"/><Relationship Id="rId4" Type="http://schemas.openxmlformats.org/officeDocument/2006/relationships/hyperlink" Target="https://www.abilityone.gov/commission/documents/CPPBSD-OIG%20SAR%20(April%201%202018-%20September%2030%202018).pdf" TargetMode="External"/><Relationship Id="rId9" Type="http://schemas.openxmlformats.org/officeDocument/2006/relationships/hyperlink" Target="https://www.abilityone.gov/media_room/documents/U.S.%20AbilityOne%20Commission%20News%20Release%20-%20New%20AbilityOne%20CNA%2020180726.pdf" TargetMode="External"/><Relationship Id="rId14" Type="http://schemas.openxmlformats.org/officeDocument/2006/relationships/hyperlink" Target="https://www.murray.senate.gov/public/_cache/files/84084732-e011-470a-b246-1cdab87755c3/staff-report-on-employment-for-people-with-disabilities-10-29-2018-pm-.pdf" TargetMode="External"/><Relationship Id="rId22" Type="http://schemas.openxmlformats.org/officeDocument/2006/relationships/hyperlink" Target="https://www.abilityone.gov/laws,_regulations_and_policy/individual_eligibility_evaluation.html" TargetMode="External"/><Relationship Id="rId27" Type="http://schemas.openxmlformats.org/officeDocument/2006/relationships/hyperlink" Target="https://www.reginfo.gov/public/do/eAgendaViewRule?pubId=201810&amp;RIN=1820-AB79" TargetMode="External"/><Relationship Id="rId30" Type="http://schemas.openxmlformats.org/officeDocument/2006/relationships/hyperlink" Target="https://www.cnn.com/videos/us/2015/07/27/disabled-work-program-corruption-griffin-dnt-ac.cnn" TargetMode="External"/><Relationship Id="rId35" Type="http://schemas.openxmlformats.org/officeDocument/2006/relationships/hyperlink" Target="https://www.abilityone.gov/laws,_regulations_and_policy/documents/A02%20NIB%20CA%20Incorporating%20Mod06%2020180617%20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3.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F8C84E5-7447-442B-B1FD-D2CD3A6B5ED6}">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5.xml><?xml version="1.0" encoding="utf-8"?>
<ds:datastoreItem xmlns:ds="http://schemas.openxmlformats.org/officeDocument/2006/customXml" ds:itemID="{14A5D593-E8F1-4475-9941-776234600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37</Pages>
  <Words>8542</Words>
  <Characters>48694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National Disability Policy:                              A Progress Report</vt:lpstr>
    </vt:vector>
  </TitlesOfParts>
  <Company>American Institutes for Research</Company>
  <LinksUpToDate>false</LinksUpToDate>
  <CharactersWithSpaces>57122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Disability Policy:                              A Progress Report</dc:title>
  <dc:subject>“Working together, we can ensure that every American citizen will be provided the access and opportunity to be a part of all that society offers.” – Former US Senator Bob Dole.</dc:subject>
  <dc:creator>Overton, Cynthia</dc:creator>
  <cp:lastModifiedBy>Nicholas Sabula</cp:lastModifiedBy>
  <cp:revision>4</cp:revision>
  <cp:lastPrinted>2019-01-11T21:49:00Z</cp:lastPrinted>
  <dcterms:created xsi:type="dcterms:W3CDTF">2019-02-28T18:14:00Z</dcterms:created>
  <dcterms:modified xsi:type="dcterms:W3CDTF">2019-03-05T13:39:00Z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