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theme/themeOverride6.xml" ContentType="application/vnd.openxmlformats-officedocument.themeOverride+xml"/>
  <Override PartName="/word/charts/chart13.xml" ContentType="application/vnd.openxmlformats-officedocument.drawingml.chart+xml"/>
  <Override PartName="/word/theme/themeOverride7.xml" ContentType="application/vnd.openxmlformats-officedocument.themeOverride+xml"/>
  <Override PartName="/word/charts/chart14.xml" ContentType="application/vnd.openxmlformats-officedocument.drawingml.chart+xml"/>
  <Override PartName="/word/theme/themeOverride8.xml" ContentType="application/vnd.openxmlformats-officedocument.themeOverrid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B6E82" w14:textId="77777777" w:rsidR="002E7F51" w:rsidRPr="00F618D8" w:rsidRDefault="002E7F51" w:rsidP="002E7F51">
      <w:pPr>
        <w:rPr>
          <w:rFonts w:ascii="Arial" w:hAnsi="Arial" w:cs="Arial"/>
          <w:color w:val="000000"/>
          <w:sz w:val="20"/>
          <w:szCs w:val="20"/>
        </w:rPr>
      </w:pPr>
      <w:bookmarkStart w:id="0" w:name="_Toc6576338"/>
      <w:bookmarkStart w:id="1" w:name="_Toc6779286"/>
      <w:bookmarkStart w:id="2" w:name="_Toc6925352"/>
      <w:bookmarkStart w:id="3" w:name="_Toc7003337"/>
      <w:bookmarkStart w:id="4" w:name="_Toc7013444"/>
      <w:bookmarkStart w:id="5" w:name="_Toc7082369"/>
      <w:bookmarkStart w:id="6" w:name="_Toc7088976"/>
      <w:r w:rsidRPr="00F618D8">
        <w:rPr>
          <w:rFonts w:ascii="Arial" w:hAnsi="Arial" w:cs="Arial"/>
          <w:noProof/>
        </w:rPr>
        <w:drawing>
          <wp:anchor distT="0" distB="0" distL="114300" distR="114300" simplePos="0" relativeHeight="251671552" behindDoc="0" locked="0" layoutInCell="1" allowOverlap="1" wp14:anchorId="619A21DD" wp14:editId="7111F56C">
            <wp:simplePos x="0" y="0"/>
            <wp:positionH relativeFrom="column">
              <wp:posOffset>8890</wp:posOffset>
            </wp:positionH>
            <wp:positionV relativeFrom="paragraph">
              <wp:posOffset>-3175</wp:posOffset>
            </wp:positionV>
            <wp:extent cx="719455" cy="716280"/>
            <wp:effectExtent l="0" t="0" r="4445" b="7620"/>
            <wp:wrapNone/>
            <wp:docPr id="13" name="Picture 3" descr="&quot; &quot;" title="Se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ommers\AppData\Local\Microsoft\Windows\INetCache\Content.Word\NCD_seal_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9455" cy="716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1B5975" w14:textId="77777777" w:rsidR="002E7F51" w:rsidRPr="00F618D8" w:rsidRDefault="002E7F51" w:rsidP="002E7F51">
      <w:pPr>
        <w:ind w:left="1260" w:hanging="990"/>
        <w:rPr>
          <w:rFonts w:ascii="Arial" w:hAnsi="Arial" w:cs="Arial"/>
          <w:sz w:val="32"/>
          <w:szCs w:val="24"/>
        </w:rPr>
      </w:pPr>
      <w:r w:rsidRPr="00F618D8">
        <w:rPr>
          <w:rFonts w:ascii="Arial" w:hAnsi="Arial" w:cs="Arial"/>
          <w:szCs w:val="32"/>
        </w:rPr>
        <w:tab/>
      </w:r>
      <w:r w:rsidRPr="00F618D8">
        <w:rPr>
          <w:rFonts w:ascii="Arial" w:hAnsi="Arial" w:cs="Arial"/>
          <w:b/>
          <w:sz w:val="32"/>
          <w:szCs w:val="24"/>
        </w:rPr>
        <w:t>National Council on Disability</w:t>
      </w:r>
    </w:p>
    <w:p w14:paraId="28438405" w14:textId="77777777" w:rsidR="002E7F51" w:rsidRPr="00F618D8" w:rsidRDefault="002E7F51" w:rsidP="002E7F51">
      <w:pPr>
        <w:pStyle w:val="Default"/>
      </w:pPr>
      <w:r w:rsidRPr="00F618D8">
        <w:rPr>
          <w:noProof/>
        </w:rPr>
        <mc:AlternateContent>
          <mc:Choice Requires="wps">
            <w:drawing>
              <wp:anchor distT="0" distB="0" distL="114300" distR="114300" simplePos="0" relativeHeight="251670528" behindDoc="0" locked="0" layoutInCell="1" allowOverlap="1" wp14:anchorId="59011DC7" wp14:editId="1AE04AB7">
                <wp:simplePos x="0" y="0"/>
                <wp:positionH relativeFrom="column">
                  <wp:posOffset>8255</wp:posOffset>
                </wp:positionH>
                <wp:positionV relativeFrom="paragraph">
                  <wp:posOffset>114141</wp:posOffset>
                </wp:positionV>
                <wp:extent cx="5829300" cy="0"/>
                <wp:effectExtent l="0" t="0" r="19050" b="19050"/>
                <wp:wrapNone/>
                <wp:docPr id="18" name="Straight Connector 18" descr="&quot; &quot;" title="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8CC13C6" id="Straight Connector 18" o:spid="_x0000_s1026" alt="Title: Line - Description: &quot; &quot;"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5pt,9pt" to="459.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" strokeweight="1.9pt"/>
            </w:pict>
          </mc:Fallback>
        </mc:AlternateContent>
      </w:r>
    </w:p>
    <w:p w14:paraId="412C753B" w14:textId="77777777" w:rsidR="002E7F51" w:rsidRPr="00F618D8" w:rsidRDefault="002E7F51" w:rsidP="002E7F51">
      <w:pPr>
        <w:shd w:val="solid" w:color="FFFFFF" w:fill="auto"/>
        <w:tabs>
          <w:tab w:val="right" w:pos="4781"/>
        </w:tabs>
        <w:rPr>
          <w:rFonts w:ascii="Arial" w:eastAsiaTheme="minorEastAsia" w:hAnsi="Arial" w:cs="Arial"/>
          <w:sz w:val="21"/>
          <w:szCs w:val="21"/>
        </w:rPr>
      </w:pPr>
      <w:r w:rsidRPr="00F618D8">
        <w:rPr>
          <w:rFonts w:ascii="Arial" w:hAnsi="Arial" w:cs="Arial"/>
        </w:rPr>
        <w:t>An independent federal agency making recommendations to the President and Congress to enhance the quality of life for all Americans with disabilities and their families.</w:t>
      </w:r>
    </w:p>
    <w:p w14:paraId="661DBA3A" w14:textId="3F40D2C8" w:rsidR="002E7F51" w:rsidRPr="00F618D8" w:rsidRDefault="002E7F51" w:rsidP="00387358">
      <w:pPr>
        <w:pStyle w:val="Heading1"/>
        <w:rPr>
          <w:rFonts w:ascii="Arial" w:hAnsi="Arial" w:cs="Arial"/>
        </w:rPr>
      </w:pPr>
      <w:bookmarkStart w:id="7" w:name="_Toc9530162"/>
      <w:bookmarkStart w:id="8" w:name="_Toc10290940"/>
      <w:r w:rsidRPr="00F618D8">
        <w:rPr>
          <w:rFonts w:ascii="Arial" w:hAnsi="Arial" w:cs="Arial"/>
        </w:rPr>
        <w:t>Letter of Transmittal</w:t>
      </w:r>
      <w:bookmarkEnd w:id="0"/>
      <w:bookmarkEnd w:id="1"/>
      <w:bookmarkEnd w:id="2"/>
      <w:bookmarkEnd w:id="3"/>
      <w:bookmarkEnd w:id="4"/>
      <w:bookmarkEnd w:id="5"/>
      <w:bookmarkEnd w:id="6"/>
      <w:bookmarkEnd w:id="7"/>
      <w:bookmarkEnd w:id="8"/>
    </w:p>
    <w:p w14:paraId="1D7E4094" w14:textId="77777777" w:rsidR="002E7F51" w:rsidRPr="00F618D8" w:rsidRDefault="002E7F51" w:rsidP="002E7F51">
      <w:pPr>
        <w:pStyle w:val="LetterBody"/>
        <w:rPr>
          <w:rFonts w:ascii="Arial" w:hAnsi="Arial"/>
          <w:szCs w:val="24"/>
        </w:rPr>
      </w:pPr>
      <w:r w:rsidRPr="00F618D8">
        <w:rPr>
          <w:rFonts w:ascii="Arial" w:hAnsi="Arial"/>
          <w:szCs w:val="24"/>
        </w:rPr>
        <w:t>June 10, 2019</w:t>
      </w:r>
    </w:p>
    <w:p w14:paraId="0F802AC3" w14:textId="77777777" w:rsidR="002E7F51" w:rsidRPr="00F618D8" w:rsidRDefault="002E7F51" w:rsidP="002E7F51">
      <w:pPr>
        <w:pStyle w:val="LetterBody"/>
        <w:spacing w:after="120"/>
        <w:rPr>
          <w:rFonts w:ascii="Arial" w:hAnsi="Arial"/>
          <w:szCs w:val="24"/>
        </w:rPr>
      </w:pPr>
    </w:p>
    <w:p w14:paraId="42F528C5" w14:textId="77777777" w:rsidR="002E7F51" w:rsidRPr="00F618D8" w:rsidRDefault="002E7F51" w:rsidP="002E7F51">
      <w:pPr>
        <w:pStyle w:val="LetterBody"/>
        <w:rPr>
          <w:rFonts w:ascii="Arial" w:hAnsi="Arial"/>
          <w:szCs w:val="24"/>
        </w:rPr>
      </w:pPr>
      <w:r w:rsidRPr="00F618D8">
        <w:rPr>
          <w:rFonts w:ascii="Arial" w:hAnsi="Arial"/>
          <w:szCs w:val="24"/>
        </w:rPr>
        <w:t>President Donald J. Trump</w:t>
      </w:r>
    </w:p>
    <w:p w14:paraId="5229F4AB" w14:textId="77777777" w:rsidR="002E7F51" w:rsidRPr="00F618D8" w:rsidRDefault="002E7F51" w:rsidP="002E7F51">
      <w:pPr>
        <w:pStyle w:val="LetterBody"/>
        <w:rPr>
          <w:rFonts w:ascii="Arial" w:hAnsi="Arial"/>
          <w:szCs w:val="24"/>
        </w:rPr>
      </w:pPr>
      <w:r w:rsidRPr="00F618D8">
        <w:rPr>
          <w:rFonts w:ascii="Arial" w:hAnsi="Arial"/>
          <w:szCs w:val="24"/>
        </w:rPr>
        <w:t>The White House</w:t>
      </w:r>
    </w:p>
    <w:p w14:paraId="2E9C1B90" w14:textId="77777777" w:rsidR="002E7F51" w:rsidRPr="00F618D8" w:rsidRDefault="002E7F51" w:rsidP="002E7F51">
      <w:pPr>
        <w:pStyle w:val="LetterBody"/>
        <w:rPr>
          <w:rFonts w:ascii="Arial" w:hAnsi="Arial"/>
          <w:szCs w:val="24"/>
        </w:rPr>
      </w:pPr>
      <w:r w:rsidRPr="00F618D8">
        <w:rPr>
          <w:rFonts w:ascii="Arial" w:hAnsi="Arial"/>
          <w:szCs w:val="24"/>
        </w:rPr>
        <w:t>1600 Pennsylvania Ave. NW</w:t>
      </w:r>
    </w:p>
    <w:p w14:paraId="35DA3C2E" w14:textId="77777777" w:rsidR="002E7F51" w:rsidRPr="00F618D8" w:rsidRDefault="002E7F51" w:rsidP="002E7F51">
      <w:pPr>
        <w:pStyle w:val="LetterBody"/>
        <w:rPr>
          <w:rFonts w:ascii="Arial" w:hAnsi="Arial"/>
          <w:szCs w:val="24"/>
        </w:rPr>
      </w:pPr>
      <w:r w:rsidRPr="00F618D8">
        <w:rPr>
          <w:rFonts w:ascii="Arial" w:hAnsi="Arial"/>
          <w:szCs w:val="24"/>
        </w:rPr>
        <w:t>Washington DC 20500</w:t>
      </w:r>
    </w:p>
    <w:p w14:paraId="10437486" w14:textId="77777777" w:rsidR="002E7F51" w:rsidRPr="00F618D8" w:rsidRDefault="002E7F51" w:rsidP="002E7F51">
      <w:pPr>
        <w:pStyle w:val="LetterBody"/>
        <w:spacing w:after="120"/>
        <w:rPr>
          <w:rFonts w:ascii="Arial" w:hAnsi="Arial"/>
          <w:szCs w:val="24"/>
        </w:rPr>
      </w:pPr>
    </w:p>
    <w:p w14:paraId="06D9FAEC" w14:textId="77777777" w:rsidR="002E7F51" w:rsidRPr="00F618D8" w:rsidRDefault="002E7F51" w:rsidP="002E7F51">
      <w:pPr>
        <w:pStyle w:val="LetterBody"/>
        <w:rPr>
          <w:rFonts w:ascii="Arial" w:hAnsi="Arial"/>
          <w:szCs w:val="24"/>
        </w:rPr>
      </w:pPr>
      <w:r w:rsidRPr="00F618D8">
        <w:rPr>
          <w:rFonts w:ascii="Arial" w:hAnsi="Arial"/>
          <w:szCs w:val="24"/>
        </w:rPr>
        <w:t xml:space="preserve">Dear Mr. President: </w:t>
      </w:r>
    </w:p>
    <w:p w14:paraId="737BD2B9" w14:textId="77777777" w:rsidR="002E7F51" w:rsidRPr="00F618D8" w:rsidRDefault="002E7F51" w:rsidP="002E7F51">
      <w:pPr>
        <w:pStyle w:val="LetterBody"/>
        <w:spacing w:after="120"/>
        <w:rPr>
          <w:rFonts w:ascii="Arial" w:hAnsi="Arial"/>
          <w:szCs w:val="24"/>
        </w:rPr>
      </w:pPr>
    </w:p>
    <w:p w14:paraId="704FFCBD" w14:textId="77777777" w:rsidR="002E7F51" w:rsidRPr="00F618D8" w:rsidRDefault="002E7F51" w:rsidP="002E7F51">
      <w:pPr>
        <w:pStyle w:val="LetterBody"/>
        <w:rPr>
          <w:rFonts w:ascii="Arial" w:hAnsi="Arial"/>
          <w:szCs w:val="24"/>
        </w:rPr>
      </w:pPr>
      <w:r w:rsidRPr="00F618D8">
        <w:rPr>
          <w:rFonts w:ascii="Arial" w:hAnsi="Arial"/>
          <w:szCs w:val="24"/>
        </w:rPr>
        <w:t xml:space="preserve">The National Council on Disability (NCD) is pleased to submit this report, </w:t>
      </w:r>
      <w:r w:rsidRPr="00F618D8">
        <w:rPr>
          <w:rFonts w:ascii="Arial" w:hAnsi="Arial"/>
          <w:i/>
          <w:szCs w:val="24"/>
        </w:rPr>
        <w:t xml:space="preserve">Turning Rights Into Reality: How Guardianship and Alternatives Impact the Autonomy of People with Intellectual and Developmental Disabilities </w:t>
      </w:r>
      <w:r w:rsidRPr="00F618D8">
        <w:rPr>
          <w:rFonts w:ascii="Arial" w:hAnsi="Arial"/>
          <w:szCs w:val="24"/>
        </w:rPr>
        <w:t xml:space="preserve">as a follow-up to a report that was completed last year, </w:t>
      </w:r>
      <w:r w:rsidRPr="00F618D8">
        <w:rPr>
          <w:rFonts w:ascii="Arial" w:hAnsi="Arial"/>
          <w:i/>
          <w:szCs w:val="24"/>
        </w:rPr>
        <w:t>Beyond Guardianship: Toward Alternatives That Promote Greater Self-Determination for People with Disabilities</w:t>
      </w:r>
      <w:r w:rsidRPr="00F618D8">
        <w:rPr>
          <w:rFonts w:ascii="Arial" w:hAnsi="Arial"/>
          <w:szCs w:val="24"/>
        </w:rPr>
        <w:t>, which offers policy research and recommendations for the consideration of your Administration and Congress</w:t>
      </w:r>
      <w:r w:rsidRPr="00F618D8">
        <w:rPr>
          <w:rFonts w:ascii="Arial" w:hAnsi="Arial"/>
          <w:i/>
          <w:szCs w:val="24"/>
        </w:rPr>
        <w:t xml:space="preserve">. </w:t>
      </w:r>
      <w:r w:rsidRPr="00F618D8">
        <w:rPr>
          <w:rFonts w:ascii="Arial" w:hAnsi="Arial"/>
          <w:szCs w:val="24"/>
        </w:rPr>
        <w:t xml:space="preserve">This report provides a more in-depth examination of the unique challenges faced by individuals with intellectual and developmental disabilities (ID/DD), and how the use of alternatives such as supported decision-making may enable some individuals with ID/DD to exercise greater self-determination, participate more fully in their communities, and achieve greater economic self-sufficiency. </w:t>
      </w:r>
    </w:p>
    <w:p w14:paraId="479FD07A" w14:textId="77777777" w:rsidR="002E7F51" w:rsidRPr="00F618D8" w:rsidRDefault="002E7F51" w:rsidP="002E7F51">
      <w:pPr>
        <w:pStyle w:val="LetterBody"/>
        <w:spacing w:after="120"/>
        <w:rPr>
          <w:rFonts w:ascii="Arial" w:hAnsi="Arial"/>
          <w:szCs w:val="24"/>
        </w:rPr>
      </w:pPr>
    </w:p>
    <w:p w14:paraId="590DAEDC" w14:textId="77777777" w:rsidR="002E7F51" w:rsidRPr="00F618D8" w:rsidRDefault="002E7F51" w:rsidP="002E7F51">
      <w:pPr>
        <w:pStyle w:val="LetterBody"/>
        <w:rPr>
          <w:rFonts w:ascii="Arial" w:hAnsi="Arial"/>
          <w:szCs w:val="24"/>
        </w:rPr>
      </w:pPr>
      <w:r w:rsidRPr="00F618D8">
        <w:rPr>
          <w:rFonts w:ascii="Arial" w:hAnsi="Arial"/>
          <w:szCs w:val="24"/>
        </w:rPr>
        <w:t xml:space="preserve">In this report, NCD examines why people with ID/DD are at increased risk for becoming subject to guardianship as adults, and how that impacts their ability to benefit from civil rights laws aimed at advancing the self-determination and opportunities available to people with ID/DD, including the Americans with Disabilities Act, the Individuals with Disabilities Education Act, the Developmental Disabilities Act, and the Workforce Innovation and Opportunity Act. The report also examines how people with ID/DD are treated differently than other adults who are the subjects of guardianship proceedings, including in several states that have separate guardianship laws for people with ID/DD. Finally, the report examines the available data on guardianship for people with ID/DD and highlights the stories of people with ID/DD in the nation’s capital to increase policymakers’ understanding of the impact of guardianship and alternatives to guardianship on the lives of people with ID/DD. </w:t>
      </w:r>
    </w:p>
    <w:p w14:paraId="7CFA2641" w14:textId="77777777" w:rsidR="002E7F51" w:rsidRPr="00F618D8" w:rsidRDefault="002E7F51" w:rsidP="002E7F51">
      <w:pPr>
        <w:pStyle w:val="LetterBody"/>
        <w:spacing w:after="120"/>
        <w:rPr>
          <w:rFonts w:ascii="Arial" w:hAnsi="Arial"/>
          <w:szCs w:val="24"/>
        </w:rPr>
      </w:pPr>
    </w:p>
    <w:p w14:paraId="239A80E1" w14:textId="77777777" w:rsidR="002E7F51" w:rsidRPr="00F618D8" w:rsidRDefault="002E7F51" w:rsidP="002E7F51">
      <w:pPr>
        <w:pStyle w:val="LetterBody"/>
        <w:rPr>
          <w:rFonts w:ascii="Arial" w:hAnsi="Arial"/>
          <w:szCs w:val="24"/>
        </w:rPr>
      </w:pPr>
      <w:r w:rsidRPr="00F618D8">
        <w:rPr>
          <w:rFonts w:ascii="Arial" w:hAnsi="Arial"/>
          <w:szCs w:val="24"/>
        </w:rPr>
        <w:lastRenderedPageBreak/>
        <w:t xml:space="preserve">We hope that this report will increase the understanding of guardianship and its impact in the lives of people with ID/DD and their families across the Administration and in Congress. The report includes recommendations for the Social Security Administration, as well as the U.S. Departments of Education, Justice, and Health and Human Services. NCD stands ready to work with you and your Administration to ensure that Americans with ID/DD are provided with viable alternatives to guardianship if they need decision-making assistance, and that the due process protections they are afforded when they are faced with a petition for guardianship are robust and will avoid the unnecessary removal of civil rights. </w:t>
      </w:r>
    </w:p>
    <w:p w14:paraId="794EF58D" w14:textId="77777777" w:rsidR="002E7F51" w:rsidRPr="00F618D8" w:rsidRDefault="002E7F51" w:rsidP="002E7F51">
      <w:pPr>
        <w:pStyle w:val="LetterBody"/>
        <w:spacing w:after="120"/>
        <w:rPr>
          <w:rFonts w:ascii="Arial" w:hAnsi="Arial"/>
          <w:szCs w:val="24"/>
        </w:rPr>
      </w:pPr>
    </w:p>
    <w:p w14:paraId="652F1CCE" w14:textId="77777777" w:rsidR="002E7F51" w:rsidRPr="00F618D8" w:rsidRDefault="002E7F51" w:rsidP="002E7F51">
      <w:pPr>
        <w:pStyle w:val="LetterBody"/>
        <w:rPr>
          <w:rFonts w:ascii="Arial" w:hAnsi="Arial"/>
          <w:szCs w:val="24"/>
        </w:rPr>
      </w:pPr>
      <w:r w:rsidRPr="00F618D8">
        <w:rPr>
          <w:rFonts w:ascii="Arial" w:hAnsi="Arial"/>
          <w:szCs w:val="24"/>
        </w:rPr>
        <w:t>Respectfully,</w:t>
      </w:r>
    </w:p>
    <w:p w14:paraId="5B70EAF8" w14:textId="77777777" w:rsidR="002E7F51" w:rsidRPr="00F618D8" w:rsidRDefault="002E7F51" w:rsidP="002E7F51">
      <w:pPr>
        <w:pStyle w:val="LetterBody"/>
        <w:rPr>
          <w:rFonts w:ascii="Arial" w:hAnsi="Arial"/>
          <w:szCs w:val="24"/>
        </w:rPr>
      </w:pPr>
    </w:p>
    <w:p w14:paraId="15F307A9" w14:textId="77777777" w:rsidR="002E7F51" w:rsidRPr="00F618D8" w:rsidRDefault="002E7F51" w:rsidP="002E7F51">
      <w:pPr>
        <w:pStyle w:val="LetterBody"/>
        <w:spacing w:after="120"/>
        <w:rPr>
          <w:rFonts w:ascii="Arial" w:hAnsi="Arial"/>
          <w:szCs w:val="24"/>
        </w:rPr>
      </w:pPr>
      <w:r w:rsidRPr="00F618D8">
        <w:rPr>
          <w:rFonts w:ascii="Arial" w:hAnsi="Arial"/>
          <w:noProof/>
          <w:szCs w:val="24"/>
        </w:rPr>
        <w:drawing>
          <wp:inline distT="0" distB="0" distL="0" distR="0" wp14:anchorId="6058D9FC" wp14:editId="4BAF7A07">
            <wp:extent cx="1224000" cy="686182"/>
            <wp:effectExtent l="19050" t="0" r="0" b="0"/>
            <wp:docPr id="60" name="Picture 1" descr="Signature of Neil Ro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224000" cy="686182"/>
                    </a:xfrm>
                    <a:prstGeom prst="rect">
                      <a:avLst/>
                    </a:prstGeom>
                    <a:noFill/>
                    <a:ln w="9525">
                      <a:noFill/>
                      <a:miter lim="800000"/>
                      <a:headEnd/>
                      <a:tailEnd/>
                    </a:ln>
                  </pic:spPr>
                </pic:pic>
              </a:graphicData>
            </a:graphic>
          </wp:inline>
        </w:drawing>
      </w:r>
    </w:p>
    <w:p w14:paraId="27799086" w14:textId="77777777" w:rsidR="002E7F51" w:rsidRPr="00F618D8" w:rsidRDefault="002E7F51" w:rsidP="002E7F51">
      <w:pPr>
        <w:pStyle w:val="LetterBody"/>
        <w:rPr>
          <w:rFonts w:ascii="Arial" w:hAnsi="Arial"/>
          <w:szCs w:val="24"/>
        </w:rPr>
      </w:pPr>
      <w:r w:rsidRPr="00F618D8">
        <w:rPr>
          <w:rFonts w:ascii="Arial" w:hAnsi="Arial"/>
          <w:szCs w:val="24"/>
        </w:rPr>
        <w:t xml:space="preserve">Neil Romano </w:t>
      </w:r>
    </w:p>
    <w:p w14:paraId="29DF5052" w14:textId="55D3FC7F" w:rsidR="0063733D" w:rsidRPr="00F618D8" w:rsidRDefault="002E7F51" w:rsidP="008C230F">
      <w:pPr>
        <w:pStyle w:val="LetterBody"/>
        <w:spacing w:after="7080"/>
        <w:rPr>
          <w:rFonts w:ascii="Arial" w:hAnsi="Arial"/>
          <w:szCs w:val="24"/>
        </w:rPr>
      </w:pPr>
      <w:r w:rsidRPr="00F618D8">
        <w:rPr>
          <w:rFonts w:ascii="Arial" w:hAnsi="Arial"/>
          <w:szCs w:val="24"/>
        </w:rPr>
        <w:t>Chairman</w:t>
      </w:r>
    </w:p>
    <w:p w14:paraId="74CF02CD" w14:textId="5A0E9B05" w:rsidR="00DE2CB9" w:rsidRPr="00F618D8" w:rsidRDefault="0063733D" w:rsidP="0063733D">
      <w:pPr>
        <w:pStyle w:val="LetterBody"/>
        <w:rPr>
          <w:rFonts w:ascii="Arial" w:hAnsi="Arial"/>
          <w:szCs w:val="24"/>
        </w:rPr>
      </w:pPr>
      <w:r w:rsidRPr="00F618D8">
        <w:rPr>
          <w:rFonts w:ascii="Arial" w:hAnsi="Arial"/>
        </w:rPr>
        <w:t>(The same letter of transmittal was sent to the President Pro Tempore of the U.S. Senate and the Speaker of the House of Representatives.)</w:t>
      </w:r>
      <w:r w:rsidR="00DE2CB9" w:rsidRPr="00F618D8">
        <w:rPr>
          <w:rFonts w:ascii="Arial" w:hAnsi="Arial"/>
          <w:b/>
          <w:sz w:val="36"/>
          <w:szCs w:val="36"/>
        </w:rPr>
        <w:br w:type="page"/>
      </w:r>
    </w:p>
    <w:p w14:paraId="1ABFC3F2" w14:textId="77777777" w:rsidR="00203CBC" w:rsidRPr="00F618D8" w:rsidRDefault="00203CBC" w:rsidP="00387358">
      <w:pPr>
        <w:pStyle w:val="Heading1"/>
        <w:rPr>
          <w:rFonts w:ascii="Arial" w:hAnsi="Arial" w:cs="Arial"/>
        </w:rPr>
      </w:pPr>
      <w:bookmarkStart w:id="9" w:name="_Toc9530163"/>
      <w:bookmarkStart w:id="10" w:name="_Toc10290941"/>
      <w:r w:rsidRPr="00F618D8">
        <w:rPr>
          <w:rFonts w:ascii="Arial" w:hAnsi="Arial" w:cs="Arial"/>
        </w:rPr>
        <w:lastRenderedPageBreak/>
        <w:t>National Council on Disability Members and Staff</w:t>
      </w:r>
      <w:bookmarkEnd w:id="9"/>
      <w:bookmarkEnd w:id="10"/>
    </w:p>
    <w:p w14:paraId="49CCCDDD" w14:textId="77777777" w:rsidR="00203CBC" w:rsidRPr="00F618D8" w:rsidRDefault="00203CBC" w:rsidP="00203CBC">
      <w:pPr>
        <w:pStyle w:val="MembersTitle"/>
        <w:rPr>
          <w:rFonts w:ascii="Arial" w:hAnsi="Arial"/>
        </w:rPr>
      </w:pPr>
    </w:p>
    <w:p w14:paraId="510284E8" w14:textId="77777777" w:rsidR="00203CBC" w:rsidRPr="00F618D8" w:rsidRDefault="00203CBC" w:rsidP="00203CBC">
      <w:pPr>
        <w:pStyle w:val="Memberssubtitle"/>
        <w:rPr>
          <w:rFonts w:ascii="Arial" w:hAnsi="Arial"/>
        </w:rPr>
      </w:pPr>
      <w:r w:rsidRPr="00F618D8">
        <w:rPr>
          <w:rFonts w:ascii="Arial" w:hAnsi="Arial"/>
        </w:rPr>
        <w:t>Members</w:t>
      </w:r>
    </w:p>
    <w:p w14:paraId="68B18827" w14:textId="77777777" w:rsidR="00203CBC" w:rsidRPr="00F618D8" w:rsidRDefault="00203CBC" w:rsidP="00203CBC">
      <w:pPr>
        <w:pStyle w:val="MembersName"/>
        <w:rPr>
          <w:rFonts w:ascii="Arial" w:hAnsi="Arial"/>
        </w:rPr>
      </w:pPr>
      <w:r w:rsidRPr="00F618D8">
        <w:rPr>
          <w:rFonts w:ascii="Arial" w:hAnsi="Arial"/>
        </w:rPr>
        <w:t>Neil Romano, Chairman</w:t>
      </w:r>
    </w:p>
    <w:p w14:paraId="7DC13221" w14:textId="77777777" w:rsidR="00203CBC" w:rsidRPr="00F618D8" w:rsidRDefault="00203CBC" w:rsidP="00203CBC">
      <w:pPr>
        <w:pStyle w:val="MembersName"/>
        <w:rPr>
          <w:rFonts w:ascii="Arial" w:hAnsi="Arial"/>
        </w:rPr>
      </w:pPr>
      <w:r w:rsidRPr="00F618D8">
        <w:rPr>
          <w:rFonts w:ascii="Arial" w:hAnsi="Arial"/>
        </w:rPr>
        <w:t>Andréas Gallegos, Vice Chairperson</w:t>
      </w:r>
    </w:p>
    <w:p w14:paraId="77AD26C1" w14:textId="77777777" w:rsidR="00203CBC" w:rsidRPr="00F618D8" w:rsidRDefault="00203CBC" w:rsidP="00203CBC">
      <w:pPr>
        <w:pStyle w:val="MembersName"/>
        <w:rPr>
          <w:rFonts w:ascii="Arial" w:hAnsi="Arial"/>
        </w:rPr>
      </w:pPr>
      <w:r w:rsidRPr="00F618D8">
        <w:rPr>
          <w:rFonts w:ascii="Arial" w:hAnsi="Arial"/>
        </w:rPr>
        <w:t>Billy W. Altom</w:t>
      </w:r>
    </w:p>
    <w:p w14:paraId="48B4A33D" w14:textId="77777777" w:rsidR="00203CBC" w:rsidRPr="00F618D8" w:rsidRDefault="00203CBC" w:rsidP="00203CBC">
      <w:pPr>
        <w:pStyle w:val="MembersName"/>
        <w:rPr>
          <w:rFonts w:ascii="Arial" w:hAnsi="Arial"/>
        </w:rPr>
      </w:pPr>
      <w:r w:rsidRPr="00F618D8">
        <w:rPr>
          <w:rFonts w:ascii="Arial" w:hAnsi="Arial"/>
        </w:rPr>
        <w:t>Rabia Belt</w:t>
      </w:r>
    </w:p>
    <w:p w14:paraId="54E72F01" w14:textId="77777777" w:rsidR="00203CBC" w:rsidRPr="00F618D8" w:rsidRDefault="00203CBC" w:rsidP="00203CBC">
      <w:pPr>
        <w:pStyle w:val="MembersName"/>
        <w:rPr>
          <w:rFonts w:ascii="Arial" w:hAnsi="Arial"/>
        </w:rPr>
      </w:pPr>
      <w:r w:rsidRPr="00F618D8">
        <w:rPr>
          <w:rFonts w:ascii="Arial" w:hAnsi="Arial"/>
        </w:rPr>
        <w:t>James T. Brett</w:t>
      </w:r>
    </w:p>
    <w:p w14:paraId="44031D05" w14:textId="77777777" w:rsidR="00203CBC" w:rsidRPr="00F618D8" w:rsidRDefault="00203CBC" w:rsidP="00203CBC">
      <w:pPr>
        <w:pStyle w:val="MembersName"/>
        <w:rPr>
          <w:rFonts w:ascii="Arial" w:hAnsi="Arial"/>
        </w:rPr>
      </w:pPr>
      <w:r w:rsidRPr="00F618D8">
        <w:rPr>
          <w:rFonts w:ascii="Arial" w:hAnsi="Arial"/>
        </w:rPr>
        <w:t>Daniel M. Gade</w:t>
      </w:r>
    </w:p>
    <w:p w14:paraId="467D129F" w14:textId="77777777" w:rsidR="00203CBC" w:rsidRPr="00F618D8" w:rsidRDefault="00203CBC" w:rsidP="00203CBC">
      <w:pPr>
        <w:pStyle w:val="MembersName"/>
        <w:rPr>
          <w:rFonts w:ascii="Arial" w:hAnsi="Arial"/>
        </w:rPr>
      </w:pPr>
      <w:r w:rsidRPr="00F618D8">
        <w:rPr>
          <w:rFonts w:ascii="Arial" w:hAnsi="Arial"/>
        </w:rPr>
        <w:t>Wendy S. Harbour</w:t>
      </w:r>
    </w:p>
    <w:p w14:paraId="47403461" w14:textId="77777777" w:rsidR="00203CBC" w:rsidRPr="00F618D8" w:rsidRDefault="00203CBC" w:rsidP="00203CBC">
      <w:pPr>
        <w:pStyle w:val="MembersName"/>
        <w:rPr>
          <w:rFonts w:ascii="Arial" w:hAnsi="Arial"/>
        </w:rPr>
      </w:pPr>
      <w:r w:rsidRPr="00F618D8">
        <w:rPr>
          <w:rFonts w:ascii="Arial" w:hAnsi="Arial"/>
        </w:rPr>
        <w:t>Benro T. Ogunyipe</w:t>
      </w:r>
    </w:p>
    <w:p w14:paraId="0526462F" w14:textId="77777777" w:rsidR="00203CBC" w:rsidRPr="00F618D8" w:rsidRDefault="00203CBC" w:rsidP="00203CBC">
      <w:pPr>
        <w:pStyle w:val="MembersName"/>
        <w:rPr>
          <w:rFonts w:ascii="Arial" w:hAnsi="Arial"/>
        </w:rPr>
      </w:pPr>
      <w:r w:rsidRPr="00F618D8">
        <w:rPr>
          <w:rFonts w:ascii="Arial" w:hAnsi="Arial"/>
        </w:rPr>
        <w:t>Clyde Terry</w:t>
      </w:r>
    </w:p>
    <w:p w14:paraId="285F1D7E" w14:textId="77777777" w:rsidR="00203CBC" w:rsidRPr="00F618D8" w:rsidRDefault="00203CBC" w:rsidP="00203CBC">
      <w:pPr>
        <w:pStyle w:val="MembersName"/>
        <w:rPr>
          <w:rFonts w:ascii="Arial" w:hAnsi="Arial"/>
        </w:rPr>
      </w:pPr>
    </w:p>
    <w:p w14:paraId="63FB28E3" w14:textId="77777777" w:rsidR="00203CBC" w:rsidRPr="00F618D8" w:rsidRDefault="00203CBC" w:rsidP="00203CBC">
      <w:pPr>
        <w:pStyle w:val="MembersName"/>
        <w:rPr>
          <w:rFonts w:ascii="Arial" w:hAnsi="Arial"/>
        </w:rPr>
      </w:pPr>
    </w:p>
    <w:p w14:paraId="355C7C8F" w14:textId="77777777" w:rsidR="00203CBC" w:rsidRPr="00F618D8" w:rsidRDefault="00203CBC" w:rsidP="00203CBC">
      <w:pPr>
        <w:pStyle w:val="Memberssubtitle"/>
        <w:rPr>
          <w:rFonts w:ascii="Arial" w:hAnsi="Arial"/>
        </w:rPr>
      </w:pPr>
      <w:r w:rsidRPr="00F618D8">
        <w:rPr>
          <w:rFonts w:ascii="Arial" w:hAnsi="Arial"/>
        </w:rPr>
        <w:t>Staff</w:t>
      </w:r>
    </w:p>
    <w:p w14:paraId="38234999" w14:textId="77777777" w:rsidR="00203CBC" w:rsidRPr="00F618D8" w:rsidRDefault="00203CBC" w:rsidP="00203CBC">
      <w:pPr>
        <w:pStyle w:val="MembersName"/>
        <w:rPr>
          <w:rFonts w:ascii="Arial" w:hAnsi="Arial"/>
        </w:rPr>
      </w:pPr>
      <w:r w:rsidRPr="00F618D8">
        <w:rPr>
          <w:rStyle w:val="normaltextrun"/>
          <w:rFonts w:ascii="Arial" w:hAnsi="Arial"/>
        </w:rPr>
        <w:t>Phoebe Ball, Legislative Affairs</w:t>
      </w:r>
      <w:r w:rsidRPr="00F618D8">
        <w:rPr>
          <w:rStyle w:val="eop"/>
          <w:rFonts w:ascii="Arial" w:hAnsi="Arial"/>
        </w:rPr>
        <w:t> </w:t>
      </w:r>
      <w:r w:rsidRPr="00F618D8">
        <w:rPr>
          <w:rFonts w:ascii="Arial" w:hAnsi="Arial"/>
        </w:rPr>
        <w:t>Specialist</w:t>
      </w:r>
    </w:p>
    <w:p w14:paraId="3CCB4FA5" w14:textId="77777777" w:rsidR="00203CBC" w:rsidRPr="00F618D8" w:rsidRDefault="00203CBC" w:rsidP="00203CBC">
      <w:pPr>
        <w:pStyle w:val="MembersName"/>
        <w:rPr>
          <w:rFonts w:ascii="Arial" w:hAnsi="Arial"/>
        </w:rPr>
      </w:pPr>
      <w:r w:rsidRPr="00F618D8">
        <w:rPr>
          <w:rStyle w:val="normaltextrun"/>
          <w:rFonts w:ascii="Arial" w:hAnsi="Arial"/>
        </w:rPr>
        <w:t>Stacey S. Brown, Staff Assistant</w:t>
      </w:r>
      <w:r w:rsidRPr="00F618D8">
        <w:rPr>
          <w:rStyle w:val="eop"/>
          <w:rFonts w:ascii="Arial" w:hAnsi="Arial"/>
        </w:rPr>
        <w:t> </w:t>
      </w:r>
    </w:p>
    <w:p w14:paraId="5EBB3758" w14:textId="77777777" w:rsidR="00203CBC" w:rsidRPr="00F618D8" w:rsidRDefault="00203CBC" w:rsidP="00203CBC">
      <w:pPr>
        <w:pStyle w:val="MembersName"/>
        <w:rPr>
          <w:rFonts w:ascii="Arial" w:hAnsi="Arial"/>
        </w:rPr>
      </w:pPr>
      <w:r w:rsidRPr="00F618D8">
        <w:rPr>
          <w:rStyle w:val="normaltextrun"/>
          <w:rFonts w:ascii="Arial" w:hAnsi="Arial"/>
        </w:rPr>
        <w:t>Joan M. Durocher, General Counsel &amp; Director of Policy</w:t>
      </w:r>
      <w:r w:rsidRPr="00F618D8">
        <w:rPr>
          <w:rStyle w:val="eop"/>
          <w:rFonts w:ascii="Arial" w:hAnsi="Arial"/>
        </w:rPr>
        <w:t> </w:t>
      </w:r>
    </w:p>
    <w:p w14:paraId="4F4712F8" w14:textId="77777777" w:rsidR="00203CBC" w:rsidRPr="00F618D8" w:rsidRDefault="00203CBC" w:rsidP="00203CBC">
      <w:pPr>
        <w:pStyle w:val="MembersName"/>
        <w:rPr>
          <w:rFonts w:ascii="Arial" w:hAnsi="Arial"/>
        </w:rPr>
      </w:pPr>
      <w:r w:rsidRPr="00F618D8">
        <w:rPr>
          <w:rStyle w:val="normaltextrun"/>
          <w:rFonts w:ascii="Arial" w:hAnsi="Arial"/>
        </w:rPr>
        <w:t>Lisa Grubb, Executive Director</w:t>
      </w:r>
      <w:r w:rsidRPr="00F618D8">
        <w:rPr>
          <w:rStyle w:val="eop"/>
          <w:rFonts w:ascii="Arial" w:hAnsi="Arial"/>
        </w:rPr>
        <w:t> </w:t>
      </w:r>
    </w:p>
    <w:p w14:paraId="74AF926D" w14:textId="77777777" w:rsidR="00203CBC" w:rsidRPr="00F618D8" w:rsidRDefault="00203CBC" w:rsidP="00203CBC">
      <w:pPr>
        <w:pStyle w:val="MembersName"/>
        <w:rPr>
          <w:rFonts w:ascii="Arial" w:hAnsi="Arial"/>
        </w:rPr>
      </w:pPr>
      <w:r w:rsidRPr="00F618D8">
        <w:rPr>
          <w:rStyle w:val="normaltextrun"/>
          <w:rFonts w:ascii="Arial" w:hAnsi="Arial"/>
        </w:rPr>
        <w:t>Netterie Lewis, Administrative Support Specialist</w:t>
      </w:r>
      <w:r w:rsidRPr="00F618D8">
        <w:rPr>
          <w:rStyle w:val="eop"/>
          <w:rFonts w:ascii="Arial" w:hAnsi="Arial"/>
        </w:rPr>
        <w:t> </w:t>
      </w:r>
    </w:p>
    <w:p w14:paraId="0E9153BD" w14:textId="77777777" w:rsidR="00203CBC" w:rsidRPr="00F618D8" w:rsidRDefault="00203CBC" w:rsidP="00203CBC">
      <w:pPr>
        <w:pStyle w:val="MembersName"/>
        <w:rPr>
          <w:rFonts w:ascii="Arial" w:hAnsi="Arial"/>
        </w:rPr>
      </w:pPr>
      <w:r w:rsidRPr="00F618D8">
        <w:rPr>
          <w:rStyle w:val="normaltextrun"/>
          <w:rFonts w:ascii="Arial" w:hAnsi="Arial"/>
        </w:rPr>
        <w:t>Amy Nichols, Attorney Advisor</w:t>
      </w:r>
      <w:r w:rsidRPr="00F618D8">
        <w:rPr>
          <w:rStyle w:val="eop"/>
          <w:rFonts w:ascii="Arial" w:hAnsi="Arial"/>
        </w:rPr>
        <w:t> </w:t>
      </w:r>
    </w:p>
    <w:p w14:paraId="7846421D" w14:textId="77777777" w:rsidR="00203CBC" w:rsidRPr="00F618D8" w:rsidRDefault="00203CBC" w:rsidP="00203CBC">
      <w:pPr>
        <w:pStyle w:val="MembersName"/>
        <w:rPr>
          <w:rFonts w:ascii="Arial" w:hAnsi="Arial"/>
        </w:rPr>
      </w:pPr>
      <w:r w:rsidRPr="00F618D8">
        <w:rPr>
          <w:rStyle w:val="normaltextrun"/>
          <w:rFonts w:ascii="Arial" w:hAnsi="Arial"/>
        </w:rPr>
        <w:t>Nick Sabula, Public Affairs Specialist</w:t>
      </w:r>
      <w:r w:rsidRPr="00F618D8">
        <w:rPr>
          <w:rStyle w:val="eop"/>
          <w:rFonts w:ascii="Arial" w:hAnsi="Arial"/>
        </w:rPr>
        <w:t> </w:t>
      </w:r>
    </w:p>
    <w:p w14:paraId="3A63452D" w14:textId="77777777" w:rsidR="00203CBC" w:rsidRPr="00F618D8" w:rsidRDefault="00203CBC" w:rsidP="00203CBC">
      <w:pPr>
        <w:pStyle w:val="MembersName"/>
        <w:rPr>
          <w:rFonts w:ascii="Arial" w:hAnsi="Arial"/>
        </w:rPr>
      </w:pPr>
      <w:r w:rsidRPr="00F618D8">
        <w:rPr>
          <w:rStyle w:val="normaltextrun"/>
          <w:rFonts w:ascii="Arial" w:hAnsi="Arial"/>
        </w:rPr>
        <w:t>Amged Soliman, Attorney Advisor</w:t>
      </w:r>
      <w:r w:rsidRPr="00F618D8">
        <w:rPr>
          <w:rStyle w:val="eop"/>
          <w:rFonts w:ascii="Arial" w:hAnsi="Arial"/>
        </w:rPr>
        <w:t> </w:t>
      </w:r>
    </w:p>
    <w:p w14:paraId="0D61A5E5" w14:textId="77777777" w:rsidR="00203CBC" w:rsidRPr="00F618D8" w:rsidRDefault="00203CBC" w:rsidP="00203CBC">
      <w:pPr>
        <w:pStyle w:val="MembersName"/>
        <w:rPr>
          <w:rFonts w:ascii="Arial" w:hAnsi="Arial"/>
        </w:rPr>
      </w:pPr>
      <w:r w:rsidRPr="00F618D8">
        <w:rPr>
          <w:rStyle w:val="normaltextrun"/>
          <w:rFonts w:ascii="Arial" w:hAnsi="Arial"/>
        </w:rPr>
        <w:t>Anne Sommers, Director of Legislative Affairs &amp; Outreach</w:t>
      </w:r>
      <w:r w:rsidRPr="00F618D8">
        <w:rPr>
          <w:rStyle w:val="eop"/>
          <w:rFonts w:ascii="Arial" w:hAnsi="Arial"/>
        </w:rPr>
        <w:t> </w:t>
      </w:r>
    </w:p>
    <w:p w14:paraId="7625EDCC" w14:textId="77777777" w:rsidR="00203CBC" w:rsidRPr="00F618D8" w:rsidRDefault="00203CBC" w:rsidP="00203CBC">
      <w:pPr>
        <w:pStyle w:val="MembersName"/>
        <w:rPr>
          <w:rFonts w:ascii="Arial" w:hAnsi="Arial"/>
        </w:rPr>
      </w:pPr>
      <w:r w:rsidRPr="00F618D8">
        <w:rPr>
          <w:rStyle w:val="normaltextrun"/>
          <w:rFonts w:ascii="Arial" w:hAnsi="Arial"/>
        </w:rPr>
        <w:t>Ana Torres-Davis, Attorney Advisor</w:t>
      </w:r>
      <w:r w:rsidRPr="00F618D8">
        <w:rPr>
          <w:rStyle w:val="eop"/>
          <w:rFonts w:ascii="Arial" w:hAnsi="Arial"/>
        </w:rPr>
        <w:t> </w:t>
      </w:r>
    </w:p>
    <w:p w14:paraId="2820A060" w14:textId="77777777" w:rsidR="00203CBC" w:rsidRPr="00F618D8" w:rsidRDefault="00203CBC" w:rsidP="00203CBC">
      <w:pPr>
        <w:pStyle w:val="MembersName"/>
        <w:rPr>
          <w:rFonts w:ascii="Arial" w:hAnsi="Arial"/>
        </w:rPr>
      </w:pPr>
      <w:r w:rsidRPr="00F618D8">
        <w:rPr>
          <w:rStyle w:val="normaltextrun"/>
          <w:rFonts w:ascii="Arial" w:hAnsi="Arial"/>
        </w:rPr>
        <w:t>Keith Woods, Financial Management Analyst</w:t>
      </w:r>
    </w:p>
    <w:p w14:paraId="73BDF099" w14:textId="06B540B2" w:rsidR="00203CBC" w:rsidRPr="00F618D8" w:rsidRDefault="00203CBC" w:rsidP="00387358">
      <w:pPr>
        <w:pStyle w:val="Heading1"/>
        <w:rPr>
          <w:rFonts w:ascii="Arial" w:hAnsi="Arial" w:cs="Arial"/>
          <w:szCs w:val="36"/>
        </w:rPr>
      </w:pPr>
      <w:r w:rsidRPr="00F618D8">
        <w:rPr>
          <w:rFonts w:ascii="Arial" w:hAnsi="Arial" w:cs="Arial"/>
        </w:rPr>
        <w:br w:type="page"/>
      </w:r>
    </w:p>
    <w:p w14:paraId="765B7DE7" w14:textId="77777777" w:rsidR="00203CBC" w:rsidRPr="00F618D8" w:rsidRDefault="00203CBC">
      <w:pPr>
        <w:rPr>
          <w:rFonts w:ascii="Arial" w:eastAsia="Cambria" w:hAnsi="Arial" w:cs="Arial"/>
          <w:b/>
          <w:sz w:val="36"/>
          <w:szCs w:val="36"/>
        </w:rPr>
      </w:pPr>
      <w:r w:rsidRPr="00F618D8">
        <w:rPr>
          <w:rFonts w:ascii="Arial" w:hAnsi="Arial" w:cs="Arial"/>
          <w:szCs w:val="36"/>
        </w:rPr>
        <w:lastRenderedPageBreak/>
        <w:br w:type="page"/>
      </w:r>
    </w:p>
    <w:p w14:paraId="12FC94EA" w14:textId="58C41B63" w:rsidR="00AA1F92" w:rsidRPr="00F618D8" w:rsidRDefault="00AA1F92" w:rsidP="00387358">
      <w:pPr>
        <w:pStyle w:val="Heading1"/>
        <w:rPr>
          <w:rFonts w:ascii="Arial" w:hAnsi="Arial" w:cs="Arial"/>
        </w:rPr>
      </w:pPr>
      <w:bookmarkStart w:id="11" w:name="_Toc9530164"/>
      <w:bookmarkStart w:id="12" w:name="_Toc10290942"/>
      <w:r w:rsidRPr="00F618D8">
        <w:rPr>
          <w:rFonts w:ascii="Arial" w:hAnsi="Arial" w:cs="Arial"/>
        </w:rPr>
        <w:lastRenderedPageBreak/>
        <w:t>Acknowledgments</w:t>
      </w:r>
      <w:bookmarkEnd w:id="11"/>
      <w:bookmarkEnd w:id="12"/>
    </w:p>
    <w:p w14:paraId="24A8750A" w14:textId="77777777" w:rsidR="00203CBC" w:rsidRPr="00F618D8" w:rsidRDefault="00203CBC" w:rsidP="00203CBC">
      <w:pPr>
        <w:pStyle w:val="AckBody"/>
        <w:rPr>
          <w:rFonts w:ascii="Arial" w:hAnsi="Arial"/>
        </w:rPr>
      </w:pPr>
      <w:r w:rsidRPr="00F618D8">
        <w:rPr>
          <w:rFonts w:ascii="Arial" w:hAnsi="Arial"/>
        </w:rPr>
        <w:t>The National Council on Disability (NCD) wishes to express its appreciation to Quality Trust for Individuals with Disabilities, the Autistic Self-Advocacy Network, and The Arc for working collaboratively with NCD to conduct the research and writing of this report.</w:t>
      </w:r>
    </w:p>
    <w:p w14:paraId="7EE99957" w14:textId="21777203" w:rsidR="00AA1F92" w:rsidRPr="00F618D8" w:rsidRDefault="00AA1F92">
      <w:pPr>
        <w:rPr>
          <w:rFonts w:ascii="Arial" w:hAnsi="Arial" w:cs="Arial"/>
          <w:b/>
          <w:sz w:val="36"/>
          <w:szCs w:val="36"/>
        </w:rPr>
      </w:pPr>
      <w:r w:rsidRPr="00F618D8">
        <w:rPr>
          <w:rFonts w:ascii="Arial" w:hAnsi="Arial" w:cs="Arial"/>
          <w:b/>
          <w:sz w:val="36"/>
          <w:szCs w:val="36"/>
        </w:rPr>
        <w:br w:type="page"/>
      </w:r>
    </w:p>
    <w:p w14:paraId="62AC919E" w14:textId="77777777" w:rsidR="00AA1F92" w:rsidRPr="00F618D8" w:rsidRDefault="00CC4585" w:rsidP="00637E8A">
      <w:pPr>
        <w:pStyle w:val="Heading1"/>
        <w:rPr>
          <w:rFonts w:ascii="Arial" w:hAnsi="Arial" w:cs="Arial"/>
        </w:rPr>
      </w:pPr>
      <w:bookmarkStart w:id="13" w:name="_Toc10290943"/>
      <w:r w:rsidRPr="00F618D8">
        <w:rPr>
          <w:rFonts w:ascii="Arial" w:hAnsi="Arial" w:cs="Arial"/>
        </w:rPr>
        <w:lastRenderedPageBreak/>
        <w:t>Contents</w:t>
      </w:r>
      <w:bookmarkEnd w:id="13"/>
    </w:p>
    <w:sdt>
      <w:sdtPr>
        <w:rPr>
          <w:rFonts w:ascii="Arial" w:hAnsi="Arial" w:cs="Arial"/>
        </w:rPr>
        <w:id w:val="-814403967"/>
        <w:docPartObj>
          <w:docPartGallery w:val="Table of Contents"/>
          <w:docPartUnique/>
        </w:docPartObj>
      </w:sdtPr>
      <w:sdtEndPr>
        <w:rPr>
          <w:b/>
          <w:bCs/>
          <w:noProof/>
        </w:rPr>
      </w:sdtEndPr>
      <w:sdtContent>
        <w:p w14:paraId="115B53B6" w14:textId="77777777" w:rsidR="00AA1F92" w:rsidRPr="00F618D8" w:rsidRDefault="00AA1F92" w:rsidP="00AA1F92">
          <w:pPr>
            <w:spacing w:after="0" w:line="240" w:lineRule="auto"/>
            <w:jc w:val="center"/>
            <w:rPr>
              <w:rFonts w:ascii="Arial" w:hAnsi="Arial" w:cs="Arial"/>
            </w:rPr>
          </w:pPr>
        </w:p>
        <w:p w14:paraId="08409FC1" w14:textId="1652CEAB" w:rsidR="00535B24" w:rsidRPr="00535B24" w:rsidRDefault="00AA1F92">
          <w:pPr>
            <w:pStyle w:val="TOC1"/>
            <w:rPr>
              <w:rFonts w:ascii="Arial" w:eastAsiaTheme="minorEastAsia" w:hAnsi="Arial" w:cs="Arial"/>
              <w:noProof/>
              <w:sz w:val="22"/>
              <w:szCs w:val="22"/>
            </w:rPr>
          </w:pPr>
          <w:r w:rsidRPr="00535B24">
            <w:rPr>
              <w:rFonts w:ascii="Arial" w:hAnsi="Arial" w:cs="Arial"/>
              <w:sz w:val="22"/>
              <w:szCs w:val="22"/>
            </w:rPr>
            <w:fldChar w:fldCharType="begin"/>
          </w:r>
          <w:r w:rsidRPr="00535B24">
            <w:rPr>
              <w:rFonts w:ascii="Arial" w:hAnsi="Arial" w:cs="Arial"/>
              <w:sz w:val="22"/>
              <w:szCs w:val="22"/>
            </w:rPr>
            <w:instrText xml:space="preserve"> TOC \o "1-3" \h \z \u </w:instrText>
          </w:r>
          <w:r w:rsidRPr="00535B24">
            <w:rPr>
              <w:rFonts w:ascii="Arial" w:hAnsi="Arial" w:cs="Arial"/>
              <w:sz w:val="22"/>
              <w:szCs w:val="22"/>
            </w:rPr>
            <w:fldChar w:fldCharType="separate"/>
          </w:r>
          <w:hyperlink w:anchor="_Toc10290944" w:history="1">
            <w:r w:rsidR="00535B24" w:rsidRPr="00535B24">
              <w:rPr>
                <w:rStyle w:val="Hyperlink"/>
                <w:rFonts w:ascii="Arial" w:hAnsi="Arial" w:cs="Arial"/>
                <w:noProof/>
                <w:sz w:val="22"/>
                <w:szCs w:val="22"/>
              </w:rPr>
              <w:t>Executive Summary</w:t>
            </w:r>
            <w:r w:rsidR="00535B24" w:rsidRPr="00535B24">
              <w:rPr>
                <w:rFonts w:ascii="Arial" w:hAnsi="Arial" w:cs="Arial"/>
                <w:noProof/>
                <w:webHidden/>
                <w:sz w:val="22"/>
                <w:szCs w:val="22"/>
              </w:rPr>
              <w:tab/>
            </w:r>
            <w:r w:rsidR="00535B24" w:rsidRPr="00535B24">
              <w:rPr>
                <w:rFonts w:ascii="Arial" w:hAnsi="Arial" w:cs="Arial"/>
                <w:noProof/>
                <w:webHidden/>
                <w:sz w:val="22"/>
                <w:szCs w:val="22"/>
              </w:rPr>
              <w:fldChar w:fldCharType="begin"/>
            </w:r>
            <w:r w:rsidR="00535B24" w:rsidRPr="00535B24">
              <w:rPr>
                <w:rFonts w:ascii="Arial" w:hAnsi="Arial" w:cs="Arial"/>
                <w:noProof/>
                <w:webHidden/>
                <w:sz w:val="22"/>
                <w:szCs w:val="22"/>
              </w:rPr>
              <w:instrText xml:space="preserve"> PAGEREF _Toc10290944 \h </w:instrText>
            </w:r>
            <w:r w:rsidR="00535B24" w:rsidRPr="00535B24">
              <w:rPr>
                <w:rFonts w:ascii="Arial" w:hAnsi="Arial" w:cs="Arial"/>
                <w:noProof/>
                <w:webHidden/>
                <w:sz w:val="22"/>
                <w:szCs w:val="22"/>
              </w:rPr>
            </w:r>
            <w:r w:rsidR="00535B24" w:rsidRPr="00535B24">
              <w:rPr>
                <w:rFonts w:ascii="Arial" w:hAnsi="Arial" w:cs="Arial"/>
                <w:noProof/>
                <w:webHidden/>
                <w:sz w:val="22"/>
                <w:szCs w:val="22"/>
              </w:rPr>
              <w:fldChar w:fldCharType="separate"/>
            </w:r>
            <w:r w:rsidR="00F01EC2">
              <w:rPr>
                <w:rFonts w:ascii="Arial" w:hAnsi="Arial" w:cs="Arial"/>
                <w:noProof/>
                <w:webHidden/>
                <w:sz w:val="22"/>
                <w:szCs w:val="22"/>
              </w:rPr>
              <w:t>8</w:t>
            </w:r>
            <w:r w:rsidR="00535B24" w:rsidRPr="00535B24">
              <w:rPr>
                <w:rFonts w:ascii="Arial" w:hAnsi="Arial" w:cs="Arial"/>
                <w:noProof/>
                <w:webHidden/>
                <w:sz w:val="22"/>
                <w:szCs w:val="22"/>
              </w:rPr>
              <w:fldChar w:fldCharType="end"/>
            </w:r>
          </w:hyperlink>
        </w:p>
        <w:p w14:paraId="323D6789" w14:textId="7BD629C7" w:rsidR="00535B24" w:rsidRPr="00535B24" w:rsidRDefault="00E81103">
          <w:pPr>
            <w:pStyle w:val="TOC2"/>
            <w:rPr>
              <w:rFonts w:ascii="Arial" w:eastAsiaTheme="minorEastAsia" w:hAnsi="Arial" w:cs="Arial"/>
              <w:noProof/>
            </w:rPr>
          </w:pPr>
          <w:hyperlink w:anchor="_Toc10290945" w:history="1">
            <w:r w:rsidR="00535B24" w:rsidRPr="00535B24">
              <w:rPr>
                <w:rStyle w:val="Hyperlink"/>
                <w:rFonts w:ascii="Arial" w:hAnsi="Arial" w:cs="Arial"/>
                <w:noProof/>
                <w:sz w:val="22"/>
              </w:rPr>
              <w:t>Summary of Methodology</w:t>
            </w:r>
            <w:bookmarkStart w:id="14" w:name="_GoBack"/>
            <w:bookmarkEnd w:id="14"/>
            <w:r w:rsidR="00535B24" w:rsidRPr="00535B24">
              <w:rPr>
                <w:rFonts w:ascii="Arial" w:hAnsi="Arial" w:cs="Arial"/>
                <w:noProof/>
                <w:webHidden/>
              </w:rPr>
              <w:tab/>
            </w:r>
            <w:r w:rsidR="00535B24" w:rsidRPr="00535B24">
              <w:rPr>
                <w:rFonts w:ascii="Arial" w:hAnsi="Arial" w:cs="Arial"/>
                <w:noProof/>
                <w:webHidden/>
              </w:rPr>
              <w:fldChar w:fldCharType="begin"/>
            </w:r>
            <w:r w:rsidR="00535B24" w:rsidRPr="00535B24">
              <w:rPr>
                <w:rFonts w:ascii="Arial" w:hAnsi="Arial" w:cs="Arial"/>
                <w:noProof/>
                <w:webHidden/>
              </w:rPr>
              <w:instrText xml:space="preserve"> PAGEREF _Toc10290945 \h </w:instrText>
            </w:r>
            <w:r w:rsidR="00535B24" w:rsidRPr="00535B24">
              <w:rPr>
                <w:rFonts w:ascii="Arial" w:hAnsi="Arial" w:cs="Arial"/>
                <w:noProof/>
                <w:webHidden/>
              </w:rPr>
            </w:r>
            <w:r w:rsidR="00535B24" w:rsidRPr="00535B24">
              <w:rPr>
                <w:rFonts w:ascii="Arial" w:hAnsi="Arial" w:cs="Arial"/>
                <w:noProof/>
                <w:webHidden/>
              </w:rPr>
              <w:fldChar w:fldCharType="separate"/>
            </w:r>
            <w:r w:rsidR="00F01EC2">
              <w:rPr>
                <w:rFonts w:ascii="Arial" w:hAnsi="Arial" w:cs="Arial"/>
                <w:noProof/>
                <w:webHidden/>
              </w:rPr>
              <w:t>9</w:t>
            </w:r>
            <w:r w:rsidR="00535B24" w:rsidRPr="00535B24">
              <w:rPr>
                <w:rFonts w:ascii="Arial" w:hAnsi="Arial" w:cs="Arial"/>
                <w:noProof/>
                <w:webHidden/>
              </w:rPr>
              <w:fldChar w:fldCharType="end"/>
            </w:r>
          </w:hyperlink>
        </w:p>
        <w:p w14:paraId="78B9C3FD" w14:textId="67D3C257" w:rsidR="00535B24" w:rsidRPr="00535B24" w:rsidRDefault="00E81103">
          <w:pPr>
            <w:pStyle w:val="TOC1"/>
            <w:rPr>
              <w:rFonts w:ascii="Arial" w:eastAsiaTheme="minorEastAsia" w:hAnsi="Arial" w:cs="Arial"/>
              <w:noProof/>
              <w:sz w:val="22"/>
              <w:szCs w:val="22"/>
            </w:rPr>
          </w:pPr>
          <w:hyperlink w:anchor="_Toc10290946" w:history="1">
            <w:r w:rsidR="00535B24" w:rsidRPr="00535B24">
              <w:rPr>
                <w:rStyle w:val="Hyperlink"/>
                <w:rFonts w:ascii="Arial" w:hAnsi="Arial" w:cs="Arial"/>
                <w:noProof/>
                <w:sz w:val="22"/>
                <w:szCs w:val="22"/>
              </w:rPr>
              <w:t>Executive Summary in Plain English</w:t>
            </w:r>
            <w:r w:rsidR="00535B24" w:rsidRPr="00535B24">
              <w:rPr>
                <w:rFonts w:ascii="Arial" w:hAnsi="Arial" w:cs="Arial"/>
                <w:noProof/>
                <w:webHidden/>
                <w:sz w:val="22"/>
                <w:szCs w:val="22"/>
              </w:rPr>
              <w:tab/>
            </w:r>
            <w:r w:rsidR="00535B24" w:rsidRPr="00535B24">
              <w:rPr>
                <w:rFonts w:ascii="Arial" w:hAnsi="Arial" w:cs="Arial"/>
                <w:noProof/>
                <w:webHidden/>
                <w:sz w:val="22"/>
                <w:szCs w:val="22"/>
              </w:rPr>
              <w:fldChar w:fldCharType="begin"/>
            </w:r>
            <w:r w:rsidR="00535B24" w:rsidRPr="00535B24">
              <w:rPr>
                <w:rFonts w:ascii="Arial" w:hAnsi="Arial" w:cs="Arial"/>
                <w:noProof/>
                <w:webHidden/>
                <w:sz w:val="22"/>
                <w:szCs w:val="22"/>
              </w:rPr>
              <w:instrText xml:space="preserve"> PAGEREF _Toc10290946 \h </w:instrText>
            </w:r>
            <w:r w:rsidR="00535B24" w:rsidRPr="00535B24">
              <w:rPr>
                <w:rFonts w:ascii="Arial" w:hAnsi="Arial" w:cs="Arial"/>
                <w:noProof/>
                <w:webHidden/>
                <w:sz w:val="22"/>
                <w:szCs w:val="22"/>
              </w:rPr>
            </w:r>
            <w:r w:rsidR="00535B24" w:rsidRPr="00535B24">
              <w:rPr>
                <w:rFonts w:ascii="Arial" w:hAnsi="Arial" w:cs="Arial"/>
                <w:noProof/>
                <w:webHidden/>
                <w:sz w:val="22"/>
                <w:szCs w:val="22"/>
              </w:rPr>
              <w:fldChar w:fldCharType="separate"/>
            </w:r>
            <w:r w:rsidR="00F01EC2">
              <w:rPr>
                <w:rFonts w:ascii="Arial" w:hAnsi="Arial" w:cs="Arial"/>
                <w:noProof/>
                <w:webHidden/>
                <w:sz w:val="22"/>
                <w:szCs w:val="22"/>
              </w:rPr>
              <w:t>12</w:t>
            </w:r>
            <w:r w:rsidR="00535B24" w:rsidRPr="00535B24">
              <w:rPr>
                <w:rFonts w:ascii="Arial" w:hAnsi="Arial" w:cs="Arial"/>
                <w:noProof/>
                <w:webHidden/>
                <w:sz w:val="22"/>
                <w:szCs w:val="22"/>
              </w:rPr>
              <w:fldChar w:fldCharType="end"/>
            </w:r>
          </w:hyperlink>
        </w:p>
        <w:p w14:paraId="09A0BD38" w14:textId="20545B32" w:rsidR="00535B24" w:rsidRPr="00535B24" w:rsidRDefault="00E81103">
          <w:pPr>
            <w:pStyle w:val="TOC1"/>
            <w:rPr>
              <w:rFonts w:ascii="Arial" w:eastAsiaTheme="minorEastAsia" w:hAnsi="Arial" w:cs="Arial"/>
              <w:noProof/>
              <w:sz w:val="22"/>
              <w:szCs w:val="22"/>
            </w:rPr>
          </w:pPr>
          <w:hyperlink w:anchor="_Toc10290947" w:history="1">
            <w:r w:rsidR="00535B24" w:rsidRPr="00535B24">
              <w:rPr>
                <w:rStyle w:val="Hyperlink"/>
                <w:rFonts w:ascii="Arial" w:hAnsi="Arial" w:cs="Arial"/>
                <w:noProof/>
                <w:sz w:val="22"/>
                <w:szCs w:val="22"/>
              </w:rPr>
              <w:t>Glossary</w:t>
            </w:r>
            <w:r w:rsidR="00535B24" w:rsidRPr="00535B24">
              <w:rPr>
                <w:rFonts w:ascii="Arial" w:hAnsi="Arial" w:cs="Arial"/>
                <w:noProof/>
                <w:webHidden/>
                <w:sz w:val="22"/>
                <w:szCs w:val="22"/>
              </w:rPr>
              <w:tab/>
            </w:r>
            <w:r w:rsidR="00535B24" w:rsidRPr="00535B24">
              <w:rPr>
                <w:rFonts w:ascii="Arial" w:hAnsi="Arial" w:cs="Arial"/>
                <w:noProof/>
                <w:webHidden/>
                <w:sz w:val="22"/>
                <w:szCs w:val="22"/>
              </w:rPr>
              <w:fldChar w:fldCharType="begin"/>
            </w:r>
            <w:r w:rsidR="00535B24" w:rsidRPr="00535B24">
              <w:rPr>
                <w:rFonts w:ascii="Arial" w:hAnsi="Arial" w:cs="Arial"/>
                <w:noProof/>
                <w:webHidden/>
                <w:sz w:val="22"/>
                <w:szCs w:val="22"/>
              </w:rPr>
              <w:instrText xml:space="preserve"> PAGEREF _Toc10290947 \h </w:instrText>
            </w:r>
            <w:r w:rsidR="00535B24" w:rsidRPr="00535B24">
              <w:rPr>
                <w:rFonts w:ascii="Arial" w:hAnsi="Arial" w:cs="Arial"/>
                <w:noProof/>
                <w:webHidden/>
                <w:sz w:val="22"/>
                <w:szCs w:val="22"/>
              </w:rPr>
            </w:r>
            <w:r w:rsidR="00535B24" w:rsidRPr="00535B24">
              <w:rPr>
                <w:rFonts w:ascii="Arial" w:hAnsi="Arial" w:cs="Arial"/>
                <w:noProof/>
                <w:webHidden/>
                <w:sz w:val="22"/>
                <w:szCs w:val="22"/>
              </w:rPr>
              <w:fldChar w:fldCharType="separate"/>
            </w:r>
            <w:r w:rsidR="00F01EC2">
              <w:rPr>
                <w:rFonts w:ascii="Arial" w:hAnsi="Arial" w:cs="Arial"/>
                <w:noProof/>
                <w:webHidden/>
                <w:sz w:val="22"/>
                <w:szCs w:val="22"/>
              </w:rPr>
              <w:t>14</w:t>
            </w:r>
            <w:r w:rsidR="00535B24" w:rsidRPr="00535B24">
              <w:rPr>
                <w:rFonts w:ascii="Arial" w:hAnsi="Arial" w:cs="Arial"/>
                <w:noProof/>
                <w:webHidden/>
                <w:sz w:val="22"/>
                <w:szCs w:val="22"/>
              </w:rPr>
              <w:fldChar w:fldCharType="end"/>
            </w:r>
          </w:hyperlink>
        </w:p>
        <w:p w14:paraId="7687CE01" w14:textId="242269AD" w:rsidR="00535B24" w:rsidRPr="00535B24" w:rsidRDefault="00E81103">
          <w:pPr>
            <w:pStyle w:val="TOC1"/>
            <w:rPr>
              <w:rFonts w:ascii="Arial" w:eastAsiaTheme="minorEastAsia" w:hAnsi="Arial" w:cs="Arial"/>
              <w:noProof/>
              <w:sz w:val="22"/>
              <w:szCs w:val="22"/>
            </w:rPr>
          </w:pPr>
          <w:hyperlink w:anchor="_Toc10290948" w:history="1">
            <w:r w:rsidR="00535B24" w:rsidRPr="00535B24">
              <w:rPr>
                <w:rStyle w:val="Hyperlink"/>
                <w:rFonts w:ascii="Arial" w:hAnsi="Arial" w:cs="Arial"/>
                <w:noProof/>
                <w:sz w:val="22"/>
                <w:szCs w:val="22"/>
              </w:rPr>
              <w:t>List of Acronyms</w:t>
            </w:r>
            <w:r w:rsidR="00535B24" w:rsidRPr="00535B24">
              <w:rPr>
                <w:rFonts w:ascii="Arial" w:hAnsi="Arial" w:cs="Arial"/>
                <w:noProof/>
                <w:webHidden/>
                <w:sz w:val="22"/>
                <w:szCs w:val="22"/>
              </w:rPr>
              <w:tab/>
            </w:r>
            <w:r w:rsidR="00535B24" w:rsidRPr="00535B24">
              <w:rPr>
                <w:rFonts w:ascii="Arial" w:hAnsi="Arial" w:cs="Arial"/>
                <w:noProof/>
                <w:webHidden/>
                <w:sz w:val="22"/>
                <w:szCs w:val="22"/>
              </w:rPr>
              <w:fldChar w:fldCharType="begin"/>
            </w:r>
            <w:r w:rsidR="00535B24" w:rsidRPr="00535B24">
              <w:rPr>
                <w:rFonts w:ascii="Arial" w:hAnsi="Arial" w:cs="Arial"/>
                <w:noProof/>
                <w:webHidden/>
                <w:sz w:val="22"/>
                <w:szCs w:val="22"/>
              </w:rPr>
              <w:instrText xml:space="preserve"> PAGEREF _Toc10290948 \h </w:instrText>
            </w:r>
            <w:r w:rsidR="00535B24" w:rsidRPr="00535B24">
              <w:rPr>
                <w:rFonts w:ascii="Arial" w:hAnsi="Arial" w:cs="Arial"/>
                <w:noProof/>
                <w:webHidden/>
                <w:sz w:val="22"/>
                <w:szCs w:val="22"/>
              </w:rPr>
            </w:r>
            <w:r w:rsidR="00535B24" w:rsidRPr="00535B24">
              <w:rPr>
                <w:rFonts w:ascii="Arial" w:hAnsi="Arial" w:cs="Arial"/>
                <w:noProof/>
                <w:webHidden/>
                <w:sz w:val="22"/>
                <w:szCs w:val="22"/>
              </w:rPr>
              <w:fldChar w:fldCharType="separate"/>
            </w:r>
            <w:r w:rsidR="00F01EC2">
              <w:rPr>
                <w:rFonts w:ascii="Arial" w:hAnsi="Arial" w:cs="Arial"/>
                <w:noProof/>
                <w:webHidden/>
                <w:sz w:val="22"/>
                <w:szCs w:val="22"/>
              </w:rPr>
              <w:t>22</w:t>
            </w:r>
            <w:r w:rsidR="00535B24" w:rsidRPr="00535B24">
              <w:rPr>
                <w:rFonts w:ascii="Arial" w:hAnsi="Arial" w:cs="Arial"/>
                <w:noProof/>
                <w:webHidden/>
                <w:sz w:val="22"/>
                <w:szCs w:val="22"/>
              </w:rPr>
              <w:fldChar w:fldCharType="end"/>
            </w:r>
          </w:hyperlink>
        </w:p>
        <w:p w14:paraId="52F6F333" w14:textId="5CB4AD13" w:rsidR="00535B24" w:rsidRPr="00535B24" w:rsidRDefault="00E81103">
          <w:pPr>
            <w:pStyle w:val="TOC1"/>
            <w:rPr>
              <w:rFonts w:ascii="Arial" w:eastAsiaTheme="minorEastAsia" w:hAnsi="Arial" w:cs="Arial"/>
              <w:noProof/>
              <w:sz w:val="22"/>
              <w:szCs w:val="22"/>
            </w:rPr>
          </w:pPr>
          <w:hyperlink w:anchor="_Toc10290949" w:history="1">
            <w:r w:rsidR="00535B24" w:rsidRPr="00535B24">
              <w:rPr>
                <w:rStyle w:val="Hyperlink"/>
                <w:rFonts w:ascii="Arial" w:hAnsi="Arial" w:cs="Arial"/>
                <w:noProof/>
                <w:sz w:val="22"/>
                <w:szCs w:val="22"/>
              </w:rPr>
              <w:t>Chapter 1: Introduction to ID/DD,Guardianship, and Alternatives</w:t>
            </w:r>
            <w:r w:rsidR="00535B24" w:rsidRPr="00535B24">
              <w:rPr>
                <w:rFonts w:ascii="Arial" w:hAnsi="Arial" w:cs="Arial"/>
                <w:noProof/>
                <w:webHidden/>
                <w:sz w:val="22"/>
                <w:szCs w:val="22"/>
              </w:rPr>
              <w:tab/>
            </w:r>
            <w:r w:rsidR="00535B24" w:rsidRPr="00535B24">
              <w:rPr>
                <w:rFonts w:ascii="Arial" w:hAnsi="Arial" w:cs="Arial"/>
                <w:noProof/>
                <w:webHidden/>
                <w:sz w:val="22"/>
                <w:szCs w:val="22"/>
              </w:rPr>
              <w:fldChar w:fldCharType="begin"/>
            </w:r>
            <w:r w:rsidR="00535B24" w:rsidRPr="00535B24">
              <w:rPr>
                <w:rFonts w:ascii="Arial" w:hAnsi="Arial" w:cs="Arial"/>
                <w:noProof/>
                <w:webHidden/>
                <w:sz w:val="22"/>
                <w:szCs w:val="22"/>
              </w:rPr>
              <w:instrText xml:space="preserve"> PAGEREF _Toc10290949 \h </w:instrText>
            </w:r>
            <w:r w:rsidR="00535B24" w:rsidRPr="00535B24">
              <w:rPr>
                <w:rFonts w:ascii="Arial" w:hAnsi="Arial" w:cs="Arial"/>
                <w:noProof/>
                <w:webHidden/>
                <w:sz w:val="22"/>
                <w:szCs w:val="22"/>
              </w:rPr>
            </w:r>
            <w:r w:rsidR="00535B24" w:rsidRPr="00535B24">
              <w:rPr>
                <w:rFonts w:ascii="Arial" w:hAnsi="Arial" w:cs="Arial"/>
                <w:noProof/>
                <w:webHidden/>
                <w:sz w:val="22"/>
                <w:szCs w:val="22"/>
              </w:rPr>
              <w:fldChar w:fldCharType="separate"/>
            </w:r>
            <w:r w:rsidR="00F01EC2">
              <w:rPr>
                <w:rFonts w:ascii="Arial" w:hAnsi="Arial" w:cs="Arial"/>
                <w:noProof/>
                <w:webHidden/>
                <w:sz w:val="22"/>
                <w:szCs w:val="22"/>
              </w:rPr>
              <w:t>24</w:t>
            </w:r>
            <w:r w:rsidR="00535B24" w:rsidRPr="00535B24">
              <w:rPr>
                <w:rFonts w:ascii="Arial" w:hAnsi="Arial" w:cs="Arial"/>
                <w:noProof/>
                <w:webHidden/>
                <w:sz w:val="22"/>
                <w:szCs w:val="22"/>
              </w:rPr>
              <w:fldChar w:fldCharType="end"/>
            </w:r>
          </w:hyperlink>
        </w:p>
        <w:p w14:paraId="66DCC8A9" w14:textId="23B3052D" w:rsidR="00535B24" w:rsidRPr="00535B24" w:rsidRDefault="00E81103">
          <w:pPr>
            <w:pStyle w:val="TOC2"/>
            <w:rPr>
              <w:rFonts w:ascii="Arial" w:eastAsiaTheme="minorEastAsia" w:hAnsi="Arial" w:cs="Arial"/>
              <w:noProof/>
            </w:rPr>
          </w:pPr>
          <w:hyperlink w:anchor="_Toc10290950" w:history="1">
            <w:r w:rsidR="00535B24" w:rsidRPr="00535B24">
              <w:rPr>
                <w:rStyle w:val="Hyperlink"/>
                <w:rFonts w:ascii="Arial" w:hAnsi="Arial" w:cs="Arial"/>
                <w:noProof/>
                <w:sz w:val="22"/>
              </w:rPr>
              <w:t>People with Intellectual and Developmental Disabilities</w:t>
            </w:r>
            <w:r w:rsidR="00535B24" w:rsidRPr="00535B24">
              <w:rPr>
                <w:rFonts w:ascii="Arial" w:hAnsi="Arial" w:cs="Arial"/>
                <w:noProof/>
                <w:webHidden/>
              </w:rPr>
              <w:tab/>
            </w:r>
            <w:r w:rsidR="00535B24" w:rsidRPr="00535B24">
              <w:rPr>
                <w:rFonts w:ascii="Arial" w:hAnsi="Arial" w:cs="Arial"/>
                <w:noProof/>
                <w:webHidden/>
              </w:rPr>
              <w:fldChar w:fldCharType="begin"/>
            </w:r>
            <w:r w:rsidR="00535B24" w:rsidRPr="00535B24">
              <w:rPr>
                <w:rFonts w:ascii="Arial" w:hAnsi="Arial" w:cs="Arial"/>
                <w:noProof/>
                <w:webHidden/>
              </w:rPr>
              <w:instrText xml:space="preserve"> PAGEREF _Toc10290950 \h </w:instrText>
            </w:r>
            <w:r w:rsidR="00535B24" w:rsidRPr="00535B24">
              <w:rPr>
                <w:rFonts w:ascii="Arial" w:hAnsi="Arial" w:cs="Arial"/>
                <w:noProof/>
                <w:webHidden/>
              </w:rPr>
            </w:r>
            <w:r w:rsidR="00535B24" w:rsidRPr="00535B24">
              <w:rPr>
                <w:rFonts w:ascii="Arial" w:hAnsi="Arial" w:cs="Arial"/>
                <w:noProof/>
                <w:webHidden/>
              </w:rPr>
              <w:fldChar w:fldCharType="separate"/>
            </w:r>
            <w:r w:rsidR="00F01EC2">
              <w:rPr>
                <w:rFonts w:ascii="Arial" w:hAnsi="Arial" w:cs="Arial"/>
                <w:noProof/>
                <w:webHidden/>
              </w:rPr>
              <w:t>24</w:t>
            </w:r>
            <w:r w:rsidR="00535B24" w:rsidRPr="00535B24">
              <w:rPr>
                <w:rFonts w:ascii="Arial" w:hAnsi="Arial" w:cs="Arial"/>
                <w:noProof/>
                <w:webHidden/>
              </w:rPr>
              <w:fldChar w:fldCharType="end"/>
            </w:r>
          </w:hyperlink>
        </w:p>
        <w:p w14:paraId="3F0AF321" w14:textId="065D810D" w:rsidR="00535B24" w:rsidRPr="00535B24" w:rsidRDefault="00E81103">
          <w:pPr>
            <w:pStyle w:val="TOC2"/>
            <w:rPr>
              <w:rFonts w:ascii="Arial" w:eastAsiaTheme="minorEastAsia" w:hAnsi="Arial" w:cs="Arial"/>
              <w:noProof/>
            </w:rPr>
          </w:pPr>
          <w:hyperlink w:anchor="_Toc10290951" w:history="1">
            <w:r w:rsidR="00535B24" w:rsidRPr="00535B24">
              <w:rPr>
                <w:rStyle w:val="Hyperlink"/>
                <w:rFonts w:ascii="Arial" w:hAnsi="Arial" w:cs="Arial"/>
                <w:noProof/>
                <w:sz w:val="22"/>
              </w:rPr>
              <w:t>Debunking Myths of Intelligence Testing of People with ID/DD</w:t>
            </w:r>
            <w:r w:rsidR="00535B24" w:rsidRPr="00535B24">
              <w:rPr>
                <w:rFonts w:ascii="Arial" w:hAnsi="Arial" w:cs="Arial"/>
                <w:noProof/>
                <w:webHidden/>
              </w:rPr>
              <w:tab/>
            </w:r>
            <w:r w:rsidR="00535B24" w:rsidRPr="00535B24">
              <w:rPr>
                <w:rFonts w:ascii="Arial" w:hAnsi="Arial" w:cs="Arial"/>
                <w:noProof/>
                <w:webHidden/>
              </w:rPr>
              <w:fldChar w:fldCharType="begin"/>
            </w:r>
            <w:r w:rsidR="00535B24" w:rsidRPr="00535B24">
              <w:rPr>
                <w:rFonts w:ascii="Arial" w:hAnsi="Arial" w:cs="Arial"/>
                <w:noProof/>
                <w:webHidden/>
              </w:rPr>
              <w:instrText xml:space="preserve"> PAGEREF _Toc10290951 \h </w:instrText>
            </w:r>
            <w:r w:rsidR="00535B24" w:rsidRPr="00535B24">
              <w:rPr>
                <w:rFonts w:ascii="Arial" w:hAnsi="Arial" w:cs="Arial"/>
                <w:noProof/>
                <w:webHidden/>
              </w:rPr>
            </w:r>
            <w:r w:rsidR="00535B24" w:rsidRPr="00535B24">
              <w:rPr>
                <w:rFonts w:ascii="Arial" w:hAnsi="Arial" w:cs="Arial"/>
                <w:noProof/>
                <w:webHidden/>
              </w:rPr>
              <w:fldChar w:fldCharType="separate"/>
            </w:r>
            <w:r w:rsidR="00F01EC2">
              <w:rPr>
                <w:rFonts w:ascii="Arial" w:hAnsi="Arial" w:cs="Arial"/>
                <w:noProof/>
                <w:webHidden/>
              </w:rPr>
              <w:t>25</w:t>
            </w:r>
            <w:r w:rsidR="00535B24" w:rsidRPr="00535B24">
              <w:rPr>
                <w:rFonts w:ascii="Arial" w:hAnsi="Arial" w:cs="Arial"/>
                <w:noProof/>
                <w:webHidden/>
              </w:rPr>
              <w:fldChar w:fldCharType="end"/>
            </w:r>
          </w:hyperlink>
        </w:p>
        <w:p w14:paraId="221E1CDF" w14:textId="5641DD5D" w:rsidR="00535B24" w:rsidRPr="00535B24" w:rsidRDefault="00E81103">
          <w:pPr>
            <w:pStyle w:val="TOC2"/>
            <w:rPr>
              <w:rFonts w:ascii="Arial" w:eastAsiaTheme="minorEastAsia" w:hAnsi="Arial" w:cs="Arial"/>
              <w:noProof/>
            </w:rPr>
          </w:pPr>
          <w:hyperlink w:anchor="_Toc10290952" w:history="1">
            <w:r w:rsidR="00535B24" w:rsidRPr="00535B24">
              <w:rPr>
                <w:rStyle w:val="Hyperlink"/>
                <w:rFonts w:ascii="Arial" w:hAnsi="Arial" w:cs="Arial"/>
                <w:noProof/>
                <w:sz w:val="22"/>
              </w:rPr>
              <w:t>Guardianship and People with ID/DD</w:t>
            </w:r>
            <w:r w:rsidR="00535B24" w:rsidRPr="00535B24">
              <w:rPr>
                <w:rFonts w:ascii="Arial" w:hAnsi="Arial" w:cs="Arial"/>
                <w:noProof/>
                <w:webHidden/>
              </w:rPr>
              <w:tab/>
            </w:r>
            <w:r w:rsidR="00535B24" w:rsidRPr="00535B24">
              <w:rPr>
                <w:rFonts w:ascii="Arial" w:hAnsi="Arial" w:cs="Arial"/>
                <w:noProof/>
                <w:webHidden/>
              </w:rPr>
              <w:fldChar w:fldCharType="begin"/>
            </w:r>
            <w:r w:rsidR="00535B24" w:rsidRPr="00535B24">
              <w:rPr>
                <w:rFonts w:ascii="Arial" w:hAnsi="Arial" w:cs="Arial"/>
                <w:noProof/>
                <w:webHidden/>
              </w:rPr>
              <w:instrText xml:space="preserve"> PAGEREF _Toc10290952 \h </w:instrText>
            </w:r>
            <w:r w:rsidR="00535B24" w:rsidRPr="00535B24">
              <w:rPr>
                <w:rFonts w:ascii="Arial" w:hAnsi="Arial" w:cs="Arial"/>
                <w:noProof/>
                <w:webHidden/>
              </w:rPr>
            </w:r>
            <w:r w:rsidR="00535B24" w:rsidRPr="00535B24">
              <w:rPr>
                <w:rFonts w:ascii="Arial" w:hAnsi="Arial" w:cs="Arial"/>
                <w:noProof/>
                <w:webHidden/>
              </w:rPr>
              <w:fldChar w:fldCharType="separate"/>
            </w:r>
            <w:r w:rsidR="00F01EC2">
              <w:rPr>
                <w:rFonts w:ascii="Arial" w:hAnsi="Arial" w:cs="Arial"/>
                <w:noProof/>
                <w:webHidden/>
              </w:rPr>
              <w:t>27</w:t>
            </w:r>
            <w:r w:rsidR="00535B24" w:rsidRPr="00535B24">
              <w:rPr>
                <w:rFonts w:ascii="Arial" w:hAnsi="Arial" w:cs="Arial"/>
                <w:noProof/>
                <w:webHidden/>
              </w:rPr>
              <w:fldChar w:fldCharType="end"/>
            </w:r>
          </w:hyperlink>
        </w:p>
        <w:p w14:paraId="78464F5B" w14:textId="4FE1FFB7" w:rsidR="00535B24" w:rsidRPr="00535B24" w:rsidRDefault="00E81103">
          <w:pPr>
            <w:pStyle w:val="TOC2"/>
            <w:rPr>
              <w:rFonts w:ascii="Arial" w:eastAsiaTheme="minorEastAsia" w:hAnsi="Arial" w:cs="Arial"/>
              <w:noProof/>
            </w:rPr>
          </w:pPr>
          <w:hyperlink w:anchor="_Toc10290953" w:history="1">
            <w:r w:rsidR="00535B24" w:rsidRPr="00535B24">
              <w:rPr>
                <w:rStyle w:val="Hyperlink"/>
                <w:rFonts w:ascii="Arial" w:hAnsi="Arial" w:cs="Arial"/>
                <w:noProof/>
                <w:sz w:val="22"/>
              </w:rPr>
              <w:t>Alternatives to Guardianship and People with ID/DD</w:t>
            </w:r>
            <w:r w:rsidR="00535B24" w:rsidRPr="00535B24">
              <w:rPr>
                <w:rFonts w:ascii="Arial" w:hAnsi="Arial" w:cs="Arial"/>
                <w:noProof/>
                <w:webHidden/>
              </w:rPr>
              <w:tab/>
            </w:r>
            <w:r w:rsidR="00535B24" w:rsidRPr="00535B24">
              <w:rPr>
                <w:rFonts w:ascii="Arial" w:hAnsi="Arial" w:cs="Arial"/>
                <w:noProof/>
                <w:webHidden/>
              </w:rPr>
              <w:fldChar w:fldCharType="begin"/>
            </w:r>
            <w:r w:rsidR="00535B24" w:rsidRPr="00535B24">
              <w:rPr>
                <w:rFonts w:ascii="Arial" w:hAnsi="Arial" w:cs="Arial"/>
                <w:noProof/>
                <w:webHidden/>
              </w:rPr>
              <w:instrText xml:space="preserve"> PAGEREF _Toc10290953 \h </w:instrText>
            </w:r>
            <w:r w:rsidR="00535B24" w:rsidRPr="00535B24">
              <w:rPr>
                <w:rFonts w:ascii="Arial" w:hAnsi="Arial" w:cs="Arial"/>
                <w:noProof/>
                <w:webHidden/>
              </w:rPr>
            </w:r>
            <w:r w:rsidR="00535B24" w:rsidRPr="00535B24">
              <w:rPr>
                <w:rFonts w:ascii="Arial" w:hAnsi="Arial" w:cs="Arial"/>
                <w:noProof/>
                <w:webHidden/>
              </w:rPr>
              <w:fldChar w:fldCharType="separate"/>
            </w:r>
            <w:r w:rsidR="00F01EC2">
              <w:rPr>
                <w:rFonts w:ascii="Arial" w:hAnsi="Arial" w:cs="Arial"/>
                <w:noProof/>
                <w:webHidden/>
              </w:rPr>
              <w:t>29</w:t>
            </w:r>
            <w:r w:rsidR="00535B24" w:rsidRPr="00535B24">
              <w:rPr>
                <w:rFonts w:ascii="Arial" w:hAnsi="Arial" w:cs="Arial"/>
                <w:noProof/>
                <w:webHidden/>
              </w:rPr>
              <w:fldChar w:fldCharType="end"/>
            </w:r>
          </w:hyperlink>
        </w:p>
        <w:p w14:paraId="3C5F46AD" w14:textId="629B734E" w:rsidR="00535B24" w:rsidRPr="00535B24" w:rsidRDefault="00E81103">
          <w:pPr>
            <w:pStyle w:val="TOC1"/>
            <w:rPr>
              <w:rFonts w:ascii="Arial" w:eastAsiaTheme="minorEastAsia" w:hAnsi="Arial" w:cs="Arial"/>
              <w:noProof/>
              <w:sz w:val="22"/>
              <w:szCs w:val="22"/>
            </w:rPr>
          </w:pPr>
          <w:hyperlink w:anchor="_Toc10290954" w:history="1">
            <w:r w:rsidR="00535B24" w:rsidRPr="00535B24">
              <w:rPr>
                <w:rStyle w:val="Hyperlink"/>
                <w:rFonts w:ascii="Arial" w:hAnsi="Arial" w:cs="Arial"/>
                <w:noProof/>
                <w:sz w:val="22"/>
                <w:szCs w:val="22"/>
              </w:rPr>
              <w:t>Chapter 2: School-to-Guardianship Pipeline for</w:t>
            </w:r>
            <w:r w:rsidR="00535B24" w:rsidRPr="00535B24">
              <w:rPr>
                <w:rFonts w:ascii="Arial" w:hAnsi="Arial" w:cs="Arial"/>
                <w:noProof/>
                <w:webHidden/>
                <w:sz w:val="22"/>
                <w:szCs w:val="22"/>
              </w:rPr>
              <w:tab/>
            </w:r>
            <w:r w:rsidR="00535B24" w:rsidRPr="00535B24">
              <w:rPr>
                <w:rFonts w:ascii="Arial" w:hAnsi="Arial" w:cs="Arial"/>
                <w:noProof/>
                <w:webHidden/>
                <w:sz w:val="22"/>
                <w:szCs w:val="22"/>
              </w:rPr>
              <w:fldChar w:fldCharType="begin"/>
            </w:r>
            <w:r w:rsidR="00535B24" w:rsidRPr="00535B24">
              <w:rPr>
                <w:rFonts w:ascii="Arial" w:hAnsi="Arial" w:cs="Arial"/>
                <w:noProof/>
                <w:webHidden/>
                <w:sz w:val="22"/>
                <w:szCs w:val="22"/>
              </w:rPr>
              <w:instrText xml:space="preserve"> PAGEREF _Toc10290954 \h </w:instrText>
            </w:r>
            <w:r w:rsidR="00535B24" w:rsidRPr="00535B24">
              <w:rPr>
                <w:rFonts w:ascii="Arial" w:hAnsi="Arial" w:cs="Arial"/>
                <w:noProof/>
                <w:webHidden/>
                <w:sz w:val="22"/>
                <w:szCs w:val="22"/>
              </w:rPr>
            </w:r>
            <w:r w:rsidR="00535B24" w:rsidRPr="00535B24">
              <w:rPr>
                <w:rFonts w:ascii="Arial" w:hAnsi="Arial" w:cs="Arial"/>
                <w:noProof/>
                <w:webHidden/>
                <w:sz w:val="22"/>
                <w:szCs w:val="22"/>
              </w:rPr>
              <w:fldChar w:fldCharType="separate"/>
            </w:r>
            <w:r w:rsidR="00F01EC2">
              <w:rPr>
                <w:rFonts w:ascii="Arial" w:hAnsi="Arial" w:cs="Arial"/>
                <w:noProof/>
                <w:webHidden/>
                <w:sz w:val="22"/>
                <w:szCs w:val="22"/>
              </w:rPr>
              <w:t>34</w:t>
            </w:r>
            <w:r w:rsidR="00535B24" w:rsidRPr="00535B24">
              <w:rPr>
                <w:rFonts w:ascii="Arial" w:hAnsi="Arial" w:cs="Arial"/>
                <w:noProof/>
                <w:webHidden/>
                <w:sz w:val="22"/>
                <w:szCs w:val="22"/>
              </w:rPr>
              <w:fldChar w:fldCharType="end"/>
            </w:r>
          </w:hyperlink>
        </w:p>
        <w:p w14:paraId="2E2734FD" w14:textId="3D103C65" w:rsidR="00535B24" w:rsidRPr="00535B24" w:rsidRDefault="00E81103">
          <w:pPr>
            <w:pStyle w:val="TOC1"/>
            <w:rPr>
              <w:rFonts w:ascii="Arial" w:eastAsiaTheme="minorEastAsia" w:hAnsi="Arial" w:cs="Arial"/>
              <w:noProof/>
              <w:sz w:val="22"/>
              <w:szCs w:val="22"/>
            </w:rPr>
          </w:pPr>
          <w:hyperlink w:anchor="_Toc10290955" w:history="1">
            <w:r w:rsidR="00535B24" w:rsidRPr="00535B24">
              <w:rPr>
                <w:rStyle w:val="Hyperlink"/>
                <w:rFonts w:ascii="Arial" w:hAnsi="Arial" w:cs="Arial"/>
                <w:noProof/>
                <w:sz w:val="22"/>
                <w:szCs w:val="22"/>
              </w:rPr>
              <w:t>Youth with ID/DD</w:t>
            </w:r>
            <w:r w:rsidR="00535B24" w:rsidRPr="00535B24">
              <w:rPr>
                <w:rFonts w:ascii="Arial" w:hAnsi="Arial" w:cs="Arial"/>
                <w:noProof/>
                <w:webHidden/>
                <w:sz w:val="22"/>
                <w:szCs w:val="22"/>
              </w:rPr>
              <w:tab/>
            </w:r>
            <w:r w:rsidR="00535B24" w:rsidRPr="00535B24">
              <w:rPr>
                <w:rFonts w:ascii="Arial" w:hAnsi="Arial" w:cs="Arial"/>
                <w:noProof/>
                <w:webHidden/>
                <w:sz w:val="22"/>
                <w:szCs w:val="22"/>
              </w:rPr>
              <w:fldChar w:fldCharType="begin"/>
            </w:r>
            <w:r w:rsidR="00535B24" w:rsidRPr="00535B24">
              <w:rPr>
                <w:rFonts w:ascii="Arial" w:hAnsi="Arial" w:cs="Arial"/>
                <w:noProof/>
                <w:webHidden/>
                <w:sz w:val="22"/>
                <w:szCs w:val="22"/>
              </w:rPr>
              <w:instrText xml:space="preserve"> PAGEREF _Toc10290955 \h </w:instrText>
            </w:r>
            <w:r w:rsidR="00535B24" w:rsidRPr="00535B24">
              <w:rPr>
                <w:rFonts w:ascii="Arial" w:hAnsi="Arial" w:cs="Arial"/>
                <w:noProof/>
                <w:webHidden/>
                <w:sz w:val="22"/>
                <w:szCs w:val="22"/>
              </w:rPr>
            </w:r>
            <w:r w:rsidR="00535B24" w:rsidRPr="00535B24">
              <w:rPr>
                <w:rFonts w:ascii="Arial" w:hAnsi="Arial" w:cs="Arial"/>
                <w:noProof/>
                <w:webHidden/>
                <w:sz w:val="22"/>
                <w:szCs w:val="22"/>
              </w:rPr>
              <w:fldChar w:fldCharType="separate"/>
            </w:r>
            <w:r w:rsidR="00F01EC2">
              <w:rPr>
                <w:rFonts w:ascii="Arial" w:hAnsi="Arial" w:cs="Arial"/>
                <w:noProof/>
                <w:webHidden/>
                <w:sz w:val="22"/>
                <w:szCs w:val="22"/>
              </w:rPr>
              <w:t>34</w:t>
            </w:r>
            <w:r w:rsidR="00535B24" w:rsidRPr="00535B24">
              <w:rPr>
                <w:rFonts w:ascii="Arial" w:hAnsi="Arial" w:cs="Arial"/>
                <w:noProof/>
                <w:webHidden/>
                <w:sz w:val="22"/>
                <w:szCs w:val="22"/>
              </w:rPr>
              <w:fldChar w:fldCharType="end"/>
            </w:r>
          </w:hyperlink>
        </w:p>
        <w:p w14:paraId="31289518" w14:textId="74FAFBD1" w:rsidR="00535B24" w:rsidRPr="00535B24" w:rsidRDefault="00E81103">
          <w:pPr>
            <w:pStyle w:val="TOC2"/>
            <w:rPr>
              <w:rFonts w:ascii="Arial" w:eastAsiaTheme="minorEastAsia" w:hAnsi="Arial" w:cs="Arial"/>
              <w:noProof/>
            </w:rPr>
          </w:pPr>
          <w:hyperlink w:anchor="_Toc10290956" w:history="1">
            <w:r w:rsidR="00535B24" w:rsidRPr="00535B24">
              <w:rPr>
                <w:rStyle w:val="Hyperlink"/>
                <w:rFonts w:ascii="Arial" w:hAnsi="Arial" w:cs="Arial"/>
                <w:noProof/>
                <w:sz w:val="22"/>
              </w:rPr>
              <w:t>The School-to-Guardianship Phenomenon</w:t>
            </w:r>
            <w:r w:rsidR="00535B24" w:rsidRPr="00535B24">
              <w:rPr>
                <w:rFonts w:ascii="Arial" w:hAnsi="Arial" w:cs="Arial"/>
                <w:noProof/>
                <w:webHidden/>
              </w:rPr>
              <w:tab/>
            </w:r>
            <w:r w:rsidR="00535B24" w:rsidRPr="00535B24">
              <w:rPr>
                <w:rFonts w:ascii="Arial" w:hAnsi="Arial" w:cs="Arial"/>
                <w:noProof/>
                <w:webHidden/>
              </w:rPr>
              <w:fldChar w:fldCharType="begin"/>
            </w:r>
            <w:r w:rsidR="00535B24" w:rsidRPr="00535B24">
              <w:rPr>
                <w:rFonts w:ascii="Arial" w:hAnsi="Arial" w:cs="Arial"/>
                <w:noProof/>
                <w:webHidden/>
              </w:rPr>
              <w:instrText xml:space="preserve"> PAGEREF _Toc10290956 \h </w:instrText>
            </w:r>
            <w:r w:rsidR="00535B24" w:rsidRPr="00535B24">
              <w:rPr>
                <w:rFonts w:ascii="Arial" w:hAnsi="Arial" w:cs="Arial"/>
                <w:noProof/>
                <w:webHidden/>
              </w:rPr>
            </w:r>
            <w:r w:rsidR="00535B24" w:rsidRPr="00535B24">
              <w:rPr>
                <w:rFonts w:ascii="Arial" w:hAnsi="Arial" w:cs="Arial"/>
                <w:noProof/>
                <w:webHidden/>
              </w:rPr>
              <w:fldChar w:fldCharType="separate"/>
            </w:r>
            <w:r w:rsidR="00F01EC2">
              <w:rPr>
                <w:rFonts w:ascii="Arial" w:hAnsi="Arial" w:cs="Arial"/>
                <w:noProof/>
                <w:webHidden/>
              </w:rPr>
              <w:t>34</w:t>
            </w:r>
            <w:r w:rsidR="00535B24" w:rsidRPr="00535B24">
              <w:rPr>
                <w:rFonts w:ascii="Arial" w:hAnsi="Arial" w:cs="Arial"/>
                <w:noProof/>
                <w:webHidden/>
              </w:rPr>
              <w:fldChar w:fldCharType="end"/>
            </w:r>
          </w:hyperlink>
        </w:p>
        <w:p w14:paraId="7CEC829F" w14:textId="4BA28839" w:rsidR="00535B24" w:rsidRPr="00535B24" w:rsidRDefault="00E81103">
          <w:pPr>
            <w:pStyle w:val="TOC2"/>
            <w:rPr>
              <w:rFonts w:ascii="Arial" w:eastAsiaTheme="minorEastAsia" w:hAnsi="Arial" w:cs="Arial"/>
              <w:noProof/>
            </w:rPr>
          </w:pPr>
          <w:hyperlink w:anchor="_Toc10290957" w:history="1">
            <w:r w:rsidR="00535B24" w:rsidRPr="00535B24">
              <w:rPr>
                <w:rStyle w:val="Hyperlink"/>
                <w:rFonts w:ascii="Arial" w:eastAsia="Arial" w:hAnsi="Arial" w:cs="Arial"/>
                <w:noProof/>
                <w:sz w:val="22"/>
              </w:rPr>
              <w:t>Th</w:t>
            </w:r>
            <w:r w:rsidR="00535B24" w:rsidRPr="00535B24">
              <w:rPr>
                <w:rStyle w:val="Hyperlink"/>
                <w:rFonts w:ascii="Arial" w:hAnsi="Arial" w:cs="Arial"/>
                <w:noProof/>
                <w:sz w:val="22"/>
              </w:rPr>
              <w:t>e Impact of the Pipeline and U.S. Policy Implications</w:t>
            </w:r>
            <w:r w:rsidR="00535B24" w:rsidRPr="00535B24">
              <w:rPr>
                <w:rFonts w:ascii="Arial" w:hAnsi="Arial" w:cs="Arial"/>
                <w:noProof/>
                <w:webHidden/>
              </w:rPr>
              <w:tab/>
            </w:r>
            <w:r w:rsidR="00535B24" w:rsidRPr="00535B24">
              <w:rPr>
                <w:rFonts w:ascii="Arial" w:hAnsi="Arial" w:cs="Arial"/>
                <w:noProof/>
                <w:webHidden/>
              </w:rPr>
              <w:fldChar w:fldCharType="begin"/>
            </w:r>
            <w:r w:rsidR="00535B24" w:rsidRPr="00535B24">
              <w:rPr>
                <w:rFonts w:ascii="Arial" w:hAnsi="Arial" w:cs="Arial"/>
                <w:noProof/>
                <w:webHidden/>
              </w:rPr>
              <w:instrText xml:space="preserve"> PAGEREF _Toc10290957 \h </w:instrText>
            </w:r>
            <w:r w:rsidR="00535B24" w:rsidRPr="00535B24">
              <w:rPr>
                <w:rFonts w:ascii="Arial" w:hAnsi="Arial" w:cs="Arial"/>
                <w:noProof/>
                <w:webHidden/>
              </w:rPr>
            </w:r>
            <w:r w:rsidR="00535B24" w:rsidRPr="00535B24">
              <w:rPr>
                <w:rFonts w:ascii="Arial" w:hAnsi="Arial" w:cs="Arial"/>
                <w:noProof/>
                <w:webHidden/>
              </w:rPr>
              <w:fldChar w:fldCharType="separate"/>
            </w:r>
            <w:r w:rsidR="00F01EC2">
              <w:rPr>
                <w:rFonts w:ascii="Arial" w:hAnsi="Arial" w:cs="Arial"/>
                <w:noProof/>
                <w:webHidden/>
              </w:rPr>
              <w:t>37</w:t>
            </w:r>
            <w:r w:rsidR="00535B24" w:rsidRPr="00535B24">
              <w:rPr>
                <w:rFonts w:ascii="Arial" w:hAnsi="Arial" w:cs="Arial"/>
                <w:noProof/>
                <w:webHidden/>
              </w:rPr>
              <w:fldChar w:fldCharType="end"/>
            </w:r>
          </w:hyperlink>
        </w:p>
        <w:p w14:paraId="185C03DA" w14:textId="31BC82CC" w:rsidR="00535B24" w:rsidRPr="00535B24" w:rsidRDefault="00E81103">
          <w:pPr>
            <w:pStyle w:val="TOC1"/>
            <w:rPr>
              <w:rFonts w:ascii="Arial" w:eastAsiaTheme="minorEastAsia" w:hAnsi="Arial" w:cs="Arial"/>
              <w:noProof/>
              <w:sz w:val="22"/>
              <w:szCs w:val="22"/>
            </w:rPr>
          </w:pPr>
          <w:hyperlink w:anchor="_Toc10290958" w:history="1">
            <w:r w:rsidR="00535B24" w:rsidRPr="00535B24">
              <w:rPr>
                <w:rStyle w:val="Hyperlink"/>
                <w:rFonts w:ascii="Arial" w:hAnsi="Arial" w:cs="Arial"/>
                <w:noProof/>
                <w:sz w:val="22"/>
                <w:szCs w:val="22"/>
              </w:rPr>
              <w:t>Chapter 3: Unequal Treatment of People with ID/DD Under State Guardianship Law</w:t>
            </w:r>
            <w:r w:rsidR="00535B24" w:rsidRPr="00535B24">
              <w:rPr>
                <w:rFonts w:ascii="Arial" w:hAnsi="Arial" w:cs="Arial"/>
                <w:noProof/>
                <w:webHidden/>
                <w:sz w:val="22"/>
                <w:szCs w:val="22"/>
              </w:rPr>
              <w:tab/>
            </w:r>
            <w:r w:rsidR="00535B24" w:rsidRPr="00535B24">
              <w:rPr>
                <w:rFonts w:ascii="Arial" w:hAnsi="Arial" w:cs="Arial"/>
                <w:noProof/>
                <w:webHidden/>
                <w:sz w:val="22"/>
                <w:szCs w:val="22"/>
              </w:rPr>
              <w:fldChar w:fldCharType="begin"/>
            </w:r>
            <w:r w:rsidR="00535B24" w:rsidRPr="00535B24">
              <w:rPr>
                <w:rFonts w:ascii="Arial" w:hAnsi="Arial" w:cs="Arial"/>
                <w:noProof/>
                <w:webHidden/>
                <w:sz w:val="22"/>
                <w:szCs w:val="22"/>
              </w:rPr>
              <w:instrText xml:space="preserve"> PAGEREF _Toc10290958 \h </w:instrText>
            </w:r>
            <w:r w:rsidR="00535B24" w:rsidRPr="00535B24">
              <w:rPr>
                <w:rFonts w:ascii="Arial" w:hAnsi="Arial" w:cs="Arial"/>
                <w:noProof/>
                <w:webHidden/>
                <w:sz w:val="22"/>
                <w:szCs w:val="22"/>
              </w:rPr>
            </w:r>
            <w:r w:rsidR="00535B24" w:rsidRPr="00535B24">
              <w:rPr>
                <w:rFonts w:ascii="Arial" w:hAnsi="Arial" w:cs="Arial"/>
                <w:noProof/>
                <w:webHidden/>
                <w:sz w:val="22"/>
                <w:szCs w:val="22"/>
              </w:rPr>
              <w:fldChar w:fldCharType="separate"/>
            </w:r>
            <w:r w:rsidR="00F01EC2">
              <w:rPr>
                <w:rFonts w:ascii="Arial" w:hAnsi="Arial" w:cs="Arial"/>
                <w:noProof/>
                <w:webHidden/>
                <w:sz w:val="22"/>
                <w:szCs w:val="22"/>
              </w:rPr>
              <w:t>42</w:t>
            </w:r>
            <w:r w:rsidR="00535B24" w:rsidRPr="00535B24">
              <w:rPr>
                <w:rFonts w:ascii="Arial" w:hAnsi="Arial" w:cs="Arial"/>
                <w:noProof/>
                <w:webHidden/>
                <w:sz w:val="22"/>
                <w:szCs w:val="22"/>
              </w:rPr>
              <w:fldChar w:fldCharType="end"/>
            </w:r>
          </w:hyperlink>
        </w:p>
        <w:p w14:paraId="1D0C7FDD" w14:textId="10CE8C82" w:rsidR="00535B24" w:rsidRPr="00535B24" w:rsidRDefault="00E81103">
          <w:pPr>
            <w:pStyle w:val="TOC2"/>
            <w:rPr>
              <w:rFonts w:ascii="Arial" w:eastAsiaTheme="minorEastAsia" w:hAnsi="Arial" w:cs="Arial"/>
              <w:noProof/>
            </w:rPr>
          </w:pPr>
          <w:hyperlink w:anchor="_Toc10290959" w:history="1">
            <w:r w:rsidR="00535B24" w:rsidRPr="00535B24">
              <w:rPr>
                <w:rStyle w:val="Hyperlink"/>
                <w:rFonts w:ascii="Arial" w:hAnsi="Arial" w:cs="Arial"/>
                <w:noProof/>
                <w:sz w:val="22"/>
              </w:rPr>
              <w:t>ID/DD-Specific State Guardianship Laws</w:t>
            </w:r>
            <w:r w:rsidR="00535B24" w:rsidRPr="00535B24">
              <w:rPr>
                <w:rFonts w:ascii="Arial" w:hAnsi="Arial" w:cs="Arial"/>
                <w:noProof/>
                <w:webHidden/>
              </w:rPr>
              <w:tab/>
            </w:r>
            <w:r w:rsidR="00535B24" w:rsidRPr="00535B24">
              <w:rPr>
                <w:rFonts w:ascii="Arial" w:hAnsi="Arial" w:cs="Arial"/>
                <w:noProof/>
                <w:webHidden/>
              </w:rPr>
              <w:fldChar w:fldCharType="begin"/>
            </w:r>
            <w:r w:rsidR="00535B24" w:rsidRPr="00535B24">
              <w:rPr>
                <w:rFonts w:ascii="Arial" w:hAnsi="Arial" w:cs="Arial"/>
                <w:noProof/>
                <w:webHidden/>
              </w:rPr>
              <w:instrText xml:space="preserve"> PAGEREF _Toc10290959 \h </w:instrText>
            </w:r>
            <w:r w:rsidR="00535B24" w:rsidRPr="00535B24">
              <w:rPr>
                <w:rFonts w:ascii="Arial" w:hAnsi="Arial" w:cs="Arial"/>
                <w:noProof/>
                <w:webHidden/>
              </w:rPr>
            </w:r>
            <w:r w:rsidR="00535B24" w:rsidRPr="00535B24">
              <w:rPr>
                <w:rFonts w:ascii="Arial" w:hAnsi="Arial" w:cs="Arial"/>
                <w:noProof/>
                <w:webHidden/>
              </w:rPr>
              <w:fldChar w:fldCharType="separate"/>
            </w:r>
            <w:r w:rsidR="00F01EC2">
              <w:rPr>
                <w:rFonts w:ascii="Arial" w:hAnsi="Arial" w:cs="Arial"/>
                <w:noProof/>
                <w:webHidden/>
              </w:rPr>
              <w:t>42</w:t>
            </w:r>
            <w:r w:rsidR="00535B24" w:rsidRPr="00535B24">
              <w:rPr>
                <w:rFonts w:ascii="Arial" w:hAnsi="Arial" w:cs="Arial"/>
                <w:noProof/>
                <w:webHidden/>
              </w:rPr>
              <w:fldChar w:fldCharType="end"/>
            </w:r>
          </w:hyperlink>
        </w:p>
        <w:p w14:paraId="03920792" w14:textId="7B83CB60" w:rsidR="00535B24" w:rsidRPr="00535B24" w:rsidRDefault="00E81103">
          <w:pPr>
            <w:pStyle w:val="TOC2"/>
            <w:rPr>
              <w:rFonts w:ascii="Arial" w:eastAsiaTheme="minorEastAsia" w:hAnsi="Arial" w:cs="Arial"/>
              <w:noProof/>
            </w:rPr>
          </w:pPr>
          <w:hyperlink w:anchor="_Toc10290960" w:history="1">
            <w:r w:rsidR="00535B24" w:rsidRPr="00535B24">
              <w:rPr>
                <w:rStyle w:val="Hyperlink"/>
                <w:rFonts w:ascii="Arial" w:hAnsi="Arial" w:cs="Arial"/>
                <w:noProof/>
                <w:sz w:val="22"/>
              </w:rPr>
              <w:t>The Impact for ID/DD Guardianship Statutes on People with ID/DD and U.S. Policy</w:t>
            </w:r>
            <w:r w:rsidR="00535B24" w:rsidRPr="00535B24">
              <w:rPr>
                <w:rFonts w:ascii="Arial" w:hAnsi="Arial" w:cs="Arial"/>
                <w:noProof/>
                <w:webHidden/>
              </w:rPr>
              <w:tab/>
            </w:r>
            <w:r w:rsidR="00535B24" w:rsidRPr="00535B24">
              <w:rPr>
                <w:rFonts w:ascii="Arial" w:hAnsi="Arial" w:cs="Arial"/>
                <w:noProof/>
                <w:webHidden/>
              </w:rPr>
              <w:fldChar w:fldCharType="begin"/>
            </w:r>
            <w:r w:rsidR="00535B24" w:rsidRPr="00535B24">
              <w:rPr>
                <w:rFonts w:ascii="Arial" w:hAnsi="Arial" w:cs="Arial"/>
                <w:noProof/>
                <w:webHidden/>
              </w:rPr>
              <w:instrText xml:space="preserve"> PAGEREF _Toc10290960 \h </w:instrText>
            </w:r>
            <w:r w:rsidR="00535B24" w:rsidRPr="00535B24">
              <w:rPr>
                <w:rFonts w:ascii="Arial" w:hAnsi="Arial" w:cs="Arial"/>
                <w:noProof/>
                <w:webHidden/>
              </w:rPr>
            </w:r>
            <w:r w:rsidR="00535B24" w:rsidRPr="00535B24">
              <w:rPr>
                <w:rFonts w:ascii="Arial" w:hAnsi="Arial" w:cs="Arial"/>
                <w:noProof/>
                <w:webHidden/>
              </w:rPr>
              <w:fldChar w:fldCharType="separate"/>
            </w:r>
            <w:r w:rsidR="00F01EC2">
              <w:rPr>
                <w:rFonts w:ascii="Arial" w:hAnsi="Arial" w:cs="Arial"/>
                <w:noProof/>
                <w:webHidden/>
              </w:rPr>
              <w:t>44</w:t>
            </w:r>
            <w:r w:rsidR="00535B24" w:rsidRPr="00535B24">
              <w:rPr>
                <w:rFonts w:ascii="Arial" w:hAnsi="Arial" w:cs="Arial"/>
                <w:noProof/>
                <w:webHidden/>
              </w:rPr>
              <w:fldChar w:fldCharType="end"/>
            </w:r>
          </w:hyperlink>
        </w:p>
        <w:p w14:paraId="14392E0E" w14:textId="4045CD41" w:rsidR="00535B24" w:rsidRPr="00535B24" w:rsidRDefault="00E81103">
          <w:pPr>
            <w:pStyle w:val="TOC1"/>
            <w:rPr>
              <w:rFonts w:ascii="Arial" w:eastAsiaTheme="minorEastAsia" w:hAnsi="Arial" w:cs="Arial"/>
              <w:noProof/>
              <w:sz w:val="22"/>
              <w:szCs w:val="22"/>
            </w:rPr>
          </w:pPr>
          <w:hyperlink w:anchor="_Toc10290961" w:history="1">
            <w:r w:rsidR="00535B24" w:rsidRPr="00535B24">
              <w:rPr>
                <w:rStyle w:val="Hyperlink"/>
                <w:rFonts w:ascii="Arial" w:hAnsi="Arial" w:cs="Arial"/>
                <w:noProof/>
                <w:sz w:val="22"/>
                <w:szCs w:val="22"/>
              </w:rPr>
              <w:t>Chapter 4: U.S. Trends in Guardianship/Alternatives and People with ID/DD</w:t>
            </w:r>
            <w:r w:rsidR="00535B24" w:rsidRPr="00535B24">
              <w:rPr>
                <w:rFonts w:ascii="Arial" w:hAnsi="Arial" w:cs="Arial"/>
                <w:noProof/>
                <w:webHidden/>
                <w:sz w:val="22"/>
                <w:szCs w:val="22"/>
              </w:rPr>
              <w:tab/>
            </w:r>
            <w:r w:rsidR="00535B24" w:rsidRPr="00535B24">
              <w:rPr>
                <w:rFonts w:ascii="Arial" w:hAnsi="Arial" w:cs="Arial"/>
                <w:noProof/>
                <w:webHidden/>
                <w:sz w:val="22"/>
                <w:szCs w:val="22"/>
              </w:rPr>
              <w:fldChar w:fldCharType="begin"/>
            </w:r>
            <w:r w:rsidR="00535B24" w:rsidRPr="00535B24">
              <w:rPr>
                <w:rFonts w:ascii="Arial" w:hAnsi="Arial" w:cs="Arial"/>
                <w:noProof/>
                <w:webHidden/>
                <w:sz w:val="22"/>
                <w:szCs w:val="22"/>
              </w:rPr>
              <w:instrText xml:space="preserve"> PAGEREF _Toc10290961 \h </w:instrText>
            </w:r>
            <w:r w:rsidR="00535B24" w:rsidRPr="00535B24">
              <w:rPr>
                <w:rFonts w:ascii="Arial" w:hAnsi="Arial" w:cs="Arial"/>
                <w:noProof/>
                <w:webHidden/>
                <w:sz w:val="22"/>
                <w:szCs w:val="22"/>
              </w:rPr>
            </w:r>
            <w:r w:rsidR="00535B24" w:rsidRPr="00535B24">
              <w:rPr>
                <w:rFonts w:ascii="Arial" w:hAnsi="Arial" w:cs="Arial"/>
                <w:noProof/>
                <w:webHidden/>
                <w:sz w:val="22"/>
                <w:szCs w:val="22"/>
              </w:rPr>
              <w:fldChar w:fldCharType="separate"/>
            </w:r>
            <w:r w:rsidR="00F01EC2">
              <w:rPr>
                <w:rFonts w:ascii="Arial" w:hAnsi="Arial" w:cs="Arial"/>
                <w:noProof/>
                <w:webHidden/>
                <w:sz w:val="22"/>
                <w:szCs w:val="22"/>
              </w:rPr>
              <w:t>48</w:t>
            </w:r>
            <w:r w:rsidR="00535B24" w:rsidRPr="00535B24">
              <w:rPr>
                <w:rFonts w:ascii="Arial" w:hAnsi="Arial" w:cs="Arial"/>
                <w:noProof/>
                <w:webHidden/>
                <w:sz w:val="22"/>
                <w:szCs w:val="22"/>
              </w:rPr>
              <w:fldChar w:fldCharType="end"/>
            </w:r>
          </w:hyperlink>
        </w:p>
        <w:p w14:paraId="70A88388" w14:textId="7BCC14FA" w:rsidR="00535B24" w:rsidRPr="00535B24" w:rsidRDefault="00E81103">
          <w:pPr>
            <w:pStyle w:val="TOC2"/>
            <w:rPr>
              <w:rFonts w:ascii="Arial" w:eastAsiaTheme="minorEastAsia" w:hAnsi="Arial" w:cs="Arial"/>
              <w:noProof/>
            </w:rPr>
          </w:pPr>
          <w:hyperlink w:anchor="_Toc10290962" w:history="1">
            <w:r w:rsidR="00535B24" w:rsidRPr="00535B24">
              <w:rPr>
                <w:rStyle w:val="Hyperlink"/>
                <w:rFonts w:ascii="Arial" w:hAnsi="Arial" w:cs="Arial"/>
                <w:noProof/>
                <w:sz w:val="22"/>
              </w:rPr>
              <w:t>The Guardianship Data Problem</w:t>
            </w:r>
            <w:r w:rsidR="00535B24" w:rsidRPr="00535B24">
              <w:rPr>
                <w:rFonts w:ascii="Arial" w:hAnsi="Arial" w:cs="Arial"/>
                <w:noProof/>
                <w:webHidden/>
              </w:rPr>
              <w:tab/>
            </w:r>
            <w:r w:rsidR="00535B24" w:rsidRPr="00535B24">
              <w:rPr>
                <w:rFonts w:ascii="Arial" w:hAnsi="Arial" w:cs="Arial"/>
                <w:noProof/>
                <w:webHidden/>
              </w:rPr>
              <w:fldChar w:fldCharType="begin"/>
            </w:r>
            <w:r w:rsidR="00535B24" w:rsidRPr="00535B24">
              <w:rPr>
                <w:rFonts w:ascii="Arial" w:hAnsi="Arial" w:cs="Arial"/>
                <w:noProof/>
                <w:webHidden/>
              </w:rPr>
              <w:instrText xml:space="preserve"> PAGEREF _Toc10290962 \h </w:instrText>
            </w:r>
            <w:r w:rsidR="00535B24" w:rsidRPr="00535B24">
              <w:rPr>
                <w:rFonts w:ascii="Arial" w:hAnsi="Arial" w:cs="Arial"/>
                <w:noProof/>
                <w:webHidden/>
              </w:rPr>
            </w:r>
            <w:r w:rsidR="00535B24" w:rsidRPr="00535B24">
              <w:rPr>
                <w:rFonts w:ascii="Arial" w:hAnsi="Arial" w:cs="Arial"/>
                <w:noProof/>
                <w:webHidden/>
              </w:rPr>
              <w:fldChar w:fldCharType="separate"/>
            </w:r>
            <w:r w:rsidR="00F01EC2">
              <w:rPr>
                <w:rFonts w:ascii="Arial" w:hAnsi="Arial" w:cs="Arial"/>
                <w:noProof/>
                <w:webHidden/>
              </w:rPr>
              <w:t>48</w:t>
            </w:r>
            <w:r w:rsidR="00535B24" w:rsidRPr="00535B24">
              <w:rPr>
                <w:rFonts w:ascii="Arial" w:hAnsi="Arial" w:cs="Arial"/>
                <w:noProof/>
                <w:webHidden/>
              </w:rPr>
              <w:fldChar w:fldCharType="end"/>
            </w:r>
          </w:hyperlink>
        </w:p>
        <w:p w14:paraId="0BCAFE4E" w14:textId="695E1A70" w:rsidR="00535B24" w:rsidRPr="00535B24" w:rsidRDefault="00E81103">
          <w:pPr>
            <w:pStyle w:val="TOC2"/>
            <w:rPr>
              <w:rFonts w:ascii="Arial" w:eastAsiaTheme="minorEastAsia" w:hAnsi="Arial" w:cs="Arial"/>
              <w:noProof/>
            </w:rPr>
          </w:pPr>
          <w:hyperlink w:anchor="_Toc10290963" w:history="1">
            <w:r w:rsidR="00535B24" w:rsidRPr="00535B24">
              <w:rPr>
                <w:rStyle w:val="Hyperlink"/>
                <w:rFonts w:ascii="Arial" w:hAnsi="Arial" w:cs="Arial"/>
                <w:noProof/>
                <w:sz w:val="22"/>
              </w:rPr>
              <w:t>Review of National NCI Data</w:t>
            </w:r>
            <w:r w:rsidR="00535B24" w:rsidRPr="00535B24">
              <w:rPr>
                <w:rFonts w:ascii="Arial" w:hAnsi="Arial" w:cs="Arial"/>
                <w:noProof/>
                <w:webHidden/>
              </w:rPr>
              <w:tab/>
            </w:r>
            <w:r w:rsidR="00535B24" w:rsidRPr="00535B24">
              <w:rPr>
                <w:rFonts w:ascii="Arial" w:hAnsi="Arial" w:cs="Arial"/>
                <w:noProof/>
                <w:webHidden/>
              </w:rPr>
              <w:fldChar w:fldCharType="begin"/>
            </w:r>
            <w:r w:rsidR="00535B24" w:rsidRPr="00535B24">
              <w:rPr>
                <w:rFonts w:ascii="Arial" w:hAnsi="Arial" w:cs="Arial"/>
                <w:noProof/>
                <w:webHidden/>
              </w:rPr>
              <w:instrText xml:space="preserve"> PAGEREF _Toc10290963 \h </w:instrText>
            </w:r>
            <w:r w:rsidR="00535B24" w:rsidRPr="00535B24">
              <w:rPr>
                <w:rFonts w:ascii="Arial" w:hAnsi="Arial" w:cs="Arial"/>
                <w:noProof/>
                <w:webHidden/>
              </w:rPr>
            </w:r>
            <w:r w:rsidR="00535B24" w:rsidRPr="00535B24">
              <w:rPr>
                <w:rFonts w:ascii="Arial" w:hAnsi="Arial" w:cs="Arial"/>
                <w:noProof/>
                <w:webHidden/>
              </w:rPr>
              <w:fldChar w:fldCharType="separate"/>
            </w:r>
            <w:r w:rsidR="00F01EC2">
              <w:rPr>
                <w:rFonts w:ascii="Arial" w:hAnsi="Arial" w:cs="Arial"/>
                <w:noProof/>
                <w:webHidden/>
              </w:rPr>
              <w:t>49</w:t>
            </w:r>
            <w:r w:rsidR="00535B24" w:rsidRPr="00535B24">
              <w:rPr>
                <w:rFonts w:ascii="Arial" w:hAnsi="Arial" w:cs="Arial"/>
                <w:noProof/>
                <w:webHidden/>
              </w:rPr>
              <w:fldChar w:fldCharType="end"/>
            </w:r>
          </w:hyperlink>
        </w:p>
        <w:p w14:paraId="058AC098" w14:textId="49BB616A" w:rsidR="00535B24" w:rsidRPr="00535B24" w:rsidRDefault="00E81103">
          <w:pPr>
            <w:pStyle w:val="TOC1"/>
            <w:rPr>
              <w:rFonts w:ascii="Arial" w:eastAsiaTheme="minorEastAsia" w:hAnsi="Arial" w:cs="Arial"/>
              <w:noProof/>
              <w:sz w:val="22"/>
              <w:szCs w:val="22"/>
            </w:rPr>
          </w:pPr>
          <w:hyperlink w:anchor="_Toc10290964" w:history="1">
            <w:r w:rsidR="00535B24" w:rsidRPr="00535B24">
              <w:rPr>
                <w:rStyle w:val="Hyperlink"/>
                <w:rFonts w:ascii="Arial" w:hAnsi="Arial" w:cs="Arial"/>
                <w:noProof/>
                <w:sz w:val="22"/>
                <w:szCs w:val="22"/>
              </w:rPr>
              <w:t>Chapter 5: Guardianship &amp; People with ID/DD:</w:t>
            </w:r>
            <w:r w:rsidR="00535B24" w:rsidRPr="00535B24">
              <w:rPr>
                <w:rFonts w:ascii="Arial" w:hAnsi="Arial" w:cs="Arial"/>
                <w:noProof/>
                <w:webHidden/>
                <w:sz w:val="22"/>
                <w:szCs w:val="22"/>
              </w:rPr>
              <w:tab/>
            </w:r>
            <w:r w:rsidR="00535B24" w:rsidRPr="00535B24">
              <w:rPr>
                <w:rFonts w:ascii="Arial" w:hAnsi="Arial" w:cs="Arial"/>
                <w:noProof/>
                <w:webHidden/>
                <w:sz w:val="22"/>
                <w:szCs w:val="22"/>
              </w:rPr>
              <w:fldChar w:fldCharType="begin"/>
            </w:r>
            <w:r w:rsidR="00535B24" w:rsidRPr="00535B24">
              <w:rPr>
                <w:rFonts w:ascii="Arial" w:hAnsi="Arial" w:cs="Arial"/>
                <w:noProof/>
                <w:webHidden/>
                <w:sz w:val="22"/>
                <w:szCs w:val="22"/>
              </w:rPr>
              <w:instrText xml:space="preserve"> PAGEREF _Toc10290964 \h </w:instrText>
            </w:r>
            <w:r w:rsidR="00535B24" w:rsidRPr="00535B24">
              <w:rPr>
                <w:rFonts w:ascii="Arial" w:hAnsi="Arial" w:cs="Arial"/>
                <w:noProof/>
                <w:webHidden/>
                <w:sz w:val="22"/>
                <w:szCs w:val="22"/>
              </w:rPr>
            </w:r>
            <w:r w:rsidR="00535B24" w:rsidRPr="00535B24">
              <w:rPr>
                <w:rFonts w:ascii="Arial" w:hAnsi="Arial" w:cs="Arial"/>
                <w:noProof/>
                <w:webHidden/>
                <w:sz w:val="22"/>
                <w:szCs w:val="22"/>
              </w:rPr>
              <w:fldChar w:fldCharType="separate"/>
            </w:r>
            <w:r w:rsidR="00F01EC2">
              <w:rPr>
                <w:rFonts w:ascii="Arial" w:hAnsi="Arial" w:cs="Arial"/>
                <w:noProof/>
                <w:webHidden/>
                <w:sz w:val="22"/>
                <w:szCs w:val="22"/>
              </w:rPr>
              <w:t>56</w:t>
            </w:r>
            <w:r w:rsidR="00535B24" w:rsidRPr="00535B24">
              <w:rPr>
                <w:rFonts w:ascii="Arial" w:hAnsi="Arial" w:cs="Arial"/>
                <w:noProof/>
                <w:webHidden/>
                <w:sz w:val="22"/>
                <w:szCs w:val="22"/>
              </w:rPr>
              <w:fldChar w:fldCharType="end"/>
            </w:r>
          </w:hyperlink>
        </w:p>
        <w:p w14:paraId="370B3AEC" w14:textId="4D4C3742" w:rsidR="00535B24" w:rsidRPr="00535B24" w:rsidRDefault="00E81103">
          <w:pPr>
            <w:pStyle w:val="TOC1"/>
            <w:rPr>
              <w:rFonts w:ascii="Arial" w:eastAsiaTheme="minorEastAsia" w:hAnsi="Arial" w:cs="Arial"/>
              <w:noProof/>
              <w:sz w:val="22"/>
              <w:szCs w:val="22"/>
            </w:rPr>
          </w:pPr>
          <w:hyperlink w:anchor="_Toc10290965" w:history="1">
            <w:r w:rsidR="00535B24" w:rsidRPr="00535B24">
              <w:rPr>
                <w:rStyle w:val="Hyperlink"/>
                <w:rFonts w:ascii="Arial" w:hAnsi="Arial" w:cs="Arial"/>
                <w:noProof/>
                <w:sz w:val="22"/>
                <w:szCs w:val="22"/>
              </w:rPr>
              <w:t>A Story from the Nation’s Capital</w:t>
            </w:r>
            <w:r w:rsidR="00535B24" w:rsidRPr="00535B24">
              <w:rPr>
                <w:rFonts w:ascii="Arial" w:hAnsi="Arial" w:cs="Arial"/>
                <w:noProof/>
                <w:webHidden/>
                <w:sz w:val="22"/>
                <w:szCs w:val="22"/>
              </w:rPr>
              <w:tab/>
            </w:r>
            <w:r w:rsidR="00535B24" w:rsidRPr="00535B24">
              <w:rPr>
                <w:rFonts w:ascii="Arial" w:hAnsi="Arial" w:cs="Arial"/>
                <w:noProof/>
                <w:webHidden/>
                <w:sz w:val="22"/>
                <w:szCs w:val="22"/>
              </w:rPr>
              <w:fldChar w:fldCharType="begin"/>
            </w:r>
            <w:r w:rsidR="00535B24" w:rsidRPr="00535B24">
              <w:rPr>
                <w:rFonts w:ascii="Arial" w:hAnsi="Arial" w:cs="Arial"/>
                <w:noProof/>
                <w:webHidden/>
                <w:sz w:val="22"/>
                <w:szCs w:val="22"/>
              </w:rPr>
              <w:instrText xml:space="preserve"> PAGEREF _Toc10290965 \h </w:instrText>
            </w:r>
            <w:r w:rsidR="00535B24" w:rsidRPr="00535B24">
              <w:rPr>
                <w:rFonts w:ascii="Arial" w:hAnsi="Arial" w:cs="Arial"/>
                <w:noProof/>
                <w:webHidden/>
                <w:sz w:val="22"/>
                <w:szCs w:val="22"/>
              </w:rPr>
            </w:r>
            <w:r w:rsidR="00535B24" w:rsidRPr="00535B24">
              <w:rPr>
                <w:rFonts w:ascii="Arial" w:hAnsi="Arial" w:cs="Arial"/>
                <w:noProof/>
                <w:webHidden/>
                <w:sz w:val="22"/>
                <w:szCs w:val="22"/>
              </w:rPr>
              <w:fldChar w:fldCharType="separate"/>
            </w:r>
            <w:r w:rsidR="00F01EC2">
              <w:rPr>
                <w:rFonts w:ascii="Arial" w:hAnsi="Arial" w:cs="Arial"/>
                <w:noProof/>
                <w:webHidden/>
                <w:sz w:val="22"/>
                <w:szCs w:val="22"/>
              </w:rPr>
              <w:t>56</w:t>
            </w:r>
            <w:r w:rsidR="00535B24" w:rsidRPr="00535B24">
              <w:rPr>
                <w:rFonts w:ascii="Arial" w:hAnsi="Arial" w:cs="Arial"/>
                <w:noProof/>
                <w:webHidden/>
                <w:sz w:val="22"/>
                <w:szCs w:val="22"/>
              </w:rPr>
              <w:fldChar w:fldCharType="end"/>
            </w:r>
          </w:hyperlink>
        </w:p>
        <w:p w14:paraId="44E02FF3" w14:textId="45CBF981" w:rsidR="00535B24" w:rsidRPr="00535B24" w:rsidRDefault="00E81103">
          <w:pPr>
            <w:pStyle w:val="TOC2"/>
            <w:rPr>
              <w:rFonts w:ascii="Arial" w:eastAsiaTheme="minorEastAsia" w:hAnsi="Arial" w:cs="Arial"/>
              <w:noProof/>
            </w:rPr>
          </w:pPr>
          <w:hyperlink w:anchor="_Toc10290966" w:history="1">
            <w:r w:rsidR="00535B24" w:rsidRPr="00535B24">
              <w:rPr>
                <w:rStyle w:val="Hyperlink"/>
                <w:rFonts w:ascii="Arial" w:hAnsi="Arial" w:cs="Arial"/>
                <w:noProof/>
                <w:sz w:val="22"/>
              </w:rPr>
              <w:t>Introduction</w:t>
            </w:r>
            <w:r w:rsidR="00535B24" w:rsidRPr="00535B24">
              <w:rPr>
                <w:rFonts w:ascii="Arial" w:hAnsi="Arial" w:cs="Arial"/>
                <w:noProof/>
                <w:webHidden/>
              </w:rPr>
              <w:tab/>
            </w:r>
            <w:r w:rsidR="00535B24" w:rsidRPr="00535B24">
              <w:rPr>
                <w:rFonts w:ascii="Arial" w:hAnsi="Arial" w:cs="Arial"/>
                <w:noProof/>
                <w:webHidden/>
              </w:rPr>
              <w:fldChar w:fldCharType="begin"/>
            </w:r>
            <w:r w:rsidR="00535B24" w:rsidRPr="00535B24">
              <w:rPr>
                <w:rFonts w:ascii="Arial" w:hAnsi="Arial" w:cs="Arial"/>
                <w:noProof/>
                <w:webHidden/>
              </w:rPr>
              <w:instrText xml:space="preserve"> PAGEREF _Toc10290966 \h </w:instrText>
            </w:r>
            <w:r w:rsidR="00535B24" w:rsidRPr="00535B24">
              <w:rPr>
                <w:rFonts w:ascii="Arial" w:hAnsi="Arial" w:cs="Arial"/>
                <w:noProof/>
                <w:webHidden/>
              </w:rPr>
            </w:r>
            <w:r w:rsidR="00535B24" w:rsidRPr="00535B24">
              <w:rPr>
                <w:rFonts w:ascii="Arial" w:hAnsi="Arial" w:cs="Arial"/>
                <w:noProof/>
                <w:webHidden/>
              </w:rPr>
              <w:fldChar w:fldCharType="separate"/>
            </w:r>
            <w:r w:rsidR="00F01EC2">
              <w:rPr>
                <w:rFonts w:ascii="Arial" w:hAnsi="Arial" w:cs="Arial"/>
                <w:noProof/>
                <w:webHidden/>
              </w:rPr>
              <w:t>56</w:t>
            </w:r>
            <w:r w:rsidR="00535B24" w:rsidRPr="00535B24">
              <w:rPr>
                <w:rFonts w:ascii="Arial" w:hAnsi="Arial" w:cs="Arial"/>
                <w:noProof/>
                <w:webHidden/>
              </w:rPr>
              <w:fldChar w:fldCharType="end"/>
            </w:r>
          </w:hyperlink>
        </w:p>
        <w:p w14:paraId="679C4A4D" w14:textId="666B9D40" w:rsidR="00535B24" w:rsidRPr="00535B24" w:rsidRDefault="00E81103">
          <w:pPr>
            <w:pStyle w:val="TOC2"/>
            <w:rPr>
              <w:rFonts w:ascii="Arial" w:eastAsiaTheme="minorEastAsia" w:hAnsi="Arial" w:cs="Arial"/>
              <w:noProof/>
            </w:rPr>
          </w:pPr>
          <w:hyperlink w:anchor="_Toc10290967" w:history="1">
            <w:r w:rsidR="00535B24" w:rsidRPr="00535B24">
              <w:rPr>
                <w:rStyle w:val="Hyperlink"/>
                <w:rFonts w:ascii="Arial" w:hAnsi="Arial" w:cs="Arial"/>
                <w:noProof/>
                <w:sz w:val="22"/>
              </w:rPr>
              <w:t>Key DC Legislative and Policy Reform</w:t>
            </w:r>
            <w:r w:rsidR="00535B24" w:rsidRPr="00535B24">
              <w:rPr>
                <w:rFonts w:ascii="Arial" w:hAnsi="Arial" w:cs="Arial"/>
                <w:noProof/>
                <w:webHidden/>
              </w:rPr>
              <w:tab/>
            </w:r>
            <w:r w:rsidR="00535B24" w:rsidRPr="00535B24">
              <w:rPr>
                <w:rFonts w:ascii="Arial" w:hAnsi="Arial" w:cs="Arial"/>
                <w:noProof/>
                <w:webHidden/>
              </w:rPr>
              <w:fldChar w:fldCharType="begin"/>
            </w:r>
            <w:r w:rsidR="00535B24" w:rsidRPr="00535B24">
              <w:rPr>
                <w:rFonts w:ascii="Arial" w:hAnsi="Arial" w:cs="Arial"/>
                <w:noProof/>
                <w:webHidden/>
              </w:rPr>
              <w:instrText xml:space="preserve"> PAGEREF _Toc10290967 \h </w:instrText>
            </w:r>
            <w:r w:rsidR="00535B24" w:rsidRPr="00535B24">
              <w:rPr>
                <w:rFonts w:ascii="Arial" w:hAnsi="Arial" w:cs="Arial"/>
                <w:noProof/>
                <w:webHidden/>
              </w:rPr>
            </w:r>
            <w:r w:rsidR="00535B24" w:rsidRPr="00535B24">
              <w:rPr>
                <w:rFonts w:ascii="Arial" w:hAnsi="Arial" w:cs="Arial"/>
                <w:noProof/>
                <w:webHidden/>
              </w:rPr>
              <w:fldChar w:fldCharType="separate"/>
            </w:r>
            <w:r w:rsidR="00F01EC2">
              <w:rPr>
                <w:rFonts w:ascii="Arial" w:hAnsi="Arial" w:cs="Arial"/>
                <w:noProof/>
                <w:webHidden/>
              </w:rPr>
              <w:t>57</w:t>
            </w:r>
            <w:r w:rsidR="00535B24" w:rsidRPr="00535B24">
              <w:rPr>
                <w:rFonts w:ascii="Arial" w:hAnsi="Arial" w:cs="Arial"/>
                <w:noProof/>
                <w:webHidden/>
              </w:rPr>
              <w:fldChar w:fldCharType="end"/>
            </w:r>
          </w:hyperlink>
        </w:p>
        <w:p w14:paraId="71DB61AF" w14:textId="33607B22" w:rsidR="00535B24" w:rsidRPr="00535B24" w:rsidRDefault="00E81103">
          <w:pPr>
            <w:pStyle w:val="TOC3"/>
            <w:rPr>
              <w:rFonts w:ascii="Arial" w:eastAsiaTheme="minorEastAsia" w:hAnsi="Arial" w:cs="Arial"/>
              <w:iCs w:val="0"/>
            </w:rPr>
          </w:pPr>
          <w:hyperlink w:anchor="_Toc10290968" w:history="1">
            <w:r w:rsidR="00535B24" w:rsidRPr="00535B24">
              <w:rPr>
                <w:rStyle w:val="Hyperlink"/>
                <w:rFonts w:ascii="Arial" w:hAnsi="Arial" w:cs="Arial"/>
                <w:sz w:val="22"/>
              </w:rPr>
              <w:t>Legislative Reforms for Adult Guardianship Proceedings</w:t>
            </w:r>
            <w:r w:rsidR="00535B24" w:rsidRPr="00535B24">
              <w:rPr>
                <w:rFonts w:ascii="Arial" w:hAnsi="Arial" w:cs="Arial"/>
                <w:webHidden/>
              </w:rPr>
              <w:tab/>
            </w:r>
            <w:r w:rsidR="00535B24" w:rsidRPr="00535B24">
              <w:rPr>
                <w:rFonts w:ascii="Arial" w:hAnsi="Arial" w:cs="Arial"/>
                <w:webHidden/>
              </w:rPr>
              <w:fldChar w:fldCharType="begin"/>
            </w:r>
            <w:r w:rsidR="00535B24" w:rsidRPr="00535B24">
              <w:rPr>
                <w:rFonts w:ascii="Arial" w:hAnsi="Arial" w:cs="Arial"/>
                <w:webHidden/>
              </w:rPr>
              <w:instrText xml:space="preserve"> PAGEREF _Toc10290968 \h </w:instrText>
            </w:r>
            <w:r w:rsidR="00535B24" w:rsidRPr="00535B24">
              <w:rPr>
                <w:rFonts w:ascii="Arial" w:hAnsi="Arial" w:cs="Arial"/>
                <w:webHidden/>
              </w:rPr>
            </w:r>
            <w:r w:rsidR="00535B24" w:rsidRPr="00535B24">
              <w:rPr>
                <w:rFonts w:ascii="Arial" w:hAnsi="Arial" w:cs="Arial"/>
                <w:webHidden/>
              </w:rPr>
              <w:fldChar w:fldCharType="separate"/>
            </w:r>
            <w:r w:rsidR="00F01EC2">
              <w:rPr>
                <w:rFonts w:ascii="Arial" w:hAnsi="Arial" w:cs="Arial"/>
                <w:webHidden/>
              </w:rPr>
              <w:t>57</w:t>
            </w:r>
            <w:r w:rsidR="00535B24" w:rsidRPr="00535B24">
              <w:rPr>
                <w:rFonts w:ascii="Arial" w:hAnsi="Arial" w:cs="Arial"/>
                <w:webHidden/>
              </w:rPr>
              <w:fldChar w:fldCharType="end"/>
            </w:r>
          </w:hyperlink>
        </w:p>
        <w:p w14:paraId="083F5E21" w14:textId="79BA483A" w:rsidR="00535B24" w:rsidRPr="00535B24" w:rsidRDefault="00E81103">
          <w:pPr>
            <w:pStyle w:val="TOC3"/>
            <w:rPr>
              <w:rFonts w:ascii="Arial" w:eastAsiaTheme="minorEastAsia" w:hAnsi="Arial" w:cs="Arial"/>
              <w:iCs w:val="0"/>
            </w:rPr>
          </w:pPr>
          <w:hyperlink w:anchor="_Toc10290969" w:history="1">
            <w:r w:rsidR="00535B24" w:rsidRPr="00535B24">
              <w:rPr>
                <w:rStyle w:val="Hyperlink"/>
                <w:rFonts w:ascii="Arial" w:eastAsia="Times New Roman" w:hAnsi="Arial" w:cs="Arial"/>
                <w:sz w:val="22"/>
              </w:rPr>
              <w:t>DC WINGS Complaint Process and Trainings on Alternatives to Guardianship</w:t>
            </w:r>
            <w:r w:rsidR="00535B24" w:rsidRPr="00535B24">
              <w:rPr>
                <w:rFonts w:ascii="Arial" w:hAnsi="Arial" w:cs="Arial"/>
                <w:webHidden/>
              </w:rPr>
              <w:tab/>
            </w:r>
            <w:r w:rsidR="00535B24" w:rsidRPr="00535B24">
              <w:rPr>
                <w:rFonts w:ascii="Arial" w:hAnsi="Arial" w:cs="Arial"/>
                <w:webHidden/>
              </w:rPr>
              <w:fldChar w:fldCharType="begin"/>
            </w:r>
            <w:r w:rsidR="00535B24" w:rsidRPr="00535B24">
              <w:rPr>
                <w:rFonts w:ascii="Arial" w:hAnsi="Arial" w:cs="Arial"/>
                <w:webHidden/>
              </w:rPr>
              <w:instrText xml:space="preserve"> PAGEREF _Toc10290969 \h </w:instrText>
            </w:r>
            <w:r w:rsidR="00535B24" w:rsidRPr="00535B24">
              <w:rPr>
                <w:rFonts w:ascii="Arial" w:hAnsi="Arial" w:cs="Arial"/>
                <w:webHidden/>
              </w:rPr>
            </w:r>
            <w:r w:rsidR="00535B24" w:rsidRPr="00535B24">
              <w:rPr>
                <w:rFonts w:ascii="Arial" w:hAnsi="Arial" w:cs="Arial"/>
                <w:webHidden/>
              </w:rPr>
              <w:fldChar w:fldCharType="separate"/>
            </w:r>
            <w:r w:rsidR="00F01EC2">
              <w:rPr>
                <w:rFonts w:ascii="Arial" w:hAnsi="Arial" w:cs="Arial"/>
                <w:webHidden/>
              </w:rPr>
              <w:t>58</w:t>
            </w:r>
            <w:r w:rsidR="00535B24" w:rsidRPr="00535B24">
              <w:rPr>
                <w:rFonts w:ascii="Arial" w:hAnsi="Arial" w:cs="Arial"/>
                <w:webHidden/>
              </w:rPr>
              <w:fldChar w:fldCharType="end"/>
            </w:r>
          </w:hyperlink>
        </w:p>
        <w:p w14:paraId="020ACCAB" w14:textId="50C2F3F7" w:rsidR="00535B24" w:rsidRPr="00535B24" w:rsidRDefault="00E81103">
          <w:pPr>
            <w:pStyle w:val="TOC3"/>
            <w:rPr>
              <w:rFonts w:ascii="Arial" w:eastAsiaTheme="minorEastAsia" w:hAnsi="Arial" w:cs="Arial"/>
              <w:iCs w:val="0"/>
            </w:rPr>
          </w:pPr>
          <w:hyperlink w:anchor="_Toc10290970" w:history="1">
            <w:r w:rsidR="00535B24" w:rsidRPr="00535B24">
              <w:rPr>
                <w:rStyle w:val="Hyperlink"/>
                <w:rFonts w:ascii="Arial" w:eastAsia="Times New Roman" w:hAnsi="Arial" w:cs="Arial"/>
                <w:sz w:val="22"/>
              </w:rPr>
              <w:t>DC Special Education Reforms to Promote Alternatives to Guardianship</w:t>
            </w:r>
            <w:r w:rsidR="00535B24" w:rsidRPr="00535B24">
              <w:rPr>
                <w:rFonts w:ascii="Arial" w:hAnsi="Arial" w:cs="Arial"/>
                <w:webHidden/>
              </w:rPr>
              <w:tab/>
            </w:r>
            <w:r w:rsidR="00535B24" w:rsidRPr="00535B24">
              <w:rPr>
                <w:rFonts w:ascii="Arial" w:hAnsi="Arial" w:cs="Arial"/>
                <w:webHidden/>
              </w:rPr>
              <w:fldChar w:fldCharType="begin"/>
            </w:r>
            <w:r w:rsidR="00535B24" w:rsidRPr="00535B24">
              <w:rPr>
                <w:rFonts w:ascii="Arial" w:hAnsi="Arial" w:cs="Arial"/>
                <w:webHidden/>
              </w:rPr>
              <w:instrText xml:space="preserve"> PAGEREF _Toc10290970 \h </w:instrText>
            </w:r>
            <w:r w:rsidR="00535B24" w:rsidRPr="00535B24">
              <w:rPr>
                <w:rFonts w:ascii="Arial" w:hAnsi="Arial" w:cs="Arial"/>
                <w:webHidden/>
              </w:rPr>
            </w:r>
            <w:r w:rsidR="00535B24" w:rsidRPr="00535B24">
              <w:rPr>
                <w:rFonts w:ascii="Arial" w:hAnsi="Arial" w:cs="Arial"/>
                <w:webHidden/>
              </w:rPr>
              <w:fldChar w:fldCharType="separate"/>
            </w:r>
            <w:r w:rsidR="00F01EC2">
              <w:rPr>
                <w:rFonts w:ascii="Arial" w:hAnsi="Arial" w:cs="Arial"/>
                <w:webHidden/>
              </w:rPr>
              <w:t>59</w:t>
            </w:r>
            <w:r w:rsidR="00535B24" w:rsidRPr="00535B24">
              <w:rPr>
                <w:rFonts w:ascii="Arial" w:hAnsi="Arial" w:cs="Arial"/>
                <w:webHidden/>
              </w:rPr>
              <w:fldChar w:fldCharType="end"/>
            </w:r>
          </w:hyperlink>
        </w:p>
        <w:p w14:paraId="735A63D5" w14:textId="7E8B2021" w:rsidR="00535B24" w:rsidRPr="00535B24" w:rsidRDefault="00E81103">
          <w:pPr>
            <w:pStyle w:val="TOC3"/>
            <w:rPr>
              <w:rFonts w:ascii="Arial" w:eastAsiaTheme="minorEastAsia" w:hAnsi="Arial" w:cs="Arial"/>
              <w:iCs w:val="0"/>
            </w:rPr>
          </w:pPr>
          <w:hyperlink w:anchor="_Toc10290971" w:history="1">
            <w:r w:rsidR="00535B24" w:rsidRPr="00535B24">
              <w:rPr>
                <w:rStyle w:val="Hyperlink"/>
                <w:rFonts w:ascii="Arial" w:eastAsia="Times New Roman" w:hAnsi="Arial" w:cs="Arial"/>
                <w:sz w:val="22"/>
              </w:rPr>
              <w:t>Reforms Recognizing Supported Decision-Making Across the Life Span</w:t>
            </w:r>
            <w:r w:rsidR="00535B24" w:rsidRPr="00535B24">
              <w:rPr>
                <w:rFonts w:ascii="Arial" w:hAnsi="Arial" w:cs="Arial"/>
                <w:webHidden/>
              </w:rPr>
              <w:tab/>
            </w:r>
            <w:r w:rsidR="00535B24" w:rsidRPr="00535B24">
              <w:rPr>
                <w:rFonts w:ascii="Arial" w:hAnsi="Arial" w:cs="Arial"/>
                <w:webHidden/>
              </w:rPr>
              <w:fldChar w:fldCharType="begin"/>
            </w:r>
            <w:r w:rsidR="00535B24" w:rsidRPr="00535B24">
              <w:rPr>
                <w:rFonts w:ascii="Arial" w:hAnsi="Arial" w:cs="Arial"/>
                <w:webHidden/>
              </w:rPr>
              <w:instrText xml:space="preserve"> PAGEREF _Toc10290971 \h </w:instrText>
            </w:r>
            <w:r w:rsidR="00535B24" w:rsidRPr="00535B24">
              <w:rPr>
                <w:rFonts w:ascii="Arial" w:hAnsi="Arial" w:cs="Arial"/>
                <w:webHidden/>
              </w:rPr>
            </w:r>
            <w:r w:rsidR="00535B24" w:rsidRPr="00535B24">
              <w:rPr>
                <w:rFonts w:ascii="Arial" w:hAnsi="Arial" w:cs="Arial"/>
                <w:webHidden/>
              </w:rPr>
              <w:fldChar w:fldCharType="separate"/>
            </w:r>
            <w:r w:rsidR="00F01EC2">
              <w:rPr>
                <w:rFonts w:ascii="Arial" w:hAnsi="Arial" w:cs="Arial"/>
                <w:webHidden/>
              </w:rPr>
              <w:t>61</w:t>
            </w:r>
            <w:r w:rsidR="00535B24" w:rsidRPr="00535B24">
              <w:rPr>
                <w:rFonts w:ascii="Arial" w:hAnsi="Arial" w:cs="Arial"/>
                <w:webHidden/>
              </w:rPr>
              <w:fldChar w:fldCharType="end"/>
            </w:r>
          </w:hyperlink>
        </w:p>
        <w:p w14:paraId="6DB4C68F" w14:textId="125CC26B" w:rsidR="00535B24" w:rsidRPr="00535B24" w:rsidRDefault="00E81103">
          <w:pPr>
            <w:pStyle w:val="TOC2"/>
            <w:rPr>
              <w:rFonts w:ascii="Arial" w:eastAsiaTheme="minorEastAsia" w:hAnsi="Arial" w:cs="Arial"/>
              <w:noProof/>
            </w:rPr>
          </w:pPr>
          <w:hyperlink w:anchor="_Toc10290972" w:history="1">
            <w:r w:rsidR="00535B24" w:rsidRPr="00535B24">
              <w:rPr>
                <w:rStyle w:val="Hyperlink"/>
                <w:rFonts w:ascii="Arial" w:hAnsi="Arial" w:cs="Arial"/>
                <w:noProof/>
                <w:sz w:val="22"/>
              </w:rPr>
              <w:t>By the Numbers: Guardianship and DC Residents with ID/DD</w:t>
            </w:r>
            <w:r w:rsidR="00535B24" w:rsidRPr="00535B24">
              <w:rPr>
                <w:rFonts w:ascii="Arial" w:hAnsi="Arial" w:cs="Arial"/>
                <w:noProof/>
                <w:webHidden/>
              </w:rPr>
              <w:tab/>
            </w:r>
            <w:r w:rsidR="00535B24" w:rsidRPr="00535B24">
              <w:rPr>
                <w:rFonts w:ascii="Arial" w:hAnsi="Arial" w:cs="Arial"/>
                <w:noProof/>
                <w:webHidden/>
              </w:rPr>
              <w:fldChar w:fldCharType="begin"/>
            </w:r>
            <w:r w:rsidR="00535B24" w:rsidRPr="00535B24">
              <w:rPr>
                <w:rFonts w:ascii="Arial" w:hAnsi="Arial" w:cs="Arial"/>
                <w:noProof/>
                <w:webHidden/>
              </w:rPr>
              <w:instrText xml:space="preserve"> PAGEREF _Toc10290972 \h </w:instrText>
            </w:r>
            <w:r w:rsidR="00535B24" w:rsidRPr="00535B24">
              <w:rPr>
                <w:rFonts w:ascii="Arial" w:hAnsi="Arial" w:cs="Arial"/>
                <w:noProof/>
                <w:webHidden/>
              </w:rPr>
            </w:r>
            <w:r w:rsidR="00535B24" w:rsidRPr="00535B24">
              <w:rPr>
                <w:rFonts w:ascii="Arial" w:hAnsi="Arial" w:cs="Arial"/>
                <w:noProof/>
                <w:webHidden/>
              </w:rPr>
              <w:fldChar w:fldCharType="separate"/>
            </w:r>
            <w:r w:rsidR="00F01EC2">
              <w:rPr>
                <w:rFonts w:ascii="Arial" w:hAnsi="Arial" w:cs="Arial"/>
                <w:noProof/>
                <w:webHidden/>
              </w:rPr>
              <w:t>62</w:t>
            </w:r>
            <w:r w:rsidR="00535B24" w:rsidRPr="00535B24">
              <w:rPr>
                <w:rFonts w:ascii="Arial" w:hAnsi="Arial" w:cs="Arial"/>
                <w:noProof/>
                <w:webHidden/>
              </w:rPr>
              <w:fldChar w:fldCharType="end"/>
            </w:r>
          </w:hyperlink>
        </w:p>
        <w:p w14:paraId="4B32472C" w14:textId="68DF6918" w:rsidR="00535B24" w:rsidRPr="00535B24" w:rsidRDefault="00E81103">
          <w:pPr>
            <w:pStyle w:val="TOC3"/>
            <w:rPr>
              <w:rFonts w:ascii="Arial" w:eastAsiaTheme="minorEastAsia" w:hAnsi="Arial" w:cs="Arial"/>
              <w:iCs w:val="0"/>
            </w:rPr>
          </w:pPr>
          <w:hyperlink w:anchor="_Toc10290973" w:history="1">
            <w:r w:rsidR="00535B24" w:rsidRPr="00535B24">
              <w:rPr>
                <w:rStyle w:val="Hyperlink"/>
                <w:rFonts w:ascii="Arial" w:hAnsi="Arial" w:cs="Arial"/>
                <w:sz w:val="22"/>
              </w:rPr>
              <w:t>Data Collection Initiative at the DC Probate Branch</w:t>
            </w:r>
            <w:r w:rsidR="00535B24" w:rsidRPr="00535B24">
              <w:rPr>
                <w:rFonts w:ascii="Arial" w:hAnsi="Arial" w:cs="Arial"/>
                <w:webHidden/>
              </w:rPr>
              <w:tab/>
            </w:r>
            <w:r w:rsidR="00535B24" w:rsidRPr="00535B24">
              <w:rPr>
                <w:rFonts w:ascii="Arial" w:hAnsi="Arial" w:cs="Arial"/>
                <w:webHidden/>
              </w:rPr>
              <w:fldChar w:fldCharType="begin"/>
            </w:r>
            <w:r w:rsidR="00535B24" w:rsidRPr="00535B24">
              <w:rPr>
                <w:rFonts w:ascii="Arial" w:hAnsi="Arial" w:cs="Arial"/>
                <w:webHidden/>
              </w:rPr>
              <w:instrText xml:space="preserve"> PAGEREF _Toc10290973 \h </w:instrText>
            </w:r>
            <w:r w:rsidR="00535B24" w:rsidRPr="00535B24">
              <w:rPr>
                <w:rFonts w:ascii="Arial" w:hAnsi="Arial" w:cs="Arial"/>
                <w:webHidden/>
              </w:rPr>
            </w:r>
            <w:r w:rsidR="00535B24" w:rsidRPr="00535B24">
              <w:rPr>
                <w:rFonts w:ascii="Arial" w:hAnsi="Arial" w:cs="Arial"/>
                <w:webHidden/>
              </w:rPr>
              <w:fldChar w:fldCharType="separate"/>
            </w:r>
            <w:r w:rsidR="00F01EC2">
              <w:rPr>
                <w:rFonts w:ascii="Arial" w:hAnsi="Arial" w:cs="Arial"/>
                <w:webHidden/>
              </w:rPr>
              <w:t>62</w:t>
            </w:r>
            <w:r w:rsidR="00535B24" w:rsidRPr="00535B24">
              <w:rPr>
                <w:rFonts w:ascii="Arial" w:hAnsi="Arial" w:cs="Arial"/>
                <w:webHidden/>
              </w:rPr>
              <w:fldChar w:fldCharType="end"/>
            </w:r>
          </w:hyperlink>
        </w:p>
        <w:p w14:paraId="62E13A20" w14:textId="53DA32D6" w:rsidR="00535B24" w:rsidRPr="00535B24" w:rsidRDefault="00E81103">
          <w:pPr>
            <w:pStyle w:val="TOC3"/>
            <w:rPr>
              <w:rFonts w:ascii="Arial" w:eastAsiaTheme="minorEastAsia" w:hAnsi="Arial" w:cs="Arial"/>
              <w:iCs w:val="0"/>
            </w:rPr>
          </w:pPr>
          <w:hyperlink w:anchor="_Toc10290974" w:history="1">
            <w:r w:rsidR="00535B24" w:rsidRPr="00535B24">
              <w:rPr>
                <w:rStyle w:val="Hyperlink"/>
                <w:rFonts w:ascii="Arial" w:hAnsi="Arial" w:cs="Arial"/>
                <w:sz w:val="22"/>
              </w:rPr>
              <w:t>Data from the DC Department on Disability Services on Guardianship and Alternatives</w:t>
            </w:r>
            <w:r w:rsidR="00535B24" w:rsidRPr="00535B24">
              <w:rPr>
                <w:rFonts w:ascii="Arial" w:hAnsi="Arial" w:cs="Arial"/>
                <w:webHidden/>
              </w:rPr>
              <w:tab/>
            </w:r>
            <w:r w:rsidR="00535B24" w:rsidRPr="00535B24">
              <w:rPr>
                <w:rFonts w:ascii="Arial" w:hAnsi="Arial" w:cs="Arial"/>
                <w:webHidden/>
              </w:rPr>
              <w:fldChar w:fldCharType="begin"/>
            </w:r>
            <w:r w:rsidR="00535B24" w:rsidRPr="00535B24">
              <w:rPr>
                <w:rFonts w:ascii="Arial" w:hAnsi="Arial" w:cs="Arial"/>
                <w:webHidden/>
              </w:rPr>
              <w:instrText xml:space="preserve"> PAGEREF _Toc10290974 \h </w:instrText>
            </w:r>
            <w:r w:rsidR="00535B24" w:rsidRPr="00535B24">
              <w:rPr>
                <w:rFonts w:ascii="Arial" w:hAnsi="Arial" w:cs="Arial"/>
                <w:webHidden/>
              </w:rPr>
            </w:r>
            <w:r w:rsidR="00535B24" w:rsidRPr="00535B24">
              <w:rPr>
                <w:rFonts w:ascii="Arial" w:hAnsi="Arial" w:cs="Arial"/>
                <w:webHidden/>
              </w:rPr>
              <w:fldChar w:fldCharType="separate"/>
            </w:r>
            <w:r w:rsidR="00F01EC2">
              <w:rPr>
                <w:rFonts w:ascii="Arial" w:hAnsi="Arial" w:cs="Arial"/>
                <w:webHidden/>
              </w:rPr>
              <w:t>67</w:t>
            </w:r>
            <w:r w:rsidR="00535B24" w:rsidRPr="00535B24">
              <w:rPr>
                <w:rFonts w:ascii="Arial" w:hAnsi="Arial" w:cs="Arial"/>
                <w:webHidden/>
              </w:rPr>
              <w:fldChar w:fldCharType="end"/>
            </w:r>
          </w:hyperlink>
        </w:p>
        <w:p w14:paraId="757FC0FA" w14:textId="6EA16D55" w:rsidR="00535B24" w:rsidRPr="00535B24" w:rsidRDefault="00E81103">
          <w:pPr>
            <w:pStyle w:val="TOC3"/>
            <w:rPr>
              <w:rFonts w:ascii="Arial" w:eastAsiaTheme="minorEastAsia" w:hAnsi="Arial" w:cs="Arial"/>
              <w:iCs w:val="0"/>
            </w:rPr>
          </w:pPr>
          <w:hyperlink w:anchor="_Toc10290975" w:history="1">
            <w:r w:rsidR="00535B24" w:rsidRPr="00535B24">
              <w:rPr>
                <w:rStyle w:val="Hyperlink"/>
                <w:rFonts w:ascii="Arial" w:hAnsi="Arial" w:cs="Arial"/>
                <w:sz w:val="22"/>
              </w:rPr>
              <w:t>Lessons Learned from the DC Experience</w:t>
            </w:r>
            <w:r w:rsidR="00535B24" w:rsidRPr="00535B24">
              <w:rPr>
                <w:rFonts w:ascii="Arial" w:hAnsi="Arial" w:cs="Arial"/>
                <w:webHidden/>
              </w:rPr>
              <w:tab/>
            </w:r>
            <w:r w:rsidR="00535B24" w:rsidRPr="00535B24">
              <w:rPr>
                <w:rFonts w:ascii="Arial" w:hAnsi="Arial" w:cs="Arial"/>
                <w:webHidden/>
              </w:rPr>
              <w:fldChar w:fldCharType="begin"/>
            </w:r>
            <w:r w:rsidR="00535B24" w:rsidRPr="00535B24">
              <w:rPr>
                <w:rFonts w:ascii="Arial" w:hAnsi="Arial" w:cs="Arial"/>
                <w:webHidden/>
              </w:rPr>
              <w:instrText xml:space="preserve"> PAGEREF _Toc10290975 \h </w:instrText>
            </w:r>
            <w:r w:rsidR="00535B24" w:rsidRPr="00535B24">
              <w:rPr>
                <w:rFonts w:ascii="Arial" w:hAnsi="Arial" w:cs="Arial"/>
                <w:webHidden/>
              </w:rPr>
            </w:r>
            <w:r w:rsidR="00535B24" w:rsidRPr="00535B24">
              <w:rPr>
                <w:rFonts w:ascii="Arial" w:hAnsi="Arial" w:cs="Arial"/>
                <w:webHidden/>
              </w:rPr>
              <w:fldChar w:fldCharType="separate"/>
            </w:r>
            <w:r w:rsidR="00F01EC2">
              <w:rPr>
                <w:rFonts w:ascii="Arial" w:hAnsi="Arial" w:cs="Arial"/>
                <w:webHidden/>
              </w:rPr>
              <w:t>70</w:t>
            </w:r>
            <w:r w:rsidR="00535B24" w:rsidRPr="00535B24">
              <w:rPr>
                <w:rFonts w:ascii="Arial" w:hAnsi="Arial" w:cs="Arial"/>
                <w:webHidden/>
              </w:rPr>
              <w:fldChar w:fldCharType="end"/>
            </w:r>
          </w:hyperlink>
        </w:p>
        <w:p w14:paraId="411B317A" w14:textId="723E8143" w:rsidR="00535B24" w:rsidRPr="00535B24" w:rsidRDefault="00E81103">
          <w:pPr>
            <w:pStyle w:val="TOC2"/>
            <w:rPr>
              <w:rFonts w:ascii="Arial" w:eastAsiaTheme="minorEastAsia" w:hAnsi="Arial" w:cs="Arial"/>
              <w:noProof/>
            </w:rPr>
          </w:pPr>
          <w:hyperlink w:anchor="_Toc10290976" w:history="1">
            <w:r w:rsidR="00535B24" w:rsidRPr="00535B24">
              <w:rPr>
                <w:rStyle w:val="Hyperlink"/>
                <w:rFonts w:ascii="Arial" w:hAnsi="Arial" w:cs="Arial"/>
                <w:noProof/>
                <w:sz w:val="22"/>
              </w:rPr>
              <w:t>Beyond DC Institutionalization: Donna and Ricardo’s Story</w:t>
            </w:r>
            <w:r w:rsidR="00535B24" w:rsidRPr="00535B24">
              <w:rPr>
                <w:rFonts w:ascii="Arial" w:hAnsi="Arial" w:cs="Arial"/>
                <w:noProof/>
                <w:webHidden/>
              </w:rPr>
              <w:tab/>
            </w:r>
            <w:r w:rsidR="00535B24" w:rsidRPr="00535B24">
              <w:rPr>
                <w:rFonts w:ascii="Arial" w:hAnsi="Arial" w:cs="Arial"/>
                <w:noProof/>
                <w:webHidden/>
              </w:rPr>
              <w:fldChar w:fldCharType="begin"/>
            </w:r>
            <w:r w:rsidR="00535B24" w:rsidRPr="00535B24">
              <w:rPr>
                <w:rFonts w:ascii="Arial" w:hAnsi="Arial" w:cs="Arial"/>
                <w:noProof/>
                <w:webHidden/>
              </w:rPr>
              <w:instrText xml:space="preserve"> PAGEREF _Toc10290976 \h </w:instrText>
            </w:r>
            <w:r w:rsidR="00535B24" w:rsidRPr="00535B24">
              <w:rPr>
                <w:rFonts w:ascii="Arial" w:hAnsi="Arial" w:cs="Arial"/>
                <w:noProof/>
                <w:webHidden/>
              </w:rPr>
            </w:r>
            <w:r w:rsidR="00535B24" w:rsidRPr="00535B24">
              <w:rPr>
                <w:rFonts w:ascii="Arial" w:hAnsi="Arial" w:cs="Arial"/>
                <w:noProof/>
                <w:webHidden/>
              </w:rPr>
              <w:fldChar w:fldCharType="separate"/>
            </w:r>
            <w:r w:rsidR="00F01EC2">
              <w:rPr>
                <w:rFonts w:ascii="Arial" w:hAnsi="Arial" w:cs="Arial"/>
                <w:noProof/>
                <w:webHidden/>
              </w:rPr>
              <w:t>73</w:t>
            </w:r>
            <w:r w:rsidR="00535B24" w:rsidRPr="00535B24">
              <w:rPr>
                <w:rFonts w:ascii="Arial" w:hAnsi="Arial" w:cs="Arial"/>
                <w:noProof/>
                <w:webHidden/>
              </w:rPr>
              <w:fldChar w:fldCharType="end"/>
            </w:r>
          </w:hyperlink>
        </w:p>
        <w:p w14:paraId="4B45FC7F" w14:textId="3F1124B8" w:rsidR="00535B24" w:rsidRPr="00535B24" w:rsidRDefault="00E81103">
          <w:pPr>
            <w:pStyle w:val="TOC3"/>
            <w:rPr>
              <w:rFonts w:ascii="Arial" w:eastAsiaTheme="minorEastAsia" w:hAnsi="Arial" w:cs="Arial"/>
              <w:iCs w:val="0"/>
            </w:rPr>
          </w:pPr>
          <w:hyperlink w:anchor="_Toc10290977" w:history="1">
            <w:r w:rsidR="00535B24" w:rsidRPr="00535B24">
              <w:rPr>
                <w:rStyle w:val="Hyperlink"/>
                <w:rFonts w:ascii="Arial" w:hAnsi="Arial" w:cs="Arial"/>
                <w:sz w:val="22"/>
              </w:rPr>
              <w:t>A Powerful Love Story</w:t>
            </w:r>
            <w:r w:rsidR="00535B24" w:rsidRPr="00535B24">
              <w:rPr>
                <w:rFonts w:ascii="Arial" w:hAnsi="Arial" w:cs="Arial"/>
                <w:webHidden/>
              </w:rPr>
              <w:tab/>
            </w:r>
            <w:r w:rsidR="00535B24" w:rsidRPr="00535B24">
              <w:rPr>
                <w:rFonts w:ascii="Arial" w:hAnsi="Arial" w:cs="Arial"/>
                <w:webHidden/>
              </w:rPr>
              <w:fldChar w:fldCharType="begin"/>
            </w:r>
            <w:r w:rsidR="00535B24" w:rsidRPr="00535B24">
              <w:rPr>
                <w:rFonts w:ascii="Arial" w:hAnsi="Arial" w:cs="Arial"/>
                <w:webHidden/>
              </w:rPr>
              <w:instrText xml:space="preserve"> PAGEREF _Toc10290977 \h </w:instrText>
            </w:r>
            <w:r w:rsidR="00535B24" w:rsidRPr="00535B24">
              <w:rPr>
                <w:rFonts w:ascii="Arial" w:hAnsi="Arial" w:cs="Arial"/>
                <w:webHidden/>
              </w:rPr>
            </w:r>
            <w:r w:rsidR="00535B24" w:rsidRPr="00535B24">
              <w:rPr>
                <w:rFonts w:ascii="Arial" w:hAnsi="Arial" w:cs="Arial"/>
                <w:webHidden/>
              </w:rPr>
              <w:fldChar w:fldCharType="separate"/>
            </w:r>
            <w:r w:rsidR="00F01EC2">
              <w:rPr>
                <w:rFonts w:ascii="Arial" w:hAnsi="Arial" w:cs="Arial"/>
                <w:webHidden/>
              </w:rPr>
              <w:t>73</w:t>
            </w:r>
            <w:r w:rsidR="00535B24" w:rsidRPr="00535B24">
              <w:rPr>
                <w:rFonts w:ascii="Arial" w:hAnsi="Arial" w:cs="Arial"/>
                <w:webHidden/>
              </w:rPr>
              <w:fldChar w:fldCharType="end"/>
            </w:r>
          </w:hyperlink>
        </w:p>
        <w:p w14:paraId="56F4728C" w14:textId="41EFFC77" w:rsidR="00535B24" w:rsidRPr="00535B24" w:rsidRDefault="00E81103">
          <w:pPr>
            <w:pStyle w:val="TOC2"/>
            <w:rPr>
              <w:rFonts w:ascii="Arial" w:eastAsiaTheme="minorEastAsia" w:hAnsi="Arial" w:cs="Arial"/>
              <w:noProof/>
            </w:rPr>
          </w:pPr>
          <w:hyperlink w:anchor="_Toc10290978" w:history="1">
            <w:r w:rsidR="00535B24" w:rsidRPr="00535B24">
              <w:rPr>
                <w:rStyle w:val="Hyperlink"/>
                <w:rFonts w:ascii="Arial" w:hAnsi="Arial" w:cs="Arial"/>
                <w:noProof/>
                <w:sz w:val="22"/>
              </w:rPr>
              <w:t>The Long-Lasting Effects of “Institution Thinking”</w:t>
            </w:r>
            <w:r w:rsidR="00535B24" w:rsidRPr="00535B24">
              <w:rPr>
                <w:rFonts w:ascii="Arial" w:hAnsi="Arial" w:cs="Arial"/>
                <w:noProof/>
                <w:webHidden/>
              </w:rPr>
              <w:tab/>
            </w:r>
            <w:r w:rsidR="00535B24" w:rsidRPr="00535B24">
              <w:rPr>
                <w:rFonts w:ascii="Arial" w:hAnsi="Arial" w:cs="Arial"/>
                <w:noProof/>
                <w:webHidden/>
              </w:rPr>
              <w:fldChar w:fldCharType="begin"/>
            </w:r>
            <w:r w:rsidR="00535B24" w:rsidRPr="00535B24">
              <w:rPr>
                <w:rFonts w:ascii="Arial" w:hAnsi="Arial" w:cs="Arial"/>
                <w:noProof/>
                <w:webHidden/>
              </w:rPr>
              <w:instrText xml:space="preserve"> PAGEREF _Toc10290978 \h </w:instrText>
            </w:r>
            <w:r w:rsidR="00535B24" w:rsidRPr="00535B24">
              <w:rPr>
                <w:rFonts w:ascii="Arial" w:hAnsi="Arial" w:cs="Arial"/>
                <w:noProof/>
                <w:webHidden/>
              </w:rPr>
            </w:r>
            <w:r w:rsidR="00535B24" w:rsidRPr="00535B24">
              <w:rPr>
                <w:rFonts w:ascii="Arial" w:hAnsi="Arial" w:cs="Arial"/>
                <w:noProof/>
                <w:webHidden/>
              </w:rPr>
              <w:fldChar w:fldCharType="separate"/>
            </w:r>
            <w:r w:rsidR="00F01EC2">
              <w:rPr>
                <w:rFonts w:ascii="Arial" w:hAnsi="Arial" w:cs="Arial"/>
                <w:noProof/>
                <w:webHidden/>
              </w:rPr>
              <w:t>73</w:t>
            </w:r>
            <w:r w:rsidR="00535B24" w:rsidRPr="00535B24">
              <w:rPr>
                <w:rFonts w:ascii="Arial" w:hAnsi="Arial" w:cs="Arial"/>
                <w:noProof/>
                <w:webHidden/>
              </w:rPr>
              <w:fldChar w:fldCharType="end"/>
            </w:r>
          </w:hyperlink>
        </w:p>
        <w:p w14:paraId="7ADB399A" w14:textId="3CC2E71D" w:rsidR="00535B24" w:rsidRPr="00535B24" w:rsidRDefault="00E81103">
          <w:pPr>
            <w:pStyle w:val="TOC2"/>
            <w:rPr>
              <w:rFonts w:ascii="Arial" w:eastAsiaTheme="minorEastAsia" w:hAnsi="Arial" w:cs="Arial"/>
              <w:noProof/>
            </w:rPr>
          </w:pPr>
          <w:hyperlink w:anchor="_Toc10290979" w:history="1">
            <w:r w:rsidR="00535B24" w:rsidRPr="00535B24">
              <w:rPr>
                <w:rStyle w:val="Hyperlink"/>
                <w:rFonts w:ascii="Arial" w:hAnsi="Arial" w:cs="Arial"/>
                <w:noProof/>
                <w:sz w:val="22"/>
              </w:rPr>
              <w:t>Journey to Greater Decision-Making Freedom</w:t>
            </w:r>
            <w:r w:rsidR="00535B24" w:rsidRPr="00535B24">
              <w:rPr>
                <w:rFonts w:ascii="Arial" w:hAnsi="Arial" w:cs="Arial"/>
                <w:noProof/>
                <w:webHidden/>
              </w:rPr>
              <w:tab/>
            </w:r>
            <w:r w:rsidR="00535B24" w:rsidRPr="00535B24">
              <w:rPr>
                <w:rFonts w:ascii="Arial" w:hAnsi="Arial" w:cs="Arial"/>
                <w:noProof/>
                <w:webHidden/>
              </w:rPr>
              <w:fldChar w:fldCharType="begin"/>
            </w:r>
            <w:r w:rsidR="00535B24" w:rsidRPr="00535B24">
              <w:rPr>
                <w:rFonts w:ascii="Arial" w:hAnsi="Arial" w:cs="Arial"/>
                <w:noProof/>
                <w:webHidden/>
              </w:rPr>
              <w:instrText xml:space="preserve"> PAGEREF _Toc10290979 \h </w:instrText>
            </w:r>
            <w:r w:rsidR="00535B24" w:rsidRPr="00535B24">
              <w:rPr>
                <w:rFonts w:ascii="Arial" w:hAnsi="Arial" w:cs="Arial"/>
                <w:noProof/>
                <w:webHidden/>
              </w:rPr>
            </w:r>
            <w:r w:rsidR="00535B24" w:rsidRPr="00535B24">
              <w:rPr>
                <w:rFonts w:ascii="Arial" w:hAnsi="Arial" w:cs="Arial"/>
                <w:noProof/>
                <w:webHidden/>
              </w:rPr>
              <w:fldChar w:fldCharType="separate"/>
            </w:r>
            <w:r w:rsidR="00F01EC2">
              <w:rPr>
                <w:rFonts w:ascii="Arial" w:hAnsi="Arial" w:cs="Arial"/>
                <w:noProof/>
                <w:webHidden/>
              </w:rPr>
              <w:t>74</w:t>
            </w:r>
            <w:r w:rsidR="00535B24" w:rsidRPr="00535B24">
              <w:rPr>
                <w:rFonts w:ascii="Arial" w:hAnsi="Arial" w:cs="Arial"/>
                <w:noProof/>
                <w:webHidden/>
              </w:rPr>
              <w:fldChar w:fldCharType="end"/>
            </w:r>
          </w:hyperlink>
        </w:p>
        <w:p w14:paraId="473DB37E" w14:textId="311EFAF0" w:rsidR="00535B24" w:rsidRPr="00535B24" w:rsidRDefault="00E81103">
          <w:pPr>
            <w:pStyle w:val="TOC3"/>
            <w:rPr>
              <w:rFonts w:ascii="Arial" w:eastAsiaTheme="minorEastAsia" w:hAnsi="Arial" w:cs="Arial"/>
              <w:iCs w:val="0"/>
            </w:rPr>
          </w:pPr>
          <w:hyperlink w:anchor="_Toc10290980" w:history="1">
            <w:r w:rsidR="00535B24" w:rsidRPr="00535B24">
              <w:rPr>
                <w:rStyle w:val="Hyperlink"/>
                <w:rFonts w:ascii="Arial" w:hAnsi="Arial" w:cs="Arial"/>
                <w:sz w:val="22"/>
              </w:rPr>
              <w:t>Finances</w:t>
            </w:r>
            <w:r w:rsidR="00535B24" w:rsidRPr="00535B24">
              <w:rPr>
                <w:rFonts w:ascii="Arial" w:hAnsi="Arial" w:cs="Arial"/>
                <w:webHidden/>
              </w:rPr>
              <w:tab/>
            </w:r>
            <w:r w:rsidR="00535B24" w:rsidRPr="00535B24">
              <w:rPr>
                <w:rFonts w:ascii="Arial" w:hAnsi="Arial" w:cs="Arial"/>
                <w:webHidden/>
              </w:rPr>
              <w:fldChar w:fldCharType="begin"/>
            </w:r>
            <w:r w:rsidR="00535B24" w:rsidRPr="00535B24">
              <w:rPr>
                <w:rFonts w:ascii="Arial" w:hAnsi="Arial" w:cs="Arial"/>
                <w:webHidden/>
              </w:rPr>
              <w:instrText xml:space="preserve"> PAGEREF _Toc10290980 \h </w:instrText>
            </w:r>
            <w:r w:rsidR="00535B24" w:rsidRPr="00535B24">
              <w:rPr>
                <w:rFonts w:ascii="Arial" w:hAnsi="Arial" w:cs="Arial"/>
                <w:webHidden/>
              </w:rPr>
            </w:r>
            <w:r w:rsidR="00535B24" w:rsidRPr="00535B24">
              <w:rPr>
                <w:rFonts w:ascii="Arial" w:hAnsi="Arial" w:cs="Arial"/>
                <w:webHidden/>
              </w:rPr>
              <w:fldChar w:fldCharType="separate"/>
            </w:r>
            <w:r w:rsidR="00F01EC2">
              <w:rPr>
                <w:rFonts w:ascii="Arial" w:hAnsi="Arial" w:cs="Arial"/>
                <w:webHidden/>
              </w:rPr>
              <w:t>74</w:t>
            </w:r>
            <w:r w:rsidR="00535B24" w:rsidRPr="00535B24">
              <w:rPr>
                <w:rFonts w:ascii="Arial" w:hAnsi="Arial" w:cs="Arial"/>
                <w:webHidden/>
              </w:rPr>
              <w:fldChar w:fldCharType="end"/>
            </w:r>
          </w:hyperlink>
        </w:p>
        <w:p w14:paraId="251BCE01" w14:textId="31BF79A3" w:rsidR="00535B24" w:rsidRPr="00535B24" w:rsidRDefault="00E81103">
          <w:pPr>
            <w:pStyle w:val="TOC3"/>
            <w:rPr>
              <w:rFonts w:ascii="Arial" w:eastAsiaTheme="minorEastAsia" w:hAnsi="Arial" w:cs="Arial"/>
              <w:iCs w:val="0"/>
            </w:rPr>
          </w:pPr>
          <w:hyperlink w:anchor="_Toc10290981" w:history="1">
            <w:r w:rsidR="00535B24" w:rsidRPr="00535B24">
              <w:rPr>
                <w:rStyle w:val="Hyperlink"/>
                <w:rFonts w:ascii="Arial" w:hAnsi="Arial" w:cs="Arial"/>
                <w:sz w:val="22"/>
              </w:rPr>
              <w:t>Health Care and Domestic Life</w:t>
            </w:r>
            <w:r w:rsidR="00535B24" w:rsidRPr="00535B24">
              <w:rPr>
                <w:rFonts w:ascii="Arial" w:hAnsi="Arial" w:cs="Arial"/>
                <w:webHidden/>
              </w:rPr>
              <w:tab/>
            </w:r>
            <w:r w:rsidR="00535B24" w:rsidRPr="00535B24">
              <w:rPr>
                <w:rFonts w:ascii="Arial" w:hAnsi="Arial" w:cs="Arial"/>
                <w:webHidden/>
              </w:rPr>
              <w:fldChar w:fldCharType="begin"/>
            </w:r>
            <w:r w:rsidR="00535B24" w:rsidRPr="00535B24">
              <w:rPr>
                <w:rFonts w:ascii="Arial" w:hAnsi="Arial" w:cs="Arial"/>
                <w:webHidden/>
              </w:rPr>
              <w:instrText xml:space="preserve"> PAGEREF _Toc10290981 \h </w:instrText>
            </w:r>
            <w:r w:rsidR="00535B24" w:rsidRPr="00535B24">
              <w:rPr>
                <w:rFonts w:ascii="Arial" w:hAnsi="Arial" w:cs="Arial"/>
                <w:webHidden/>
              </w:rPr>
            </w:r>
            <w:r w:rsidR="00535B24" w:rsidRPr="00535B24">
              <w:rPr>
                <w:rFonts w:ascii="Arial" w:hAnsi="Arial" w:cs="Arial"/>
                <w:webHidden/>
              </w:rPr>
              <w:fldChar w:fldCharType="separate"/>
            </w:r>
            <w:r w:rsidR="00F01EC2">
              <w:rPr>
                <w:rFonts w:ascii="Arial" w:hAnsi="Arial" w:cs="Arial"/>
                <w:webHidden/>
              </w:rPr>
              <w:t>75</w:t>
            </w:r>
            <w:r w:rsidR="00535B24" w:rsidRPr="00535B24">
              <w:rPr>
                <w:rFonts w:ascii="Arial" w:hAnsi="Arial" w:cs="Arial"/>
                <w:webHidden/>
              </w:rPr>
              <w:fldChar w:fldCharType="end"/>
            </w:r>
          </w:hyperlink>
        </w:p>
        <w:p w14:paraId="36BABF0D" w14:textId="0096D339" w:rsidR="00535B24" w:rsidRPr="00535B24" w:rsidRDefault="00E81103">
          <w:pPr>
            <w:pStyle w:val="TOC1"/>
            <w:rPr>
              <w:rFonts w:ascii="Arial" w:eastAsiaTheme="minorEastAsia" w:hAnsi="Arial" w:cs="Arial"/>
              <w:noProof/>
              <w:sz w:val="22"/>
              <w:szCs w:val="22"/>
            </w:rPr>
          </w:pPr>
          <w:hyperlink w:anchor="_Toc10290982" w:history="1">
            <w:r w:rsidR="00535B24" w:rsidRPr="00535B24">
              <w:rPr>
                <w:rStyle w:val="Hyperlink"/>
                <w:rFonts w:ascii="Arial" w:hAnsi="Arial" w:cs="Arial"/>
                <w:noProof/>
                <w:sz w:val="22"/>
                <w:szCs w:val="22"/>
              </w:rPr>
              <w:t>Chapter 6: Other Stakeholder Experiences with the Guardianship System and Alternatives</w:t>
            </w:r>
            <w:r w:rsidR="00535B24" w:rsidRPr="00535B24">
              <w:rPr>
                <w:rFonts w:ascii="Arial" w:hAnsi="Arial" w:cs="Arial"/>
                <w:noProof/>
                <w:webHidden/>
                <w:sz w:val="22"/>
                <w:szCs w:val="22"/>
              </w:rPr>
              <w:tab/>
            </w:r>
            <w:r w:rsidR="00535B24" w:rsidRPr="00535B24">
              <w:rPr>
                <w:rFonts w:ascii="Arial" w:hAnsi="Arial" w:cs="Arial"/>
                <w:noProof/>
                <w:webHidden/>
                <w:sz w:val="22"/>
                <w:szCs w:val="22"/>
              </w:rPr>
              <w:fldChar w:fldCharType="begin"/>
            </w:r>
            <w:r w:rsidR="00535B24" w:rsidRPr="00535B24">
              <w:rPr>
                <w:rFonts w:ascii="Arial" w:hAnsi="Arial" w:cs="Arial"/>
                <w:noProof/>
                <w:webHidden/>
                <w:sz w:val="22"/>
                <w:szCs w:val="22"/>
              </w:rPr>
              <w:instrText xml:space="preserve"> PAGEREF _Toc10290982 \h </w:instrText>
            </w:r>
            <w:r w:rsidR="00535B24" w:rsidRPr="00535B24">
              <w:rPr>
                <w:rFonts w:ascii="Arial" w:hAnsi="Arial" w:cs="Arial"/>
                <w:noProof/>
                <w:webHidden/>
                <w:sz w:val="22"/>
                <w:szCs w:val="22"/>
              </w:rPr>
            </w:r>
            <w:r w:rsidR="00535B24" w:rsidRPr="00535B24">
              <w:rPr>
                <w:rFonts w:ascii="Arial" w:hAnsi="Arial" w:cs="Arial"/>
                <w:noProof/>
                <w:webHidden/>
                <w:sz w:val="22"/>
                <w:szCs w:val="22"/>
              </w:rPr>
              <w:fldChar w:fldCharType="separate"/>
            </w:r>
            <w:r w:rsidR="00F01EC2">
              <w:rPr>
                <w:rFonts w:ascii="Arial" w:hAnsi="Arial" w:cs="Arial"/>
                <w:noProof/>
                <w:webHidden/>
                <w:sz w:val="22"/>
                <w:szCs w:val="22"/>
              </w:rPr>
              <w:t>77</w:t>
            </w:r>
            <w:r w:rsidR="00535B24" w:rsidRPr="00535B24">
              <w:rPr>
                <w:rFonts w:ascii="Arial" w:hAnsi="Arial" w:cs="Arial"/>
                <w:noProof/>
                <w:webHidden/>
                <w:sz w:val="22"/>
                <w:szCs w:val="22"/>
              </w:rPr>
              <w:fldChar w:fldCharType="end"/>
            </w:r>
          </w:hyperlink>
        </w:p>
        <w:p w14:paraId="35402286" w14:textId="74DF9F06" w:rsidR="00535B24" w:rsidRPr="00535B24" w:rsidRDefault="00E81103">
          <w:pPr>
            <w:pStyle w:val="TOC2"/>
            <w:rPr>
              <w:rFonts w:ascii="Arial" w:eastAsiaTheme="minorEastAsia" w:hAnsi="Arial" w:cs="Arial"/>
              <w:noProof/>
            </w:rPr>
          </w:pPr>
          <w:hyperlink w:anchor="_Toc10290983" w:history="1">
            <w:r w:rsidR="00535B24" w:rsidRPr="00535B24">
              <w:rPr>
                <w:rStyle w:val="Hyperlink"/>
                <w:rFonts w:ascii="Arial" w:eastAsia="Times New Roman" w:hAnsi="Arial" w:cs="Arial"/>
                <w:noProof/>
                <w:sz w:val="22"/>
              </w:rPr>
              <w:t xml:space="preserve">Rights Taken, Rights </w:t>
            </w:r>
            <w:r w:rsidR="00535B24" w:rsidRPr="00535B24">
              <w:rPr>
                <w:rStyle w:val="Hyperlink"/>
                <w:rFonts w:ascii="Arial" w:hAnsi="Arial" w:cs="Arial"/>
                <w:noProof/>
                <w:sz w:val="22"/>
              </w:rPr>
              <w:t>Restored</w:t>
            </w:r>
            <w:r w:rsidR="00535B24" w:rsidRPr="00535B24">
              <w:rPr>
                <w:rStyle w:val="Hyperlink"/>
                <w:rFonts w:ascii="Arial" w:eastAsia="Times New Roman" w:hAnsi="Arial" w:cs="Arial"/>
                <w:noProof/>
                <w:sz w:val="22"/>
              </w:rPr>
              <w:t>: Tosha’s Story from Texas</w:t>
            </w:r>
            <w:r w:rsidR="00535B24" w:rsidRPr="00535B24">
              <w:rPr>
                <w:rFonts w:ascii="Arial" w:hAnsi="Arial" w:cs="Arial"/>
                <w:noProof/>
                <w:webHidden/>
              </w:rPr>
              <w:tab/>
            </w:r>
            <w:r w:rsidR="00535B24" w:rsidRPr="00535B24">
              <w:rPr>
                <w:rFonts w:ascii="Arial" w:hAnsi="Arial" w:cs="Arial"/>
                <w:noProof/>
                <w:webHidden/>
              </w:rPr>
              <w:fldChar w:fldCharType="begin"/>
            </w:r>
            <w:r w:rsidR="00535B24" w:rsidRPr="00535B24">
              <w:rPr>
                <w:rFonts w:ascii="Arial" w:hAnsi="Arial" w:cs="Arial"/>
                <w:noProof/>
                <w:webHidden/>
              </w:rPr>
              <w:instrText xml:space="preserve"> PAGEREF _Toc10290983 \h </w:instrText>
            </w:r>
            <w:r w:rsidR="00535B24" w:rsidRPr="00535B24">
              <w:rPr>
                <w:rFonts w:ascii="Arial" w:hAnsi="Arial" w:cs="Arial"/>
                <w:noProof/>
                <w:webHidden/>
              </w:rPr>
            </w:r>
            <w:r w:rsidR="00535B24" w:rsidRPr="00535B24">
              <w:rPr>
                <w:rFonts w:ascii="Arial" w:hAnsi="Arial" w:cs="Arial"/>
                <w:noProof/>
                <w:webHidden/>
              </w:rPr>
              <w:fldChar w:fldCharType="separate"/>
            </w:r>
            <w:r w:rsidR="00F01EC2">
              <w:rPr>
                <w:rFonts w:ascii="Arial" w:hAnsi="Arial" w:cs="Arial"/>
                <w:noProof/>
                <w:webHidden/>
              </w:rPr>
              <w:t>77</w:t>
            </w:r>
            <w:r w:rsidR="00535B24" w:rsidRPr="00535B24">
              <w:rPr>
                <w:rFonts w:ascii="Arial" w:hAnsi="Arial" w:cs="Arial"/>
                <w:noProof/>
                <w:webHidden/>
              </w:rPr>
              <w:fldChar w:fldCharType="end"/>
            </w:r>
          </w:hyperlink>
        </w:p>
        <w:p w14:paraId="78794F7C" w14:textId="60CEC315" w:rsidR="00535B24" w:rsidRPr="00535B24" w:rsidRDefault="00E81103">
          <w:pPr>
            <w:pStyle w:val="TOC2"/>
            <w:rPr>
              <w:rFonts w:ascii="Arial" w:eastAsiaTheme="minorEastAsia" w:hAnsi="Arial" w:cs="Arial"/>
              <w:noProof/>
            </w:rPr>
          </w:pPr>
          <w:hyperlink w:anchor="_Toc10290984" w:history="1">
            <w:r w:rsidR="00535B24" w:rsidRPr="00535B24">
              <w:rPr>
                <w:rStyle w:val="Hyperlink"/>
                <w:rFonts w:ascii="Arial" w:hAnsi="Arial" w:cs="Arial"/>
                <w:noProof/>
                <w:sz w:val="22"/>
              </w:rPr>
              <w:t>In Their Own Words: Other Lessons Learned from Stakeholders</w:t>
            </w:r>
            <w:r w:rsidR="00535B24" w:rsidRPr="00535B24">
              <w:rPr>
                <w:rFonts w:ascii="Arial" w:hAnsi="Arial" w:cs="Arial"/>
                <w:noProof/>
                <w:webHidden/>
              </w:rPr>
              <w:tab/>
            </w:r>
            <w:r w:rsidR="00535B24" w:rsidRPr="00535B24">
              <w:rPr>
                <w:rFonts w:ascii="Arial" w:hAnsi="Arial" w:cs="Arial"/>
                <w:noProof/>
                <w:webHidden/>
              </w:rPr>
              <w:fldChar w:fldCharType="begin"/>
            </w:r>
            <w:r w:rsidR="00535B24" w:rsidRPr="00535B24">
              <w:rPr>
                <w:rFonts w:ascii="Arial" w:hAnsi="Arial" w:cs="Arial"/>
                <w:noProof/>
                <w:webHidden/>
              </w:rPr>
              <w:instrText xml:space="preserve"> PAGEREF _Toc10290984 \h </w:instrText>
            </w:r>
            <w:r w:rsidR="00535B24" w:rsidRPr="00535B24">
              <w:rPr>
                <w:rFonts w:ascii="Arial" w:hAnsi="Arial" w:cs="Arial"/>
                <w:noProof/>
                <w:webHidden/>
              </w:rPr>
            </w:r>
            <w:r w:rsidR="00535B24" w:rsidRPr="00535B24">
              <w:rPr>
                <w:rFonts w:ascii="Arial" w:hAnsi="Arial" w:cs="Arial"/>
                <w:noProof/>
                <w:webHidden/>
              </w:rPr>
              <w:fldChar w:fldCharType="separate"/>
            </w:r>
            <w:r w:rsidR="00F01EC2">
              <w:rPr>
                <w:rFonts w:ascii="Arial" w:hAnsi="Arial" w:cs="Arial"/>
                <w:noProof/>
                <w:webHidden/>
              </w:rPr>
              <w:t>78</w:t>
            </w:r>
            <w:r w:rsidR="00535B24" w:rsidRPr="00535B24">
              <w:rPr>
                <w:rFonts w:ascii="Arial" w:hAnsi="Arial" w:cs="Arial"/>
                <w:noProof/>
                <w:webHidden/>
              </w:rPr>
              <w:fldChar w:fldCharType="end"/>
            </w:r>
          </w:hyperlink>
        </w:p>
        <w:p w14:paraId="60EB3BF6" w14:textId="22055F50" w:rsidR="00535B24" w:rsidRPr="00535B24" w:rsidRDefault="00E81103">
          <w:pPr>
            <w:pStyle w:val="TOC2"/>
            <w:rPr>
              <w:rFonts w:ascii="Arial" w:eastAsiaTheme="minorEastAsia" w:hAnsi="Arial" w:cs="Arial"/>
              <w:noProof/>
            </w:rPr>
          </w:pPr>
          <w:hyperlink w:anchor="_Toc10290985" w:history="1">
            <w:r w:rsidR="00535B24" w:rsidRPr="00535B24">
              <w:rPr>
                <w:rStyle w:val="Hyperlink"/>
                <w:rFonts w:ascii="Arial" w:hAnsi="Arial" w:cs="Arial"/>
                <w:noProof/>
                <w:sz w:val="22"/>
              </w:rPr>
              <w:t>Reasons Adults with ID/DD Become Subject to Guardianship</w:t>
            </w:r>
            <w:r w:rsidR="00535B24" w:rsidRPr="00535B24">
              <w:rPr>
                <w:rFonts w:ascii="Arial" w:hAnsi="Arial" w:cs="Arial"/>
                <w:noProof/>
                <w:webHidden/>
              </w:rPr>
              <w:tab/>
            </w:r>
            <w:r w:rsidR="00535B24" w:rsidRPr="00535B24">
              <w:rPr>
                <w:rFonts w:ascii="Arial" w:hAnsi="Arial" w:cs="Arial"/>
                <w:noProof/>
                <w:webHidden/>
              </w:rPr>
              <w:fldChar w:fldCharType="begin"/>
            </w:r>
            <w:r w:rsidR="00535B24" w:rsidRPr="00535B24">
              <w:rPr>
                <w:rFonts w:ascii="Arial" w:hAnsi="Arial" w:cs="Arial"/>
                <w:noProof/>
                <w:webHidden/>
              </w:rPr>
              <w:instrText xml:space="preserve"> PAGEREF _Toc10290985 \h </w:instrText>
            </w:r>
            <w:r w:rsidR="00535B24" w:rsidRPr="00535B24">
              <w:rPr>
                <w:rFonts w:ascii="Arial" w:hAnsi="Arial" w:cs="Arial"/>
                <w:noProof/>
                <w:webHidden/>
              </w:rPr>
            </w:r>
            <w:r w:rsidR="00535B24" w:rsidRPr="00535B24">
              <w:rPr>
                <w:rFonts w:ascii="Arial" w:hAnsi="Arial" w:cs="Arial"/>
                <w:noProof/>
                <w:webHidden/>
              </w:rPr>
              <w:fldChar w:fldCharType="separate"/>
            </w:r>
            <w:r w:rsidR="00F01EC2">
              <w:rPr>
                <w:rFonts w:ascii="Arial" w:hAnsi="Arial" w:cs="Arial"/>
                <w:noProof/>
                <w:webHidden/>
              </w:rPr>
              <w:t>79</w:t>
            </w:r>
            <w:r w:rsidR="00535B24" w:rsidRPr="00535B24">
              <w:rPr>
                <w:rFonts w:ascii="Arial" w:hAnsi="Arial" w:cs="Arial"/>
                <w:noProof/>
                <w:webHidden/>
              </w:rPr>
              <w:fldChar w:fldCharType="end"/>
            </w:r>
          </w:hyperlink>
        </w:p>
        <w:p w14:paraId="3B682635" w14:textId="5E5A890D" w:rsidR="00535B24" w:rsidRPr="00535B24" w:rsidRDefault="00E81103">
          <w:pPr>
            <w:pStyle w:val="TOC2"/>
            <w:rPr>
              <w:rFonts w:ascii="Arial" w:eastAsiaTheme="minorEastAsia" w:hAnsi="Arial" w:cs="Arial"/>
              <w:noProof/>
            </w:rPr>
          </w:pPr>
          <w:hyperlink w:anchor="_Toc10290986" w:history="1">
            <w:r w:rsidR="00535B24" w:rsidRPr="00535B24">
              <w:rPr>
                <w:rStyle w:val="Hyperlink"/>
                <w:rFonts w:ascii="Arial" w:hAnsi="Arial" w:cs="Arial"/>
                <w:noProof/>
                <w:sz w:val="22"/>
              </w:rPr>
              <w:t>Perspectives on the Impact of Guardianship on People with ID/DD</w:t>
            </w:r>
            <w:r w:rsidR="00535B24" w:rsidRPr="00535B24">
              <w:rPr>
                <w:rFonts w:ascii="Arial" w:hAnsi="Arial" w:cs="Arial"/>
                <w:noProof/>
                <w:webHidden/>
              </w:rPr>
              <w:tab/>
            </w:r>
            <w:r w:rsidR="00535B24" w:rsidRPr="00535B24">
              <w:rPr>
                <w:rFonts w:ascii="Arial" w:hAnsi="Arial" w:cs="Arial"/>
                <w:noProof/>
                <w:webHidden/>
              </w:rPr>
              <w:fldChar w:fldCharType="begin"/>
            </w:r>
            <w:r w:rsidR="00535B24" w:rsidRPr="00535B24">
              <w:rPr>
                <w:rFonts w:ascii="Arial" w:hAnsi="Arial" w:cs="Arial"/>
                <w:noProof/>
                <w:webHidden/>
              </w:rPr>
              <w:instrText xml:space="preserve"> PAGEREF _Toc10290986 \h </w:instrText>
            </w:r>
            <w:r w:rsidR="00535B24" w:rsidRPr="00535B24">
              <w:rPr>
                <w:rFonts w:ascii="Arial" w:hAnsi="Arial" w:cs="Arial"/>
                <w:noProof/>
                <w:webHidden/>
              </w:rPr>
            </w:r>
            <w:r w:rsidR="00535B24" w:rsidRPr="00535B24">
              <w:rPr>
                <w:rFonts w:ascii="Arial" w:hAnsi="Arial" w:cs="Arial"/>
                <w:noProof/>
                <w:webHidden/>
              </w:rPr>
              <w:fldChar w:fldCharType="separate"/>
            </w:r>
            <w:r w:rsidR="00F01EC2">
              <w:rPr>
                <w:rFonts w:ascii="Arial" w:hAnsi="Arial" w:cs="Arial"/>
                <w:noProof/>
                <w:webHidden/>
              </w:rPr>
              <w:t>81</w:t>
            </w:r>
            <w:r w:rsidR="00535B24" w:rsidRPr="00535B24">
              <w:rPr>
                <w:rFonts w:ascii="Arial" w:hAnsi="Arial" w:cs="Arial"/>
                <w:noProof/>
                <w:webHidden/>
              </w:rPr>
              <w:fldChar w:fldCharType="end"/>
            </w:r>
          </w:hyperlink>
        </w:p>
        <w:p w14:paraId="258E90ED" w14:textId="4F2FDFF4" w:rsidR="00535B24" w:rsidRPr="00535B24" w:rsidRDefault="00E81103">
          <w:pPr>
            <w:pStyle w:val="TOC2"/>
            <w:rPr>
              <w:rFonts w:ascii="Arial" w:eastAsiaTheme="minorEastAsia" w:hAnsi="Arial" w:cs="Arial"/>
              <w:noProof/>
            </w:rPr>
          </w:pPr>
          <w:hyperlink w:anchor="_Toc10290987" w:history="1">
            <w:r w:rsidR="00535B24" w:rsidRPr="00535B24">
              <w:rPr>
                <w:rStyle w:val="Hyperlink"/>
                <w:rFonts w:ascii="Arial" w:hAnsi="Arial" w:cs="Arial"/>
                <w:noProof/>
                <w:sz w:val="22"/>
              </w:rPr>
              <w:t>Perceptions on the Impact of Alternatives to Guardianship on People with ID/DD</w:t>
            </w:r>
            <w:r w:rsidR="00535B24" w:rsidRPr="00535B24">
              <w:rPr>
                <w:rFonts w:ascii="Arial" w:hAnsi="Arial" w:cs="Arial"/>
                <w:noProof/>
                <w:webHidden/>
              </w:rPr>
              <w:tab/>
            </w:r>
            <w:r w:rsidR="00535B24" w:rsidRPr="00535B24">
              <w:rPr>
                <w:rFonts w:ascii="Arial" w:hAnsi="Arial" w:cs="Arial"/>
                <w:noProof/>
                <w:webHidden/>
              </w:rPr>
              <w:fldChar w:fldCharType="begin"/>
            </w:r>
            <w:r w:rsidR="00535B24" w:rsidRPr="00535B24">
              <w:rPr>
                <w:rFonts w:ascii="Arial" w:hAnsi="Arial" w:cs="Arial"/>
                <w:noProof/>
                <w:webHidden/>
              </w:rPr>
              <w:instrText xml:space="preserve"> PAGEREF _Toc10290987 \h </w:instrText>
            </w:r>
            <w:r w:rsidR="00535B24" w:rsidRPr="00535B24">
              <w:rPr>
                <w:rFonts w:ascii="Arial" w:hAnsi="Arial" w:cs="Arial"/>
                <w:noProof/>
                <w:webHidden/>
              </w:rPr>
            </w:r>
            <w:r w:rsidR="00535B24" w:rsidRPr="00535B24">
              <w:rPr>
                <w:rFonts w:ascii="Arial" w:hAnsi="Arial" w:cs="Arial"/>
                <w:noProof/>
                <w:webHidden/>
              </w:rPr>
              <w:fldChar w:fldCharType="separate"/>
            </w:r>
            <w:r w:rsidR="00F01EC2">
              <w:rPr>
                <w:rFonts w:ascii="Arial" w:hAnsi="Arial" w:cs="Arial"/>
                <w:noProof/>
                <w:webHidden/>
              </w:rPr>
              <w:t>85</w:t>
            </w:r>
            <w:r w:rsidR="00535B24" w:rsidRPr="00535B24">
              <w:rPr>
                <w:rFonts w:ascii="Arial" w:hAnsi="Arial" w:cs="Arial"/>
                <w:noProof/>
                <w:webHidden/>
              </w:rPr>
              <w:fldChar w:fldCharType="end"/>
            </w:r>
          </w:hyperlink>
        </w:p>
        <w:p w14:paraId="695AAD7C" w14:textId="60E8D179" w:rsidR="00535B24" w:rsidRPr="00535B24" w:rsidRDefault="00E81103">
          <w:pPr>
            <w:pStyle w:val="TOC2"/>
            <w:rPr>
              <w:rFonts w:ascii="Arial" w:eastAsiaTheme="minorEastAsia" w:hAnsi="Arial" w:cs="Arial"/>
              <w:noProof/>
            </w:rPr>
          </w:pPr>
          <w:hyperlink w:anchor="_Toc10290988" w:history="1">
            <w:r w:rsidR="00535B24" w:rsidRPr="00535B24">
              <w:rPr>
                <w:rStyle w:val="Hyperlink"/>
                <w:rFonts w:ascii="Arial" w:hAnsi="Arial" w:cs="Arial"/>
                <w:noProof/>
                <w:sz w:val="22"/>
              </w:rPr>
              <w:t>Importance of Self-Determination for People with ID/DD</w:t>
            </w:r>
            <w:r w:rsidR="00535B24" w:rsidRPr="00535B24">
              <w:rPr>
                <w:rFonts w:ascii="Arial" w:hAnsi="Arial" w:cs="Arial"/>
                <w:noProof/>
                <w:webHidden/>
              </w:rPr>
              <w:tab/>
            </w:r>
            <w:r w:rsidR="00535B24" w:rsidRPr="00535B24">
              <w:rPr>
                <w:rFonts w:ascii="Arial" w:hAnsi="Arial" w:cs="Arial"/>
                <w:noProof/>
                <w:webHidden/>
              </w:rPr>
              <w:fldChar w:fldCharType="begin"/>
            </w:r>
            <w:r w:rsidR="00535B24" w:rsidRPr="00535B24">
              <w:rPr>
                <w:rFonts w:ascii="Arial" w:hAnsi="Arial" w:cs="Arial"/>
                <w:noProof/>
                <w:webHidden/>
              </w:rPr>
              <w:instrText xml:space="preserve"> PAGEREF _Toc10290988 \h </w:instrText>
            </w:r>
            <w:r w:rsidR="00535B24" w:rsidRPr="00535B24">
              <w:rPr>
                <w:rFonts w:ascii="Arial" w:hAnsi="Arial" w:cs="Arial"/>
                <w:noProof/>
                <w:webHidden/>
              </w:rPr>
            </w:r>
            <w:r w:rsidR="00535B24" w:rsidRPr="00535B24">
              <w:rPr>
                <w:rFonts w:ascii="Arial" w:hAnsi="Arial" w:cs="Arial"/>
                <w:noProof/>
                <w:webHidden/>
              </w:rPr>
              <w:fldChar w:fldCharType="separate"/>
            </w:r>
            <w:r w:rsidR="00F01EC2">
              <w:rPr>
                <w:rFonts w:ascii="Arial" w:hAnsi="Arial" w:cs="Arial"/>
                <w:noProof/>
                <w:webHidden/>
              </w:rPr>
              <w:t>86</w:t>
            </w:r>
            <w:r w:rsidR="00535B24" w:rsidRPr="00535B24">
              <w:rPr>
                <w:rFonts w:ascii="Arial" w:hAnsi="Arial" w:cs="Arial"/>
                <w:noProof/>
                <w:webHidden/>
              </w:rPr>
              <w:fldChar w:fldCharType="end"/>
            </w:r>
          </w:hyperlink>
        </w:p>
        <w:p w14:paraId="56BE62A2" w14:textId="4ED3E42B" w:rsidR="00535B24" w:rsidRPr="00535B24" w:rsidRDefault="00E81103">
          <w:pPr>
            <w:pStyle w:val="TOC2"/>
            <w:rPr>
              <w:rFonts w:ascii="Arial" w:eastAsiaTheme="minorEastAsia" w:hAnsi="Arial" w:cs="Arial"/>
              <w:noProof/>
            </w:rPr>
          </w:pPr>
          <w:hyperlink w:anchor="_Toc10290989" w:history="1">
            <w:r w:rsidR="00535B24" w:rsidRPr="00535B24">
              <w:rPr>
                <w:rStyle w:val="Hyperlink"/>
                <w:rFonts w:ascii="Arial" w:hAnsi="Arial" w:cs="Arial"/>
                <w:noProof/>
                <w:sz w:val="22"/>
              </w:rPr>
              <w:t>Societal Biases Impacting the Decision-Making of People with ID/DD</w:t>
            </w:r>
            <w:r w:rsidR="00535B24" w:rsidRPr="00535B24">
              <w:rPr>
                <w:rFonts w:ascii="Arial" w:hAnsi="Arial" w:cs="Arial"/>
                <w:noProof/>
                <w:webHidden/>
              </w:rPr>
              <w:tab/>
            </w:r>
            <w:r w:rsidR="00535B24" w:rsidRPr="00535B24">
              <w:rPr>
                <w:rFonts w:ascii="Arial" w:hAnsi="Arial" w:cs="Arial"/>
                <w:noProof/>
                <w:webHidden/>
              </w:rPr>
              <w:fldChar w:fldCharType="begin"/>
            </w:r>
            <w:r w:rsidR="00535B24" w:rsidRPr="00535B24">
              <w:rPr>
                <w:rFonts w:ascii="Arial" w:hAnsi="Arial" w:cs="Arial"/>
                <w:noProof/>
                <w:webHidden/>
              </w:rPr>
              <w:instrText xml:space="preserve"> PAGEREF _Toc10290989 \h </w:instrText>
            </w:r>
            <w:r w:rsidR="00535B24" w:rsidRPr="00535B24">
              <w:rPr>
                <w:rFonts w:ascii="Arial" w:hAnsi="Arial" w:cs="Arial"/>
                <w:noProof/>
                <w:webHidden/>
              </w:rPr>
            </w:r>
            <w:r w:rsidR="00535B24" w:rsidRPr="00535B24">
              <w:rPr>
                <w:rFonts w:ascii="Arial" w:hAnsi="Arial" w:cs="Arial"/>
                <w:noProof/>
                <w:webHidden/>
              </w:rPr>
              <w:fldChar w:fldCharType="separate"/>
            </w:r>
            <w:r w:rsidR="00F01EC2">
              <w:rPr>
                <w:rFonts w:ascii="Arial" w:hAnsi="Arial" w:cs="Arial"/>
                <w:noProof/>
                <w:webHidden/>
              </w:rPr>
              <w:t>87</w:t>
            </w:r>
            <w:r w:rsidR="00535B24" w:rsidRPr="00535B24">
              <w:rPr>
                <w:rFonts w:ascii="Arial" w:hAnsi="Arial" w:cs="Arial"/>
                <w:noProof/>
                <w:webHidden/>
              </w:rPr>
              <w:fldChar w:fldCharType="end"/>
            </w:r>
          </w:hyperlink>
        </w:p>
        <w:p w14:paraId="60DAD2F7" w14:textId="1796A905" w:rsidR="00535B24" w:rsidRPr="00535B24" w:rsidRDefault="00E81103">
          <w:pPr>
            <w:pStyle w:val="TOC2"/>
            <w:rPr>
              <w:rFonts w:ascii="Arial" w:eastAsiaTheme="minorEastAsia" w:hAnsi="Arial" w:cs="Arial"/>
              <w:noProof/>
            </w:rPr>
          </w:pPr>
          <w:hyperlink w:anchor="_Toc10290990" w:history="1">
            <w:r w:rsidR="00535B24" w:rsidRPr="00535B24">
              <w:rPr>
                <w:rStyle w:val="Hyperlink"/>
                <w:rFonts w:ascii="Arial" w:hAnsi="Arial" w:cs="Arial"/>
                <w:noProof/>
                <w:sz w:val="22"/>
              </w:rPr>
              <w:t>The Power of Communication in All Forms for People with ID/DD</w:t>
            </w:r>
            <w:r w:rsidR="00535B24" w:rsidRPr="00535B24">
              <w:rPr>
                <w:rFonts w:ascii="Arial" w:hAnsi="Arial" w:cs="Arial"/>
                <w:noProof/>
                <w:webHidden/>
              </w:rPr>
              <w:tab/>
            </w:r>
            <w:r w:rsidR="00535B24" w:rsidRPr="00535B24">
              <w:rPr>
                <w:rFonts w:ascii="Arial" w:hAnsi="Arial" w:cs="Arial"/>
                <w:noProof/>
                <w:webHidden/>
              </w:rPr>
              <w:fldChar w:fldCharType="begin"/>
            </w:r>
            <w:r w:rsidR="00535B24" w:rsidRPr="00535B24">
              <w:rPr>
                <w:rFonts w:ascii="Arial" w:hAnsi="Arial" w:cs="Arial"/>
                <w:noProof/>
                <w:webHidden/>
              </w:rPr>
              <w:instrText xml:space="preserve"> PAGEREF _Toc10290990 \h </w:instrText>
            </w:r>
            <w:r w:rsidR="00535B24" w:rsidRPr="00535B24">
              <w:rPr>
                <w:rFonts w:ascii="Arial" w:hAnsi="Arial" w:cs="Arial"/>
                <w:noProof/>
                <w:webHidden/>
              </w:rPr>
            </w:r>
            <w:r w:rsidR="00535B24" w:rsidRPr="00535B24">
              <w:rPr>
                <w:rFonts w:ascii="Arial" w:hAnsi="Arial" w:cs="Arial"/>
                <w:noProof/>
                <w:webHidden/>
              </w:rPr>
              <w:fldChar w:fldCharType="separate"/>
            </w:r>
            <w:r w:rsidR="00F01EC2">
              <w:rPr>
                <w:rFonts w:ascii="Arial" w:hAnsi="Arial" w:cs="Arial"/>
                <w:noProof/>
                <w:webHidden/>
              </w:rPr>
              <w:t>88</w:t>
            </w:r>
            <w:r w:rsidR="00535B24" w:rsidRPr="00535B24">
              <w:rPr>
                <w:rFonts w:ascii="Arial" w:hAnsi="Arial" w:cs="Arial"/>
                <w:noProof/>
                <w:webHidden/>
              </w:rPr>
              <w:fldChar w:fldCharType="end"/>
            </w:r>
          </w:hyperlink>
        </w:p>
        <w:p w14:paraId="45DC4012" w14:textId="036FA63C" w:rsidR="00535B24" w:rsidRPr="00535B24" w:rsidRDefault="00E81103">
          <w:pPr>
            <w:pStyle w:val="TOC2"/>
            <w:rPr>
              <w:rFonts w:ascii="Arial" w:eastAsiaTheme="minorEastAsia" w:hAnsi="Arial" w:cs="Arial"/>
              <w:noProof/>
            </w:rPr>
          </w:pPr>
          <w:hyperlink w:anchor="_Toc10290991" w:history="1">
            <w:r w:rsidR="00535B24" w:rsidRPr="00535B24">
              <w:rPr>
                <w:rStyle w:val="Hyperlink"/>
                <w:rFonts w:ascii="Arial" w:hAnsi="Arial" w:cs="Arial"/>
                <w:noProof/>
                <w:sz w:val="22"/>
              </w:rPr>
              <w:t>The Impact of a Lack of Opportunity to Make Decisions on People with ID/DD</w:t>
            </w:r>
            <w:r w:rsidR="00535B24" w:rsidRPr="00535B24">
              <w:rPr>
                <w:rFonts w:ascii="Arial" w:hAnsi="Arial" w:cs="Arial"/>
                <w:noProof/>
                <w:webHidden/>
              </w:rPr>
              <w:tab/>
            </w:r>
            <w:r w:rsidR="00535B24" w:rsidRPr="00535B24">
              <w:rPr>
                <w:rFonts w:ascii="Arial" w:hAnsi="Arial" w:cs="Arial"/>
                <w:noProof/>
                <w:webHidden/>
              </w:rPr>
              <w:fldChar w:fldCharType="begin"/>
            </w:r>
            <w:r w:rsidR="00535B24" w:rsidRPr="00535B24">
              <w:rPr>
                <w:rFonts w:ascii="Arial" w:hAnsi="Arial" w:cs="Arial"/>
                <w:noProof/>
                <w:webHidden/>
              </w:rPr>
              <w:instrText xml:space="preserve"> PAGEREF _Toc10290991 \h </w:instrText>
            </w:r>
            <w:r w:rsidR="00535B24" w:rsidRPr="00535B24">
              <w:rPr>
                <w:rFonts w:ascii="Arial" w:hAnsi="Arial" w:cs="Arial"/>
                <w:noProof/>
                <w:webHidden/>
              </w:rPr>
            </w:r>
            <w:r w:rsidR="00535B24" w:rsidRPr="00535B24">
              <w:rPr>
                <w:rFonts w:ascii="Arial" w:hAnsi="Arial" w:cs="Arial"/>
                <w:noProof/>
                <w:webHidden/>
              </w:rPr>
              <w:fldChar w:fldCharType="separate"/>
            </w:r>
            <w:r w:rsidR="00F01EC2">
              <w:rPr>
                <w:rFonts w:ascii="Arial" w:hAnsi="Arial" w:cs="Arial"/>
                <w:noProof/>
                <w:webHidden/>
              </w:rPr>
              <w:t>88</w:t>
            </w:r>
            <w:r w:rsidR="00535B24" w:rsidRPr="00535B24">
              <w:rPr>
                <w:rFonts w:ascii="Arial" w:hAnsi="Arial" w:cs="Arial"/>
                <w:noProof/>
                <w:webHidden/>
              </w:rPr>
              <w:fldChar w:fldCharType="end"/>
            </w:r>
          </w:hyperlink>
        </w:p>
        <w:p w14:paraId="2D92D36C" w14:textId="38DEF10B" w:rsidR="00535B24" w:rsidRPr="00535B24" w:rsidRDefault="00E81103">
          <w:pPr>
            <w:pStyle w:val="TOC1"/>
            <w:rPr>
              <w:rFonts w:ascii="Arial" w:eastAsiaTheme="minorEastAsia" w:hAnsi="Arial" w:cs="Arial"/>
              <w:noProof/>
              <w:sz w:val="22"/>
              <w:szCs w:val="22"/>
            </w:rPr>
          </w:pPr>
          <w:hyperlink w:anchor="_Toc10290992" w:history="1">
            <w:r w:rsidR="00535B24" w:rsidRPr="00535B24">
              <w:rPr>
                <w:rStyle w:val="Hyperlink"/>
                <w:rFonts w:ascii="Arial" w:hAnsi="Arial" w:cs="Arial"/>
                <w:noProof/>
                <w:sz w:val="22"/>
                <w:szCs w:val="22"/>
              </w:rPr>
              <w:t>Chapter 7: Findings and Recommendations</w:t>
            </w:r>
            <w:r w:rsidR="00535B24" w:rsidRPr="00535B24">
              <w:rPr>
                <w:rFonts w:ascii="Arial" w:hAnsi="Arial" w:cs="Arial"/>
                <w:noProof/>
                <w:webHidden/>
                <w:sz w:val="22"/>
                <w:szCs w:val="22"/>
              </w:rPr>
              <w:tab/>
            </w:r>
            <w:r w:rsidR="00535B24" w:rsidRPr="00535B24">
              <w:rPr>
                <w:rFonts w:ascii="Arial" w:hAnsi="Arial" w:cs="Arial"/>
                <w:noProof/>
                <w:webHidden/>
                <w:sz w:val="22"/>
                <w:szCs w:val="22"/>
              </w:rPr>
              <w:fldChar w:fldCharType="begin"/>
            </w:r>
            <w:r w:rsidR="00535B24" w:rsidRPr="00535B24">
              <w:rPr>
                <w:rFonts w:ascii="Arial" w:hAnsi="Arial" w:cs="Arial"/>
                <w:noProof/>
                <w:webHidden/>
                <w:sz w:val="22"/>
                <w:szCs w:val="22"/>
              </w:rPr>
              <w:instrText xml:space="preserve"> PAGEREF _Toc10290992 \h </w:instrText>
            </w:r>
            <w:r w:rsidR="00535B24" w:rsidRPr="00535B24">
              <w:rPr>
                <w:rFonts w:ascii="Arial" w:hAnsi="Arial" w:cs="Arial"/>
                <w:noProof/>
                <w:webHidden/>
                <w:sz w:val="22"/>
                <w:szCs w:val="22"/>
              </w:rPr>
            </w:r>
            <w:r w:rsidR="00535B24" w:rsidRPr="00535B24">
              <w:rPr>
                <w:rFonts w:ascii="Arial" w:hAnsi="Arial" w:cs="Arial"/>
                <w:noProof/>
                <w:webHidden/>
                <w:sz w:val="22"/>
                <w:szCs w:val="22"/>
              </w:rPr>
              <w:fldChar w:fldCharType="separate"/>
            </w:r>
            <w:r w:rsidR="00F01EC2">
              <w:rPr>
                <w:rFonts w:ascii="Arial" w:hAnsi="Arial" w:cs="Arial"/>
                <w:noProof/>
                <w:webHidden/>
                <w:sz w:val="22"/>
                <w:szCs w:val="22"/>
              </w:rPr>
              <w:t>91</w:t>
            </w:r>
            <w:r w:rsidR="00535B24" w:rsidRPr="00535B24">
              <w:rPr>
                <w:rFonts w:ascii="Arial" w:hAnsi="Arial" w:cs="Arial"/>
                <w:noProof/>
                <w:webHidden/>
                <w:sz w:val="22"/>
                <w:szCs w:val="22"/>
              </w:rPr>
              <w:fldChar w:fldCharType="end"/>
            </w:r>
          </w:hyperlink>
        </w:p>
        <w:p w14:paraId="74C5AAC0" w14:textId="75EC42F2" w:rsidR="00535B24" w:rsidRPr="00535B24" w:rsidRDefault="00E81103">
          <w:pPr>
            <w:pStyle w:val="TOC1"/>
            <w:rPr>
              <w:rFonts w:ascii="Arial" w:eastAsiaTheme="minorEastAsia" w:hAnsi="Arial" w:cs="Arial"/>
              <w:noProof/>
              <w:sz w:val="22"/>
              <w:szCs w:val="22"/>
            </w:rPr>
          </w:pPr>
          <w:hyperlink w:anchor="_Toc10290993" w:history="1">
            <w:r w:rsidR="00535B24" w:rsidRPr="00535B24">
              <w:rPr>
                <w:rStyle w:val="Hyperlink"/>
                <w:rFonts w:ascii="Arial" w:hAnsi="Arial" w:cs="Arial"/>
                <w:noProof/>
                <w:sz w:val="22"/>
                <w:szCs w:val="22"/>
              </w:rPr>
              <w:t>Appendix A: Analysis of ID/DD Specific Guardianship/Conservatorship Statutory Provisions</w:t>
            </w:r>
            <w:r w:rsidR="00535B24" w:rsidRPr="00535B24">
              <w:rPr>
                <w:rFonts w:ascii="Arial" w:hAnsi="Arial" w:cs="Arial"/>
                <w:noProof/>
                <w:webHidden/>
                <w:sz w:val="22"/>
                <w:szCs w:val="22"/>
              </w:rPr>
              <w:tab/>
            </w:r>
            <w:r w:rsidR="00535B24" w:rsidRPr="00535B24">
              <w:rPr>
                <w:rFonts w:ascii="Arial" w:hAnsi="Arial" w:cs="Arial"/>
                <w:noProof/>
                <w:webHidden/>
                <w:sz w:val="22"/>
                <w:szCs w:val="22"/>
              </w:rPr>
              <w:fldChar w:fldCharType="begin"/>
            </w:r>
            <w:r w:rsidR="00535B24" w:rsidRPr="00535B24">
              <w:rPr>
                <w:rFonts w:ascii="Arial" w:hAnsi="Arial" w:cs="Arial"/>
                <w:noProof/>
                <w:webHidden/>
                <w:sz w:val="22"/>
                <w:szCs w:val="22"/>
              </w:rPr>
              <w:instrText xml:space="preserve"> PAGEREF _Toc10290993 \h </w:instrText>
            </w:r>
            <w:r w:rsidR="00535B24" w:rsidRPr="00535B24">
              <w:rPr>
                <w:rFonts w:ascii="Arial" w:hAnsi="Arial" w:cs="Arial"/>
                <w:noProof/>
                <w:webHidden/>
                <w:sz w:val="22"/>
                <w:szCs w:val="22"/>
              </w:rPr>
            </w:r>
            <w:r w:rsidR="00535B24" w:rsidRPr="00535B24">
              <w:rPr>
                <w:rFonts w:ascii="Arial" w:hAnsi="Arial" w:cs="Arial"/>
                <w:noProof/>
                <w:webHidden/>
                <w:sz w:val="22"/>
                <w:szCs w:val="22"/>
              </w:rPr>
              <w:fldChar w:fldCharType="separate"/>
            </w:r>
            <w:r w:rsidR="00F01EC2">
              <w:rPr>
                <w:rFonts w:ascii="Arial" w:hAnsi="Arial" w:cs="Arial"/>
                <w:noProof/>
                <w:webHidden/>
                <w:sz w:val="22"/>
                <w:szCs w:val="22"/>
              </w:rPr>
              <w:t>97</w:t>
            </w:r>
            <w:r w:rsidR="00535B24" w:rsidRPr="00535B24">
              <w:rPr>
                <w:rFonts w:ascii="Arial" w:hAnsi="Arial" w:cs="Arial"/>
                <w:noProof/>
                <w:webHidden/>
                <w:sz w:val="22"/>
                <w:szCs w:val="22"/>
              </w:rPr>
              <w:fldChar w:fldCharType="end"/>
            </w:r>
          </w:hyperlink>
        </w:p>
        <w:p w14:paraId="5E3483C1" w14:textId="6C0FA77A" w:rsidR="00535B24" w:rsidRPr="00535B24" w:rsidRDefault="00E81103">
          <w:pPr>
            <w:pStyle w:val="TOC1"/>
            <w:rPr>
              <w:rFonts w:ascii="Arial" w:eastAsiaTheme="minorEastAsia" w:hAnsi="Arial" w:cs="Arial"/>
              <w:noProof/>
              <w:sz w:val="22"/>
              <w:szCs w:val="22"/>
            </w:rPr>
          </w:pPr>
          <w:hyperlink w:anchor="_Toc10290994" w:history="1">
            <w:r w:rsidR="00535B24" w:rsidRPr="00535B24">
              <w:rPr>
                <w:rStyle w:val="Hyperlink"/>
                <w:rFonts w:ascii="Arial" w:hAnsi="Arial" w:cs="Arial"/>
                <w:noProof/>
                <w:sz w:val="22"/>
                <w:szCs w:val="22"/>
              </w:rPr>
              <w:t>Appendix B: [SIGNIFICANTLY UPDATED BUT NOT REDLINED BECAUSE OF IMPACT ON FORMATTING]</w:t>
            </w:r>
            <w:r w:rsidR="00535B24" w:rsidRPr="00535B24">
              <w:rPr>
                <w:rFonts w:ascii="Arial" w:hAnsi="Arial" w:cs="Arial"/>
                <w:noProof/>
                <w:webHidden/>
                <w:sz w:val="22"/>
                <w:szCs w:val="22"/>
              </w:rPr>
              <w:tab/>
            </w:r>
            <w:r w:rsidR="00535B24" w:rsidRPr="00535B24">
              <w:rPr>
                <w:rFonts w:ascii="Arial" w:hAnsi="Arial" w:cs="Arial"/>
                <w:noProof/>
                <w:webHidden/>
                <w:sz w:val="22"/>
                <w:szCs w:val="22"/>
              </w:rPr>
              <w:fldChar w:fldCharType="begin"/>
            </w:r>
            <w:r w:rsidR="00535B24" w:rsidRPr="00535B24">
              <w:rPr>
                <w:rFonts w:ascii="Arial" w:hAnsi="Arial" w:cs="Arial"/>
                <w:noProof/>
                <w:webHidden/>
                <w:sz w:val="22"/>
                <w:szCs w:val="22"/>
              </w:rPr>
              <w:instrText xml:space="preserve"> PAGEREF _Toc10290994 \h </w:instrText>
            </w:r>
            <w:r w:rsidR="00535B24" w:rsidRPr="00535B24">
              <w:rPr>
                <w:rFonts w:ascii="Arial" w:hAnsi="Arial" w:cs="Arial"/>
                <w:noProof/>
                <w:webHidden/>
                <w:sz w:val="22"/>
                <w:szCs w:val="22"/>
              </w:rPr>
            </w:r>
            <w:r w:rsidR="00535B24" w:rsidRPr="00535B24">
              <w:rPr>
                <w:rFonts w:ascii="Arial" w:hAnsi="Arial" w:cs="Arial"/>
                <w:noProof/>
                <w:webHidden/>
                <w:sz w:val="22"/>
                <w:szCs w:val="22"/>
              </w:rPr>
              <w:fldChar w:fldCharType="separate"/>
            </w:r>
            <w:r w:rsidR="00F01EC2">
              <w:rPr>
                <w:rFonts w:ascii="Arial" w:hAnsi="Arial" w:cs="Arial"/>
                <w:noProof/>
                <w:webHidden/>
                <w:sz w:val="22"/>
                <w:szCs w:val="22"/>
              </w:rPr>
              <w:t>109</w:t>
            </w:r>
            <w:r w:rsidR="00535B24" w:rsidRPr="00535B24">
              <w:rPr>
                <w:rFonts w:ascii="Arial" w:hAnsi="Arial" w:cs="Arial"/>
                <w:noProof/>
                <w:webHidden/>
                <w:sz w:val="22"/>
                <w:szCs w:val="22"/>
              </w:rPr>
              <w:fldChar w:fldCharType="end"/>
            </w:r>
          </w:hyperlink>
        </w:p>
        <w:p w14:paraId="1FAF74A2" w14:textId="7808CDD9" w:rsidR="00535B24" w:rsidRPr="00535B24" w:rsidRDefault="00E81103">
          <w:pPr>
            <w:pStyle w:val="TOC2"/>
            <w:rPr>
              <w:rFonts w:ascii="Arial" w:eastAsiaTheme="minorEastAsia" w:hAnsi="Arial" w:cs="Arial"/>
              <w:noProof/>
            </w:rPr>
          </w:pPr>
          <w:hyperlink w:anchor="_Toc10290995" w:history="1">
            <w:r w:rsidR="00535B24" w:rsidRPr="00535B24">
              <w:rPr>
                <w:rStyle w:val="Hyperlink"/>
                <w:rFonts w:ascii="Arial" w:hAnsi="Arial" w:cs="Arial"/>
                <w:noProof/>
                <w:sz w:val="22"/>
              </w:rPr>
              <w:t>Table of Analysis of NCI Data for States &amp; Guardianship for People with ID/DD</w:t>
            </w:r>
            <w:r w:rsidR="00535B24" w:rsidRPr="00535B24">
              <w:rPr>
                <w:rFonts w:ascii="Arial" w:hAnsi="Arial" w:cs="Arial"/>
                <w:noProof/>
                <w:webHidden/>
              </w:rPr>
              <w:tab/>
            </w:r>
            <w:r w:rsidR="00535B24" w:rsidRPr="00535B24">
              <w:rPr>
                <w:rFonts w:ascii="Arial" w:hAnsi="Arial" w:cs="Arial"/>
                <w:noProof/>
                <w:webHidden/>
              </w:rPr>
              <w:fldChar w:fldCharType="begin"/>
            </w:r>
            <w:r w:rsidR="00535B24" w:rsidRPr="00535B24">
              <w:rPr>
                <w:rFonts w:ascii="Arial" w:hAnsi="Arial" w:cs="Arial"/>
                <w:noProof/>
                <w:webHidden/>
              </w:rPr>
              <w:instrText xml:space="preserve"> PAGEREF _Toc10290995 \h </w:instrText>
            </w:r>
            <w:r w:rsidR="00535B24" w:rsidRPr="00535B24">
              <w:rPr>
                <w:rFonts w:ascii="Arial" w:hAnsi="Arial" w:cs="Arial"/>
                <w:noProof/>
                <w:webHidden/>
              </w:rPr>
            </w:r>
            <w:r w:rsidR="00535B24" w:rsidRPr="00535B24">
              <w:rPr>
                <w:rFonts w:ascii="Arial" w:hAnsi="Arial" w:cs="Arial"/>
                <w:noProof/>
                <w:webHidden/>
              </w:rPr>
              <w:fldChar w:fldCharType="separate"/>
            </w:r>
            <w:r w:rsidR="00F01EC2">
              <w:rPr>
                <w:rFonts w:ascii="Arial" w:hAnsi="Arial" w:cs="Arial"/>
                <w:noProof/>
                <w:webHidden/>
              </w:rPr>
              <w:t>109</w:t>
            </w:r>
            <w:r w:rsidR="00535B24" w:rsidRPr="00535B24">
              <w:rPr>
                <w:rFonts w:ascii="Arial" w:hAnsi="Arial" w:cs="Arial"/>
                <w:noProof/>
                <w:webHidden/>
              </w:rPr>
              <w:fldChar w:fldCharType="end"/>
            </w:r>
          </w:hyperlink>
        </w:p>
        <w:p w14:paraId="291A2572" w14:textId="403F3C51" w:rsidR="00535B24" w:rsidRPr="00535B24" w:rsidRDefault="00E81103">
          <w:pPr>
            <w:pStyle w:val="TOC1"/>
            <w:rPr>
              <w:rFonts w:ascii="Arial" w:eastAsiaTheme="minorEastAsia" w:hAnsi="Arial" w:cs="Arial"/>
              <w:noProof/>
              <w:sz w:val="22"/>
              <w:szCs w:val="22"/>
            </w:rPr>
          </w:pPr>
          <w:hyperlink w:anchor="_Toc10290996" w:history="1">
            <w:r w:rsidR="00535B24" w:rsidRPr="00535B24">
              <w:rPr>
                <w:rStyle w:val="Hyperlink"/>
                <w:rFonts w:ascii="Arial" w:hAnsi="Arial" w:cs="Arial"/>
                <w:noProof/>
                <w:sz w:val="22"/>
                <w:szCs w:val="22"/>
              </w:rPr>
              <w:t>Appendix C: Additional Tables of Analysis of NCI Data for Guardianship and People with ID/DD</w:t>
            </w:r>
            <w:r w:rsidR="00535B24" w:rsidRPr="00535B24">
              <w:rPr>
                <w:rFonts w:ascii="Arial" w:hAnsi="Arial" w:cs="Arial"/>
                <w:noProof/>
                <w:webHidden/>
                <w:sz w:val="22"/>
                <w:szCs w:val="22"/>
              </w:rPr>
              <w:tab/>
            </w:r>
            <w:r w:rsidR="00535B24" w:rsidRPr="00535B24">
              <w:rPr>
                <w:rFonts w:ascii="Arial" w:hAnsi="Arial" w:cs="Arial"/>
                <w:noProof/>
                <w:webHidden/>
                <w:sz w:val="22"/>
                <w:szCs w:val="22"/>
              </w:rPr>
              <w:fldChar w:fldCharType="begin"/>
            </w:r>
            <w:r w:rsidR="00535B24" w:rsidRPr="00535B24">
              <w:rPr>
                <w:rFonts w:ascii="Arial" w:hAnsi="Arial" w:cs="Arial"/>
                <w:noProof/>
                <w:webHidden/>
                <w:sz w:val="22"/>
                <w:szCs w:val="22"/>
              </w:rPr>
              <w:instrText xml:space="preserve"> PAGEREF _Toc10290996 \h </w:instrText>
            </w:r>
            <w:r w:rsidR="00535B24" w:rsidRPr="00535B24">
              <w:rPr>
                <w:rFonts w:ascii="Arial" w:hAnsi="Arial" w:cs="Arial"/>
                <w:noProof/>
                <w:webHidden/>
                <w:sz w:val="22"/>
                <w:szCs w:val="22"/>
              </w:rPr>
            </w:r>
            <w:r w:rsidR="00535B24" w:rsidRPr="00535B24">
              <w:rPr>
                <w:rFonts w:ascii="Arial" w:hAnsi="Arial" w:cs="Arial"/>
                <w:noProof/>
                <w:webHidden/>
                <w:sz w:val="22"/>
                <w:szCs w:val="22"/>
              </w:rPr>
              <w:fldChar w:fldCharType="separate"/>
            </w:r>
            <w:r w:rsidR="00F01EC2">
              <w:rPr>
                <w:rFonts w:ascii="Arial" w:hAnsi="Arial" w:cs="Arial"/>
                <w:noProof/>
                <w:webHidden/>
                <w:sz w:val="22"/>
                <w:szCs w:val="22"/>
              </w:rPr>
              <w:t>127</w:t>
            </w:r>
            <w:r w:rsidR="00535B24" w:rsidRPr="00535B24">
              <w:rPr>
                <w:rFonts w:ascii="Arial" w:hAnsi="Arial" w:cs="Arial"/>
                <w:noProof/>
                <w:webHidden/>
                <w:sz w:val="22"/>
                <w:szCs w:val="22"/>
              </w:rPr>
              <w:fldChar w:fldCharType="end"/>
            </w:r>
          </w:hyperlink>
        </w:p>
        <w:p w14:paraId="6B1B61E6" w14:textId="13438182" w:rsidR="00535B24" w:rsidRPr="00535B24" w:rsidRDefault="00E81103">
          <w:pPr>
            <w:pStyle w:val="TOC2"/>
            <w:rPr>
              <w:rFonts w:ascii="Arial" w:eastAsiaTheme="minorEastAsia" w:hAnsi="Arial" w:cs="Arial"/>
              <w:noProof/>
            </w:rPr>
          </w:pPr>
          <w:hyperlink w:anchor="_Toc10290997" w:history="1">
            <w:r w:rsidR="00535B24" w:rsidRPr="00535B24">
              <w:rPr>
                <w:rStyle w:val="Hyperlink"/>
                <w:rFonts w:ascii="Arial" w:hAnsi="Arial" w:cs="Arial"/>
                <w:noProof/>
                <w:sz w:val="22"/>
              </w:rPr>
              <w:t>Table 1: Age &amp; Guardianship Status</w:t>
            </w:r>
            <w:r w:rsidR="00535B24" w:rsidRPr="00535B24">
              <w:rPr>
                <w:rFonts w:ascii="Arial" w:hAnsi="Arial" w:cs="Arial"/>
                <w:noProof/>
                <w:webHidden/>
              </w:rPr>
              <w:tab/>
            </w:r>
            <w:r w:rsidR="00535B24" w:rsidRPr="00535B24">
              <w:rPr>
                <w:rFonts w:ascii="Arial" w:hAnsi="Arial" w:cs="Arial"/>
                <w:noProof/>
                <w:webHidden/>
              </w:rPr>
              <w:fldChar w:fldCharType="begin"/>
            </w:r>
            <w:r w:rsidR="00535B24" w:rsidRPr="00535B24">
              <w:rPr>
                <w:rFonts w:ascii="Arial" w:hAnsi="Arial" w:cs="Arial"/>
                <w:noProof/>
                <w:webHidden/>
              </w:rPr>
              <w:instrText xml:space="preserve"> PAGEREF _Toc10290997 \h </w:instrText>
            </w:r>
            <w:r w:rsidR="00535B24" w:rsidRPr="00535B24">
              <w:rPr>
                <w:rFonts w:ascii="Arial" w:hAnsi="Arial" w:cs="Arial"/>
                <w:noProof/>
                <w:webHidden/>
              </w:rPr>
            </w:r>
            <w:r w:rsidR="00535B24" w:rsidRPr="00535B24">
              <w:rPr>
                <w:rFonts w:ascii="Arial" w:hAnsi="Arial" w:cs="Arial"/>
                <w:noProof/>
                <w:webHidden/>
              </w:rPr>
              <w:fldChar w:fldCharType="separate"/>
            </w:r>
            <w:r w:rsidR="00F01EC2">
              <w:rPr>
                <w:rFonts w:ascii="Arial" w:hAnsi="Arial" w:cs="Arial"/>
                <w:noProof/>
                <w:webHidden/>
              </w:rPr>
              <w:t>127</w:t>
            </w:r>
            <w:r w:rsidR="00535B24" w:rsidRPr="00535B24">
              <w:rPr>
                <w:rFonts w:ascii="Arial" w:hAnsi="Arial" w:cs="Arial"/>
                <w:noProof/>
                <w:webHidden/>
              </w:rPr>
              <w:fldChar w:fldCharType="end"/>
            </w:r>
          </w:hyperlink>
        </w:p>
        <w:p w14:paraId="1487AC71" w14:textId="28C27F6A" w:rsidR="00535B24" w:rsidRPr="00535B24" w:rsidRDefault="00E81103">
          <w:pPr>
            <w:pStyle w:val="TOC2"/>
            <w:rPr>
              <w:rFonts w:ascii="Arial" w:eastAsiaTheme="minorEastAsia" w:hAnsi="Arial" w:cs="Arial"/>
              <w:noProof/>
            </w:rPr>
          </w:pPr>
          <w:hyperlink w:anchor="_Toc10290998" w:history="1">
            <w:r w:rsidR="00535B24" w:rsidRPr="00535B24">
              <w:rPr>
                <w:rStyle w:val="Hyperlink"/>
                <w:rFonts w:ascii="Arial" w:hAnsi="Arial" w:cs="Arial"/>
                <w:noProof/>
                <w:sz w:val="22"/>
              </w:rPr>
              <w:t>Table 2: Gender &amp; Guardianship Status</w:t>
            </w:r>
            <w:r w:rsidR="00535B24" w:rsidRPr="00535B24">
              <w:rPr>
                <w:rFonts w:ascii="Arial" w:hAnsi="Arial" w:cs="Arial"/>
                <w:noProof/>
                <w:webHidden/>
              </w:rPr>
              <w:tab/>
            </w:r>
            <w:r w:rsidR="00535B24" w:rsidRPr="00535B24">
              <w:rPr>
                <w:rFonts w:ascii="Arial" w:hAnsi="Arial" w:cs="Arial"/>
                <w:noProof/>
                <w:webHidden/>
              </w:rPr>
              <w:fldChar w:fldCharType="begin"/>
            </w:r>
            <w:r w:rsidR="00535B24" w:rsidRPr="00535B24">
              <w:rPr>
                <w:rFonts w:ascii="Arial" w:hAnsi="Arial" w:cs="Arial"/>
                <w:noProof/>
                <w:webHidden/>
              </w:rPr>
              <w:instrText xml:space="preserve"> PAGEREF _Toc10290998 \h </w:instrText>
            </w:r>
            <w:r w:rsidR="00535B24" w:rsidRPr="00535B24">
              <w:rPr>
                <w:rFonts w:ascii="Arial" w:hAnsi="Arial" w:cs="Arial"/>
                <w:noProof/>
                <w:webHidden/>
              </w:rPr>
            </w:r>
            <w:r w:rsidR="00535B24" w:rsidRPr="00535B24">
              <w:rPr>
                <w:rFonts w:ascii="Arial" w:hAnsi="Arial" w:cs="Arial"/>
                <w:noProof/>
                <w:webHidden/>
              </w:rPr>
              <w:fldChar w:fldCharType="separate"/>
            </w:r>
            <w:r w:rsidR="00F01EC2">
              <w:rPr>
                <w:rFonts w:ascii="Arial" w:hAnsi="Arial" w:cs="Arial"/>
                <w:noProof/>
                <w:webHidden/>
              </w:rPr>
              <w:t>128</w:t>
            </w:r>
            <w:r w:rsidR="00535B24" w:rsidRPr="00535B24">
              <w:rPr>
                <w:rFonts w:ascii="Arial" w:hAnsi="Arial" w:cs="Arial"/>
                <w:noProof/>
                <w:webHidden/>
              </w:rPr>
              <w:fldChar w:fldCharType="end"/>
            </w:r>
          </w:hyperlink>
        </w:p>
        <w:p w14:paraId="33EF3681" w14:textId="5B0D1C7E" w:rsidR="00535B24" w:rsidRPr="00535B24" w:rsidRDefault="00E81103">
          <w:pPr>
            <w:pStyle w:val="TOC2"/>
            <w:rPr>
              <w:rFonts w:ascii="Arial" w:eastAsiaTheme="minorEastAsia" w:hAnsi="Arial" w:cs="Arial"/>
              <w:noProof/>
            </w:rPr>
          </w:pPr>
          <w:hyperlink w:anchor="_Toc10290999" w:history="1">
            <w:r w:rsidR="00535B24" w:rsidRPr="00535B24">
              <w:rPr>
                <w:rStyle w:val="Hyperlink"/>
                <w:rFonts w:ascii="Arial" w:hAnsi="Arial" w:cs="Arial"/>
                <w:noProof/>
                <w:sz w:val="22"/>
              </w:rPr>
              <w:t>Table 3: Race/Ethnicity &amp; Guardianship Status</w:t>
            </w:r>
            <w:r w:rsidR="00535B24" w:rsidRPr="00535B24">
              <w:rPr>
                <w:rFonts w:ascii="Arial" w:hAnsi="Arial" w:cs="Arial"/>
                <w:noProof/>
                <w:webHidden/>
              </w:rPr>
              <w:tab/>
            </w:r>
            <w:r w:rsidR="00535B24" w:rsidRPr="00535B24">
              <w:rPr>
                <w:rFonts w:ascii="Arial" w:hAnsi="Arial" w:cs="Arial"/>
                <w:noProof/>
                <w:webHidden/>
              </w:rPr>
              <w:fldChar w:fldCharType="begin"/>
            </w:r>
            <w:r w:rsidR="00535B24" w:rsidRPr="00535B24">
              <w:rPr>
                <w:rFonts w:ascii="Arial" w:hAnsi="Arial" w:cs="Arial"/>
                <w:noProof/>
                <w:webHidden/>
              </w:rPr>
              <w:instrText xml:space="preserve"> PAGEREF _Toc10290999 \h </w:instrText>
            </w:r>
            <w:r w:rsidR="00535B24" w:rsidRPr="00535B24">
              <w:rPr>
                <w:rFonts w:ascii="Arial" w:hAnsi="Arial" w:cs="Arial"/>
                <w:noProof/>
                <w:webHidden/>
              </w:rPr>
            </w:r>
            <w:r w:rsidR="00535B24" w:rsidRPr="00535B24">
              <w:rPr>
                <w:rFonts w:ascii="Arial" w:hAnsi="Arial" w:cs="Arial"/>
                <w:noProof/>
                <w:webHidden/>
              </w:rPr>
              <w:fldChar w:fldCharType="separate"/>
            </w:r>
            <w:r w:rsidR="00F01EC2">
              <w:rPr>
                <w:rFonts w:ascii="Arial" w:hAnsi="Arial" w:cs="Arial"/>
                <w:noProof/>
                <w:webHidden/>
              </w:rPr>
              <w:t>128</w:t>
            </w:r>
            <w:r w:rsidR="00535B24" w:rsidRPr="00535B24">
              <w:rPr>
                <w:rFonts w:ascii="Arial" w:hAnsi="Arial" w:cs="Arial"/>
                <w:noProof/>
                <w:webHidden/>
              </w:rPr>
              <w:fldChar w:fldCharType="end"/>
            </w:r>
          </w:hyperlink>
        </w:p>
        <w:p w14:paraId="7B0AC954" w14:textId="3F4CFFD9" w:rsidR="00535B24" w:rsidRPr="00535B24" w:rsidRDefault="00E81103">
          <w:pPr>
            <w:pStyle w:val="TOC2"/>
            <w:rPr>
              <w:rFonts w:ascii="Arial" w:eastAsiaTheme="minorEastAsia" w:hAnsi="Arial" w:cs="Arial"/>
              <w:noProof/>
            </w:rPr>
          </w:pPr>
          <w:hyperlink w:anchor="_Toc10291000" w:history="1">
            <w:r w:rsidR="00535B24" w:rsidRPr="00535B24">
              <w:rPr>
                <w:rStyle w:val="Hyperlink"/>
                <w:rFonts w:ascii="Arial" w:hAnsi="Arial" w:cs="Arial"/>
                <w:noProof/>
                <w:sz w:val="22"/>
              </w:rPr>
              <w:t>Table 5: Type of Residence &amp; Guardianship Status</w:t>
            </w:r>
            <w:r w:rsidR="00535B24" w:rsidRPr="00535B24">
              <w:rPr>
                <w:rFonts w:ascii="Arial" w:hAnsi="Arial" w:cs="Arial"/>
                <w:noProof/>
                <w:webHidden/>
              </w:rPr>
              <w:tab/>
            </w:r>
            <w:r w:rsidR="00535B24" w:rsidRPr="00535B24">
              <w:rPr>
                <w:rFonts w:ascii="Arial" w:hAnsi="Arial" w:cs="Arial"/>
                <w:noProof/>
                <w:webHidden/>
              </w:rPr>
              <w:fldChar w:fldCharType="begin"/>
            </w:r>
            <w:r w:rsidR="00535B24" w:rsidRPr="00535B24">
              <w:rPr>
                <w:rFonts w:ascii="Arial" w:hAnsi="Arial" w:cs="Arial"/>
                <w:noProof/>
                <w:webHidden/>
              </w:rPr>
              <w:instrText xml:space="preserve"> PAGEREF _Toc10291000 \h </w:instrText>
            </w:r>
            <w:r w:rsidR="00535B24" w:rsidRPr="00535B24">
              <w:rPr>
                <w:rFonts w:ascii="Arial" w:hAnsi="Arial" w:cs="Arial"/>
                <w:noProof/>
                <w:webHidden/>
              </w:rPr>
            </w:r>
            <w:r w:rsidR="00535B24" w:rsidRPr="00535B24">
              <w:rPr>
                <w:rFonts w:ascii="Arial" w:hAnsi="Arial" w:cs="Arial"/>
                <w:noProof/>
                <w:webHidden/>
              </w:rPr>
              <w:fldChar w:fldCharType="separate"/>
            </w:r>
            <w:r w:rsidR="00F01EC2">
              <w:rPr>
                <w:rFonts w:ascii="Arial" w:hAnsi="Arial" w:cs="Arial"/>
                <w:noProof/>
                <w:webHidden/>
              </w:rPr>
              <w:t>130</w:t>
            </w:r>
            <w:r w:rsidR="00535B24" w:rsidRPr="00535B24">
              <w:rPr>
                <w:rFonts w:ascii="Arial" w:hAnsi="Arial" w:cs="Arial"/>
                <w:noProof/>
                <w:webHidden/>
              </w:rPr>
              <w:fldChar w:fldCharType="end"/>
            </w:r>
          </w:hyperlink>
        </w:p>
        <w:p w14:paraId="67DA8CE1" w14:textId="30A52A64" w:rsidR="00535B24" w:rsidRPr="00535B24" w:rsidRDefault="00E81103">
          <w:pPr>
            <w:pStyle w:val="TOC1"/>
            <w:rPr>
              <w:rFonts w:ascii="Arial" w:eastAsiaTheme="minorEastAsia" w:hAnsi="Arial" w:cs="Arial"/>
              <w:noProof/>
              <w:sz w:val="22"/>
              <w:szCs w:val="22"/>
            </w:rPr>
          </w:pPr>
          <w:hyperlink w:anchor="_Toc10291001" w:history="1">
            <w:r w:rsidR="00535B24" w:rsidRPr="00535B24">
              <w:rPr>
                <w:rStyle w:val="Hyperlink"/>
                <w:rFonts w:ascii="Arial" w:hAnsi="Arial" w:cs="Arial"/>
                <w:noProof/>
                <w:sz w:val="22"/>
                <w:szCs w:val="22"/>
              </w:rPr>
              <w:t>Endnotes</w:t>
            </w:r>
            <w:r w:rsidR="00535B24" w:rsidRPr="00535B24">
              <w:rPr>
                <w:rFonts w:ascii="Arial" w:hAnsi="Arial" w:cs="Arial"/>
                <w:noProof/>
                <w:webHidden/>
                <w:sz w:val="22"/>
                <w:szCs w:val="22"/>
              </w:rPr>
              <w:tab/>
            </w:r>
            <w:r w:rsidR="00535B24" w:rsidRPr="00535B24">
              <w:rPr>
                <w:rFonts w:ascii="Arial" w:hAnsi="Arial" w:cs="Arial"/>
                <w:noProof/>
                <w:webHidden/>
                <w:sz w:val="22"/>
                <w:szCs w:val="22"/>
              </w:rPr>
              <w:fldChar w:fldCharType="begin"/>
            </w:r>
            <w:r w:rsidR="00535B24" w:rsidRPr="00535B24">
              <w:rPr>
                <w:rFonts w:ascii="Arial" w:hAnsi="Arial" w:cs="Arial"/>
                <w:noProof/>
                <w:webHidden/>
                <w:sz w:val="22"/>
                <w:szCs w:val="22"/>
              </w:rPr>
              <w:instrText xml:space="preserve"> PAGEREF _Toc10291001 \h </w:instrText>
            </w:r>
            <w:r w:rsidR="00535B24" w:rsidRPr="00535B24">
              <w:rPr>
                <w:rFonts w:ascii="Arial" w:hAnsi="Arial" w:cs="Arial"/>
                <w:noProof/>
                <w:webHidden/>
                <w:sz w:val="22"/>
                <w:szCs w:val="22"/>
              </w:rPr>
            </w:r>
            <w:r w:rsidR="00535B24" w:rsidRPr="00535B24">
              <w:rPr>
                <w:rFonts w:ascii="Arial" w:hAnsi="Arial" w:cs="Arial"/>
                <w:noProof/>
                <w:webHidden/>
                <w:sz w:val="22"/>
                <w:szCs w:val="22"/>
              </w:rPr>
              <w:fldChar w:fldCharType="separate"/>
            </w:r>
            <w:r w:rsidR="00F01EC2">
              <w:rPr>
                <w:rFonts w:ascii="Arial" w:hAnsi="Arial" w:cs="Arial"/>
                <w:noProof/>
                <w:webHidden/>
                <w:sz w:val="22"/>
                <w:szCs w:val="22"/>
              </w:rPr>
              <w:t>132</w:t>
            </w:r>
            <w:r w:rsidR="00535B24" w:rsidRPr="00535B24">
              <w:rPr>
                <w:rFonts w:ascii="Arial" w:hAnsi="Arial" w:cs="Arial"/>
                <w:noProof/>
                <w:webHidden/>
                <w:sz w:val="22"/>
                <w:szCs w:val="22"/>
              </w:rPr>
              <w:fldChar w:fldCharType="end"/>
            </w:r>
          </w:hyperlink>
        </w:p>
        <w:p w14:paraId="0F375191" w14:textId="4CDB16CE" w:rsidR="00AA1F92" w:rsidRPr="00F618D8" w:rsidRDefault="00AA1F92" w:rsidP="00AA1F92">
          <w:pPr>
            <w:spacing w:line="360" w:lineRule="auto"/>
            <w:rPr>
              <w:rFonts w:ascii="Arial" w:hAnsi="Arial" w:cs="Arial"/>
            </w:rPr>
          </w:pPr>
          <w:r w:rsidRPr="00535B24">
            <w:rPr>
              <w:rFonts w:ascii="Arial" w:hAnsi="Arial" w:cs="Arial"/>
              <w:b/>
              <w:bCs/>
              <w:noProof/>
            </w:rPr>
            <w:fldChar w:fldCharType="end"/>
          </w:r>
        </w:p>
      </w:sdtContent>
    </w:sdt>
    <w:p w14:paraId="4E62F377" w14:textId="77777777" w:rsidR="003616B3" w:rsidRPr="00F618D8" w:rsidRDefault="003616B3" w:rsidP="003616B3">
      <w:pPr>
        <w:spacing w:after="0" w:line="360" w:lineRule="auto"/>
        <w:rPr>
          <w:rFonts w:ascii="Arial" w:hAnsi="Arial" w:cs="Arial"/>
          <w:sz w:val="24"/>
          <w:szCs w:val="24"/>
        </w:rPr>
        <w:sectPr w:rsidR="003616B3" w:rsidRPr="00F618D8">
          <w:footerReference w:type="default" r:id="rId11"/>
          <w:endnotePr>
            <w:numFmt w:val="decimal"/>
          </w:endnotePr>
          <w:pgSz w:w="12240" w:h="15840"/>
          <w:pgMar w:top="1440" w:right="1440" w:bottom="1440" w:left="1440" w:header="720" w:footer="720" w:gutter="0"/>
          <w:cols w:space="720"/>
          <w:docGrid w:linePitch="360"/>
        </w:sectPr>
      </w:pPr>
    </w:p>
    <w:p w14:paraId="61670C2D" w14:textId="77777777" w:rsidR="00927CD8" w:rsidRPr="00F618D8" w:rsidRDefault="00927CD8" w:rsidP="00387358">
      <w:pPr>
        <w:pStyle w:val="Heading1"/>
        <w:rPr>
          <w:rFonts w:ascii="Arial" w:hAnsi="Arial" w:cs="Arial"/>
        </w:rPr>
      </w:pPr>
      <w:bookmarkStart w:id="15" w:name="_Toc10290944"/>
      <w:bookmarkStart w:id="16" w:name="_Toc507437080"/>
      <w:r w:rsidRPr="00F618D8">
        <w:rPr>
          <w:rFonts w:ascii="Arial" w:hAnsi="Arial" w:cs="Arial"/>
        </w:rPr>
        <w:lastRenderedPageBreak/>
        <w:t>Executive Summary</w:t>
      </w:r>
      <w:bookmarkEnd w:id="15"/>
    </w:p>
    <w:p w14:paraId="494B0412" w14:textId="77777777" w:rsidR="00C46B9D" w:rsidRPr="00F618D8" w:rsidRDefault="00927CD8" w:rsidP="00203CBC">
      <w:pPr>
        <w:pStyle w:val="ParaNoIndent"/>
        <w:rPr>
          <w:rFonts w:ascii="Arial" w:hAnsi="Arial"/>
        </w:rPr>
      </w:pPr>
      <w:r w:rsidRPr="00F618D8">
        <w:rPr>
          <w:rFonts w:ascii="Arial" w:hAnsi="Arial"/>
        </w:rPr>
        <w:t xml:space="preserve">In March 2018, the National Council on Disability (NCD) released a seminal report, “Beyond Guardianship: Toward Alternatives That Promote Greater Self-Determination for People with Disabilities,” which provided a comprehensive review of adult guardianship through the lens of civil rights reforms impacting people with disabilities. The report cited </w:t>
      </w:r>
      <w:r w:rsidR="00CA3EAE" w:rsidRPr="00F618D8">
        <w:rPr>
          <w:rFonts w:ascii="Arial" w:hAnsi="Arial"/>
        </w:rPr>
        <w:t>serious</w:t>
      </w:r>
      <w:r w:rsidR="00561256" w:rsidRPr="00F618D8">
        <w:rPr>
          <w:rFonts w:ascii="Arial" w:hAnsi="Arial"/>
        </w:rPr>
        <w:t xml:space="preserve"> </w:t>
      </w:r>
      <w:r w:rsidRPr="00F618D8">
        <w:rPr>
          <w:rFonts w:ascii="Arial" w:hAnsi="Arial"/>
        </w:rPr>
        <w:t xml:space="preserve">problems </w:t>
      </w:r>
      <w:r w:rsidR="00561256" w:rsidRPr="00F618D8">
        <w:rPr>
          <w:rFonts w:ascii="Arial" w:hAnsi="Arial"/>
        </w:rPr>
        <w:t xml:space="preserve">about </w:t>
      </w:r>
      <w:r w:rsidR="00BD6BB6" w:rsidRPr="00F618D8">
        <w:rPr>
          <w:rFonts w:ascii="Arial" w:hAnsi="Arial"/>
        </w:rPr>
        <w:t>how</w:t>
      </w:r>
      <w:r w:rsidRPr="00F618D8">
        <w:rPr>
          <w:rFonts w:ascii="Arial" w:hAnsi="Arial"/>
        </w:rPr>
        <w:t xml:space="preserve"> guardianship systems function in the United States, including</w:t>
      </w:r>
      <w:r w:rsidR="00C46B9D" w:rsidRPr="00F618D8">
        <w:rPr>
          <w:rFonts w:ascii="Arial" w:hAnsi="Arial"/>
        </w:rPr>
        <w:t>:</w:t>
      </w:r>
    </w:p>
    <w:p w14:paraId="5DE80BB1" w14:textId="77777777" w:rsidR="00C46B9D" w:rsidRPr="00F618D8" w:rsidRDefault="00927CD8" w:rsidP="00203CBC">
      <w:pPr>
        <w:pStyle w:val="ListParagraph"/>
        <w:rPr>
          <w:rFonts w:ascii="Arial" w:hAnsi="Arial" w:cs="Arial"/>
        </w:rPr>
      </w:pPr>
      <w:r w:rsidRPr="00F618D8">
        <w:rPr>
          <w:rFonts w:ascii="Arial" w:hAnsi="Arial" w:cs="Arial"/>
        </w:rPr>
        <w:t xml:space="preserve">lack of reliable state and national data on guardianship, </w:t>
      </w:r>
    </w:p>
    <w:p w14:paraId="2A156762" w14:textId="77777777" w:rsidR="00C46B9D" w:rsidRPr="00F618D8" w:rsidRDefault="00927CD8" w:rsidP="00203CBC">
      <w:pPr>
        <w:pStyle w:val="ListParagraph"/>
        <w:rPr>
          <w:rFonts w:ascii="Arial" w:hAnsi="Arial" w:cs="Arial"/>
        </w:rPr>
      </w:pPr>
      <w:r w:rsidRPr="00F618D8">
        <w:rPr>
          <w:rFonts w:ascii="Arial" w:hAnsi="Arial" w:cs="Arial"/>
        </w:rPr>
        <w:t xml:space="preserve">misperceptions about the ability of people with disabilities to make autonomous decisions, </w:t>
      </w:r>
    </w:p>
    <w:p w14:paraId="122BEB87" w14:textId="77777777" w:rsidR="00C46B9D" w:rsidRPr="00F618D8" w:rsidRDefault="00927CD8" w:rsidP="00203CBC">
      <w:pPr>
        <w:pStyle w:val="ListParagraph"/>
        <w:rPr>
          <w:rFonts w:ascii="Arial" w:hAnsi="Arial" w:cs="Arial"/>
        </w:rPr>
      </w:pPr>
      <w:r w:rsidRPr="00F618D8">
        <w:rPr>
          <w:rFonts w:ascii="Arial" w:hAnsi="Arial" w:cs="Arial"/>
        </w:rPr>
        <w:t xml:space="preserve">denial of due process within guardianship proceedings and meaningful consideration of less-restrictive alternatives, </w:t>
      </w:r>
    </w:p>
    <w:p w14:paraId="39F7541D" w14:textId="77777777" w:rsidR="00C46B9D" w:rsidRPr="00F618D8" w:rsidRDefault="00927CD8" w:rsidP="00203CBC">
      <w:pPr>
        <w:pStyle w:val="ListParagraph"/>
        <w:rPr>
          <w:rFonts w:ascii="Arial" w:hAnsi="Arial" w:cs="Arial"/>
        </w:rPr>
      </w:pPr>
      <w:r w:rsidRPr="00F618D8">
        <w:rPr>
          <w:rFonts w:ascii="Arial" w:hAnsi="Arial" w:cs="Arial"/>
        </w:rPr>
        <w:t xml:space="preserve">insufficiencies in capacity determinations, </w:t>
      </w:r>
    </w:p>
    <w:p w14:paraId="6062AD9B" w14:textId="77777777" w:rsidR="00C46B9D" w:rsidRPr="00F618D8" w:rsidRDefault="00927CD8" w:rsidP="00203CBC">
      <w:pPr>
        <w:pStyle w:val="ListParagraph"/>
        <w:rPr>
          <w:rFonts w:ascii="Arial" w:hAnsi="Arial" w:cs="Arial"/>
        </w:rPr>
      </w:pPr>
      <w:r w:rsidRPr="00F618D8">
        <w:rPr>
          <w:rFonts w:ascii="Arial" w:hAnsi="Arial" w:cs="Arial"/>
        </w:rPr>
        <w:t xml:space="preserve">lack of court oversight of guardians, and </w:t>
      </w:r>
    </w:p>
    <w:p w14:paraId="44AB01AE" w14:textId="77777777" w:rsidR="00C46B9D" w:rsidRPr="00F618D8" w:rsidRDefault="00927CD8" w:rsidP="00203CBC">
      <w:pPr>
        <w:pStyle w:val="ListParagraph"/>
        <w:rPr>
          <w:rFonts w:ascii="Arial" w:hAnsi="Arial" w:cs="Arial"/>
        </w:rPr>
      </w:pPr>
      <w:r w:rsidRPr="00F618D8">
        <w:rPr>
          <w:rFonts w:ascii="Arial" w:hAnsi="Arial" w:cs="Arial"/>
        </w:rPr>
        <w:t xml:space="preserve">inaccessibility and underutilization of rights restoration processes after a guardian is appointed. </w:t>
      </w:r>
    </w:p>
    <w:p w14:paraId="6F6C390A" w14:textId="0EB51561" w:rsidR="00927CD8" w:rsidRPr="00F618D8" w:rsidRDefault="00927CD8" w:rsidP="00203CBC">
      <w:pPr>
        <w:pStyle w:val="ParaNoIndent"/>
        <w:rPr>
          <w:rFonts w:ascii="Arial" w:hAnsi="Arial"/>
        </w:rPr>
      </w:pPr>
      <w:r w:rsidRPr="00F618D8">
        <w:rPr>
          <w:rFonts w:ascii="Arial" w:hAnsi="Arial"/>
        </w:rPr>
        <w:t>In addition to its detailed findings, the 2018</w:t>
      </w:r>
      <w:r w:rsidR="00DA07F9" w:rsidRPr="00F618D8">
        <w:rPr>
          <w:rFonts w:ascii="Arial" w:hAnsi="Arial"/>
        </w:rPr>
        <w:t xml:space="preserve"> </w:t>
      </w:r>
      <w:r w:rsidRPr="00F618D8">
        <w:rPr>
          <w:rFonts w:ascii="Arial" w:hAnsi="Arial"/>
        </w:rPr>
        <w:t xml:space="preserve">NCD </w:t>
      </w:r>
      <w:r w:rsidR="007A6338">
        <w:rPr>
          <w:rFonts w:ascii="Arial" w:hAnsi="Arial"/>
        </w:rPr>
        <w:t>r</w:t>
      </w:r>
      <w:r w:rsidRPr="00F618D8">
        <w:rPr>
          <w:rFonts w:ascii="Arial" w:hAnsi="Arial"/>
        </w:rPr>
        <w:t xml:space="preserve">eport offers recommendations for reforms </w:t>
      </w:r>
      <w:r w:rsidR="00C340EE" w:rsidRPr="00F618D8">
        <w:rPr>
          <w:rFonts w:ascii="Arial" w:hAnsi="Arial"/>
        </w:rPr>
        <w:t>to</w:t>
      </w:r>
      <w:r w:rsidRPr="00F618D8">
        <w:rPr>
          <w:rFonts w:ascii="Arial" w:hAnsi="Arial"/>
        </w:rPr>
        <w:t xml:space="preserve"> improve the lives of people with disabilities who may need decision-making assistance</w:t>
      </w:r>
      <w:r w:rsidR="0061373B" w:rsidRPr="00F618D8">
        <w:rPr>
          <w:rFonts w:ascii="Arial" w:hAnsi="Arial"/>
        </w:rPr>
        <w:t xml:space="preserve">. It also suggests reforms </w:t>
      </w:r>
      <w:r w:rsidR="00C340EE" w:rsidRPr="00F618D8">
        <w:rPr>
          <w:rFonts w:ascii="Arial" w:hAnsi="Arial"/>
        </w:rPr>
        <w:t xml:space="preserve">to </w:t>
      </w:r>
      <w:r w:rsidRPr="00F618D8">
        <w:rPr>
          <w:rFonts w:ascii="Arial" w:hAnsi="Arial"/>
        </w:rPr>
        <w:t xml:space="preserve">prevent overly broad or undue guardianships, and </w:t>
      </w:r>
      <w:r w:rsidR="00C340EE" w:rsidRPr="00F618D8">
        <w:rPr>
          <w:rFonts w:ascii="Arial" w:hAnsi="Arial"/>
        </w:rPr>
        <w:t xml:space="preserve">to </w:t>
      </w:r>
      <w:r w:rsidRPr="00F618D8">
        <w:rPr>
          <w:rFonts w:ascii="Arial" w:hAnsi="Arial"/>
        </w:rPr>
        <w:t xml:space="preserve">improve court oversight of existing guardianships to </w:t>
      </w:r>
      <w:r w:rsidR="00FA4236" w:rsidRPr="00F618D8">
        <w:rPr>
          <w:rFonts w:ascii="Arial" w:hAnsi="Arial"/>
        </w:rPr>
        <w:t>eliminate</w:t>
      </w:r>
      <w:r w:rsidRPr="00F618D8">
        <w:rPr>
          <w:rFonts w:ascii="Arial" w:hAnsi="Arial"/>
        </w:rPr>
        <w:t xml:space="preserve"> abuse, neglect, and exploitation. </w:t>
      </w:r>
    </w:p>
    <w:p w14:paraId="25D523C1" w14:textId="77777777" w:rsidR="00285BE2" w:rsidRPr="00F618D8" w:rsidRDefault="00927CD8" w:rsidP="00203CBC">
      <w:pPr>
        <w:pStyle w:val="ParaNoIndent"/>
        <w:rPr>
          <w:rFonts w:ascii="Arial" w:hAnsi="Arial"/>
        </w:rPr>
      </w:pPr>
      <w:r w:rsidRPr="00F618D8">
        <w:rPr>
          <w:rFonts w:ascii="Arial" w:hAnsi="Arial"/>
        </w:rPr>
        <w:t>The present report builds upon the work of the 2018 NCD Report by specifically examining the role of guardianship and</w:t>
      </w:r>
      <w:r w:rsidR="00C3483C" w:rsidRPr="00F618D8">
        <w:rPr>
          <w:rFonts w:ascii="Arial" w:hAnsi="Arial"/>
        </w:rPr>
        <w:t xml:space="preserve"> other</w:t>
      </w:r>
      <w:r w:rsidRPr="00F618D8">
        <w:rPr>
          <w:rFonts w:ascii="Arial" w:hAnsi="Arial"/>
        </w:rPr>
        <w:t xml:space="preserve"> alternatives in the lives of people with intellectual and developmental disabilities (ID/DD), a population that is known to be at increased risk of </w:t>
      </w:r>
      <w:r w:rsidR="00B21AC3" w:rsidRPr="00F618D8">
        <w:rPr>
          <w:rFonts w:ascii="Arial" w:hAnsi="Arial"/>
        </w:rPr>
        <w:t>having</w:t>
      </w:r>
      <w:r w:rsidRPr="00F618D8">
        <w:rPr>
          <w:rFonts w:ascii="Arial" w:hAnsi="Arial"/>
        </w:rPr>
        <w:t xml:space="preserve"> guardians</w:t>
      </w:r>
      <w:r w:rsidR="00AA1F92" w:rsidRPr="00F618D8">
        <w:rPr>
          <w:rFonts w:ascii="Arial" w:hAnsi="Arial"/>
        </w:rPr>
        <w:t xml:space="preserve">. </w:t>
      </w:r>
      <w:r w:rsidR="001427C2" w:rsidRPr="00F618D8">
        <w:rPr>
          <w:rFonts w:ascii="Arial" w:hAnsi="Arial"/>
        </w:rPr>
        <w:t xml:space="preserve">The report also examines </w:t>
      </w:r>
      <w:r w:rsidR="00330F2E" w:rsidRPr="00F618D8">
        <w:rPr>
          <w:rFonts w:ascii="Arial" w:hAnsi="Arial"/>
        </w:rPr>
        <w:t xml:space="preserve">if the </w:t>
      </w:r>
      <w:r w:rsidRPr="00F618D8">
        <w:rPr>
          <w:rFonts w:ascii="Arial" w:hAnsi="Arial"/>
        </w:rPr>
        <w:t xml:space="preserve">increased risk for people with ID/DD may be linked to the </w:t>
      </w:r>
      <w:r w:rsidR="00C3483C" w:rsidRPr="00F618D8">
        <w:rPr>
          <w:rFonts w:ascii="Arial" w:hAnsi="Arial"/>
        </w:rPr>
        <w:t xml:space="preserve">different </w:t>
      </w:r>
      <w:r w:rsidRPr="00F618D8">
        <w:rPr>
          <w:rFonts w:ascii="Arial" w:hAnsi="Arial"/>
        </w:rPr>
        <w:t>way</w:t>
      </w:r>
      <w:r w:rsidR="00C3483C" w:rsidRPr="00F618D8">
        <w:rPr>
          <w:rFonts w:ascii="Arial" w:hAnsi="Arial"/>
        </w:rPr>
        <w:t>s</w:t>
      </w:r>
      <w:r w:rsidRPr="00F618D8">
        <w:rPr>
          <w:rFonts w:ascii="Arial" w:hAnsi="Arial"/>
        </w:rPr>
        <w:t xml:space="preserve"> states apply guardianship law</w:t>
      </w:r>
      <w:r w:rsidR="00C3483C" w:rsidRPr="00F618D8">
        <w:rPr>
          <w:rFonts w:ascii="Arial" w:hAnsi="Arial"/>
        </w:rPr>
        <w:t>s,</w:t>
      </w:r>
      <w:r w:rsidRPr="00F618D8">
        <w:rPr>
          <w:rFonts w:ascii="Arial" w:hAnsi="Arial"/>
        </w:rPr>
        <w:t xml:space="preserve"> as well as biases and/or assumptions </w:t>
      </w:r>
      <w:r w:rsidR="00C3483C" w:rsidRPr="00F618D8">
        <w:rPr>
          <w:rFonts w:ascii="Arial" w:hAnsi="Arial"/>
        </w:rPr>
        <w:t xml:space="preserve">about the ability of people with ID/DD </w:t>
      </w:r>
      <w:r w:rsidRPr="00F618D8">
        <w:rPr>
          <w:rFonts w:ascii="Arial" w:hAnsi="Arial"/>
        </w:rPr>
        <w:t>to fully experience the dignity of risk</w:t>
      </w:r>
      <w:r w:rsidR="00AA1F92" w:rsidRPr="00F618D8">
        <w:rPr>
          <w:rFonts w:ascii="Arial" w:hAnsi="Arial"/>
        </w:rPr>
        <w:t xml:space="preserve">. </w:t>
      </w:r>
      <w:bookmarkStart w:id="17" w:name="_Hlk535570878"/>
    </w:p>
    <w:p w14:paraId="7CC964F9" w14:textId="77777777" w:rsidR="00927CD8" w:rsidRPr="00F618D8" w:rsidRDefault="00285BE2" w:rsidP="00203CBC">
      <w:pPr>
        <w:pStyle w:val="ParaNoIndent"/>
        <w:rPr>
          <w:rFonts w:ascii="Arial" w:hAnsi="Arial"/>
        </w:rPr>
      </w:pPr>
      <w:r w:rsidRPr="00F618D8">
        <w:rPr>
          <w:rFonts w:ascii="Arial" w:hAnsi="Arial"/>
        </w:rPr>
        <w:lastRenderedPageBreak/>
        <w:t>Some view g</w:t>
      </w:r>
      <w:r w:rsidR="00927CD8" w:rsidRPr="00F618D8">
        <w:rPr>
          <w:rFonts w:ascii="Arial" w:hAnsi="Arial"/>
        </w:rPr>
        <w:t>uardianship</w:t>
      </w:r>
      <w:r w:rsidRPr="00F618D8">
        <w:rPr>
          <w:rFonts w:ascii="Arial" w:hAnsi="Arial"/>
        </w:rPr>
        <w:t xml:space="preserve"> as</w:t>
      </w:r>
      <w:r w:rsidR="00927CD8" w:rsidRPr="00F618D8">
        <w:rPr>
          <w:rFonts w:ascii="Arial" w:hAnsi="Arial"/>
        </w:rPr>
        <w:t xml:space="preserve"> necessary</w:t>
      </w:r>
      <w:r w:rsidR="00B85A57" w:rsidRPr="00F618D8">
        <w:rPr>
          <w:rFonts w:ascii="Arial" w:hAnsi="Arial"/>
        </w:rPr>
        <w:t xml:space="preserve"> to protect</w:t>
      </w:r>
      <w:r w:rsidR="00927CD8" w:rsidRPr="00F618D8">
        <w:rPr>
          <w:rFonts w:ascii="Arial" w:hAnsi="Arial"/>
        </w:rPr>
        <w:t xml:space="preserve"> people with ID/DD</w:t>
      </w:r>
      <w:r w:rsidRPr="00F618D8">
        <w:rPr>
          <w:rFonts w:ascii="Arial" w:hAnsi="Arial"/>
        </w:rPr>
        <w:t>. O</w:t>
      </w:r>
      <w:r w:rsidR="00B85A57" w:rsidRPr="00F618D8">
        <w:rPr>
          <w:rFonts w:ascii="Arial" w:hAnsi="Arial"/>
        </w:rPr>
        <w:t>thers</w:t>
      </w:r>
      <w:r w:rsidR="00927CD8" w:rsidRPr="00F618D8">
        <w:rPr>
          <w:rFonts w:ascii="Arial" w:hAnsi="Arial"/>
        </w:rPr>
        <w:t xml:space="preserve"> raise concerns about its stigma and</w:t>
      </w:r>
      <w:r w:rsidRPr="00F618D8">
        <w:rPr>
          <w:rFonts w:ascii="Arial" w:hAnsi="Arial"/>
        </w:rPr>
        <w:t xml:space="preserve"> how it impacts the civil rights and personhood of people with ID/DD.</w:t>
      </w:r>
      <w:r w:rsidR="00927CD8" w:rsidRPr="00F618D8">
        <w:rPr>
          <w:rFonts w:ascii="Arial" w:hAnsi="Arial"/>
        </w:rPr>
        <w:t xml:space="preserve"> Like its predecessor, this report seeks to acknowledge and balance both of those view</w:t>
      </w:r>
      <w:r w:rsidR="00B85A57" w:rsidRPr="00F618D8">
        <w:rPr>
          <w:rFonts w:ascii="Arial" w:hAnsi="Arial"/>
        </w:rPr>
        <w:t>s</w:t>
      </w:r>
      <w:r w:rsidR="006E4264" w:rsidRPr="00F618D8">
        <w:rPr>
          <w:rFonts w:ascii="Arial" w:hAnsi="Arial"/>
        </w:rPr>
        <w:t>,</w:t>
      </w:r>
      <w:r w:rsidR="00B85A57" w:rsidRPr="00F618D8">
        <w:rPr>
          <w:rFonts w:ascii="Arial" w:hAnsi="Arial"/>
        </w:rPr>
        <w:t xml:space="preserve"> </w:t>
      </w:r>
      <w:r w:rsidR="00927CD8" w:rsidRPr="00F618D8">
        <w:rPr>
          <w:rFonts w:ascii="Arial" w:hAnsi="Arial"/>
        </w:rPr>
        <w:t>while holding to the belief that “people with disabilities both desire and deserve choices when seeking assistance with daily living that maintains their self-determination and maximum dignity and independence.”</w:t>
      </w:r>
      <w:r w:rsidR="00927CD8" w:rsidRPr="00F618D8">
        <w:rPr>
          <w:rStyle w:val="EndnoteReference"/>
          <w:rFonts w:ascii="Arial" w:hAnsi="Arial"/>
          <w:szCs w:val="24"/>
        </w:rPr>
        <w:endnoteReference w:id="1"/>
      </w:r>
      <w:bookmarkEnd w:id="17"/>
    </w:p>
    <w:p w14:paraId="553397B2" w14:textId="77777777" w:rsidR="00927CD8" w:rsidRPr="00F618D8" w:rsidRDefault="00927CD8" w:rsidP="00203CBC">
      <w:pPr>
        <w:pStyle w:val="Heading2"/>
        <w:rPr>
          <w:rFonts w:ascii="Arial" w:hAnsi="Arial" w:cs="Arial"/>
        </w:rPr>
      </w:pPr>
      <w:bookmarkStart w:id="18" w:name="_Toc10290945"/>
      <w:r w:rsidRPr="00F618D8">
        <w:rPr>
          <w:rFonts w:ascii="Arial" w:hAnsi="Arial" w:cs="Arial"/>
        </w:rPr>
        <w:t>Summary of Methodology</w:t>
      </w:r>
      <w:bookmarkEnd w:id="18"/>
    </w:p>
    <w:p w14:paraId="7D78CB38" w14:textId="77777777" w:rsidR="00927CD8" w:rsidRPr="00F618D8" w:rsidRDefault="00927CD8" w:rsidP="00203CBC">
      <w:pPr>
        <w:pStyle w:val="ParaNoIndent"/>
        <w:rPr>
          <w:rFonts w:ascii="Arial" w:hAnsi="Arial"/>
        </w:rPr>
      </w:pPr>
      <w:r w:rsidRPr="00F618D8">
        <w:rPr>
          <w:rFonts w:ascii="Arial" w:hAnsi="Arial"/>
        </w:rPr>
        <w:t>The 2018</w:t>
      </w:r>
      <w:r w:rsidR="000C2885" w:rsidRPr="00F618D8">
        <w:rPr>
          <w:rFonts w:ascii="Arial" w:hAnsi="Arial"/>
        </w:rPr>
        <w:t>,</w:t>
      </w:r>
      <w:r w:rsidRPr="00F618D8">
        <w:rPr>
          <w:rFonts w:ascii="Arial" w:hAnsi="Arial"/>
        </w:rPr>
        <w:t xml:space="preserve"> NCD Report provided a broad overview of the current state of guardianship law and practice, as well </w:t>
      </w:r>
      <w:r w:rsidR="001017B7" w:rsidRPr="00F618D8">
        <w:rPr>
          <w:rFonts w:ascii="Arial" w:hAnsi="Arial"/>
        </w:rPr>
        <w:t>as</w:t>
      </w:r>
      <w:r w:rsidRPr="00F618D8">
        <w:rPr>
          <w:rFonts w:ascii="Arial" w:hAnsi="Arial"/>
        </w:rPr>
        <w:t xml:space="preserve"> policy reforms and analysis of how effective or ineffective those efforts ha</w:t>
      </w:r>
      <w:r w:rsidR="00F43543" w:rsidRPr="00F618D8">
        <w:rPr>
          <w:rFonts w:ascii="Arial" w:hAnsi="Arial"/>
        </w:rPr>
        <w:t>ve</w:t>
      </w:r>
      <w:r w:rsidRPr="00F618D8">
        <w:rPr>
          <w:rFonts w:ascii="Arial" w:hAnsi="Arial"/>
        </w:rPr>
        <w:t xml:space="preserve"> been</w:t>
      </w:r>
      <w:r w:rsidR="00AA1F92" w:rsidRPr="00F618D8">
        <w:rPr>
          <w:rFonts w:ascii="Arial" w:hAnsi="Arial"/>
        </w:rPr>
        <w:t xml:space="preserve">. </w:t>
      </w:r>
      <w:r w:rsidRPr="00F618D8">
        <w:rPr>
          <w:rFonts w:ascii="Arial" w:hAnsi="Arial"/>
        </w:rPr>
        <w:t xml:space="preserve">The present report uses that overview as a springboard to </w:t>
      </w:r>
      <w:r w:rsidR="000E091A" w:rsidRPr="00F618D8">
        <w:rPr>
          <w:rFonts w:ascii="Arial" w:hAnsi="Arial"/>
        </w:rPr>
        <w:t xml:space="preserve">explore </w:t>
      </w:r>
      <w:r w:rsidRPr="00F618D8">
        <w:rPr>
          <w:rFonts w:ascii="Arial" w:hAnsi="Arial"/>
        </w:rPr>
        <w:t>the experience</w:t>
      </w:r>
      <w:r w:rsidR="000E091A" w:rsidRPr="00F618D8">
        <w:rPr>
          <w:rFonts w:ascii="Arial" w:hAnsi="Arial"/>
        </w:rPr>
        <w:t>s</w:t>
      </w:r>
      <w:r w:rsidRPr="00F618D8">
        <w:rPr>
          <w:rFonts w:ascii="Arial" w:hAnsi="Arial"/>
        </w:rPr>
        <w:t xml:space="preserve"> of people with ID/DD, their families, and others through a multimodal blend of updated literature review, data analysis, key informant interviews, targeted outreach, and personal story gathering from stakeholders</w:t>
      </w:r>
      <w:r w:rsidR="00AA1F92" w:rsidRPr="00F618D8">
        <w:rPr>
          <w:rFonts w:ascii="Arial" w:hAnsi="Arial"/>
        </w:rPr>
        <w:t xml:space="preserve">. </w:t>
      </w:r>
    </w:p>
    <w:p w14:paraId="4444D151" w14:textId="77777777" w:rsidR="00C46B9D" w:rsidRPr="00F618D8" w:rsidRDefault="00927CD8" w:rsidP="00203CBC">
      <w:pPr>
        <w:pStyle w:val="ParaNoIndent"/>
        <w:rPr>
          <w:rFonts w:ascii="Arial" w:hAnsi="Arial"/>
        </w:rPr>
      </w:pPr>
      <w:r w:rsidRPr="00F618D8">
        <w:rPr>
          <w:rFonts w:ascii="Arial" w:hAnsi="Arial"/>
        </w:rPr>
        <w:t>This report is organized into six chapters</w:t>
      </w:r>
      <w:r w:rsidR="00AA1F92" w:rsidRPr="00F618D8">
        <w:rPr>
          <w:rFonts w:ascii="Arial" w:hAnsi="Arial"/>
        </w:rPr>
        <w:t xml:space="preserve">. </w:t>
      </w:r>
    </w:p>
    <w:p w14:paraId="1F1ED942" w14:textId="77777777" w:rsidR="00C46B9D" w:rsidRPr="00F618D8" w:rsidRDefault="00927CD8" w:rsidP="00203CBC">
      <w:pPr>
        <w:pStyle w:val="ListParagraph"/>
        <w:rPr>
          <w:rFonts w:ascii="Arial" w:hAnsi="Arial" w:cs="Arial"/>
        </w:rPr>
      </w:pPr>
      <w:r w:rsidRPr="00F618D8">
        <w:rPr>
          <w:rFonts w:ascii="Arial" w:hAnsi="Arial" w:cs="Arial"/>
        </w:rPr>
        <w:t>Chapter 1</w:t>
      </w:r>
      <w:r w:rsidR="00A57E54" w:rsidRPr="00F618D8">
        <w:rPr>
          <w:rFonts w:ascii="Arial" w:hAnsi="Arial" w:cs="Arial"/>
        </w:rPr>
        <w:t xml:space="preserve"> </w:t>
      </w:r>
      <w:r w:rsidRPr="00F618D8">
        <w:rPr>
          <w:rFonts w:ascii="Arial" w:hAnsi="Arial" w:cs="Arial"/>
        </w:rPr>
        <w:t>briefly explain</w:t>
      </w:r>
      <w:r w:rsidR="00E529ED" w:rsidRPr="00F618D8">
        <w:rPr>
          <w:rFonts w:ascii="Arial" w:hAnsi="Arial" w:cs="Arial"/>
        </w:rPr>
        <w:t>s</w:t>
      </w:r>
      <w:r w:rsidRPr="00F618D8">
        <w:rPr>
          <w:rFonts w:ascii="Arial" w:hAnsi="Arial" w:cs="Arial"/>
        </w:rPr>
        <w:t xml:space="preserve"> what guardianship is </w:t>
      </w:r>
      <w:r w:rsidR="00AA2857" w:rsidRPr="00F618D8">
        <w:rPr>
          <w:rFonts w:ascii="Arial" w:hAnsi="Arial" w:cs="Arial"/>
        </w:rPr>
        <w:t>and include</w:t>
      </w:r>
      <w:r w:rsidR="00E529ED" w:rsidRPr="00F618D8">
        <w:rPr>
          <w:rFonts w:ascii="Arial" w:hAnsi="Arial" w:cs="Arial"/>
        </w:rPr>
        <w:t>s</w:t>
      </w:r>
      <w:r w:rsidR="00AA2857" w:rsidRPr="00F618D8">
        <w:rPr>
          <w:rFonts w:ascii="Arial" w:hAnsi="Arial" w:cs="Arial"/>
        </w:rPr>
        <w:t xml:space="preserve"> </w:t>
      </w:r>
      <w:r w:rsidRPr="00F618D8">
        <w:rPr>
          <w:rFonts w:ascii="Arial" w:hAnsi="Arial" w:cs="Arial"/>
        </w:rPr>
        <w:t>cross-reference</w:t>
      </w:r>
      <w:r w:rsidR="00C46B9D" w:rsidRPr="00F618D8">
        <w:rPr>
          <w:rFonts w:ascii="Arial" w:hAnsi="Arial" w:cs="Arial"/>
        </w:rPr>
        <w:t>s</w:t>
      </w:r>
      <w:r w:rsidRPr="00F618D8">
        <w:rPr>
          <w:rFonts w:ascii="Arial" w:hAnsi="Arial" w:cs="Arial"/>
        </w:rPr>
        <w:t xml:space="preserve"> to the lengthier explanation in the 2018 NCD Report</w:t>
      </w:r>
      <w:r w:rsidR="00AA1F92" w:rsidRPr="00F618D8">
        <w:rPr>
          <w:rFonts w:ascii="Arial" w:hAnsi="Arial" w:cs="Arial"/>
        </w:rPr>
        <w:t xml:space="preserve">. </w:t>
      </w:r>
      <w:r w:rsidRPr="00F618D8">
        <w:rPr>
          <w:rFonts w:ascii="Arial" w:hAnsi="Arial" w:cs="Arial"/>
        </w:rPr>
        <w:t>It also introduce</w:t>
      </w:r>
      <w:r w:rsidR="00E529ED" w:rsidRPr="00F618D8">
        <w:rPr>
          <w:rFonts w:ascii="Arial" w:hAnsi="Arial" w:cs="Arial"/>
        </w:rPr>
        <w:t>s</w:t>
      </w:r>
      <w:r w:rsidRPr="00F618D8">
        <w:rPr>
          <w:rFonts w:ascii="Arial" w:hAnsi="Arial" w:cs="Arial"/>
        </w:rPr>
        <w:t xml:space="preserve"> the reader to what is meant by ID/DD and how people with ID/DD are at an increased risk for </w:t>
      </w:r>
      <w:r w:rsidR="00B21AC3" w:rsidRPr="00F618D8">
        <w:rPr>
          <w:rFonts w:ascii="Arial" w:hAnsi="Arial" w:cs="Arial"/>
        </w:rPr>
        <w:t>having</w:t>
      </w:r>
      <w:r w:rsidRPr="00F618D8">
        <w:rPr>
          <w:rFonts w:ascii="Arial" w:hAnsi="Arial" w:cs="Arial"/>
        </w:rPr>
        <w:t xml:space="preserve"> guardians</w:t>
      </w:r>
      <w:r w:rsidR="00AA1F92" w:rsidRPr="00F618D8">
        <w:rPr>
          <w:rFonts w:ascii="Arial" w:hAnsi="Arial" w:cs="Arial"/>
        </w:rPr>
        <w:t xml:space="preserve">. </w:t>
      </w:r>
      <w:r w:rsidRPr="00F618D8">
        <w:rPr>
          <w:rFonts w:ascii="Arial" w:hAnsi="Arial" w:cs="Arial"/>
        </w:rPr>
        <w:t>It also explain</w:t>
      </w:r>
      <w:r w:rsidR="00E529ED" w:rsidRPr="00F618D8">
        <w:rPr>
          <w:rFonts w:ascii="Arial" w:hAnsi="Arial" w:cs="Arial"/>
        </w:rPr>
        <w:t>s</w:t>
      </w:r>
      <w:r w:rsidRPr="00F618D8">
        <w:rPr>
          <w:rFonts w:ascii="Arial" w:hAnsi="Arial" w:cs="Arial"/>
        </w:rPr>
        <w:t xml:space="preserve"> how guardianship, while directly governed by state law, </w:t>
      </w:r>
      <w:r w:rsidR="00B23656" w:rsidRPr="00F618D8">
        <w:rPr>
          <w:rFonts w:ascii="Arial" w:hAnsi="Arial" w:cs="Arial"/>
        </w:rPr>
        <w:t xml:space="preserve">can negatively implicate </w:t>
      </w:r>
      <w:r w:rsidRPr="00F618D8">
        <w:rPr>
          <w:rFonts w:ascii="Arial" w:hAnsi="Arial" w:cs="Arial"/>
        </w:rPr>
        <w:t>important federal civil rights for people made subject to it</w:t>
      </w:r>
      <w:r w:rsidR="00AA1F92" w:rsidRPr="00F618D8">
        <w:rPr>
          <w:rFonts w:ascii="Arial" w:hAnsi="Arial" w:cs="Arial"/>
        </w:rPr>
        <w:t xml:space="preserve">. </w:t>
      </w:r>
    </w:p>
    <w:p w14:paraId="7D8181BA" w14:textId="0DADE08D" w:rsidR="00C46B9D" w:rsidRPr="00F618D8" w:rsidRDefault="00927CD8" w:rsidP="00203CBC">
      <w:pPr>
        <w:pStyle w:val="ListParagraph"/>
        <w:rPr>
          <w:rFonts w:ascii="Arial" w:hAnsi="Arial" w:cs="Arial"/>
        </w:rPr>
      </w:pPr>
      <w:r w:rsidRPr="00F618D8">
        <w:rPr>
          <w:rFonts w:ascii="Arial" w:hAnsi="Arial" w:cs="Arial"/>
        </w:rPr>
        <w:t>Chapter 2</w:t>
      </w:r>
      <w:r w:rsidR="00A57E54" w:rsidRPr="00F618D8">
        <w:rPr>
          <w:rFonts w:ascii="Arial" w:hAnsi="Arial" w:cs="Arial"/>
        </w:rPr>
        <w:t xml:space="preserve"> </w:t>
      </w:r>
      <w:r w:rsidRPr="00F618D8">
        <w:rPr>
          <w:rFonts w:ascii="Arial" w:hAnsi="Arial" w:cs="Arial"/>
        </w:rPr>
        <w:t>describe</w:t>
      </w:r>
      <w:r w:rsidR="00E529ED" w:rsidRPr="00F618D8">
        <w:rPr>
          <w:rFonts w:ascii="Arial" w:hAnsi="Arial" w:cs="Arial"/>
        </w:rPr>
        <w:t>s</w:t>
      </w:r>
      <w:r w:rsidRPr="00F618D8">
        <w:rPr>
          <w:rFonts w:ascii="Arial" w:hAnsi="Arial" w:cs="Arial"/>
        </w:rPr>
        <w:t xml:space="preserve"> what has become known as the “school-to-guardianship pipeline,” as well as its impact on youth with ID/DD</w:t>
      </w:r>
      <w:r w:rsidR="00AA1F92" w:rsidRPr="00F618D8">
        <w:rPr>
          <w:rFonts w:ascii="Arial" w:hAnsi="Arial" w:cs="Arial"/>
        </w:rPr>
        <w:t xml:space="preserve">. </w:t>
      </w:r>
      <w:r w:rsidRPr="00F618D8">
        <w:rPr>
          <w:rFonts w:ascii="Arial" w:hAnsi="Arial" w:cs="Arial"/>
        </w:rPr>
        <w:t>It</w:t>
      </w:r>
      <w:r w:rsidR="000C2885" w:rsidRPr="00F618D8">
        <w:rPr>
          <w:rFonts w:ascii="Arial" w:hAnsi="Arial" w:cs="Arial"/>
        </w:rPr>
        <w:t xml:space="preserve"> examines</w:t>
      </w:r>
      <w:r w:rsidRPr="00F618D8">
        <w:rPr>
          <w:rFonts w:ascii="Arial" w:hAnsi="Arial" w:cs="Arial"/>
        </w:rPr>
        <w:t xml:space="preserve"> U.S. policy implications of this pipeline under important federal laws, including the Individuals with Disabilities Education Act</w:t>
      </w:r>
      <w:r w:rsidR="00B70FC5" w:rsidRPr="00F618D8">
        <w:rPr>
          <w:rFonts w:ascii="Arial" w:hAnsi="Arial" w:cs="Arial"/>
        </w:rPr>
        <w:t xml:space="preserve"> (IDEA)</w:t>
      </w:r>
      <w:r w:rsidRPr="00F618D8">
        <w:rPr>
          <w:rFonts w:ascii="Arial" w:hAnsi="Arial" w:cs="Arial"/>
        </w:rPr>
        <w:t>, the Developmental Disabilities Assistance and Bill of Rights Act, the Americans with Disabilities Act</w:t>
      </w:r>
      <w:r w:rsidR="000E56DD" w:rsidRPr="00F618D8">
        <w:rPr>
          <w:rFonts w:ascii="Arial" w:hAnsi="Arial" w:cs="Arial"/>
        </w:rPr>
        <w:t xml:space="preserve"> (ADA)</w:t>
      </w:r>
      <w:r w:rsidRPr="00F618D8">
        <w:rPr>
          <w:rFonts w:ascii="Arial" w:hAnsi="Arial" w:cs="Arial"/>
        </w:rPr>
        <w:t>, the Rehabilitation Act, and the Workforce Innovation and Opportunity Act</w:t>
      </w:r>
      <w:r w:rsidR="007A6338">
        <w:rPr>
          <w:rFonts w:ascii="Arial" w:hAnsi="Arial" w:cs="Arial"/>
        </w:rPr>
        <w:t xml:space="preserve"> (</w:t>
      </w:r>
      <w:r w:rsidR="007A6338" w:rsidRPr="007A6338">
        <w:rPr>
          <w:rFonts w:ascii="Arial" w:hAnsi="Arial" w:cs="Arial"/>
        </w:rPr>
        <w:t>WIOA</w:t>
      </w:r>
      <w:r w:rsidR="007A6338">
        <w:rPr>
          <w:rFonts w:ascii="Arial" w:hAnsi="Arial" w:cs="Arial"/>
        </w:rPr>
        <w:t>)</w:t>
      </w:r>
      <w:r w:rsidR="00AA1F92" w:rsidRPr="00F618D8">
        <w:rPr>
          <w:rFonts w:ascii="Arial" w:hAnsi="Arial" w:cs="Arial"/>
        </w:rPr>
        <w:t xml:space="preserve">. </w:t>
      </w:r>
    </w:p>
    <w:p w14:paraId="6C5ACB15" w14:textId="77777777" w:rsidR="00C46B9D" w:rsidRPr="00F618D8" w:rsidRDefault="00927CD8" w:rsidP="00203CBC">
      <w:pPr>
        <w:pStyle w:val="ListParagraph"/>
        <w:rPr>
          <w:rFonts w:ascii="Arial" w:hAnsi="Arial" w:cs="Arial"/>
        </w:rPr>
      </w:pPr>
      <w:r w:rsidRPr="00F618D8">
        <w:rPr>
          <w:rFonts w:ascii="Arial" w:hAnsi="Arial" w:cs="Arial"/>
        </w:rPr>
        <w:t>Chapter 3</w:t>
      </w:r>
      <w:r w:rsidR="00A57E54" w:rsidRPr="00F618D8">
        <w:rPr>
          <w:rFonts w:ascii="Arial" w:hAnsi="Arial" w:cs="Arial"/>
        </w:rPr>
        <w:t xml:space="preserve"> </w:t>
      </w:r>
      <w:r w:rsidRPr="00F618D8">
        <w:rPr>
          <w:rFonts w:ascii="Arial" w:hAnsi="Arial" w:cs="Arial"/>
        </w:rPr>
        <w:t>explore</w:t>
      </w:r>
      <w:r w:rsidR="0006273E" w:rsidRPr="00F618D8">
        <w:rPr>
          <w:rFonts w:ascii="Arial" w:hAnsi="Arial" w:cs="Arial"/>
        </w:rPr>
        <w:t>s</w:t>
      </w:r>
      <w:r w:rsidRPr="00F618D8">
        <w:rPr>
          <w:rFonts w:ascii="Arial" w:hAnsi="Arial" w:cs="Arial"/>
        </w:rPr>
        <w:t xml:space="preserve"> </w:t>
      </w:r>
      <w:r w:rsidR="0006273E" w:rsidRPr="00F618D8">
        <w:rPr>
          <w:rFonts w:ascii="Arial" w:hAnsi="Arial" w:cs="Arial"/>
        </w:rPr>
        <w:t xml:space="preserve">how </w:t>
      </w:r>
      <w:r w:rsidRPr="00F618D8">
        <w:rPr>
          <w:rFonts w:ascii="Arial" w:hAnsi="Arial" w:cs="Arial"/>
        </w:rPr>
        <w:t>some states’ guardianship laws have different standards and processes for obtaining guardianship over people with ID/DD than other populations who may need decision-making assistance</w:t>
      </w:r>
      <w:r w:rsidR="00AA1F92" w:rsidRPr="00F618D8">
        <w:rPr>
          <w:rFonts w:ascii="Arial" w:hAnsi="Arial" w:cs="Arial"/>
        </w:rPr>
        <w:t xml:space="preserve">. </w:t>
      </w:r>
      <w:r w:rsidRPr="00F618D8">
        <w:rPr>
          <w:rFonts w:ascii="Arial" w:hAnsi="Arial" w:cs="Arial"/>
        </w:rPr>
        <w:t>It</w:t>
      </w:r>
      <w:r w:rsidR="002E0A80" w:rsidRPr="00F618D8">
        <w:rPr>
          <w:rFonts w:ascii="Arial" w:hAnsi="Arial" w:cs="Arial"/>
        </w:rPr>
        <w:t xml:space="preserve"> also discusses </w:t>
      </w:r>
      <w:r w:rsidRPr="00F618D8">
        <w:rPr>
          <w:rFonts w:ascii="Arial" w:hAnsi="Arial" w:cs="Arial"/>
        </w:rPr>
        <w:t>the impact of th</w:t>
      </w:r>
      <w:r w:rsidR="00956F2E" w:rsidRPr="00F618D8">
        <w:rPr>
          <w:rFonts w:ascii="Arial" w:hAnsi="Arial" w:cs="Arial"/>
        </w:rPr>
        <w:t>e</w:t>
      </w:r>
      <w:r w:rsidRPr="00F618D8">
        <w:rPr>
          <w:rFonts w:ascii="Arial" w:hAnsi="Arial" w:cs="Arial"/>
        </w:rPr>
        <w:t xml:space="preserve"> disparate treatment </w:t>
      </w:r>
      <w:r w:rsidR="00FA50D8" w:rsidRPr="00F618D8">
        <w:rPr>
          <w:rFonts w:ascii="Arial" w:hAnsi="Arial" w:cs="Arial"/>
        </w:rPr>
        <w:t>of</w:t>
      </w:r>
      <w:r w:rsidRPr="00F618D8">
        <w:rPr>
          <w:rFonts w:ascii="Arial" w:hAnsi="Arial" w:cs="Arial"/>
        </w:rPr>
        <w:t xml:space="preserve"> people with ID/DD, as well as U.S. policy implications, </w:t>
      </w:r>
      <w:r w:rsidR="002407BF" w:rsidRPr="00F618D8">
        <w:rPr>
          <w:rFonts w:ascii="Arial" w:hAnsi="Arial" w:cs="Arial"/>
        </w:rPr>
        <w:t xml:space="preserve">which </w:t>
      </w:r>
      <w:r w:rsidR="002407BF" w:rsidRPr="00F618D8">
        <w:rPr>
          <w:rFonts w:ascii="Arial" w:hAnsi="Arial" w:cs="Arial"/>
        </w:rPr>
        <w:lastRenderedPageBreak/>
        <w:t xml:space="preserve">include </w:t>
      </w:r>
      <w:r w:rsidRPr="00F618D8">
        <w:rPr>
          <w:rFonts w:ascii="Arial" w:hAnsi="Arial" w:cs="Arial"/>
        </w:rPr>
        <w:t>concerns</w:t>
      </w:r>
      <w:r w:rsidR="002E0A80" w:rsidRPr="00F618D8">
        <w:rPr>
          <w:rFonts w:ascii="Arial" w:hAnsi="Arial" w:cs="Arial"/>
        </w:rPr>
        <w:t xml:space="preserve"> about</w:t>
      </w:r>
      <w:r w:rsidRPr="00F618D8">
        <w:rPr>
          <w:rFonts w:ascii="Arial" w:hAnsi="Arial" w:cs="Arial"/>
        </w:rPr>
        <w:t xml:space="preserve"> the lack of procedural and substantive due process and</w:t>
      </w:r>
      <w:r w:rsidR="002407BF" w:rsidRPr="00F618D8">
        <w:rPr>
          <w:rFonts w:ascii="Arial" w:hAnsi="Arial" w:cs="Arial"/>
        </w:rPr>
        <w:t xml:space="preserve"> the</w:t>
      </w:r>
      <w:r w:rsidRPr="00F618D8">
        <w:rPr>
          <w:rFonts w:ascii="Arial" w:hAnsi="Arial" w:cs="Arial"/>
        </w:rPr>
        <w:t xml:space="preserve"> </w:t>
      </w:r>
      <w:r w:rsidR="002E0A80" w:rsidRPr="00F618D8">
        <w:rPr>
          <w:rFonts w:ascii="Arial" w:hAnsi="Arial" w:cs="Arial"/>
        </w:rPr>
        <w:t xml:space="preserve">potential for </w:t>
      </w:r>
      <w:r w:rsidRPr="00F618D8">
        <w:rPr>
          <w:rFonts w:ascii="Arial" w:hAnsi="Arial" w:cs="Arial"/>
        </w:rPr>
        <w:t>discrimination based solely on disability diagnosis</w:t>
      </w:r>
      <w:r w:rsidR="00AA1F92" w:rsidRPr="00F618D8">
        <w:rPr>
          <w:rFonts w:ascii="Arial" w:hAnsi="Arial" w:cs="Arial"/>
        </w:rPr>
        <w:t xml:space="preserve">. </w:t>
      </w:r>
    </w:p>
    <w:p w14:paraId="722DD10C" w14:textId="0B2E7D31" w:rsidR="00C46B9D" w:rsidRPr="00F618D8" w:rsidRDefault="00927CD8" w:rsidP="00203CBC">
      <w:pPr>
        <w:pStyle w:val="ListParagraph"/>
        <w:rPr>
          <w:rFonts w:ascii="Arial" w:hAnsi="Arial" w:cs="Arial"/>
        </w:rPr>
      </w:pPr>
      <w:r w:rsidRPr="00F618D8">
        <w:rPr>
          <w:rFonts w:ascii="Arial" w:hAnsi="Arial" w:cs="Arial"/>
        </w:rPr>
        <w:t>Chapter 4</w:t>
      </w:r>
      <w:r w:rsidR="00A57E54" w:rsidRPr="00F618D8">
        <w:rPr>
          <w:rFonts w:ascii="Arial" w:hAnsi="Arial" w:cs="Arial"/>
        </w:rPr>
        <w:t xml:space="preserve"> </w:t>
      </w:r>
      <w:r w:rsidRPr="00F618D8">
        <w:rPr>
          <w:rFonts w:ascii="Arial" w:hAnsi="Arial" w:cs="Arial"/>
        </w:rPr>
        <w:t>acknowledge</w:t>
      </w:r>
      <w:r w:rsidR="002407BF" w:rsidRPr="00F618D8">
        <w:rPr>
          <w:rFonts w:ascii="Arial" w:hAnsi="Arial" w:cs="Arial"/>
        </w:rPr>
        <w:t>s</w:t>
      </w:r>
      <w:r w:rsidRPr="00F618D8">
        <w:rPr>
          <w:rFonts w:ascii="Arial" w:hAnsi="Arial" w:cs="Arial"/>
        </w:rPr>
        <w:t xml:space="preserve"> the 2018 NCD Report findings about the lack of reliable and consistent national and state data on guardianship</w:t>
      </w:r>
      <w:r w:rsidR="00AA1F92" w:rsidRPr="00F618D8">
        <w:rPr>
          <w:rFonts w:ascii="Arial" w:hAnsi="Arial" w:cs="Arial"/>
        </w:rPr>
        <w:t xml:space="preserve">. </w:t>
      </w:r>
      <w:r w:rsidRPr="00F618D8">
        <w:rPr>
          <w:rFonts w:ascii="Arial" w:hAnsi="Arial" w:cs="Arial"/>
        </w:rPr>
        <w:t>It include</w:t>
      </w:r>
      <w:r w:rsidR="002407BF" w:rsidRPr="00F618D8">
        <w:rPr>
          <w:rFonts w:ascii="Arial" w:hAnsi="Arial" w:cs="Arial"/>
        </w:rPr>
        <w:t>s</w:t>
      </w:r>
      <w:r w:rsidRPr="00F618D8">
        <w:rPr>
          <w:rFonts w:ascii="Arial" w:hAnsi="Arial" w:cs="Arial"/>
        </w:rPr>
        <w:t xml:space="preserve"> an analysis based on available National Core Indicator data</w:t>
      </w:r>
      <w:r w:rsidR="00C46B9D" w:rsidRPr="00F618D8">
        <w:rPr>
          <w:rFonts w:ascii="Arial" w:hAnsi="Arial" w:cs="Arial"/>
        </w:rPr>
        <w:t xml:space="preserve">, which </w:t>
      </w:r>
      <w:r w:rsidRPr="00F618D8">
        <w:rPr>
          <w:rFonts w:ascii="Arial" w:hAnsi="Arial" w:cs="Arial"/>
        </w:rPr>
        <w:t>address</w:t>
      </w:r>
      <w:r w:rsidR="00C46B9D" w:rsidRPr="00F618D8">
        <w:rPr>
          <w:rFonts w:ascii="Arial" w:hAnsi="Arial" w:cs="Arial"/>
        </w:rPr>
        <w:t>es</w:t>
      </w:r>
      <w:r w:rsidRPr="00F618D8">
        <w:rPr>
          <w:rFonts w:ascii="Arial" w:hAnsi="Arial" w:cs="Arial"/>
        </w:rPr>
        <w:t xml:space="preserve"> key questions</w:t>
      </w:r>
      <w:r w:rsidR="00C46B9D" w:rsidRPr="00F618D8">
        <w:rPr>
          <w:rFonts w:ascii="Arial" w:hAnsi="Arial" w:cs="Arial"/>
        </w:rPr>
        <w:t xml:space="preserve"> about guardianship and people with ID/DD</w:t>
      </w:r>
      <w:r w:rsidRPr="00F618D8">
        <w:rPr>
          <w:rFonts w:ascii="Arial" w:hAnsi="Arial" w:cs="Arial"/>
        </w:rPr>
        <w:t xml:space="preserve">, including </w:t>
      </w:r>
      <w:bookmarkStart w:id="19" w:name="_Hlk535562046"/>
      <w:r w:rsidRPr="00F618D8">
        <w:rPr>
          <w:rFonts w:ascii="Arial" w:hAnsi="Arial" w:cs="Arial"/>
        </w:rPr>
        <w:t xml:space="preserve">whether or not people with ID/DD who </w:t>
      </w:r>
      <w:r w:rsidR="00B21AC3" w:rsidRPr="00F618D8">
        <w:rPr>
          <w:rFonts w:ascii="Arial" w:hAnsi="Arial" w:cs="Arial"/>
        </w:rPr>
        <w:t>have guardians</w:t>
      </w:r>
      <w:r w:rsidRPr="00F618D8">
        <w:rPr>
          <w:rFonts w:ascii="Arial" w:hAnsi="Arial" w:cs="Arial"/>
        </w:rPr>
        <w:t xml:space="preserve"> are more or less likely to live in restrictive environments than those who </w:t>
      </w:r>
      <w:r w:rsidR="00B21AC3" w:rsidRPr="00F618D8">
        <w:rPr>
          <w:rFonts w:ascii="Arial" w:hAnsi="Arial" w:cs="Arial"/>
        </w:rPr>
        <w:t>do not</w:t>
      </w:r>
      <w:r w:rsidR="00C46B9D" w:rsidRPr="00F618D8">
        <w:rPr>
          <w:rFonts w:ascii="Arial" w:hAnsi="Arial" w:cs="Arial"/>
        </w:rPr>
        <w:t>;</w:t>
      </w:r>
      <w:r w:rsidRPr="00F618D8">
        <w:rPr>
          <w:rFonts w:ascii="Arial" w:hAnsi="Arial" w:cs="Arial"/>
        </w:rPr>
        <w:t xml:space="preserve"> whether guardianships for people with ID/DD are increasing or decreasing</w:t>
      </w:r>
      <w:r w:rsidR="00C46B9D" w:rsidRPr="00F618D8">
        <w:rPr>
          <w:rFonts w:ascii="Arial" w:hAnsi="Arial" w:cs="Arial"/>
        </w:rPr>
        <w:t>;</w:t>
      </w:r>
      <w:r w:rsidRPr="00F618D8">
        <w:rPr>
          <w:rFonts w:ascii="Arial" w:hAnsi="Arial" w:cs="Arial"/>
        </w:rPr>
        <w:t xml:space="preserve"> and </w:t>
      </w:r>
      <w:r w:rsidR="00C46B9D" w:rsidRPr="00F618D8">
        <w:rPr>
          <w:rFonts w:ascii="Arial" w:hAnsi="Arial" w:cs="Arial"/>
        </w:rPr>
        <w:t xml:space="preserve">what the </w:t>
      </w:r>
      <w:r w:rsidRPr="00F618D8">
        <w:rPr>
          <w:rFonts w:ascii="Arial" w:hAnsi="Arial" w:cs="Arial"/>
        </w:rPr>
        <w:t xml:space="preserve">prevalence </w:t>
      </w:r>
      <w:r w:rsidR="00C46B9D" w:rsidRPr="00F618D8">
        <w:rPr>
          <w:rFonts w:ascii="Arial" w:hAnsi="Arial" w:cs="Arial"/>
        </w:rPr>
        <w:t xml:space="preserve">is </w:t>
      </w:r>
      <w:r w:rsidRPr="00F618D8">
        <w:rPr>
          <w:rFonts w:ascii="Arial" w:hAnsi="Arial" w:cs="Arial"/>
        </w:rPr>
        <w:t>of guardianship broken down by race and general age group</w:t>
      </w:r>
      <w:r w:rsidR="00AA1F92" w:rsidRPr="00F618D8">
        <w:rPr>
          <w:rFonts w:ascii="Arial" w:hAnsi="Arial" w:cs="Arial"/>
        </w:rPr>
        <w:t xml:space="preserve">. </w:t>
      </w:r>
    </w:p>
    <w:p w14:paraId="62B9B344" w14:textId="77777777" w:rsidR="00C46B9D" w:rsidRPr="00F618D8" w:rsidRDefault="00521E4B" w:rsidP="00203CBC">
      <w:pPr>
        <w:pStyle w:val="ListParagraph"/>
        <w:rPr>
          <w:rFonts w:ascii="Arial" w:hAnsi="Arial" w:cs="Arial"/>
        </w:rPr>
      </w:pPr>
      <w:bookmarkStart w:id="20" w:name="_Hlk5186122"/>
      <w:bookmarkEnd w:id="19"/>
      <w:r w:rsidRPr="00F618D8">
        <w:rPr>
          <w:rFonts w:ascii="Arial" w:hAnsi="Arial" w:cs="Arial"/>
        </w:rPr>
        <w:t xml:space="preserve">Chapter 5 </w:t>
      </w:r>
      <w:r w:rsidR="00BA5508" w:rsidRPr="00F618D8">
        <w:rPr>
          <w:rFonts w:ascii="Arial" w:hAnsi="Arial" w:cs="Arial"/>
        </w:rPr>
        <w:t xml:space="preserve">gives </w:t>
      </w:r>
      <w:r w:rsidR="00E8376B" w:rsidRPr="00F618D8">
        <w:rPr>
          <w:rFonts w:ascii="Arial" w:hAnsi="Arial" w:cs="Arial"/>
        </w:rPr>
        <w:t xml:space="preserve">an in-depth </w:t>
      </w:r>
      <w:r w:rsidR="00927CD8" w:rsidRPr="00F618D8">
        <w:rPr>
          <w:rFonts w:ascii="Arial" w:hAnsi="Arial" w:cs="Arial"/>
        </w:rPr>
        <w:t>analysis of guardianship’s impact o</w:t>
      </w:r>
      <w:r w:rsidR="001017B7" w:rsidRPr="00F618D8">
        <w:rPr>
          <w:rFonts w:ascii="Arial" w:hAnsi="Arial" w:cs="Arial"/>
        </w:rPr>
        <w:t>n people with ID/DD within Washington, DC</w:t>
      </w:r>
      <w:r w:rsidR="00EE6416" w:rsidRPr="00F618D8">
        <w:rPr>
          <w:rFonts w:ascii="Arial" w:hAnsi="Arial" w:cs="Arial"/>
        </w:rPr>
        <w:t>,</w:t>
      </w:r>
      <w:r w:rsidR="001017B7" w:rsidRPr="00F618D8">
        <w:rPr>
          <w:rFonts w:ascii="Arial" w:hAnsi="Arial" w:cs="Arial"/>
        </w:rPr>
        <w:t xml:space="preserve"> </w:t>
      </w:r>
      <w:r w:rsidR="00927CD8" w:rsidRPr="00F618D8">
        <w:rPr>
          <w:rFonts w:ascii="Arial" w:hAnsi="Arial" w:cs="Arial"/>
        </w:rPr>
        <w:t xml:space="preserve">including never-before-published trends in </w:t>
      </w:r>
      <w:r w:rsidR="001F3818" w:rsidRPr="00F618D8">
        <w:rPr>
          <w:rFonts w:ascii="Arial" w:hAnsi="Arial" w:cs="Arial"/>
        </w:rPr>
        <w:t>DC</w:t>
      </w:r>
      <w:r w:rsidR="00927CD8" w:rsidRPr="00F618D8">
        <w:rPr>
          <w:rFonts w:ascii="Arial" w:hAnsi="Arial" w:cs="Arial"/>
        </w:rPr>
        <w:t xml:space="preserve"> guardianship data</w:t>
      </w:r>
      <w:r w:rsidRPr="00F618D8">
        <w:rPr>
          <w:rFonts w:ascii="Arial" w:hAnsi="Arial" w:cs="Arial"/>
        </w:rPr>
        <w:t xml:space="preserve"> and lessons that other states can learn from</w:t>
      </w:r>
      <w:r w:rsidR="00642106" w:rsidRPr="00F618D8">
        <w:rPr>
          <w:rFonts w:ascii="Arial" w:hAnsi="Arial" w:cs="Arial"/>
        </w:rPr>
        <w:t xml:space="preserve"> </w:t>
      </w:r>
      <w:r w:rsidRPr="00F618D8">
        <w:rPr>
          <w:rFonts w:ascii="Arial" w:hAnsi="Arial" w:cs="Arial"/>
        </w:rPr>
        <w:t>DC’s experience</w:t>
      </w:r>
      <w:r w:rsidR="00AA1F92" w:rsidRPr="00F618D8">
        <w:rPr>
          <w:rFonts w:ascii="Arial" w:hAnsi="Arial" w:cs="Arial"/>
        </w:rPr>
        <w:t xml:space="preserve">. </w:t>
      </w:r>
    </w:p>
    <w:p w14:paraId="091F25ED" w14:textId="77777777" w:rsidR="00C46B9D" w:rsidRPr="00F618D8" w:rsidRDefault="00927CD8" w:rsidP="00203CBC">
      <w:pPr>
        <w:pStyle w:val="ListParagraph"/>
        <w:rPr>
          <w:rFonts w:ascii="Arial" w:hAnsi="Arial" w:cs="Arial"/>
        </w:rPr>
      </w:pPr>
      <w:bookmarkStart w:id="21" w:name="_Hlk5186150"/>
      <w:bookmarkEnd w:id="20"/>
      <w:r w:rsidRPr="00F618D8">
        <w:rPr>
          <w:rFonts w:ascii="Arial" w:hAnsi="Arial" w:cs="Arial"/>
        </w:rPr>
        <w:t xml:space="preserve">Chapter </w:t>
      </w:r>
      <w:r w:rsidR="00521E4B" w:rsidRPr="00F618D8">
        <w:rPr>
          <w:rFonts w:ascii="Arial" w:hAnsi="Arial" w:cs="Arial"/>
        </w:rPr>
        <w:t>6</w:t>
      </w:r>
      <w:r w:rsidR="00A57E54" w:rsidRPr="00F618D8">
        <w:rPr>
          <w:rFonts w:ascii="Arial" w:hAnsi="Arial" w:cs="Arial"/>
        </w:rPr>
        <w:t xml:space="preserve"> </w:t>
      </w:r>
      <w:r w:rsidRPr="00F618D8">
        <w:rPr>
          <w:rFonts w:ascii="Arial" w:hAnsi="Arial" w:cs="Arial"/>
        </w:rPr>
        <w:t>summarize</w:t>
      </w:r>
      <w:r w:rsidR="00C601FC" w:rsidRPr="00F618D8">
        <w:rPr>
          <w:rFonts w:ascii="Arial" w:hAnsi="Arial" w:cs="Arial"/>
        </w:rPr>
        <w:t>s</w:t>
      </w:r>
      <w:r w:rsidRPr="00F618D8">
        <w:rPr>
          <w:rFonts w:ascii="Arial" w:hAnsi="Arial" w:cs="Arial"/>
        </w:rPr>
        <w:t xml:space="preserve"> the input this project received from stakeholders who responded to </w:t>
      </w:r>
      <w:r w:rsidR="00C46B9D" w:rsidRPr="00F618D8">
        <w:rPr>
          <w:rFonts w:ascii="Arial" w:hAnsi="Arial" w:cs="Arial"/>
        </w:rPr>
        <w:t>our call for</w:t>
      </w:r>
      <w:r w:rsidR="00DA736B" w:rsidRPr="00F618D8">
        <w:rPr>
          <w:rFonts w:ascii="Arial" w:hAnsi="Arial" w:cs="Arial"/>
        </w:rPr>
        <w:t xml:space="preserve"> their experiences with </w:t>
      </w:r>
      <w:r w:rsidRPr="00F618D8">
        <w:rPr>
          <w:rFonts w:ascii="Arial" w:hAnsi="Arial" w:cs="Arial"/>
        </w:rPr>
        <w:t>guardianship and alternatives</w:t>
      </w:r>
      <w:r w:rsidR="00AA1F92" w:rsidRPr="00F618D8">
        <w:rPr>
          <w:rFonts w:ascii="Arial" w:hAnsi="Arial" w:cs="Arial"/>
        </w:rPr>
        <w:t xml:space="preserve">. </w:t>
      </w:r>
      <w:r w:rsidRPr="00F618D8">
        <w:rPr>
          <w:rFonts w:ascii="Arial" w:hAnsi="Arial" w:cs="Arial"/>
        </w:rPr>
        <w:t xml:space="preserve">This includes people with ID/DD, </w:t>
      </w:r>
      <w:r w:rsidR="00C601FC" w:rsidRPr="00F618D8">
        <w:rPr>
          <w:rFonts w:ascii="Arial" w:hAnsi="Arial" w:cs="Arial"/>
        </w:rPr>
        <w:t xml:space="preserve">their </w:t>
      </w:r>
      <w:r w:rsidRPr="00F618D8">
        <w:rPr>
          <w:rFonts w:ascii="Arial" w:hAnsi="Arial" w:cs="Arial"/>
        </w:rPr>
        <w:t>family members, and other stakeholders</w:t>
      </w:r>
      <w:r w:rsidR="007E0A58" w:rsidRPr="00F618D8">
        <w:rPr>
          <w:rFonts w:ascii="Arial" w:hAnsi="Arial" w:cs="Arial"/>
        </w:rPr>
        <w:t>,</w:t>
      </w:r>
      <w:r w:rsidR="00C601FC" w:rsidRPr="00F618D8">
        <w:rPr>
          <w:rFonts w:ascii="Arial" w:hAnsi="Arial" w:cs="Arial"/>
        </w:rPr>
        <w:t xml:space="preserve"> such as</w:t>
      </w:r>
      <w:r w:rsidRPr="00F618D8">
        <w:rPr>
          <w:rFonts w:ascii="Arial" w:hAnsi="Arial" w:cs="Arial"/>
        </w:rPr>
        <w:t xml:space="preserve"> special education advocates, guardians and administrators of guardianship programs, and staff who provide transition services to youth with ID/DD. To gather information from stakeholders, NCD developed templates to gather input through emails, an online tool, and personal interviews</w:t>
      </w:r>
      <w:r w:rsidR="00AA1F92" w:rsidRPr="00F618D8">
        <w:rPr>
          <w:rFonts w:ascii="Arial" w:hAnsi="Arial" w:cs="Arial"/>
        </w:rPr>
        <w:t xml:space="preserve">. </w:t>
      </w:r>
      <w:r w:rsidR="00C46B9D" w:rsidRPr="00F618D8">
        <w:rPr>
          <w:rFonts w:ascii="Arial" w:hAnsi="Arial" w:cs="Arial"/>
        </w:rPr>
        <w:t xml:space="preserve">NCD </w:t>
      </w:r>
      <w:r w:rsidRPr="00F618D8">
        <w:rPr>
          <w:rFonts w:ascii="Arial" w:hAnsi="Arial" w:cs="Arial"/>
        </w:rPr>
        <w:t>ultimately receiv</w:t>
      </w:r>
      <w:r w:rsidR="00C601FC" w:rsidRPr="00F618D8">
        <w:rPr>
          <w:rFonts w:ascii="Arial" w:hAnsi="Arial" w:cs="Arial"/>
        </w:rPr>
        <w:t>ed</w:t>
      </w:r>
      <w:r w:rsidRPr="00F618D8">
        <w:rPr>
          <w:rFonts w:ascii="Arial" w:hAnsi="Arial" w:cs="Arial"/>
        </w:rPr>
        <w:t xml:space="preserve"> 70 substantive responses </w:t>
      </w:r>
      <w:r w:rsidR="00C601FC" w:rsidRPr="00F618D8">
        <w:rPr>
          <w:rFonts w:ascii="Arial" w:hAnsi="Arial" w:cs="Arial"/>
        </w:rPr>
        <w:t>from</w:t>
      </w:r>
      <w:r w:rsidRPr="00F618D8">
        <w:rPr>
          <w:rFonts w:ascii="Arial" w:hAnsi="Arial" w:cs="Arial"/>
        </w:rPr>
        <w:t>19 states and the District of Columbia</w:t>
      </w:r>
      <w:r w:rsidR="00AA1F92" w:rsidRPr="00F618D8">
        <w:rPr>
          <w:rFonts w:ascii="Arial" w:hAnsi="Arial" w:cs="Arial"/>
        </w:rPr>
        <w:t xml:space="preserve">. </w:t>
      </w:r>
    </w:p>
    <w:bookmarkEnd w:id="21"/>
    <w:p w14:paraId="0AFEAFFF" w14:textId="2ECC3EDD" w:rsidR="00927CD8" w:rsidRPr="00F618D8" w:rsidRDefault="00C46B9D" w:rsidP="00203CBC">
      <w:pPr>
        <w:pStyle w:val="ListParagraph"/>
        <w:rPr>
          <w:rFonts w:ascii="Arial" w:hAnsi="Arial" w:cs="Arial"/>
        </w:rPr>
      </w:pPr>
      <w:r w:rsidRPr="00F618D8">
        <w:rPr>
          <w:rFonts w:ascii="Arial" w:hAnsi="Arial" w:cs="Arial"/>
        </w:rPr>
        <w:t xml:space="preserve">Finally, </w:t>
      </w:r>
      <w:r w:rsidR="00927CD8" w:rsidRPr="00F618D8">
        <w:rPr>
          <w:rFonts w:ascii="Arial" w:hAnsi="Arial" w:cs="Arial"/>
        </w:rPr>
        <w:t xml:space="preserve">Chapter </w:t>
      </w:r>
      <w:r w:rsidR="00521E4B" w:rsidRPr="00F618D8">
        <w:rPr>
          <w:rFonts w:ascii="Arial" w:hAnsi="Arial" w:cs="Arial"/>
        </w:rPr>
        <w:t>7</w:t>
      </w:r>
      <w:r w:rsidRPr="00F618D8">
        <w:rPr>
          <w:rFonts w:ascii="Arial" w:hAnsi="Arial" w:cs="Arial"/>
        </w:rPr>
        <w:t xml:space="preserve"> offers NCD’s</w:t>
      </w:r>
      <w:r w:rsidR="00927CD8" w:rsidRPr="00F618D8">
        <w:rPr>
          <w:rFonts w:ascii="Arial" w:hAnsi="Arial" w:cs="Arial"/>
        </w:rPr>
        <w:t xml:space="preserve"> findings and recommendations, </w:t>
      </w:r>
      <w:r w:rsidR="00BC18D0" w:rsidRPr="00F618D8">
        <w:rPr>
          <w:rFonts w:ascii="Arial" w:hAnsi="Arial" w:cs="Arial"/>
        </w:rPr>
        <w:t>considering</w:t>
      </w:r>
      <w:r w:rsidR="00927CD8" w:rsidRPr="00F618D8">
        <w:rPr>
          <w:rFonts w:ascii="Arial" w:hAnsi="Arial" w:cs="Arial"/>
        </w:rPr>
        <w:t xml:space="preserve"> the information presented in this report</w:t>
      </w:r>
      <w:r w:rsidR="000B5E68" w:rsidRPr="00F618D8">
        <w:rPr>
          <w:rFonts w:ascii="Arial" w:hAnsi="Arial" w:cs="Arial"/>
        </w:rPr>
        <w:t>.</w:t>
      </w:r>
    </w:p>
    <w:p w14:paraId="44236278" w14:textId="77777777" w:rsidR="00927CD8" w:rsidRPr="00F618D8" w:rsidRDefault="00927CD8" w:rsidP="00927CD8">
      <w:pPr>
        <w:rPr>
          <w:rFonts w:ascii="Arial" w:hAnsi="Arial" w:cs="Arial"/>
        </w:rPr>
      </w:pPr>
      <w:r w:rsidRPr="00F618D8">
        <w:rPr>
          <w:rFonts w:ascii="Arial" w:hAnsi="Arial" w:cs="Arial"/>
        </w:rPr>
        <w:br w:type="page"/>
      </w:r>
    </w:p>
    <w:p w14:paraId="318125F8" w14:textId="77777777" w:rsidR="001B3DDE" w:rsidRPr="00F618D8" w:rsidRDefault="001B3DDE">
      <w:pPr>
        <w:rPr>
          <w:rFonts w:ascii="Arial" w:eastAsia="Cambria" w:hAnsi="Arial" w:cs="Arial"/>
          <w:b/>
          <w:sz w:val="36"/>
          <w:szCs w:val="28"/>
        </w:rPr>
      </w:pPr>
      <w:bookmarkStart w:id="22" w:name="_Hlk531091626"/>
      <w:r w:rsidRPr="00F618D8">
        <w:rPr>
          <w:rFonts w:ascii="Arial" w:hAnsi="Arial" w:cs="Arial"/>
        </w:rPr>
        <w:lastRenderedPageBreak/>
        <w:br w:type="page"/>
      </w:r>
    </w:p>
    <w:p w14:paraId="1C85628C" w14:textId="296C0ED1" w:rsidR="00927CD8" w:rsidRPr="00F618D8" w:rsidRDefault="00927CD8" w:rsidP="00387358">
      <w:pPr>
        <w:pStyle w:val="Heading1"/>
        <w:rPr>
          <w:rFonts w:ascii="Arial" w:hAnsi="Arial" w:cs="Arial"/>
        </w:rPr>
      </w:pPr>
      <w:bookmarkStart w:id="23" w:name="_Toc10290946"/>
      <w:r w:rsidRPr="00F618D8">
        <w:rPr>
          <w:rFonts w:ascii="Arial" w:hAnsi="Arial" w:cs="Arial"/>
        </w:rPr>
        <w:lastRenderedPageBreak/>
        <w:t>Executive Summary in Plain English</w:t>
      </w:r>
      <w:bookmarkEnd w:id="23"/>
    </w:p>
    <w:bookmarkEnd w:id="22"/>
    <w:p w14:paraId="44225D3D" w14:textId="77777777" w:rsidR="005924B9" w:rsidRPr="00F618D8" w:rsidRDefault="005924B9" w:rsidP="00387358">
      <w:pPr>
        <w:pStyle w:val="ParaNoIndent"/>
        <w:rPr>
          <w:rFonts w:ascii="Arial" w:hAnsi="Arial"/>
        </w:rPr>
      </w:pPr>
      <w:r w:rsidRPr="00F618D8">
        <w:rPr>
          <w:rFonts w:ascii="Arial" w:hAnsi="Arial"/>
        </w:rPr>
        <w:t>The National Council on Disability (NCD) is a group that works to help the government learn more about how they can help people with disabilities. One way we do this is by writing reports about different topics that are important to people with disabilities, like this one</w:t>
      </w:r>
      <w:r w:rsidR="00AA1F92" w:rsidRPr="00F618D8">
        <w:rPr>
          <w:rFonts w:ascii="Arial" w:hAnsi="Arial"/>
        </w:rPr>
        <w:t xml:space="preserve">. </w:t>
      </w:r>
      <w:r w:rsidRPr="00F618D8">
        <w:rPr>
          <w:rFonts w:ascii="Arial" w:hAnsi="Arial"/>
        </w:rPr>
        <w:t>We wrote this summary in plain English to make it accessible to everyone.</w:t>
      </w:r>
    </w:p>
    <w:p w14:paraId="755FD8D4" w14:textId="77777777" w:rsidR="005924B9" w:rsidRPr="00F618D8" w:rsidRDefault="005924B9" w:rsidP="00387358">
      <w:pPr>
        <w:pStyle w:val="ParaNoIndent"/>
        <w:rPr>
          <w:rFonts w:ascii="Arial" w:hAnsi="Arial"/>
        </w:rPr>
      </w:pPr>
      <w:r w:rsidRPr="00F618D8">
        <w:rPr>
          <w:rFonts w:ascii="Arial" w:hAnsi="Arial"/>
        </w:rPr>
        <w:t>NCD wrote a report about guardianship in March 2018</w:t>
      </w:r>
      <w:r w:rsidR="00AA1F92" w:rsidRPr="00F618D8">
        <w:rPr>
          <w:rFonts w:ascii="Arial" w:hAnsi="Arial"/>
        </w:rPr>
        <w:t xml:space="preserve">. </w:t>
      </w:r>
      <w:r w:rsidRPr="00F618D8">
        <w:rPr>
          <w:rFonts w:ascii="Arial" w:hAnsi="Arial"/>
        </w:rPr>
        <w:t>Guardianship is when someone</w:t>
      </w:r>
      <w:r w:rsidR="00CC3907" w:rsidRPr="00F618D8">
        <w:rPr>
          <w:rFonts w:ascii="Arial" w:hAnsi="Arial"/>
        </w:rPr>
        <w:t>—</w:t>
      </w:r>
      <w:r w:rsidRPr="00F618D8">
        <w:rPr>
          <w:rFonts w:ascii="Arial" w:hAnsi="Arial"/>
        </w:rPr>
        <w:t>like a family member, friend, or paid person</w:t>
      </w:r>
      <w:r w:rsidR="00CC3907" w:rsidRPr="00F618D8">
        <w:rPr>
          <w:rFonts w:ascii="Arial" w:hAnsi="Arial"/>
        </w:rPr>
        <w:t>—</w:t>
      </w:r>
      <w:r w:rsidRPr="00F618D8">
        <w:rPr>
          <w:rFonts w:ascii="Arial" w:hAnsi="Arial"/>
        </w:rPr>
        <w:t>is chosen by the court to make legal decisions for a person</w:t>
      </w:r>
      <w:r w:rsidR="00AA1F92" w:rsidRPr="00F618D8">
        <w:rPr>
          <w:rFonts w:ascii="Arial" w:hAnsi="Arial"/>
        </w:rPr>
        <w:t xml:space="preserve">. </w:t>
      </w:r>
      <w:r w:rsidRPr="00F618D8">
        <w:rPr>
          <w:rFonts w:ascii="Arial" w:hAnsi="Arial"/>
        </w:rPr>
        <w:t>In that report, we looked at rights of adults with disabilities, guardianship, and other ways people make choices in their lives</w:t>
      </w:r>
      <w:r w:rsidR="00AA1F92" w:rsidRPr="00F618D8">
        <w:rPr>
          <w:rFonts w:ascii="Arial" w:hAnsi="Arial"/>
        </w:rPr>
        <w:t xml:space="preserve">. </w:t>
      </w:r>
      <w:r w:rsidRPr="00F618D8">
        <w:rPr>
          <w:rFonts w:ascii="Arial" w:hAnsi="Arial"/>
        </w:rPr>
        <w:t>We found many problems with guardianship in the United States</w:t>
      </w:r>
      <w:r w:rsidR="00AA1F92" w:rsidRPr="00F618D8">
        <w:rPr>
          <w:rFonts w:ascii="Arial" w:hAnsi="Arial"/>
        </w:rPr>
        <w:t xml:space="preserve">. </w:t>
      </w:r>
      <w:r w:rsidRPr="00F618D8">
        <w:rPr>
          <w:rFonts w:ascii="Arial" w:hAnsi="Arial"/>
        </w:rPr>
        <w:t>Sometimes governments and courts think people with disabilities can’t make decisions themselves</w:t>
      </w:r>
      <w:r w:rsidR="00AA1F92" w:rsidRPr="00F618D8">
        <w:rPr>
          <w:rFonts w:ascii="Arial" w:hAnsi="Arial"/>
        </w:rPr>
        <w:t xml:space="preserve">. </w:t>
      </w:r>
      <w:r w:rsidRPr="00F618D8">
        <w:rPr>
          <w:rFonts w:ascii="Arial" w:hAnsi="Arial"/>
        </w:rPr>
        <w:t>Sometimes people with disabilities can’t ask to change or get rid of their guardian, even if they feel the guardian isn’t helping them. Sometimes, they can’t report problems with their guardian, or figure out other ways to make decisions without a guardian</w:t>
      </w:r>
      <w:r w:rsidR="00AA1F92" w:rsidRPr="00F618D8">
        <w:rPr>
          <w:rFonts w:ascii="Arial" w:hAnsi="Arial"/>
        </w:rPr>
        <w:t xml:space="preserve">. </w:t>
      </w:r>
      <w:r w:rsidRPr="00F618D8">
        <w:rPr>
          <w:rFonts w:ascii="Arial" w:hAnsi="Arial"/>
        </w:rPr>
        <w:t>Judges don’t always pay attention to what the guardians are doing, even if a guardian has caused problems before</w:t>
      </w:r>
      <w:r w:rsidR="00AA1F92" w:rsidRPr="00F618D8">
        <w:rPr>
          <w:rFonts w:ascii="Arial" w:hAnsi="Arial"/>
        </w:rPr>
        <w:t xml:space="preserve">. </w:t>
      </w:r>
      <w:r w:rsidRPr="00F618D8">
        <w:rPr>
          <w:rFonts w:ascii="Arial" w:hAnsi="Arial"/>
        </w:rPr>
        <w:t>But people who have guardians still have some rights</w:t>
      </w:r>
      <w:r w:rsidR="00AA1F92" w:rsidRPr="00F618D8">
        <w:rPr>
          <w:rFonts w:ascii="Arial" w:hAnsi="Arial"/>
        </w:rPr>
        <w:t xml:space="preserve">. </w:t>
      </w:r>
      <w:r w:rsidRPr="00F618D8">
        <w:rPr>
          <w:rFonts w:ascii="Arial" w:hAnsi="Arial"/>
        </w:rPr>
        <w:t>Once a person gets a guardian, they don’t always need one forever</w:t>
      </w:r>
      <w:r w:rsidR="00912AD9" w:rsidRPr="00F618D8">
        <w:rPr>
          <w:rFonts w:ascii="Arial" w:hAnsi="Arial"/>
        </w:rPr>
        <w:t>—</w:t>
      </w:r>
      <w:r w:rsidRPr="00F618D8">
        <w:rPr>
          <w:rFonts w:ascii="Arial" w:hAnsi="Arial"/>
        </w:rPr>
        <w:t>but some people don’t know that</w:t>
      </w:r>
      <w:r w:rsidR="00AA1F92" w:rsidRPr="00F618D8">
        <w:rPr>
          <w:rFonts w:ascii="Arial" w:hAnsi="Arial"/>
        </w:rPr>
        <w:t xml:space="preserve">. </w:t>
      </w:r>
      <w:r w:rsidRPr="00F618D8">
        <w:rPr>
          <w:rFonts w:ascii="Arial" w:hAnsi="Arial"/>
        </w:rPr>
        <w:t>NCD talked about how to help more people with disabilities make their own decisions, with the support they need and want</w:t>
      </w:r>
      <w:r w:rsidR="00AA1F92" w:rsidRPr="00F618D8">
        <w:rPr>
          <w:rFonts w:ascii="Arial" w:hAnsi="Arial"/>
        </w:rPr>
        <w:t xml:space="preserve">. </w:t>
      </w:r>
      <w:r w:rsidRPr="00F618D8">
        <w:rPr>
          <w:rFonts w:ascii="Arial" w:hAnsi="Arial"/>
        </w:rPr>
        <w:t>We also explained how guardians and courts could do a better job without hurting people with disabilities</w:t>
      </w:r>
      <w:r w:rsidR="00D50EEB" w:rsidRPr="00F618D8">
        <w:rPr>
          <w:rFonts w:ascii="Arial" w:hAnsi="Arial"/>
        </w:rPr>
        <w:t>.</w:t>
      </w:r>
    </w:p>
    <w:p w14:paraId="790E3DE4" w14:textId="77777777" w:rsidR="005924B9" w:rsidRPr="00F618D8" w:rsidRDefault="005924B9" w:rsidP="00387358">
      <w:pPr>
        <w:pStyle w:val="ParaNoIndent"/>
        <w:rPr>
          <w:rFonts w:ascii="Arial" w:hAnsi="Arial"/>
        </w:rPr>
      </w:pPr>
      <w:r w:rsidRPr="00F618D8">
        <w:rPr>
          <w:rFonts w:ascii="Arial" w:hAnsi="Arial"/>
        </w:rPr>
        <w:t>We know that there are many people with intellectual and developmental disabilities who have guardians</w:t>
      </w:r>
      <w:r w:rsidR="00AA1F92" w:rsidRPr="00F618D8">
        <w:rPr>
          <w:rFonts w:ascii="Arial" w:hAnsi="Arial"/>
        </w:rPr>
        <w:t xml:space="preserve">. </w:t>
      </w:r>
      <w:r w:rsidRPr="00F618D8">
        <w:rPr>
          <w:rFonts w:ascii="Arial" w:hAnsi="Arial"/>
        </w:rPr>
        <w:t>We wanted to focus on that, so NCD wrote this second report</w:t>
      </w:r>
      <w:r w:rsidR="00AA1F92" w:rsidRPr="00F618D8">
        <w:rPr>
          <w:rFonts w:ascii="Arial" w:hAnsi="Arial"/>
        </w:rPr>
        <w:t xml:space="preserve">. </w:t>
      </w:r>
      <w:r w:rsidRPr="00F618D8">
        <w:rPr>
          <w:rFonts w:ascii="Arial" w:hAnsi="Arial"/>
        </w:rPr>
        <w:t>We also wanted to know if more people with intellectual and developmental disabilities have guardians now than they did before. States have different guardianship laws, and that can be confusing for people with disabilities, family members, and judges. Sometimes people think that if you have an intellectual and developmental disability, you can’t make decisions for yourself. They think you could get hurt, even though everyone makes bad decisions or gets hurt sometimes</w:t>
      </w:r>
      <w:r w:rsidR="00AA1F92" w:rsidRPr="00F618D8">
        <w:rPr>
          <w:rFonts w:ascii="Arial" w:hAnsi="Arial"/>
        </w:rPr>
        <w:t xml:space="preserve">. </w:t>
      </w:r>
    </w:p>
    <w:p w14:paraId="0A76AEF0" w14:textId="77777777" w:rsidR="005924B9" w:rsidRPr="00F618D8" w:rsidRDefault="005924B9" w:rsidP="00387358">
      <w:pPr>
        <w:pStyle w:val="ParaNoIndent"/>
        <w:rPr>
          <w:rFonts w:ascii="Arial" w:hAnsi="Arial"/>
        </w:rPr>
      </w:pPr>
      <w:r w:rsidRPr="00F618D8">
        <w:rPr>
          <w:rFonts w:ascii="Arial" w:hAnsi="Arial"/>
        </w:rPr>
        <w:lastRenderedPageBreak/>
        <w:t>There is a big debate about guardians</w:t>
      </w:r>
      <w:r w:rsidR="00AA1F92" w:rsidRPr="00F618D8">
        <w:rPr>
          <w:rFonts w:ascii="Arial" w:hAnsi="Arial"/>
        </w:rPr>
        <w:t xml:space="preserve">. </w:t>
      </w:r>
      <w:r w:rsidRPr="00F618D8">
        <w:rPr>
          <w:rFonts w:ascii="Arial" w:hAnsi="Arial"/>
        </w:rPr>
        <w:t>Some people think guardians are a really good thing. They can help protect people with intellectual disabilities and help them make decisions</w:t>
      </w:r>
      <w:r w:rsidR="00AA1F92" w:rsidRPr="00F618D8">
        <w:rPr>
          <w:rFonts w:ascii="Arial" w:hAnsi="Arial"/>
        </w:rPr>
        <w:t xml:space="preserve">. </w:t>
      </w:r>
      <w:r w:rsidRPr="00F618D8">
        <w:rPr>
          <w:rFonts w:ascii="Arial" w:hAnsi="Arial"/>
        </w:rPr>
        <w:t xml:space="preserve">Some people are worried about guardians taking away </w:t>
      </w:r>
      <w:r w:rsidR="00924A5E" w:rsidRPr="00F618D8">
        <w:rPr>
          <w:rFonts w:ascii="Arial" w:hAnsi="Arial"/>
        </w:rPr>
        <w:t xml:space="preserve">the </w:t>
      </w:r>
      <w:r w:rsidRPr="00F618D8">
        <w:rPr>
          <w:rFonts w:ascii="Arial" w:hAnsi="Arial"/>
        </w:rPr>
        <w:t>rights of people with disabilities or making bad decisions</w:t>
      </w:r>
      <w:r w:rsidR="00AA1F92" w:rsidRPr="00F618D8">
        <w:rPr>
          <w:rFonts w:ascii="Arial" w:hAnsi="Arial"/>
        </w:rPr>
        <w:t xml:space="preserve">. </w:t>
      </w:r>
      <w:r w:rsidRPr="00F618D8">
        <w:rPr>
          <w:rFonts w:ascii="Arial" w:hAnsi="Arial"/>
        </w:rPr>
        <w:t>Some people are embarrassed about having a guardian</w:t>
      </w:r>
      <w:r w:rsidR="00AA1F92" w:rsidRPr="00F618D8">
        <w:rPr>
          <w:rFonts w:ascii="Arial" w:hAnsi="Arial"/>
        </w:rPr>
        <w:t xml:space="preserve">. </w:t>
      </w:r>
      <w:r w:rsidRPr="00F618D8">
        <w:rPr>
          <w:rFonts w:ascii="Arial" w:hAnsi="Arial"/>
        </w:rPr>
        <w:t>NCD believes guardians are not always bad or always good</w:t>
      </w:r>
      <w:r w:rsidR="00AA1F92" w:rsidRPr="00F618D8">
        <w:rPr>
          <w:rFonts w:ascii="Arial" w:hAnsi="Arial"/>
        </w:rPr>
        <w:t xml:space="preserve">. </w:t>
      </w:r>
      <w:r w:rsidRPr="00F618D8">
        <w:rPr>
          <w:rFonts w:ascii="Arial" w:hAnsi="Arial"/>
        </w:rPr>
        <w:t>You should not be embarrassed if you need or want a guardian</w:t>
      </w:r>
      <w:r w:rsidR="00AA1F92" w:rsidRPr="00F618D8">
        <w:rPr>
          <w:rFonts w:ascii="Arial" w:hAnsi="Arial"/>
        </w:rPr>
        <w:t xml:space="preserve">. </w:t>
      </w:r>
      <w:r w:rsidRPr="00F618D8">
        <w:rPr>
          <w:rFonts w:ascii="Arial" w:hAnsi="Arial"/>
        </w:rPr>
        <w:t>But people with intellectual and developmental disabilities should always get to make decisions about their lives</w:t>
      </w:r>
      <w:r w:rsidR="00AA1F92" w:rsidRPr="00F618D8">
        <w:rPr>
          <w:rFonts w:ascii="Arial" w:hAnsi="Arial"/>
        </w:rPr>
        <w:t xml:space="preserve">. </w:t>
      </w:r>
      <w:r w:rsidRPr="00F618D8">
        <w:rPr>
          <w:rFonts w:ascii="Arial" w:hAnsi="Arial"/>
        </w:rPr>
        <w:t>You should be able to tell other people about any problems you’re having</w:t>
      </w:r>
      <w:r w:rsidR="00AA1F92" w:rsidRPr="00F618D8">
        <w:rPr>
          <w:rFonts w:ascii="Arial" w:hAnsi="Arial"/>
        </w:rPr>
        <w:t xml:space="preserve">. </w:t>
      </w:r>
      <w:r w:rsidRPr="00F618D8">
        <w:rPr>
          <w:rFonts w:ascii="Arial" w:hAnsi="Arial"/>
        </w:rPr>
        <w:t>You should always have rights and choices</w:t>
      </w:r>
      <w:r w:rsidR="00AA1F92" w:rsidRPr="00F618D8">
        <w:rPr>
          <w:rFonts w:ascii="Arial" w:hAnsi="Arial"/>
        </w:rPr>
        <w:t xml:space="preserve">. </w:t>
      </w:r>
      <w:r w:rsidRPr="00F618D8">
        <w:rPr>
          <w:rFonts w:ascii="Arial" w:hAnsi="Arial"/>
        </w:rPr>
        <w:t>Sometimes a guardian can help with these things. Other times, a person with an intellectual and developmental disability might not want or need a guardian.</w:t>
      </w:r>
    </w:p>
    <w:p w14:paraId="0621DF65" w14:textId="77777777" w:rsidR="005924B9" w:rsidRPr="00F618D8" w:rsidRDefault="005924B9" w:rsidP="00387358">
      <w:pPr>
        <w:pStyle w:val="ParaNoIndent"/>
        <w:rPr>
          <w:rFonts w:ascii="Arial" w:hAnsi="Arial"/>
        </w:rPr>
      </w:pPr>
      <w:bookmarkStart w:id="24" w:name="_Toc809843"/>
      <w:r w:rsidRPr="00F618D8">
        <w:rPr>
          <w:rFonts w:ascii="Arial" w:hAnsi="Arial"/>
        </w:rPr>
        <w:t>We did a lot of work before we wrote this report</w:t>
      </w:r>
      <w:r w:rsidR="00AA1F92" w:rsidRPr="00F618D8">
        <w:rPr>
          <w:rFonts w:ascii="Arial" w:hAnsi="Arial"/>
        </w:rPr>
        <w:t xml:space="preserve">. </w:t>
      </w:r>
      <w:r w:rsidRPr="00F618D8">
        <w:rPr>
          <w:rFonts w:ascii="Arial" w:hAnsi="Arial"/>
        </w:rPr>
        <w:t>We talked to people with intellectual and developmental disabilities and their families and listened to their stories</w:t>
      </w:r>
      <w:r w:rsidR="00AA1F92" w:rsidRPr="00F618D8">
        <w:rPr>
          <w:rFonts w:ascii="Arial" w:hAnsi="Arial"/>
        </w:rPr>
        <w:t xml:space="preserve">. </w:t>
      </w:r>
      <w:r w:rsidRPr="00F618D8">
        <w:rPr>
          <w:rFonts w:ascii="Arial" w:hAnsi="Arial"/>
        </w:rPr>
        <w:t>We talked to experts who know a lot about guardianship. We read what people wrote about guardianship</w:t>
      </w:r>
      <w:r w:rsidR="00AA1F92" w:rsidRPr="00F618D8">
        <w:rPr>
          <w:rFonts w:ascii="Arial" w:hAnsi="Arial"/>
        </w:rPr>
        <w:t xml:space="preserve">. </w:t>
      </w:r>
      <w:r w:rsidRPr="00F618D8">
        <w:rPr>
          <w:rFonts w:ascii="Arial" w:hAnsi="Arial"/>
        </w:rPr>
        <w:t>After all that, we wrote this report. We came up with a lot of ideas about how guardianship in the United States should be made better for people with intellectual disabilities. We also talked about how other options besides guardianship should be used when they can</w:t>
      </w:r>
      <w:r w:rsidR="00AA1F92" w:rsidRPr="00F618D8">
        <w:rPr>
          <w:rFonts w:ascii="Arial" w:hAnsi="Arial"/>
        </w:rPr>
        <w:t xml:space="preserve">. </w:t>
      </w:r>
      <w:r w:rsidRPr="00F618D8">
        <w:rPr>
          <w:rFonts w:ascii="Arial" w:hAnsi="Arial"/>
        </w:rPr>
        <w:t xml:space="preserve">We are asking the </w:t>
      </w:r>
      <w:r w:rsidR="00AB27F6" w:rsidRPr="00F618D8">
        <w:rPr>
          <w:rFonts w:ascii="Arial" w:hAnsi="Arial"/>
        </w:rPr>
        <w:t xml:space="preserve">Federal Government </w:t>
      </w:r>
      <w:r w:rsidRPr="00F618D8">
        <w:rPr>
          <w:rFonts w:ascii="Arial" w:hAnsi="Arial"/>
        </w:rPr>
        <w:t>to think and make changes based on our ideas.</w:t>
      </w:r>
      <w:bookmarkEnd w:id="24"/>
      <w:r w:rsidRPr="00F618D8">
        <w:rPr>
          <w:rFonts w:ascii="Arial" w:hAnsi="Arial"/>
        </w:rPr>
        <w:t xml:space="preserve"> </w:t>
      </w:r>
    </w:p>
    <w:p w14:paraId="30179035" w14:textId="77777777" w:rsidR="00387358" w:rsidRPr="00F618D8" w:rsidRDefault="00387358">
      <w:pPr>
        <w:rPr>
          <w:rFonts w:ascii="Arial" w:hAnsi="Arial" w:cs="Arial"/>
          <w:b/>
          <w:sz w:val="36"/>
          <w:szCs w:val="36"/>
        </w:rPr>
      </w:pPr>
      <w:r w:rsidRPr="00F618D8">
        <w:rPr>
          <w:rFonts w:ascii="Arial" w:hAnsi="Arial" w:cs="Arial"/>
          <w:szCs w:val="36"/>
        </w:rPr>
        <w:br w:type="page"/>
      </w:r>
    </w:p>
    <w:p w14:paraId="2CF2D237" w14:textId="25650903" w:rsidR="003616B3" w:rsidRPr="00F618D8" w:rsidRDefault="003616B3" w:rsidP="00387358">
      <w:pPr>
        <w:pStyle w:val="Heading1"/>
        <w:rPr>
          <w:rFonts w:ascii="Arial" w:hAnsi="Arial" w:cs="Arial"/>
        </w:rPr>
      </w:pPr>
      <w:bookmarkStart w:id="25" w:name="_Toc10290947"/>
      <w:r w:rsidRPr="00F618D8">
        <w:rPr>
          <w:rFonts w:ascii="Arial" w:hAnsi="Arial" w:cs="Arial"/>
        </w:rPr>
        <w:lastRenderedPageBreak/>
        <w:t>Glossary</w:t>
      </w:r>
      <w:bookmarkEnd w:id="16"/>
      <w:bookmarkEnd w:id="25"/>
    </w:p>
    <w:p w14:paraId="7A7758FA" w14:textId="7D835D77" w:rsidR="00BD1D61" w:rsidRPr="00F618D8" w:rsidRDefault="00BD1D61" w:rsidP="00387358">
      <w:pPr>
        <w:pStyle w:val="ParaNoIndent"/>
        <w:rPr>
          <w:rFonts w:ascii="Arial" w:hAnsi="Arial"/>
          <w:b/>
        </w:rPr>
      </w:pPr>
      <w:r w:rsidRPr="00F618D8">
        <w:rPr>
          <w:rFonts w:ascii="Arial" w:eastAsia="Times New Roman" w:hAnsi="Arial"/>
          <w:b/>
        </w:rPr>
        <w:t>ABLE Accounts:</w:t>
      </w:r>
      <w:r w:rsidRPr="00F618D8">
        <w:rPr>
          <w:rFonts w:ascii="Arial" w:eastAsia="Times New Roman" w:hAnsi="Arial"/>
        </w:rPr>
        <w:t xml:space="preserve"> A type of tax-advantaged savings account, established under the </w:t>
      </w:r>
      <w:r w:rsidRPr="00F618D8">
        <w:rPr>
          <w:rFonts w:ascii="Arial" w:hAnsi="Arial"/>
        </w:rPr>
        <w:t xml:space="preserve">Achieving a Better Life Experience </w:t>
      </w:r>
      <w:r w:rsidR="00C46B9D" w:rsidRPr="00F618D8">
        <w:rPr>
          <w:rFonts w:ascii="Arial" w:hAnsi="Arial"/>
        </w:rPr>
        <w:t xml:space="preserve">(ABLE) </w:t>
      </w:r>
      <w:r w:rsidRPr="00F618D8">
        <w:rPr>
          <w:rFonts w:ascii="Arial" w:hAnsi="Arial"/>
        </w:rPr>
        <w:t xml:space="preserve">Act of 2014, for people with significant disabilities that </w:t>
      </w:r>
      <w:r w:rsidR="00924A5E" w:rsidRPr="00F618D8">
        <w:rPr>
          <w:rFonts w:ascii="Arial" w:hAnsi="Arial"/>
        </w:rPr>
        <w:t xml:space="preserve">began </w:t>
      </w:r>
      <w:r w:rsidRPr="00F618D8">
        <w:rPr>
          <w:rFonts w:ascii="Arial" w:hAnsi="Arial"/>
        </w:rPr>
        <w:t xml:space="preserve">before they turned 26 and who meet </w:t>
      </w:r>
      <w:r w:rsidR="00C46B9D" w:rsidRPr="00F618D8">
        <w:rPr>
          <w:rFonts w:ascii="Arial" w:hAnsi="Arial"/>
        </w:rPr>
        <w:t xml:space="preserve">the Social Security Administration’s (SSA) </w:t>
      </w:r>
      <w:r w:rsidRPr="00F618D8">
        <w:rPr>
          <w:rFonts w:ascii="Arial" w:hAnsi="Arial"/>
        </w:rPr>
        <w:t xml:space="preserve">definition of disability. Eligible individuals who are the owner and designated beneficiary of the ABLE account can use funds </w:t>
      </w:r>
      <w:r w:rsidR="00924A5E" w:rsidRPr="00F618D8">
        <w:rPr>
          <w:rFonts w:ascii="Arial" w:hAnsi="Arial"/>
        </w:rPr>
        <w:t>from</w:t>
      </w:r>
      <w:r w:rsidRPr="00F618D8">
        <w:rPr>
          <w:rFonts w:ascii="Arial" w:hAnsi="Arial"/>
        </w:rPr>
        <w:t xml:space="preserve"> the account to pay for qualified disability expenses</w:t>
      </w:r>
      <w:r w:rsidR="00C46B9D" w:rsidRPr="00F618D8">
        <w:rPr>
          <w:rFonts w:ascii="Arial" w:hAnsi="Arial"/>
        </w:rPr>
        <w:t>, which are defined in the ABLE Act and its regulations</w:t>
      </w:r>
      <w:r w:rsidRPr="00F618D8">
        <w:rPr>
          <w:rFonts w:ascii="Arial" w:hAnsi="Arial"/>
        </w:rPr>
        <w:t xml:space="preserve">. The first $100,000 in ABLE accounts are exempted from the individual’s resource limit </w:t>
      </w:r>
      <w:r w:rsidR="00C46B9D" w:rsidRPr="00F618D8">
        <w:rPr>
          <w:rFonts w:ascii="Arial" w:hAnsi="Arial"/>
        </w:rPr>
        <w:t>for Supplemental Security Income (SSI)</w:t>
      </w:r>
      <w:r w:rsidR="00AA1F92" w:rsidRPr="00F618D8">
        <w:rPr>
          <w:rFonts w:ascii="Arial" w:hAnsi="Arial"/>
        </w:rPr>
        <w:t xml:space="preserve">. </w:t>
      </w:r>
      <w:r w:rsidR="00C46B9D" w:rsidRPr="00F618D8">
        <w:rPr>
          <w:rFonts w:ascii="Arial" w:hAnsi="Arial"/>
        </w:rPr>
        <w:t>A</w:t>
      </w:r>
      <w:r w:rsidRPr="00F618D8">
        <w:rPr>
          <w:rFonts w:ascii="Arial" w:hAnsi="Arial"/>
        </w:rPr>
        <w:t>BLE accounts are disregarded for the purpose of determining if a person meets the asset limit for Medicaid</w:t>
      </w:r>
      <w:r w:rsidR="00AA1F92" w:rsidRPr="00F618D8">
        <w:rPr>
          <w:rFonts w:ascii="Arial" w:hAnsi="Arial"/>
        </w:rPr>
        <w:t xml:space="preserve">. </w:t>
      </w:r>
      <w:r w:rsidR="00C46B9D" w:rsidRPr="00F618D8">
        <w:rPr>
          <w:rFonts w:ascii="Arial" w:hAnsi="Arial"/>
        </w:rPr>
        <w:t xml:space="preserve">For more information, visit </w:t>
      </w:r>
      <w:hyperlink r:id="rId12" w:tooltip="http://ablenrc.org/" w:history="1">
        <w:r w:rsidR="00932FB2" w:rsidRPr="00F618D8">
          <w:rPr>
            <w:rStyle w:val="Hyperlink"/>
            <w:rFonts w:ascii="Arial" w:eastAsia="Arial" w:hAnsi="Arial"/>
            <w:sz w:val="24"/>
            <w:szCs w:val="24"/>
          </w:rPr>
          <w:t>http://ablenrc.org/</w:t>
        </w:r>
      </w:hyperlink>
      <w:r w:rsidR="00AA1F92" w:rsidRPr="00F618D8">
        <w:rPr>
          <w:rFonts w:ascii="Arial" w:hAnsi="Arial"/>
        </w:rPr>
        <w:t xml:space="preserve">. </w:t>
      </w:r>
    </w:p>
    <w:p w14:paraId="4F9D5639" w14:textId="77777777" w:rsidR="003616B3" w:rsidRPr="00F618D8" w:rsidRDefault="003616B3" w:rsidP="00682CF8">
      <w:pPr>
        <w:spacing w:line="360" w:lineRule="auto"/>
        <w:rPr>
          <w:rFonts w:ascii="Arial" w:hAnsi="Arial" w:cs="Arial"/>
          <w:sz w:val="24"/>
          <w:szCs w:val="24"/>
        </w:rPr>
      </w:pPr>
      <w:r w:rsidRPr="00F618D8">
        <w:rPr>
          <w:rFonts w:ascii="Arial" w:hAnsi="Arial" w:cs="Arial"/>
          <w:b/>
          <w:sz w:val="24"/>
          <w:szCs w:val="24"/>
        </w:rPr>
        <w:t xml:space="preserve">Adjudication: </w:t>
      </w:r>
      <w:r w:rsidRPr="00F618D8">
        <w:rPr>
          <w:rFonts w:ascii="Arial" w:hAnsi="Arial" w:cs="Arial"/>
          <w:sz w:val="24"/>
          <w:szCs w:val="24"/>
        </w:rPr>
        <w:t xml:space="preserve">The process of a judicial determination; an adult under guardianship has generally been “adjudicated” to lack </w:t>
      </w:r>
      <w:r w:rsidRPr="00F618D8">
        <w:rPr>
          <w:rFonts w:ascii="Arial" w:hAnsi="Arial" w:cs="Arial"/>
          <w:i/>
          <w:sz w:val="24"/>
          <w:szCs w:val="24"/>
        </w:rPr>
        <w:t>capacity</w:t>
      </w:r>
      <w:r w:rsidRPr="00F618D8">
        <w:rPr>
          <w:rFonts w:ascii="Arial" w:hAnsi="Arial" w:cs="Arial"/>
          <w:sz w:val="24"/>
          <w:szCs w:val="24"/>
        </w:rPr>
        <w:t>.</w:t>
      </w:r>
    </w:p>
    <w:p w14:paraId="620195A8" w14:textId="77777777" w:rsidR="003616B3" w:rsidRPr="00F618D8" w:rsidRDefault="003616B3" w:rsidP="00682CF8">
      <w:pPr>
        <w:spacing w:line="360" w:lineRule="auto"/>
        <w:rPr>
          <w:rFonts w:ascii="Arial" w:hAnsi="Arial" w:cs="Arial"/>
          <w:sz w:val="24"/>
          <w:szCs w:val="24"/>
        </w:rPr>
      </w:pPr>
      <w:r w:rsidRPr="00F618D8">
        <w:rPr>
          <w:rFonts w:ascii="Arial" w:hAnsi="Arial" w:cs="Arial"/>
          <w:b/>
          <w:sz w:val="24"/>
          <w:szCs w:val="24"/>
        </w:rPr>
        <w:t xml:space="preserve">Adult: </w:t>
      </w:r>
      <w:r w:rsidRPr="00F618D8">
        <w:rPr>
          <w:rFonts w:ascii="Arial" w:hAnsi="Arial" w:cs="Arial"/>
          <w:sz w:val="24"/>
          <w:szCs w:val="24"/>
        </w:rPr>
        <w:t>An individual who is at least 18 years of age</w:t>
      </w:r>
      <w:r w:rsidR="00C46B9D" w:rsidRPr="00F618D8">
        <w:rPr>
          <w:rFonts w:ascii="Arial" w:hAnsi="Arial" w:cs="Arial"/>
          <w:sz w:val="24"/>
          <w:szCs w:val="24"/>
        </w:rPr>
        <w:t>.</w:t>
      </w:r>
    </w:p>
    <w:p w14:paraId="71D73CC6" w14:textId="77777777" w:rsidR="003616B3" w:rsidRPr="00F618D8" w:rsidRDefault="003616B3" w:rsidP="00682CF8">
      <w:pPr>
        <w:spacing w:line="360" w:lineRule="auto"/>
        <w:rPr>
          <w:rFonts w:ascii="Arial" w:hAnsi="Arial" w:cs="Arial"/>
          <w:sz w:val="24"/>
          <w:szCs w:val="24"/>
        </w:rPr>
      </w:pPr>
      <w:r w:rsidRPr="00F618D8">
        <w:rPr>
          <w:rFonts w:ascii="Arial" w:hAnsi="Arial" w:cs="Arial"/>
          <w:b/>
          <w:sz w:val="24"/>
          <w:szCs w:val="24"/>
        </w:rPr>
        <w:t xml:space="preserve">Advance Directive: </w:t>
      </w:r>
      <w:r w:rsidRPr="00F618D8">
        <w:rPr>
          <w:rFonts w:ascii="Arial" w:hAnsi="Arial" w:cs="Arial"/>
          <w:sz w:val="24"/>
          <w:szCs w:val="24"/>
        </w:rPr>
        <w:t xml:space="preserve">A witnessed document or documents that a person can use to provide instructions regarding their desires and preferences about medical treatment in the event </w:t>
      </w:r>
      <w:r w:rsidR="001017B7" w:rsidRPr="00F618D8">
        <w:rPr>
          <w:rFonts w:ascii="Arial" w:hAnsi="Arial" w:cs="Arial"/>
          <w:sz w:val="24"/>
          <w:szCs w:val="24"/>
        </w:rPr>
        <w:t xml:space="preserve">the person </w:t>
      </w:r>
      <w:r w:rsidRPr="00F618D8">
        <w:rPr>
          <w:rFonts w:ascii="Arial" w:hAnsi="Arial" w:cs="Arial"/>
          <w:sz w:val="24"/>
          <w:szCs w:val="24"/>
        </w:rPr>
        <w:t>become</w:t>
      </w:r>
      <w:r w:rsidR="001017B7" w:rsidRPr="00F618D8">
        <w:rPr>
          <w:rFonts w:ascii="Arial" w:hAnsi="Arial" w:cs="Arial"/>
          <w:sz w:val="24"/>
          <w:szCs w:val="24"/>
        </w:rPr>
        <w:t>s</w:t>
      </w:r>
      <w:r w:rsidRPr="00F618D8">
        <w:rPr>
          <w:rFonts w:ascii="Arial" w:hAnsi="Arial" w:cs="Arial"/>
          <w:b/>
          <w:sz w:val="24"/>
          <w:szCs w:val="24"/>
        </w:rPr>
        <w:t xml:space="preserve"> </w:t>
      </w:r>
      <w:r w:rsidRPr="00F618D8">
        <w:rPr>
          <w:rFonts w:ascii="Arial" w:hAnsi="Arial" w:cs="Arial"/>
          <w:i/>
          <w:sz w:val="24"/>
          <w:szCs w:val="24"/>
        </w:rPr>
        <w:t>incapacitated</w:t>
      </w:r>
      <w:r w:rsidRPr="00F618D8">
        <w:rPr>
          <w:rFonts w:ascii="Arial" w:hAnsi="Arial" w:cs="Arial"/>
          <w:sz w:val="24"/>
          <w:szCs w:val="24"/>
        </w:rPr>
        <w:t>. Such medical treatment may include, for example, life</w:t>
      </w:r>
      <w:r w:rsidR="0066084C" w:rsidRPr="00F618D8">
        <w:rPr>
          <w:rFonts w:ascii="Arial" w:hAnsi="Arial" w:cs="Arial"/>
          <w:sz w:val="24"/>
          <w:szCs w:val="24"/>
        </w:rPr>
        <w:t>-</w:t>
      </w:r>
      <w:r w:rsidRPr="00F618D8">
        <w:rPr>
          <w:rFonts w:ascii="Arial" w:hAnsi="Arial" w:cs="Arial"/>
          <w:sz w:val="24"/>
          <w:szCs w:val="24"/>
        </w:rPr>
        <w:t>prolonging treatment or psychiatric treatment during a crisis. Often, an Advance Directive will include a power of attorney and a health care surrogate designation.</w:t>
      </w:r>
    </w:p>
    <w:p w14:paraId="69436399" w14:textId="77777777" w:rsidR="003616B3" w:rsidRPr="00F618D8" w:rsidRDefault="003616B3" w:rsidP="00682CF8">
      <w:pPr>
        <w:spacing w:line="360" w:lineRule="auto"/>
        <w:rPr>
          <w:rFonts w:ascii="Arial" w:hAnsi="Arial" w:cs="Arial"/>
          <w:sz w:val="24"/>
          <w:szCs w:val="24"/>
        </w:rPr>
      </w:pPr>
      <w:r w:rsidRPr="00F618D8">
        <w:rPr>
          <w:rFonts w:ascii="Arial" w:hAnsi="Arial" w:cs="Arial"/>
          <w:b/>
          <w:sz w:val="24"/>
          <w:szCs w:val="24"/>
        </w:rPr>
        <w:t xml:space="preserve">Agent: </w:t>
      </w:r>
      <w:r w:rsidRPr="00F618D8">
        <w:rPr>
          <w:rFonts w:ascii="Arial" w:hAnsi="Arial" w:cs="Arial"/>
          <w:sz w:val="24"/>
          <w:szCs w:val="24"/>
        </w:rPr>
        <w:t>A person with the legal authority to act on behalf of another.</w:t>
      </w:r>
    </w:p>
    <w:p w14:paraId="5950E588" w14:textId="77777777" w:rsidR="003616B3" w:rsidRPr="00F618D8" w:rsidRDefault="003616B3" w:rsidP="00682CF8">
      <w:pPr>
        <w:spacing w:line="360" w:lineRule="auto"/>
        <w:rPr>
          <w:rFonts w:ascii="Arial" w:hAnsi="Arial" w:cs="Arial"/>
          <w:sz w:val="24"/>
          <w:szCs w:val="24"/>
        </w:rPr>
      </w:pPr>
      <w:r w:rsidRPr="00F618D8">
        <w:rPr>
          <w:rFonts w:ascii="Arial" w:hAnsi="Arial" w:cs="Arial"/>
          <w:b/>
          <w:sz w:val="24"/>
          <w:szCs w:val="24"/>
        </w:rPr>
        <w:t>Alleged Incapacitated Person (AIP):</w:t>
      </w:r>
      <w:r w:rsidRPr="00F618D8">
        <w:rPr>
          <w:rFonts w:ascii="Arial" w:hAnsi="Arial" w:cs="Arial"/>
          <w:sz w:val="24"/>
          <w:szCs w:val="24"/>
        </w:rPr>
        <w:t xml:space="preserve"> A person who is the subject of a petition to determine capacity or guardianship, but who has not yet been adjudicated </w:t>
      </w:r>
      <w:r w:rsidRPr="00F618D8">
        <w:rPr>
          <w:rFonts w:ascii="Arial" w:hAnsi="Arial" w:cs="Arial"/>
          <w:i/>
          <w:sz w:val="24"/>
          <w:szCs w:val="24"/>
        </w:rPr>
        <w:t>incapacitated</w:t>
      </w:r>
      <w:r w:rsidRPr="00F618D8">
        <w:rPr>
          <w:rFonts w:ascii="Arial" w:hAnsi="Arial" w:cs="Arial"/>
          <w:b/>
          <w:sz w:val="24"/>
          <w:szCs w:val="24"/>
        </w:rPr>
        <w:t>.</w:t>
      </w:r>
    </w:p>
    <w:p w14:paraId="0F828367" w14:textId="77777777" w:rsidR="003616B3" w:rsidRPr="00F618D8" w:rsidRDefault="003616B3" w:rsidP="00682CF8">
      <w:pPr>
        <w:spacing w:line="360" w:lineRule="auto"/>
        <w:rPr>
          <w:rFonts w:ascii="Arial" w:hAnsi="Arial" w:cs="Arial"/>
          <w:sz w:val="24"/>
          <w:szCs w:val="24"/>
        </w:rPr>
      </w:pPr>
      <w:r w:rsidRPr="00F618D8">
        <w:rPr>
          <w:rFonts w:ascii="Arial" w:hAnsi="Arial" w:cs="Arial"/>
          <w:b/>
          <w:sz w:val="24"/>
          <w:szCs w:val="24"/>
        </w:rPr>
        <w:t xml:space="preserve">Annual Accounting: </w:t>
      </w:r>
      <w:r w:rsidRPr="00F618D8">
        <w:rPr>
          <w:rFonts w:ascii="Arial" w:hAnsi="Arial" w:cs="Arial"/>
          <w:sz w:val="24"/>
          <w:szCs w:val="24"/>
        </w:rPr>
        <w:t>A report</w:t>
      </w:r>
      <w:r w:rsidR="001017B7" w:rsidRPr="00F618D8">
        <w:rPr>
          <w:rFonts w:ascii="Arial" w:hAnsi="Arial" w:cs="Arial"/>
          <w:sz w:val="24"/>
          <w:szCs w:val="24"/>
        </w:rPr>
        <w:t xml:space="preserve"> filed by a guardian of the property that some states require to be submitted to the court each year i</w:t>
      </w:r>
      <w:r w:rsidRPr="00F618D8">
        <w:rPr>
          <w:rFonts w:ascii="Arial" w:hAnsi="Arial" w:cs="Arial"/>
          <w:sz w:val="24"/>
          <w:szCs w:val="24"/>
        </w:rPr>
        <w:t xml:space="preserve">temizing expenditures and receipts made on behalf of the person. Some states allow the court to waive this requirement, </w:t>
      </w:r>
      <w:r w:rsidRPr="00F618D8">
        <w:rPr>
          <w:rFonts w:ascii="Arial" w:hAnsi="Arial" w:cs="Arial"/>
          <w:sz w:val="24"/>
          <w:szCs w:val="24"/>
        </w:rPr>
        <w:lastRenderedPageBreak/>
        <w:t>particularly if the only income the person has is Social Security and the guardian is also the representative payee of such funds.</w:t>
      </w:r>
    </w:p>
    <w:p w14:paraId="1CF7B699" w14:textId="77777777" w:rsidR="003616B3" w:rsidRPr="00F618D8" w:rsidRDefault="003616B3" w:rsidP="00682CF8">
      <w:pPr>
        <w:spacing w:line="360" w:lineRule="auto"/>
        <w:rPr>
          <w:rFonts w:ascii="Arial" w:hAnsi="Arial" w:cs="Arial"/>
          <w:b/>
          <w:sz w:val="24"/>
          <w:szCs w:val="24"/>
        </w:rPr>
      </w:pPr>
      <w:r w:rsidRPr="00F618D8">
        <w:rPr>
          <w:rFonts w:ascii="Arial" w:hAnsi="Arial" w:cs="Arial"/>
          <w:b/>
          <w:sz w:val="24"/>
          <w:szCs w:val="24"/>
        </w:rPr>
        <w:t xml:space="preserve">Annual Guardianship Plan: </w:t>
      </w:r>
      <w:r w:rsidRPr="00F618D8">
        <w:rPr>
          <w:rFonts w:ascii="Arial" w:hAnsi="Arial" w:cs="Arial"/>
          <w:sz w:val="24"/>
          <w:szCs w:val="24"/>
        </w:rPr>
        <w:t xml:space="preserve">A report filed by the guardian of the person that some states require to be submitted to the court each year specifying the medical, mental, and physical care of the person </w:t>
      </w:r>
      <w:r w:rsidR="00B21AC3" w:rsidRPr="00F618D8">
        <w:rPr>
          <w:rFonts w:ascii="Arial" w:hAnsi="Arial" w:cs="Arial"/>
          <w:sz w:val="24"/>
          <w:szCs w:val="24"/>
        </w:rPr>
        <w:t>in</w:t>
      </w:r>
      <w:r w:rsidRPr="00F618D8">
        <w:rPr>
          <w:rFonts w:ascii="Arial" w:hAnsi="Arial" w:cs="Arial"/>
          <w:sz w:val="24"/>
          <w:szCs w:val="24"/>
        </w:rPr>
        <w:t xml:space="preserve"> guardianship for the upcoming year.</w:t>
      </w:r>
    </w:p>
    <w:p w14:paraId="6624DD8D" w14:textId="77777777" w:rsidR="003616B3" w:rsidRPr="00F618D8" w:rsidRDefault="003616B3" w:rsidP="00682CF8">
      <w:pPr>
        <w:spacing w:line="360" w:lineRule="auto"/>
        <w:rPr>
          <w:rFonts w:ascii="Arial" w:hAnsi="Arial" w:cs="Arial"/>
          <w:sz w:val="24"/>
          <w:szCs w:val="24"/>
        </w:rPr>
      </w:pPr>
      <w:r w:rsidRPr="00F618D8">
        <w:rPr>
          <w:rFonts w:ascii="Arial" w:hAnsi="Arial" w:cs="Arial"/>
          <w:b/>
          <w:sz w:val="24"/>
          <w:szCs w:val="24"/>
        </w:rPr>
        <w:t>Attorney ad Litem:</w:t>
      </w:r>
      <w:r w:rsidRPr="00F618D8">
        <w:rPr>
          <w:rFonts w:ascii="Arial" w:hAnsi="Arial" w:cs="Arial"/>
          <w:sz w:val="24"/>
          <w:szCs w:val="24"/>
        </w:rPr>
        <w:t xml:space="preserve"> An attorney who is appointed by the court to act as a legal advocate in the best interest of a child or</w:t>
      </w:r>
      <w:r w:rsidRPr="00F618D8">
        <w:rPr>
          <w:rFonts w:ascii="Arial" w:hAnsi="Arial" w:cs="Arial"/>
          <w:i/>
          <w:sz w:val="24"/>
          <w:szCs w:val="24"/>
        </w:rPr>
        <w:t xml:space="preserve"> incapacitated</w:t>
      </w:r>
      <w:r w:rsidRPr="00F618D8">
        <w:rPr>
          <w:rFonts w:ascii="Arial" w:hAnsi="Arial" w:cs="Arial"/>
          <w:sz w:val="24"/>
          <w:szCs w:val="24"/>
        </w:rPr>
        <w:t xml:space="preserve"> adult. Unlike attorneys in a normal attorney-client relationship, </w:t>
      </w:r>
      <w:r w:rsidR="001017B7" w:rsidRPr="00F618D8">
        <w:rPr>
          <w:rFonts w:ascii="Arial" w:hAnsi="Arial" w:cs="Arial"/>
          <w:sz w:val="24"/>
          <w:szCs w:val="24"/>
        </w:rPr>
        <w:t xml:space="preserve">Attorneys ad Litem </w:t>
      </w:r>
      <w:r w:rsidRPr="00F618D8">
        <w:rPr>
          <w:rFonts w:ascii="Arial" w:hAnsi="Arial" w:cs="Arial"/>
          <w:sz w:val="24"/>
          <w:szCs w:val="24"/>
        </w:rPr>
        <w:t xml:space="preserve">do not necessarily advocate for the desired outcome of the individual they represent, but </w:t>
      </w:r>
      <w:r w:rsidR="00D87C55" w:rsidRPr="00F618D8">
        <w:rPr>
          <w:rFonts w:ascii="Arial" w:hAnsi="Arial" w:cs="Arial"/>
          <w:sz w:val="24"/>
          <w:szCs w:val="24"/>
        </w:rPr>
        <w:t xml:space="preserve">they </w:t>
      </w:r>
      <w:r w:rsidRPr="00F618D8">
        <w:rPr>
          <w:rFonts w:ascii="Arial" w:hAnsi="Arial" w:cs="Arial"/>
          <w:sz w:val="24"/>
          <w:szCs w:val="24"/>
        </w:rPr>
        <w:t>may advocate for an outcome the</w:t>
      </w:r>
      <w:r w:rsidR="001017B7" w:rsidRPr="00F618D8">
        <w:rPr>
          <w:rFonts w:ascii="Arial" w:hAnsi="Arial" w:cs="Arial"/>
          <w:sz w:val="24"/>
          <w:szCs w:val="24"/>
        </w:rPr>
        <w:t xml:space="preserve"> Attorney ad Litem </w:t>
      </w:r>
      <w:r w:rsidRPr="00F618D8">
        <w:rPr>
          <w:rFonts w:ascii="Arial" w:hAnsi="Arial" w:cs="Arial"/>
          <w:sz w:val="24"/>
          <w:szCs w:val="24"/>
        </w:rPr>
        <w:t>deems</w:t>
      </w:r>
      <w:r w:rsidR="001017B7" w:rsidRPr="00F618D8">
        <w:rPr>
          <w:rFonts w:ascii="Arial" w:hAnsi="Arial" w:cs="Arial"/>
          <w:sz w:val="24"/>
          <w:szCs w:val="24"/>
        </w:rPr>
        <w:t xml:space="preserve"> is</w:t>
      </w:r>
      <w:r w:rsidRPr="00F618D8">
        <w:rPr>
          <w:rFonts w:ascii="Arial" w:hAnsi="Arial" w:cs="Arial"/>
          <w:sz w:val="24"/>
          <w:szCs w:val="24"/>
        </w:rPr>
        <w:t xml:space="preserve"> in the person’s best interest.</w:t>
      </w:r>
    </w:p>
    <w:p w14:paraId="2F545F7D" w14:textId="77777777" w:rsidR="003616B3" w:rsidRPr="00F618D8" w:rsidRDefault="003616B3" w:rsidP="00682CF8">
      <w:pPr>
        <w:spacing w:line="360" w:lineRule="auto"/>
        <w:rPr>
          <w:rFonts w:ascii="Arial" w:hAnsi="Arial" w:cs="Arial"/>
          <w:sz w:val="24"/>
          <w:szCs w:val="24"/>
        </w:rPr>
      </w:pPr>
      <w:r w:rsidRPr="00F618D8">
        <w:rPr>
          <w:rFonts w:ascii="Arial" w:hAnsi="Arial" w:cs="Arial"/>
          <w:b/>
          <w:sz w:val="24"/>
          <w:szCs w:val="24"/>
        </w:rPr>
        <w:t xml:space="preserve">Best Interest: </w:t>
      </w:r>
      <w:r w:rsidRPr="00F618D8">
        <w:rPr>
          <w:rFonts w:ascii="Arial" w:hAnsi="Arial" w:cs="Arial"/>
          <w:sz w:val="24"/>
          <w:szCs w:val="24"/>
        </w:rPr>
        <w:t>A type of decision</w:t>
      </w:r>
      <w:r w:rsidR="001017B7" w:rsidRPr="00F618D8">
        <w:rPr>
          <w:rFonts w:ascii="Arial" w:hAnsi="Arial" w:cs="Arial"/>
          <w:sz w:val="24"/>
          <w:szCs w:val="24"/>
        </w:rPr>
        <w:t>-</w:t>
      </w:r>
      <w:r w:rsidRPr="00F618D8">
        <w:rPr>
          <w:rFonts w:ascii="Arial" w:hAnsi="Arial" w:cs="Arial"/>
          <w:sz w:val="24"/>
          <w:szCs w:val="24"/>
        </w:rPr>
        <w:t xml:space="preserve">making standard that may be used when </w:t>
      </w:r>
      <w:r w:rsidR="00ED43D3" w:rsidRPr="00F618D8">
        <w:rPr>
          <w:rFonts w:ascii="Arial" w:hAnsi="Arial" w:cs="Arial"/>
          <w:sz w:val="24"/>
          <w:szCs w:val="24"/>
        </w:rPr>
        <w:t>deciding</w:t>
      </w:r>
      <w:r w:rsidRPr="00F618D8">
        <w:rPr>
          <w:rFonts w:ascii="Arial" w:hAnsi="Arial" w:cs="Arial"/>
          <w:sz w:val="24"/>
          <w:szCs w:val="24"/>
        </w:rPr>
        <w:t xml:space="preserve"> on behalf of another person, particularly in court cases involving child c</w:t>
      </w:r>
      <w:r w:rsidR="001017B7" w:rsidRPr="00F618D8">
        <w:rPr>
          <w:rFonts w:ascii="Arial" w:hAnsi="Arial" w:cs="Arial"/>
          <w:sz w:val="24"/>
          <w:szCs w:val="24"/>
        </w:rPr>
        <w:t xml:space="preserve">ustody or welfare. Compared to </w:t>
      </w:r>
      <w:r w:rsidR="001017B7" w:rsidRPr="00F618D8">
        <w:rPr>
          <w:rFonts w:ascii="Arial" w:hAnsi="Arial" w:cs="Arial"/>
          <w:i/>
          <w:sz w:val="24"/>
          <w:szCs w:val="24"/>
        </w:rPr>
        <w:t>Substituted J</w:t>
      </w:r>
      <w:r w:rsidRPr="00F618D8">
        <w:rPr>
          <w:rFonts w:ascii="Arial" w:hAnsi="Arial" w:cs="Arial"/>
          <w:i/>
          <w:sz w:val="24"/>
          <w:szCs w:val="24"/>
        </w:rPr>
        <w:t>udgment</w:t>
      </w:r>
      <w:r w:rsidRPr="00F618D8">
        <w:rPr>
          <w:rFonts w:ascii="Arial" w:hAnsi="Arial" w:cs="Arial"/>
          <w:sz w:val="24"/>
          <w:szCs w:val="24"/>
        </w:rPr>
        <w:t xml:space="preserve">, </w:t>
      </w:r>
      <w:r w:rsidR="001017B7" w:rsidRPr="00F618D8">
        <w:rPr>
          <w:rFonts w:ascii="Arial" w:hAnsi="Arial" w:cs="Arial"/>
          <w:sz w:val="24"/>
          <w:szCs w:val="24"/>
        </w:rPr>
        <w:t>the Best Interest standard</w:t>
      </w:r>
      <w:r w:rsidRPr="00F618D8">
        <w:rPr>
          <w:rFonts w:ascii="Arial" w:hAnsi="Arial" w:cs="Arial"/>
          <w:sz w:val="24"/>
          <w:szCs w:val="24"/>
        </w:rPr>
        <w:t xml:space="preserve"> </w:t>
      </w:r>
      <w:r w:rsidR="009842BA" w:rsidRPr="00F618D8">
        <w:rPr>
          <w:rFonts w:ascii="Arial" w:hAnsi="Arial" w:cs="Arial"/>
          <w:sz w:val="24"/>
          <w:szCs w:val="24"/>
        </w:rPr>
        <w:t>tends to prioritize the person’s safety and well-being, rather than their expressed wishes</w:t>
      </w:r>
      <w:r w:rsidR="00AA1F92" w:rsidRPr="00F618D8">
        <w:rPr>
          <w:rFonts w:ascii="Arial" w:hAnsi="Arial" w:cs="Arial"/>
          <w:sz w:val="24"/>
          <w:szCs w:val="24"/>
        </w:rPr>
        <w:t xml:space="preserve">. </w:t>
      </w:r>
      <w:r w:rsidR="009842BA" w:rsidRPr="00F618D8">
        <w:rPr>
          <w:rFonts w:ascii="Arial" w:hAnsi="Arial" w:cs="Arial"/>
          <w:sz w:val="24"/>
          <w:szCs w:val="24"/>
        </w:rPr>
        <w:t>While traditionally linked with decisions made by guardians, it is now considered the less-preferred decision-making standard</w:t>
      </w:r>
      <w:r w:rsidR="00AA1F92" w:rsidRPr="00F618D8">
        <w:rPr>
          <w:rFonts w:ascii="Arial" w:hAnsi="Arial" w:cs="Arial"/>
          <w:sz w:val="24"/>
          <w:szCs w:val="24"/>
        </w:rPr>
        <w:t xml:space="preserve">. </w:t>
      </w:r>
      <w:r w:rsidR="009842BA" w:rsidRPr="00F618D8">
        <w:rPr>
          <w:rFonts w:ascii="Arial" w:hAnsi="Arial" w:cs="Arial"/>
          <w:sz w:val="24"/>
          <w:szCs w:val="24"/>
        </w:rPr>
        <w:t>For example, the National Guardianship Association’s standards indicate that, “only when the person’s goals and preferences cannot be ascertained, may the guardian make a decision in the person’s best interest.”</w:t>
      </w:r>
      <w:r w:rsidR="009842BA" w:rsidRPr="00F618D8">
        <w:rPr>
          <w:rStyle w:val="EndnoteReference"/>
          <w:rFonts w:ascii="Arial" w:hAnsi="Arial" w:cs="Arial"/>
          <w:sz w:val="24"/>
          <w:szCs w:val="24"/>
        </w:rPr>
        <w:endnoteReference w:id="2"/>
      </w:r>
      <w:r w:rsidR="009842BA" w:rsidRPr="00F618D8">
        <w:rPr>
          <w:rFonts w:ascii="Arial" w:hAnsi="Arial" w:cs="Arial"/>
          <w:sz w:val="24"/>
          <w:szCs w:val="24"/>
        </w:rPr>
        <w:t xml:space="preserve"> </w:t>
      </w:r>
    </w:p>
    <w:p w14:paraId="52DFFC26" w14:textId="77777777" w:rsidR="003616B3" w:rsidRPr="00F618D8" w:rsidRDefault="003616B3" w:rsidP="00682CF8">
      <w:pPr>
        <w:spacing w:line="360" w:lineRule="auto"/>
        <w:rPr>
          <w:rFonts w:ascii="Arial" w:hAnsi="Arial" w:cs="Arial"/>
          <w:sz w:val="24"/>
          <w:szCs w:val="24"/>
        </w:rPr>
      </w:pPr>
      <w:r w:rsidRPr="00F618D8">
        <w:rPr>
          <w:rFonts w:ascii="Arial" w:hAnsi="Arial" w:cs="Arial"/>
          <w:b/>
          <w:sz w:val="24"/>
          <w:szCs w:val="24"/>
        </w:rPr>
        <w:t xml:space="preserve">Capacity: </w:t>
      </w:r>
      <w:r w:rsidRPr="00F618D8">
        <w:rPr>
          <w:rFonts w:ascii="Arial" w:hAnsi="Arial" w:cs="Arial"/>
          <w:sz w:val="24"/>
          <w:szCs w:val="24"/>
        </w:rPr>
        <w:t>An individual’s ability to perform a specific task, such as to sign a contract</w:t>
      </w:r>
      <w:r w:rsidR="00AA1F92" w:rsidRPr="00F618D8">
        <w:rPr>
          <w:rFonts w:ascii="Arial" w:hAnsi="Arial" w:cs="Arial"/>
          <w:sz w:val="24"/>
          <w:szCs w:val="24"/>
        </w:rPr>
        <w:t xml:space="preserve">. </w:t>
      </w:r>
      <w:r w:rsidR="001017B7" w:rsidRPr="00F618D8">
        <w:rPr>
          <w:rFonts w:ascii="Arial" w:hAnsi="Arial" w:cs="Arial"/>
          <w:sz w:val="24"/>
          <w:szCs w:val="24"/>
        </w:rPr>
        <w:t xml:space="preserve">The term </w:t>
      </w:r>
      <w:r w:rsidRPr="00F618D8">
        <w:rPr>
          <w:rFonts w:ascii="Arial" w:hAnsi="Arial" w:cs="Arial"/>
          <w:sz w:val="24"/>
          <w:szCs w:val="24"/>
        </w:rPr>
        <w:t xml:space="preserve">also refers to the legal ability to perform an act and to subsequently be bound by the act. May also be referred to as </w:t>
      </w:r>
      <w:r w:rsidR="00C46B9D" w:rsidRPr="00F618D8">
        <w:rPr>
          <w:rFonts w:ascii="Arial" w:hAnsi="Arial" w:cs="Arial"/>
          <w:sz w:val="24"/>
          <w:szCs w:val="24"/>
        </w:rPr>
        <w:t>“</w:t>
      </w:r>
      <w:r w:rsidRPr="00F618D8">
        <w:rPr>
          <w:rFonts w:ascii="Arial" w:hAnsi="Arial" w:cs="Arial"/>
          <w:sz w:val="24"/>
          <w:szCs w:val="24"/>
        </w:rPr>
        <w:t>competency.</w:t>
      </w:r>
      <w:r w:rsidR="00C46B9D" w:rsidRPr="00F618D8">
        <w:rPr>
          <w:rFonts w:ascii="Arial" w:hAnsi="Arial" w:cs="Arial"/>
          <w:sz w:val="24"/>
          <w:szCs w:val="24"/>
        </w:rPr>
        <w:t>”</w:t>
      </w:r>
    </w:p>
    <w:p w14:paraId="75D9316B" w14:textId="77777777" w:rsidR="00D33BBC" w:rsidRPr="00F618D8" w:rsidRDefault="00D33BBC" w:rsidP="00682CF8">
      <w:pPr>
        <w:spacing w:line="360" w:lineRule="auto"/>
        <w:rPr>
          <w:rFonts w:ascii="Arial" w:hAnsi="Arial" w:cs="Arial"/>
          <w:b/>
          <w:sz w:val="24"/>
          <w:szCs w:val="24"/>
        </w:rPr>
      </w:pPr>
      <w:r w:rsidRPr="00F618D8">
        <w:rPr>
          <w:rFonts w:ascii="Arial" w:eastAsia="Times New Roman" w:hAnsi="Arial" w:cs="Arial"/>
          <w:b/>
          <w:sz w:val="24"/>
          <w:szCs w:val="24"/>
        </w:rPr>
        <w:t xml:space="preserve">Case Management Services: </w:t>
      </w:r>
      <w:r w:rsidRPr="00F618D8">
        <w:rPr>
          <w:rFonts w:ascii="Arial" w:eastAsia="Times New Roman" w:hAnsi="Arial" w:cs="Arial"/>
          <w:sz w:val="24"/>
          <w:szCs w:val="24"/>
        </w:rPr>
        <w:t>Coordinating services through community and government agencies, the extent of which depends on the specific state</w:t>
      </w:r>
      <w:r w:rsidR="00927CD8" w:rsidRPr="00F618D8">
        <w:rPr>
          <w:rFonts w:ascii="Arial" w:eastAsia="Times New Roman" w:hAnsi="Arial" w:cs="Arial"/>
          <w:sz w:val="24"/>
          <w:szCs w:val="24"/>
        </w:rPr>
        <w:t>.</w:t>
      </w:r>
    </w:p>
    <w:p w14:paraId="2849BA20" w14:textId="77777777" w:rsidR="003616B3" w:rsidRPr="00F618D8" w:rsidRDefault="003616B3" w:rsidP="00682CF8">
      <w:pPr>
        <w:spacing w:line="360" w:lineRule="auto"/>
        <w:rPr>
          <w:rFonts w:ascii="Arial" w:hAnsi="Arial" w:cs="Arial"/>
          <w:sz w:val="24"/>
          <w:szCs w:val="24"/>
        </w:rPr>
      </w:pPr>
      <w:r w:rsidRPr="00F618D8">
        <w:rPr>
          <w:rFonts w:ascii="Arial" w:hAnsi="Arial" w:cs="Arial"/>
          <w:b/>
          <w:sz w:val="24"/>
          <w:szCs w:val="24"/>
        </w:rPr>
        <w:t xml:space="preserve">Clerk of the Court: </w:t>
      </w:r>
      <w:r w:rsidR="001017B7" w:rsidRPr="00F618D8">
        <w:rPr>
          <w:rFonts w:ascii="Arial" w:hAnsi="Arial" w:cs="Arial"/>
          <w:sz w:val="24"/>
          <w:szCs w:val="24"/>
        </w:rPr>
        <w:t>A c</w:t>
      </w:r>
      <w:r w:rsidRPr="00F618D8">
        <w:rPr>
          <w:rFonts w:ascii="Arial" w:hAnsi="Arial" w:cs="Arial"/>
          <w:sz w:val="24"/>
          <w:szCs w:val="24"/>
        </w:rPr>
        <w:t xml:space="preserve">ourt officer responsible for filing papers, </w:t>
      </w:r>
      <w:r w:rsidR="00DA1D6B" w:rsidRPr="00F618D8">
        <w:rPr>
          <w:rFonts w:ascii="Arial" w:hAnsi="Arial" w:cs="Arial"/>
          <w:sz w:val="24"/>
          <w:szCs w:val="24"/>
        </w:rPr>
        <w:t>administering</w:t>
      </w:r>
      <w:r w:rsidRPr="00F618D8">
        <w:rPr>
          <w:rFonts w:ascii="Arial" w:hAnsi="Arial" w:cs="Arial"/>
          <w:sz w:val="24"/>
          <w:szCs w:val="24"/>
        </w:rPr>
        <w:t xml:space="preserve"> cases, and keeping records of court proceedings. In some courts, the Clerk of the Court may play a role in reviewing accountings and reports filed by guardians.</w:t>
      </w:r>
    </w:p>
    <w:p w14:paraId="2F7638F7" w14:textId="77777777" w:rsidR="003616B3" w:rsidRPr="00F618D8" w:rsidRDefault="003616B3" w:rsidP="00682CF8">
      <w:pPr>
        <w:spacing w:line="360" w:lineRule="auto"/>
        <w:rPr>
          <w:rFonts w:ascii="Arial" w:hAnsi="Arial" w:cs="Arial"/>
          <w:sz w:val="24"/>
          <w:szCs w:val="24"/>
        </w:rPr>
      </w:pPr>
      <w:r w:rsidRPr="00F618D8">
        <w:rPr>
          <w:rFonts w:ascii="Arial" w:hAnsi="Arial" w:cs="Arial"/>
          <w:b/>
          <w:sz w:val="24"/>
          <w:szCs w:val="24"/>
        </w:rPr>
        <w:lastRenderedPageBreak/>
        <w:t xml:space="preserve">Conflict of Interest: </w:t>
      </w:r>
      <w:r w:rsidRPr="00F618D8">
        <w:rPr>
          <w:rFonts w:ascii="Arial" w:hAnsi="Arial" w:cs="Arial"/>
          <w:sz w:val="24"/>
          <w:szCs w:val="24"/>
        </w:rPr>
        <w:t>Situations in which an individual may receive financial or material gain or advantage from a decision made on behalf of another person, with whom they have a relationship.</w:t>
      </w:r>
    </w:p>
    <w:p w14:paraId="65741F50" w14:textId="77777777" w:rsidR="003616B3" w:rsidRPr="00F618D8" w:rsidRDefault="003616B3" w:rsidP="00682CF8">
      <w:pPr>
        <w:spacing w:line="360" w:lineRule="auto"/>
        <w:rPr>
          <w:rFonts w:ascii="Arial" w:hAnsi="Arial" w:cs="Arial"/>
          <w:sz w:val="24"/>
          <w:szCs w:val="24"/>
        </w:rPr>
      </w:pPr>
      <w:r w:rsidRPr="00F618D8">
        <w:rPr>
          <w:rFonts w:ascii="Arial" w:hAnsi="Arial" w:cs="Arial"/>
          <w:b/>
          <w:sz w:val="24"/>
          <w:szCs w:val="24"/>
        </w:rPr>
        <w:t xml:space="preserve">Court Visitor or Monitor: </w:t>
      </w:r>
      <w:r w:rsidR="001017B7" w:rsidRPr="00F618D8">
        <w:rPr>
          <w:rFonts w:ascii="Arial" w:hAnsi="Arial" w:cs="Arial"/>
          <w:sz w:val="24"/>
          <w:szCs w:val="24"/>
        </w:rPr>
        <w:t xml:space="preserve">A person </w:t>
      </w:r>
      <w:r w:rsidRPr="00F618D8">
        <w:rPr>
          <w:rFonts w:ascii="Arial" w:hAnsi="Arial" w:cs="Arial"/>
          <w:sz w:val="24"/>
          <w:szCs w:val="24"/>
        </w:rPr>
        <w:t xml:space="preserve">appointed </w:t>
      </w:r>
      <w:r w:rsidR="001017B7" w:rsidRPr="00F618D8">
        <w:rPr>
          <w:rFonts w:ascii="Arial" w:hAnsi="Arial" w:cs="Arial"/>
          <w:sz w:val="24"/>
          <w:szCs w:val="24"/>
        </w:rPr>
        <w:t xml:space="preserve">by a court </w:t>
      </w:r>
      <w:r w:rsidRPr="00F618D8">
        <w:rPr>
          <w:rFonts w:ascii="Arial" w:hAnsi="Arial" w:cs="Arial"/>
          <w:sz w:val="24"/>
          <w:szCs w:val="24"/>
        </w:rPr>
        <w:t xml:space="preserve">to advise the court regarding whether an individual needs a guardian (and, if so, who it should be) or to report to the court whether an existing guardianship continues to be appropriate or necessary, what the condition of the individual </w:t>
      </w:r>
      <w:r w:rsidR="00B21AC3" w:rsidRPr="00F618D8">
        <w:rPr>
          <w:rFonts w:ascii="Arial" w:hAnsi="Arial" w:cs="Arial"/>
          <w:sz w:val="24"/>
          <w:szCs w:val="24"/>
        </w:rPr>
        <w:t>in</w:t>
      </w:r>
      <w:r w:rsidRPr="00F618D8">
        <w:rPr>
          <w:rFonts w:ascii="Arial" w:hAnsi="Arial" w:cs="Arial"/>
          <w:sz w:val="24"/>
          <w:szCs w:val="24"/>
        </w:rPr>
        <w:t xml:space="preserve"> guardianship is, or whether the decisions being made on behalf of that individual are appropriate.</w:t>
      </w:r>
    </w:p>
    <w:p w14:paraId="32E23A1F" w14:textId="77777777" w:rsidR="003616B3" w:rsidRPr="00F618D8" w:rsidRDefault="003616B3" w:rsidP="00682CF8">
      <w:pPr>
        <w:spacing w:line="360" w:lineRule="auto"/>
        <w:rPr>
          <w:rFonts w:ascii="Arial" w:hAnsi="Arial" w:cs="Arial"/>
          <w:sz w:val="24"/>
          <w:szCs w:val="24"/>
        </w:rPr>
      </w:pPr>
      <w:r w:rsidRPr="00F618D8">
        <w:rPr>
          <w:rFonts w:ascii="Arial" w:hAnsi="Arial" w:cs="Arial"/>
          <w:b/>
          <w:sz w:val="24"/>
          <w:szCs w:val="24"/>
        </w:rPr>
        <w:t xml:space="preserve">Durable Power of Attorney: </w:t>
      </w:r>
      <w:r w:rsidRPr="00F618D8">
        <w:rPr>
          <w:rFonts w:ascii="Arial" w:hAnsi="Arial" w:cs="Arial"/>
          <w:sz w:val="24"/>
          <w:szCs w:val="24"/>
        </w:rPr>
        <w:t xml:space="preserve">A durable power of attorney is effective even after the principal becomes </w:t>
      </w:r>
      <w:r w:rsidRPr="00F618D8">
        <w:rPr>
          <w:rFonts w:ascii="Arial" w:hAnsi="Arial" w:cs="Arial"/>
          <w:i/>
          <w:sz w:val="24"/>
          <w:szCs w:val="24"/>
        </w:rPr>
        <w:t>incapacitated</w:t>
      </w:r>
      <w:r w:rsidR="005E36F4" w:rsidRPr="00F618D8">
        <w:rPr>
          <w:rFonts w:ascii="Arial" w:hAnsi="Arial" w:cs="Arial"/>
          <w:sz w:val="24"/>
          <w:szCs w:val="24"/>
        </w:rPr>
        <w:t xml:space="preserve"> and unable to make decisions</w:t>
      </w:r>
      <w:r w:rsidRPr="00F618D8">
        <w:rPr>
          <w:rFonts w:ascii="Arial" w:hAnsi="Arial" w:cs="Arial"/>
          <w:sz w:val="24"/>
          <w:szCs w:val="24"/>
        </w:rPr>
        <w:t>. The</w:t>
      </w:r>
      <w:r w:rsidR="00927CD8" w:rsidRPr="00F618D8">
        <w:rPr>
          <w:rFonts w:ascii="Arial" w:hAnsi="Arial" w:cs="Arial"/>
          <w:sz w:val="24"/>
          <w:szCs w:val="24"/>
        </w:rPr>
        <w:t xml:space="preserve"> agent appointed by the principal in a durable power of attorney </w:t>
      </w:r>
      <w:r w:rsidRPr="00F618D8">
        <w:rPr>
          <w:rFonts w:ascii="Arial" w:hAnsi="Arial" w:cs="Arial"/>
          <w:sz w:val="24"/>
          <w:szCs w:val="24"/>
        </w:rPr>
        <w:t xml:space="preserve">can continue to act within the scope of authority granted under this </w:t>
      </w:r>
      <w:r w:rsidR="00927CD8" w:rsidRPr="00F618D8">
        <w:rPr>
          <w:rFonts w:ascii="Arial" w:hAnsi="Arial" w:cs="Arial"/>
          <w:sz w:val="24"/>
          <w:szCs w:val="24"/>
        </w:rPr>
        <w:t xml:space="preserve">legal document. </w:t>
      </w:r>
    </w:p>
    <w:p w14:paraId="2BDC8CFB" w14:textId="77777777" w:rsidR="003616B3" w:rsidRPr="00F618D8" w:rsidRDefault="003616B3" w:rsidP="00682CF8">
      <w:pPr>
        <w:spacing w:line="360" w:lineRule="auto"/>
        <w:rPr>
          <w:rStyle w:val="CommentReference"/>
          <w:rFonts w:ascii="Arial" w:hAnsi="Arial" w:cs="Arial"/>
          <w:sz w:val="24"/>
          <w:szCs w:val="24"/>
        </w:rPr>
      </w:pPr>
      <w:r w:rsidRPr="00F618D8">
        <w:rPr>
          <w:rFonts w:ascii="Arial" w:hAnsi="Arial" w:cs="Arial"/>
          <w:b/>
          <w:sz w:val="24"/>
          <w:szCs w:val="24"/>
        </w:rPr>
        <w:t xml:space="preserve">Family Guardian: </w:t>
      </w:r>
      <w:r w:rsidRPr="00F618D8">
        <w:rPr>
          <w:rFonts w:ascii="Arial" w:hAnsi="Arial" w:cs="Arial"/>
          <w:sz w:val="24"/>
          <w:szCs w:val="24"/>
        </w:rPr>
        <w:t>A non</w:t>
      </w:r>
      <w:r w:rsidR="00054BC4" w:rsidRPr="00F618D8">
        <w:rPr>
          <w:rFonts w:ascii="Arial" w:hAnsi="Arial" w:cs="Arial"/>
          <w:sz w:val="24"/>
          <w:szCs w:val="24"/>
        </w:rPr>
        <w:t>-</w:t>
      </w:r>
      <w:r w:rsidRPr="00F618D8">
        <w:rPr>
          <w:rFonts w:ascii="Arial" w:hAnsi="Arial" w:cs="Arial"/>
          <w:sz w:val="24"/>
          <w:szCs w:val="24"/>
        </w:rPr>
        <w:t>professional guardian who serves as guardian for an individual. Although family guardians usuall</w:t>
      </w:r>
      <w:r w:rsidR="00B21AC3" w:rsidRPr="00F618D8">
        <w:rPr>
          <w:rFonts w:ascii="Arial" w:hAnsi="Arial" w:cs="Arial"/>
          <w:sz w:val="24"/>
          <w:szCs w:val="24"/>
        </w:rPr>
        <w:t>y are related to the individual</w:t>
      </w:r>
      <w:r w:rsidRPr="00F618D8">
        <w:rPr>
          <w:rFonts w:ascii="Arial" w:hAnsi="Arial" w:cs="Arial"/>
          <w:sz w:val="24"/>
          <w:szCs w:val="24"/>
        </w:rPr>
        <w:t xml:space="preserve">, they may be friends or even volunteers. Although they </w:t>
      </w:r>
      <w:r w:rsidR="001017B7" w:rsidRPr="00F618D8">
        <w:rPr>
          <w:rFonts w:ascii="Arial" w:hAnsi="Arial" w:cs="Arial"/>
          <w:sz w:val="24"/>
          <w:szCs w:val="24"/>
        </w:rPr>
        <w:t>may be able to be</w:t>
      </w:r>
      <w:r w:rsidRPr="00F618D8">
        <w:rPr>
          <w:rFonts w:ascii="Arial" w:hAnsi="Arial" w:cs="Arial"/>
          <w:sz w:val="24"/>
          <w:szCs w:val="24"/>
        </w:rPr>
        <w:t xml:space="preserve"> reimbursed out of the</w:t>
      </w:r>
      <w:r w:rsidR="001017B7" w:rsidRPr="00F618D8">
        <w:rPr>
          <w:rFonts w:ascii="Arial" w:hAnsi="Arial" w:cs="Arial"/>
          <w:sz w:val="24"/>
          <w:szCs w:val="24"/>
        </w:rPr>
        <w:t xml:space="preserve"> individual’s</w:t>
      </w:r>
      <w:r w:rsidRPr="00F618D8">
        <w:rPr>
          <w:rFonts w:ascii="Arial" w:hAnsi="Arial" w:cs="Arial"/>
          <w:sz w:val="24"/>
          <w:szCs w:val="24"/>
        </w:rPr>
        <w:t xml:space="preserve"> estate, </w:t>
      </w:r>
      <w:r w:rsidR="001017B7" w:rsidRPr="00F618D8">
        <w:rPr>
          <w:rFonts w:ascii="Arial" w:hAnsi="Arial" w:cs="Arial"/>
          <w:sz w:val="24"/>
          <w:szCs w:val="24"/>
        </w:rPr>
        <w:t>family guardians</w:t>
      </w:r>
      <w:r w:rsidRPr="00F618D8">
        <w:rPr>
          <w:rFonts w:ascii="Arial" w:hAnsi="Arial" w:cs="Arial"/>
          <w:sz w:val="24"/>
          <w:szCs w:val="24"/>
        </w:rPr>
        <w:t xml:space="preserve"> </w:t>
      </w:r>
      <w:r w:rsidR="00AB4322" w:rsidRPr="00F618D8">
        <w:rPr>
          <w:rFonts w:ascii="Arial" w:hAnsi="Arial" w:cs="Arial"/>
          <w:sz w:val="24"/>
          <w:szCs w:val="24"/>
        </w:rPr>
        <w:t xml:space="preserve">do </w:t>
      </w:r>
      <w:r w:rsidRPr="00F618D8">
        <w:rPr>
          <w:rFonts w:ascii="Arial" w:hAnsi="Arial" w:cs="Arial"/>
          <w:sz w:val="24"/>
          <w:szCs w:val="24"/>
        </w:rPr>
        <w:t xml:space="preserve">not </w:t>
      </w:r>
      <w:r w:rsidR="00AB4322" w:rsidRPr="00F618D8">
        <w:rPr>
          <w:rFonts w:ascii="Arial" w:hAnsi="Arial" w:cs="Arial"/>
          <w:sz w:val="24"/>
          <w:szCs w:val="24"/>
        </w:rPr>
        <w:t>serve</w:t>
      </w:r>
      <w:r w:rsidRPr="00F618D8">
        <w:rPr>
          <w:rFonts w:ascii="Arial" w:hAnsi="Arial" w:cs="Arial"/>
          <w:sz w:val="24"/>
          <w:szCs w:val="24"/>
        </w:rPr>
        <w:t xml:space="preserve"> as guardians in order to make a living. </w:t>
      </w:r>
      <w:r w:rsidRPr="00F618D8">
        <w:rPr>
          <w:rStyle w:val="CommentReference"/>
          <w:rFonts w:ascii="Arial" w:hAnsi="Arial" w:cs="Arial"/>
          <w:sz w:val="24"/>
          <w:szCs w:val="24"/>
        </w:rPr>
        <w:t>The definition of family guardian may vary from state to state.</w:t>
      </w:r>
    </w:p>
    <w:p w14:paraId="47194B3B" w14:textId="77777777" w:rsidR="003616B3" w:rsidRPr="00F618D8" w:rsidRDefault="003616B3" w:rsidP="00682CF8">
      <w:pPr>
        <w:spacing w:line="360" w:lineRule="auto"/>
        <w:rPr>
          <w:rFonts w:ascii="Arial" w:hAnsi="Arial" w:cs="Arial"/>
          <w:sz w:val="24"/>
          <w:szCs w:val="24"/>
        </w:rPr>
      </w:pPr>
      <w:r w:rsidRPr="00F618D8">
        <w:rPr>
          <w:rFonts w:ascii="Arial" w:hAnsi="Arial" w:cs="Arial"/>
          <w:b/>
          <w:sz w:val="24"/>
          <w:szCs w:val="24"/>
        </w:rPr>
        <w:t xml:space="preserve">Guardian: </w:t>
      </w:r>
      <w:r w:rsidRPr="00F618D8">
        <w:rPr>
          <w:rFonts w:ascii="Arial" w:hAnsi="Arial" w:cs="Arial"/>
          <w:sz w:val="24"/>
          <w:szCs w:val="24"/>
        </w:rPr>
        <w:t xml:space="preserve">A person, institution, or agency appointed by a court to manage the affairs of another individual. The guardian may have the authority to manage personal and/or financial matters. Each state has specific laws that govern guardianship proceedings and the guardian’s activities. States have separate laws and procedures </w:t>
      </w:r>
      <w:r w:rsidR="00FE0614" w:rsidRPr="00F618D8">
        <w:rPr>
          <w:rFonts w:ascii="Arial" w:hAnsi="Arial" w:cs="Arial"/>
          <w:sz w:val="24"/>
          <w:szCs w:val="24"/>
        </w:rPr>
        <w:t xml:space="preserve">regarding </w:t>
      </w:r>
      <w:r w:rsidRPr="00F618D8">
        <w:rPr>
          <w:rFonts w:ascii="Arial" w:hAnsi="Arial" w:cs="Arial"/>
          <w:sz w:val="24"/>
          <w:szCs w:val="24"/>
        </w:rPr>
        <w:t xml:space="preserve">guardianship for minors and adults. States may use different terms to refer to guardians, such as </w:t>
      </w:r>
      <w:r w:rsidRPr="00F618D8">
        <w:rPr>
          <w:rFonts w:ascii="Arial" w:hAnsi="Arial" w:cs="Arial"/>
          <w:i/>
          <w:sz w:val="24"/>
          <w:szCs w:val="24"/>
        </w:rPr>
        <w:t>conservators</w:t>
      </w:r>
      <w:r w:rsidRPr="00F618D8">
        <w:rPr>
          <w:rFonts w:ascii="Arial" w:hAnsi="Arial" w:cs="Arial"/>
          <w:sz w:val="24"/>
          <w:szCs w:val="24"/>
        </w:rPr>
        <w:t>.</w:t>
      </w:r>
    </w:p>
    <w:p w14:paraId="3067EC4D" w14:textId="77777777" w:rsidR="003616B3" w:rsidRPr="00F618D8" w:rsidRDefault="003616B3" w:rsidP="00682CF8">
      <w:pPr>
        <w:spacing w:line="360" w:lineRule="auto"/>
        <w:rPr>
          <w:rFonts w:ascii="Arial" w:hAnsi="Arial" w:cs="Arial"/>
          <w:sz w:val="24"/>
          <w:szCs w:val="24"/>
        </w:rPr>
      </w:pPr>
      <w:r w:rsidRPr="00F618D8">
        <w:rPr>
          <w:rFonts w:ascii="Arial" w:hAnsi="Arial" w:cs="Arial"/>
          <w:b/>
          <w:sz w:val="24"/>
          <w:szCs w:val="24"/>
        </w:rPr>
        <w:t>Guardian ad Litem:</w:t>
      </w:r>
      <w:r w:rsidRPr="00F618D8">
        <w:rPr>
          <w:rFonts w:ascii="Arial" w:hAnsi="Arial" w:cs="Arial"/>
          <w:sz w:val="24"/>
          <w:szCs w:val="24"/>
        </w:rPr>
        <w:t xml:space="preserve"> A person appointed to advise the court regarding the needs and best interests of a child or individual who either lacks </w:t>
      </w:r>
      <w:r w:rsidRPr="00F618D8">
        <w:rPr>
          <w:rFonts w:ascii="Arial" w:hAnsi="Arial" w:cs="Arial"/>
          <w:i/>
          <w:sz w:val="24"/>
          <w:szCs w:val="24"/>
        </w:rPr>
        <w:t>capacity</w:t>
      </w:r>
      <w:r w:rsidRPr="00F618D8">
        <w:rPr>
          <w:rFonts w:ascii="Arial" w:hAnsi="Arial" w:cs="Arial"/>
          <w:sz w:val="24"/>
          <w:szCs w:val="24"/>
        </w:rPr>
        <w:t xml:space="preserve"> or, in some states, has been alleged to lack </w:t>
      </w:r>
      <w:r w:rsidRPr="00F618D8">
        <w:rPr>
          <w:rFonts w:ascii="Arial" w:hAnsi="Arial" w:cs="Arial"/>
          <w:i/>
          <w:sz w:val="24"/>
          <w:szCs w:val="24"/>
        </w:rPr>
        <w:t>capacity</w:t>
      </w:r>
      <w:r w:rsidRPr="00F618D8">
        <w:rPr>
          <w:rFonts w:ascii="Arial" w:hAnsi="Arial" w:cs="Arial"/>
          <w:sz w:val="24"/>
          <w:szCs w:val="24"/>
        </w:rPr>
        <w:t>.</w:t>
      </w:r>
    </w:p>
    <w:p w14:paraId="1DE125F5" w14:textId="77777777" w:rsidR="003616B3" w:rsidRPr="00F618D8" w:rsidRDefault="003616B3" w:rsidP="00682CF8">
      <w:pPr>
        <w:spacing w:line="360" w:lineRule="auto"/>
        <w:rPr>
          <w:rFonts w:ascii="Arial" w:hAnsi="Arial" w:cs="Arial"/>
          <w:sz w:val="24"/>
          <w:szCs w:val="24"/>
        </w:rPr>
      </w:pPr>
      <w:r w:rsidRPr="00F618D8">
        <w:rPr>
          <w:rFonts w:ascii="Arial" w:hAnsi="Arial" w:cs="Arial"/>
          <w:b/>
          <w:sz w:val="24"/>
          <w:szCs w:val="24"/>
        </w:rPr>
        <w:t xml:space="preserve">Guardianship of the Person: </w:t>
      </w:r>
      <w:r w:rsidRPr="00F618D8">
        <w:rPr>
          <w:rFonts w:ascii="Arial" w:hAnsi="Arial" w:cs="Arial"/>
          <w:sz w:val="24"/>
          <w:szCs w:val="24"/>
        </w:rPr>
        <w:t xml:space="preserve">A guardianship where the guardian is granted the authority by the court to make personal decisions for an individual. This means that the </w:t>
      </w:r>
      <w:r w:rsidRPr="00F618D8">
        <w:rPr>
          <w:rFonts w:ascii="Arial" w:hAnsi="Arial" w:cs="Arial"/>
          <w:sz w:val="24"/>
          <w:szCs w:val="24"/>
        </w:rPr>
        <w:lastRenderedPageBreak/>
        <w:t>right to make personal decisions has been removed from the individual and transferred to a guardian. These rights may include, for example, the right to decide where to live, with whom to associate, and what medical treatment to receive or not receive.</w:t>
      </w:r>
    </w:p>
    <w:p w14:paraId="6179F5A1" w14:textId="77777777" w:rsidR="003616B3" w:rsidRPr="00F618D8" w:rsidRDefault="003616B3" w:rsidP="00682CF8">
      <w:pPr>
        <w:spacing w:line="360" w:lineRule="auto"/>
        <w:rPr>
          <w:rFonts w:ascii="Arial" w:hAnsi="Arial" w:cs="Arial"/>
          <w:spacing w:val="-2"/>
          <w:sz w:val="24"/>
          <w:szCs w:val="24"/>
        </w:rPr>
      </w:pPr>
      <w:r w:rsidRPr="00F618D8">
        <w:rPr>
          <w:rFonts w:ascii="Arial" w:hAnsi="Arial" w:cs="Arial"/>
          <w:b/>
          <w:spacing w:val="-2"/>
          <w:sz w:val="24"/>
          <w:szCs w:val="24"/>
        </w:rPr>
        <w:t xml:space="preserve">Guardianship of the Property: </w:t>
      </w:r>
      <w:r w:rsidRPr="00F618D8">
        <w:rPr>
          <w:rFonts w:ascii="Arial" w:hAnsi="Arial" w:cs="Arial"/>
          <w:spacing w:val="-2"/>
          <w:sz w:val="24"/>
          <w:szCs w:val="24"/>
        </w:rPr>
        <w:t xml:space="preserve">A guardianship where the guardian is granted the authority by the court to manage and make decisions about another person’s financial matters, benefits, real estate, and other property. This means that the right to make property decisions has been removed from the individual and transferred to the guardian. This is sometimes referred to as a </w:t>
      </w:r>
      <w:r w:rsidRPr="00F618D8">
        <w:rPr>
          <w:rFonts w:ascii="Arial" w:hAnsi="Arial" w:cs="Arial"/>
          <w:i/>
          <w:spacing w:val="-2"/>
          <w:sz w:val="24"/>
          <w:szCs w:val="24"/>
        </w:rPr>
        <w:t>conservatorship</w:t>
      </w:r>
      <w:r w:rsidRPr="00F618D8">
        <w:rPr>
          <w:rFonts w:ascii="Arial" w:hAnsi="Arial" w:cs="Arial"/>
          <w:spacing w:val="-2"/>
          <w:sz w:val="24"/>
          <w:szCs w:val="24"/>
        </w:rPr>
        <w:t xml:space="preserve"> or </w:t>
      </w:r>
      <w:r w:rsidRPr="00F618D8">
        <w:rPr>
          <w:rFonts w:ascii="Arial" w:hAnsi="Arial" w:cs="Arial"/>
          <w:i/>
          <w:spacing w:val="-2"/>
          <w:sz w:val="24"/>
          <w:szCs w:val="24"/>
        </w:rPr>
        <w:t>guardianship of the estate</w:t>
      </w:r>
      <w:r w:rsidRPr="00F618D8">
        <w:rPr>
          <w:rFonts w:ascii="Arial" w:hAnsi="Arial" w:cs="Arial"/>
          <w:spacing w:val="-2"/>
          <w:sz w:val="24"/>
          <w:szCs w:val="24"/>
        </w:rPr>
        <w:t>.</w:t>
      </w:r>
    </w:p>
    <w:p w14:paraId="1ED10239" w14:textId="77777777" w:rsidR="003616B3" w:rsidRPr="00F618D8" w:rsidRDefault="003616B3" w:rsidP="00682CF8">
      <w:pPr>
        <w:spacing w:line="360" w:lineRule="auto"/>
        <w:rPr>
          <w:rFonts w:ascii="Arial" w:hAnsi="Arial" w:cs="Arial"/>
          <w:sz w:val="24"/>
          <w:szCs w:val="24"/>
        </w:rPr>
      </w:pPr>
      <w:r w:rsidRPr="00F618D8">
        <w:rPr>
          <w:rFonts w:ascii="Arial" w:hAnsi="Arial" w:cs="Arial"/>
          <w:b/>
          <w:sz w:val="24"/>
          <w:szCs w:val="24"/>
        </w:rPr>
        <w:t>Health Care Surrogate:</w:t>
      </w:r>
      <w:r w:rsidRPr="00F618D8">
        <w:rPr>
          <w:rFonts w:ascii="Arial" w:hAnsi="Arial" w:cs="Arial"/>
          <w:sz w:val="24"/>
          <w:szCs w:val="24"/>
        </w:rPr>
        <w:t xml:space="preserve"> An agent who has been given the authority to make health care decisions for a person either by the person through a </w:t>
      </w:r>
      <w:r w:rsidRPr="00F618D8">
        <w:rPr>
          <w:rFonts w:ascii="Arial" w:hAnsi="Arial" w:cs="Arial"/>
          <w:i/>
          <w:sz w:val="24"/>
          <w:szCs w:val="24"/>
        </w:rPr>
        <w:t>durable power of attorney</w:t>
      </w:r>
      <w:r w:rsidRPr="00F618D8">
        <w:rPr>
          <w:rFonts w:ascii="Arial" w:hAnsi="Arial" w:cs="Arial"/>
          <w:sz w:val="24"/>
          <w:szCs w:val="24"/>
        </w:rPr>
        <w:t xml:space="preserve"> for health care or by operation of law.</w:t>
      </w:r>
    </w:p>
    <w:p w14:paraId="534F0B4A" w14:textId="3F4F030C" w:rsidR="00717597" w:rsidRPr="00F618D8" w:rsidRDefault="00717597" w:rsidP="00682CF8">
      <w:pPr>
        <w:spacing w:line="360" w:lineRule="auto"/>
        <w:rPr>
          <w:rFonts w:ascii="Arial" w:hAnsi="Arial" w:cs="Arial"/>
          <w:sz w:val="24"/>
          <w:szCs w:val="24"/>
        </w:rPr>
      </w:pPr>
      <w:r w:rsidRPr="00F618D8">
        <w:rPr>
          <w:rFonts w:ascii="Arial" w:hAnsi="Arial" w:cs="Arial"/>
          <w:b/>
          <w:sz w:val="24"/>
          <w:szCs w:val="24"/>
        </w:rPr>
        <w:t xml:space="preserve">Incapacitated: </w:t>
      </w:r>
      <w:r w:rsidRPr="00F618D8">
        <w:rPr>
          <w:rFonts w:ascii="Arial" w:hAnsi="Arial" w:cs="Arial"/>
          <w:sz w:val="24"/>
          <w:szCs w:val="24"/>
        </w:rPr>
        <w:t>The current term used by most courts that employ a combination of medical and functional criteria to reach a determination that a person cannot exercise specific rights</w:t>
      </w:r>
      <w:r w:rsidR="00AA1F92" w:rsidRPr="00F618D8">
        <w:rPr>
          <w:rFonts w:ascii="Arial" w:hAnsi="Arial" w:cs="Arial"/>
          <w:sz w:val="24"/>
          <w:szCs w:val="24"/>
        </w:rPr>
        <w:t xml:space="preserve">. </w:t>
      </w:r>
      <w:r w:rsidRPr="00F618D8">
        <w:rPr>
          <w:rFonts w:ascii="Arial" w:hAnsi="Arial" w:cs="Arial"/>
          <w:sz w:val="24"/>
          <w:szCs w:val="24"/>
        </w:rPr>
        <w:t>Generally speaking, a person who is incapacitated has been determined by a court to be “unable to receive and evaluate information or make or communicate decisions to such an extent that the individual lacks the ability to meet essential requirements for physical health, safety, or self-care.”</w:t>
      </w:r>
      <w:r w:rsidRPr="00F618D8">
        <w:rPr>
          <w:rFonts w:ascii="Arial" w:hAnsi="Arial" w:cs="Arial"/>
          <w:sz w:val="24"/>
          <w:szCs w:val="24"/>
          <w:vertAlign w:val="superscript"/>
        </w:rPr>
        <w:endnoteReference w:id="3"/>
      </w:r>
      <w:r w:rsidRPr="00F618D8">
        <w:rPr>
          <w:rFonts w:ascii="Arial" w:hAnsi="Arial" w:cs="Arial"/>
          <w:sz w:val="24"/>
          <w:szCs w:val="24"/>
        </w:rPr>
        <w:t xml:space="preserve"> However, the concept of  c</w:t>
      </w:r>
      <w:r w:rsidRPr="00F618D8">
        <w:rPr>
          <w:rFonts w:ascii="Arial" w:hAnsi="Arial" w:cs="Arial"/>
          <w:sz w:val="24"/>
          <w:szCs w:val="24"/>
          <w:shd w:val="clear" w:color="auto" w:fill="FFFFFF"/>
        </w:rPr>
        <w:t>apacity is a social and legal construct that is not necessarily provable or disprovable through scientific methods, and the use of  the terms “capacity” and “incapacity” is becoming disfavored by guardianship reformers</w:t>
      </w:r>
      <w:r w:rsidR="00AA1F92" w:rsidRPr="00F618D8">
        <w:rPr>
          <w:rFonts w:ascii="Arial" w:hAnsi="Arial" w:cs="Arial"/>
          <w:sz w:val="24"/>
          <w:szCs w:val="24"/>
          <w:shd w:val="clear" w:color="auto" w:fill="FFFFFF"/>
        </w:rPr>
        <w:t xml:space="preserve">. </w:t>
      </w:r>
      <w:r w:rsidRPr="00F618D8">
        <w:rPr>
          <w:rFonts w:ascii="Arial" w:hAnsi="Arial" w:cs="Arial"/>
          <w:sz w:val="24"/>
          <w:szCs w:val="24"/>
          <w:shd w:val="clear" w:color="auto" w:fill="FFFFFF"/>
        </w:rPr>
        <w:t>For example, the 2017 Uniform Guardianship, Conservatorship, and Other Protective Arrangements Act</w:t>
      </w:r>
      <w:r w:rsidRPr="00F618D8">
        <w:rPr>
          <w:rStyle w:val="EndnoteReference"/>
          <w:rFonts w:ascii="Arial" w:eastAsia="Arial" w:hAnsi="Arial" w:cs="Arial"/>
          <w:szCs w:val="24"/>
        </w:rPr>
        <w:endnoteReference w:id="4"/>
      </w:r>
      <w:r w:rsidRPr="00F618D8">
        <w:rPr>
          <w:rFonts w:ascii="Arial" w:hAnsi="Arial" w:cs="Arial"/>
          <w:sz w:val="24"/>
          <w:szCs w:val="24"/>
          <w:shd w:val="clear" w:color="auto" w:fill="FFFFFF"/>
        </w:rPr>
        <w:t xml:space="preserve"> makes no reference to either term</w:t>
      </w:r>
      <w:r w:rsidR="000B5E68" w:rsidRPr="00F618D8">
        <w:rPr>
          <w:rFonts w:ascii="Arial" w:hAnsi="Arial" w:cs="Arial"/>
          <w:sz w:val="24"/>
          <w:szCs w:val="24"/>
          <w:shd w:val="clear" w:color="auto" w:fill="FFFFFF"/>
        </w:rPr>
        <w:t>.</w:t>
      </w:r>
    </w:p>
    <w:p w14:paraId="1A70F3C5" w14:textId="77777777" w:rsidR="003616B3" w:rsidRPr="00F618D8" w:rsidRDefault="003616B3" w:rsidP="00682CF8">
      <w:pPr>
        <w:spacing w:line="360" w:lineRule="auto"/>
        <w:rPr>
          <w:rFonts w:ascii="Arial" w:hAnsi="Arial" w:cs="Arial"/>
          <w:sz w:val="24"/>
          <w:szCs w:val="24"/>
        </w:rPr>
      </w:pPr>
      <w:r w:rsidRPr="00F618D8">
        <w:rPr>
          <w:rFonts w:ascii="Arial" w:hAnsi="Arial" w:cs="Arial"/>
          <w:b/>
          <w:sz w:val="24"/>
          <w:szCs w:val="24"/>
        </w:rPr>
        <w:t xml:space="preserve">Indigent: </w:t>
      </w:r>
      <w:r w:rsidRPr="00F618D8">
        <w:rPr>
          <w:rFonts w:ascii="Arial" w:hAnsi="Arial" w:cs="Arial"/>
          <w:sz w:val="24"/>
          <w:szCs w:val="24"/>
        </w:rPr>
        <w:t>An individual with little to no resources who</w:t>
      </w:r>
      <w:r w:rsidR="00927CD8" w:rsidRPr="00F618D8">
        <w:rPr>
          <w:rFonts w:ascii="Arial" w:hAnsi="Arial" w:cs="Arial"/>
          <w:sz w:val="24"/>
          <w:szCs w:val="24"/>
        </w:rPr>
        <w:t xml:space="preserve"> </w:t>
      </w:r>
      <w:r w:rsidRPr="00F618D8">
        <w:rPr>
          <w:rFonts w:ascii="Arial" w:hAnsi="Arial" w:cs="Arial"/>
          <w:sz w:val="24"/>
          <w:szCs w:val="24"/>
        </w:rPr>
        <w:t xml:space="preserve">may be entitled to an attorney paid for by the state, the appointment of a </w:t>
      </w:r>
      <w:r w:rsidRPr="00F618D8">
        <w:rPr>
          <w:rFonts w:ascii="Arial" w:hAnsi="Arial" w:cs="Arial"/>
          <w:i/>
          <w:sz w:val="24"/>
          <w:szCs w:val="24"/>
        </w:rPr>
        <w:t>public guardian</w:t>
      </w:r>
      <w:r w:rsidRPr="00F618D8">
        <w:rPr>
          <w:rFonts w:ascii="Arial" w:hAnsi="Arial" w:cs="Arial"/>
          <w:sz w:val="24"/>
          <w:szCs w:val="24"/>
        </w:rPr>
        <w:t>, and/or the waiver of court costs and fees.</w:t>
      </w:r>
    </w:p>
    <w:p w14:paraId="7A4496E4" w14:textId="77777777" w:rsidR="003616B3" w:rsidRPr="00F618D8" w:rsidRDefault="003616B3" w:rsidP="00682CF8">
      <w:pPr>
        <w:spacing w:line="360" w:lineRule="auto"/>
        <w:rPr>
          <w:rFonts w:ascii="Arial" w:hAnsi="Arial" w:cs="Arial"/>
          <w:sz w:val="24"/>
          <w:szCs w:val="24"/>
        </w:rPr>
      </w:pPr>
      <w:r w:rsidRPr="00F618D8">
        <w:rPr>
          <w:rFonts w:ascii="Arial" w:hAnsi="Arial" w:cs="Arial"/>
          <w:b/>
          <w:sz w:val="24"/>
          <w:szCs w:val="24"/>
        </w:rPr>
        <w:t xml:space="preserve">Informed Consent: </w:t>
      </w:r>
      <w:r w:rsidRPr="00F618D8">
        <w:rPr>
          <w:rFonts w:ascii="Arial" w:hAnsi="Arial" w:cs="Arial"/>
          <w:sz w:val="24"/>
          <w:szCs w:val="24"/>
        </w:rPr>
        <w:t>Consent, usually to a medical procedure or legal representation, given by a person after information disclosing the risks, benefits, and costs of undertaking a given action are divulged, so the person may make a free and uncoerced decision.</w:t>
      </w:r>
    </w:p>
    <w:p w14:paraId="345DB039" w14:textId="77777777" w:rsidR="00D33BBC" w:rsidRPr="00F618D8" w:rsidRDefault="00D33BBC" w:rsidP="00682CF8">
      <w:pPr>
        <w:spacing w:line="360" w:lineRule="auto"/>
        <w:rPr>
          <w:rFonts w:ascii="Arial" w:hAnsi="Arial" w:cs="Arial"/>
          <w:b/>
          <w:sz w:val="24"/>
          <w:szCs w:val="24"/>
        </w:rPr>
      </w:pPr>
      <w:r w:rsidRPr="00F618D8">
        <w:rPr>
          <w:rFonts w:ascii="Arial" w:eastAsia="Times New Roman" w:hAnsi="Arial" w:cs="Arial"/>
          <w:b/>
          <w:sz w:val="24"/>
          <w:szCs w:val="24"/>
        </w:rPr>
        <w:lastRenderedPageBreak/>
        <w:t xml:space="preserve">Joint Ownership: </w:t>
      </w:r>
      <w:r w:rsidR="009842BA" w:rsidRPr="00F618D8">
        <w:rPr>
          <w:rFonts w:ascii="Arial" w:eastAsia="Times New Roman" w:hAnsi="Arial" w:cs="Arial"/>
          <w:sz w:val="24"/>
          <w:szCs w:val="24"/>
        </w:rPr>
        <w:t>A situation in which two or more people co-own property</w:t>
      </w:r>
      <w:r w:rsidR="00AA1F92" w:rsidRPr="00F618D8">
        <w:rPr>
          <w:rFonts w:ascii="Arial" w:eastAsia="Times New Roman" w:hAnsi="Arial" w:cs="Arial"/>
          <w:sz w:val="24"/>
          <w:szCs w:val="24"/>
        </w:rPr>
        <w:t xml:space="preserve">. </w:t>
      </w:r>
      <w:r w:rsidR="009842BA" w:rsidRPr="00F618D8">
        <w:rPr>
          <w:rFonts w:ascii="Arial" w:eastAsia="Times New Roman" w:hAnsi="Arial" w:cs="Arial"/>
          <w:sz w:val="24"/>
          <w:szCs w:val="24"/>
        </w:rPr>
        <w:t>It a</w:t>
      </w:r>
      <w:r w:rsidRPr="00F618D8">
        <w:rPr>
          <w:rFonts w:ascii="Arial" w:eastAsia="Times New Roman" w:hAnsi="Arial" w:cs="Arial"/>
          <w:sz w:val="24"/>
          <w:szCs w:val="24"/>
        </w:rPr>
        <w:t>llows a co-owner of land or bank accounts to manage an</w:t>
      </w:r>
      <w:r w:rsidRPr="00F618D8">
        <w:rPr>
          <w:rFonts w:ascii="Arial" w:eastAsia="Times New Roman" w:hAnsi="Arial" w:cs="Arial"/>
          <w:i/>
          <w:sz w:val="24"/>
          <w:szCs w:val="24"/>
        </w:rPr>
        <w:t xml:space="preserve"> incapacitated </w:t>
      </w:r>
      <w:r w:rsidRPr="00F618D8">
        <w:rPr>
          <w:rFonts w:ascii="Arial" w:eastAsia="Times New Roman" w:hAnsi="Arial" w:cs="Arial"/>
          <w:sz w:val="24"/>
          <w:szCs w:val="24"/>
        </w:rPr>
        <w:t>co-owner’s property</w:t>
      </w:r>
      <w:r w:rsidR="009842BA" w:rsidRPr="00F618D8">
        <w:rPr>
          <w:rFonts w:ascii="Arial" w:eastAsia="Times New Roman" w:hAnsi="Arial" w:cs="Arial"/>
          <w:sz w:val="24"/>
          <w:szCs w:val="24"/>
        </w:rPr>
        <w:t xml:space="preserve"> as their own</w:t>
      </w:r>
      <w:r w:rsidR="002C5FB1" w:rsidRPr="00F618D8">
        <w:rPr>
          <w:rFonts w:ascii="Arial" w:eastAsia="Times New Roman" w:hAnsi="Arial" w:cs="Arial"/>
          <w:sz w:val="24"/>
          <w:szCs w:val="24"/>
        </w:rPr>
        <w:t>.</w:t>
      </w:r>
    </w:p>
    <w:p w14:paraId="093E5D3E" w14:textId="77777777" w:rsidR="003616B3" w:rsidRPr="00F618D8" w:rsidRDefault="003616B3" w:rsidP="00682CF8">
      <w:pPr>
        <w:spacing w:line="360" w:lineRule="auto"/>
        <w:rPr>
          <w:rFonts w:ascii="Arial" w:hAnsi="Arial" w:cs="Arial"/>
          <w:sz w:val="24"/>
          <w:szCs w:val="24"/>
        </w:rPr>
      </w:pPr>
      <w:r w:rsidRPr="00F618D8">
        <w:rPr>
          <w:rFonts w:ascii="Arial" w:hAnsi="Arial" w:cs="Arial"/>
          <w:b/>
          <w:sz w:val="24"/>
          <w:szCs w:val="24"/>
        </w:rPr>
        <w:t>Limited Guardianship:</w:t>
      </w:r>
      <w:r w:rsidRPr="00F618D8">
        <w:rPr>
          <w:rFonts w:ascii="Arial" w:hAnsi="Arial" w:cs="Arial"/>
          <w:sz w:val="24"/>
          <w:szCs w:val="24"/>
        </w:rPr>
        <w:t xml:space="preserve"> A guardianship where the guardian only has the authority specifically given by court order. The person </w:t>
      </w:r>
      <w:r w:rsidR="00B21AC3" w:rsidRPr="00F618D8">
        <w:rPr>
          <w:rFonts w:ascii="Arial" w:hAnsi="Arial" w:cs="Arial"/>
          <w:sz w:val="24"/>
          <w:szCs w:val="24"/>
        </w:rPr>
        <w:t xml:space="preserve">in </w:t>
      </w:r>
      <w:r w:rsidRPr="00F618D8">
        <w:rPr>
          <w:rFonts w:ascii="Arial" w:hAnsi="Arial" w:cs="Arial"/>
          <w:sz w:val="24"/>
          <w:szCs w:val="24"/>
        </w:rPr>
        <w:t xml:space="preserve">a limited guardianship retains all other </w:t>
      </w:r>
      <w:r w:rsidR="00927CD8" w:rsidRPr="00F618D8">
        <w:rPr>
          <w:rFonts w:ascii="Arial" w:hAnsi="Arial" w:cs="Arial"/>
          <w:sz w:val="24"/>
          <w:szCs w:val="24"/>
        </w:rPr>
        <w:t>decision-making</w:t>
      </w:r>
      <w:r w:rsidRPr="00F618D8">
        <w:rPr>
          <w:rFonts w:ascii="Arial" w:hAnsi="Arial" w:cs="Arial"/>
          <w:sz w:val="24"/>
          <w:szCs w:val="24"/>
        </w:rPr>
        <w:t xml:space="preserve"> rights not specifically outlined by the court order.</w:t>
      </w:r>
    </w:p>
    <w:p w14:paraId="388BC188" w14:textId="77777777" w:rsidR="003616B3" w:rsidRPr="00F618D8" w:rsidRDefault="003616B3" w:rsidP="00682CF8">
      <w:pPr>
        <w:spacing w:line="360" w:lineRule="auto"/>
        <w:rPr>
          <w:rFonts w:ascii="Arial" w:hAnsi="Arial" w:cs="Arial"/>
          <w:sz w:val="24"/>
          <w:szCs w:val="24"/>
          <w:shd w:val="clear" w:color="auto" w:fill="FFFFFF"/>
        </w:rPr>
      </w:pPr>
      <w:r w:rsidRPr="00F618D8">
        <w:rPr>
          <w:rFonts w:ascii="Arial" w:hAnsi="Arial" w:cs="Arial"/>
          <w:b/>
          <w:sz w:val="24"/>
          <w:szCs w:val="24"/>
        </w:rPr>
        <w:t xml:space="preserve">Magistrate Judge: </w:t>
      </w:r>
      <w:r w:rsidRPr="00F618D8">
        <w:rPr>
          <w:rFonts w:ascii="Arial" w:hAnsi="Arial" w:cs="Arial"/>
          <w:sz w:val="24"/>
          <w:szCs w:val="24"/>
          <w:shd w:val="clear" w:color="auto" w:fill="FFFFFF"/>
        </w:rPr>
        <w:t xml:space="preserve">A state official who makes decisions in legal cases just like a </w:t>
      </w:r>
      <w:r w:rsidR="00927CD8" w:rsidRPr="00F618D8">
        <w:rPr>
          <w:rFonts w:ascii="Arial" w:hAnsi="Arial" w:cs="Arial"/>
          <w:sz w:val="24"/>
          <w:szCs w:val="24"/>
          <w:shd w:val="clear" w:color="auto" w:fill="FFFFFF"/>
        </w:rPr>
        <w:t>judge but</w:t>
      </w:r>
      <w:r w:rsidRPr="00F618D8">
        <w:rPr>
          <w:rFonts w:ascii="Arial" w:hAnsi="Arial" w:cs="Arial"/>
          <w:sz w:val="24"/>
          <w:szCs w:val="24"/>
          <w:shd w:val="clear" w:color="auto" w:fill="FFFFFF"/>
        </w:rPr>
        <w:t xml:space="preserve"> does not have as muc</w:t>
      </w:r>
      <w:r w:rsidR="001017B7" w:rsidRPr="00F618D8">
        <w:rPr>
          <w:rFonts w:ascii="Arial" w:hAnsi="Arial" w:cs="Arial"/>
          <w:sz w:val="24"/>
          <w:szCs w:val="24"/>
          <w:shd w:val="clear" w:color="auto" w:fill="FFFFFF"/>
        </w:rPr>
        <w:t xml:space="preserve">h power as a judge. </w:t>
      </w:r>
      <w:r w:rsidR="00B258A9" w:rsidRPr="00F618D8">
        <w:rPr>
          <w:rFonts w:ascii="Arial" w:hAnsi="Arial" w:cs="Arial"/>
          <w:sz w:val="24"/>
          <w:szCs w:val="24"/>
          <w:shd w:val="clear" w:color="auto" w:fill="FFFFFF"/>
        </w:rPr>
        <w:t xml:space="preserve">A </w:t>
      </w:r>
      <w:r w:rsidR="001017B7" w:rsidRPr="00F618D8">
        <w:rPr>
          <w:rFonts w:ascii="Arial" w:hAnsi="Arial" w:cs="Arial"/>
          <w:sz w:val="24"/>
          <w:szCs w:val="24"/>
          <w:shd w:val="clear" w:color="auto" w:fill="FFFFFF"/>
        </w:rPr>
        <w:t xml:space="preserve">Magistrate Judge </w:t>
      </w:r>
      <w:r w:rsidRPr="00F618D8">
        <w:rPr>
          <w:rFonts w:ascii="Arial" w:hAnsi="Arial" w:cs="Arial"/>
          <w:sz w:val="24"/>
          <w:szCs w:val="24"/>
          <w:shd w:val="clear" w:color="auto" w:fill="FFFFFF"/>
        </w:rPr>
        <w:t>generally handle</w:t>
      </w:r>
      <w:r w:rsidR="00B258A9" w:rsidRPr="00F618D8">
        <w:rPr>
          <w:rFonts w:ascii="Arial" w:hAnsi="Arial" w:cs="Arial"/>
          <w:sz w:val="24"/>
          <w:szCs w:val="24"/>
          <w:shd w:val="clear" w:color="auto" w:fill="FFFFFF"/>
        </w:rPr>
        <w:t>s</w:t>
      </w:r>
      <w:r w:rsidRPr="00F618D8">
        <w:rPr>
          <w:rFonts w:ascii="Arial" w:hAnsi="Arial" w:cs="Arial"/>
          <w:sz w:val="24"/>
          <w:szCs w:val="24"/>
          <w:shd w:val="clear" w:color="auto" w:fill="FFFFFF"/>
        </w:rPr>
        <w:t xml:space="preserve"> minor cases and, in some jurisdictions, may handle guardianships cases, especially those that are uncontested.</w:t>
      </w:r>
    </w:p>
    <w:p w14:paraId="648C461C" w14:textId="77777777" w:rsidR="001017B7" w:rsidRPr="00F618D8" w:rsidRDefault="001017B7" w:rsidP="001017B7">
      <w:pPr>
        <w:spacing w:line="360" w:lineRule="auto"/>
        <w:rPr>
          <w:rFonts w:ascii="Arial" w:hAnsi="Arial" w:cs="Arial"/>
          <w:sz w:val="24"/>
          <w:szCs w:val="24"/>
        </w:rPr>
      </w:pPr>
      <w:r w:rsidRPr="00F618D8">
        <w:rPr>
          <w:rFonts w:ascii="Arial" w:eastAsia="Times New Roman" w:hAnsi="Arial" w:cs="Arial"/>
          <w:b/>
          <w:sz w:val="24"/>
          <w:szCs w:val="24"/>
        </w:rPr>
        <w:t xml:space="preserve">Money Management Services: </w:t>
      </w:r>
      <w:r w:rsidRPr="00F618D8">
        <w:rPr>
          <w:rFonts w:ascii="Arial" w:eastAsia="Times New Roman" w:hAnsi="Arial" w:cs="Arial"/>
          <w:sz w:val="24"/>
          <w:szCs w:val="24"/>
        </w:rPr>
        <w:t>Services that help people with their financial affairs such as check depositing and writing, bill paying, budgeting and checkbook balancing, and tax preparation. Money Management Services are voluntary, so the person must be able to ask for or accept them.</w:t>
      </w:r>
    </w:p>
    <w:p w14:paraId="746A99DA" w14:textId="77777777" w:rsidR="00BD1D61" w:rsidRPr="00F618D8" w:rsidRDefault="00BD1D61" w:rsidP="00682CF8">
      <w:pPr>
        <w:spacing w:line="360" w:lineRule="auto"/>
        <w:rPr>
          <w:rFonts w:ascii="Arial" w:hAnsi="Arial" w:cs="Arial"/>
          <w:b/>
          <w:sz w:val="24"/>
          <w:szCs w:val="24"/>
        </w:rPr>
      </w:pPr>
      <w:r w:rsidRPr="00F618D8">
        <w:rPr>
          <w:rFonts w:ascii="Arial" w:hAnsi="Arial" w:cs="Arial"/>
          <w:b/>
          <w:sz w:val="24"/>
          <w:szCs w:val="24"/>
        </w:rPr>
        <w:t xml:space="preserve">Physician Orders of Life-Sustaining Treatment (“POLST”): </w:t>
      </w:r>
      <w:r w:rsidRPr="00F618D8">
        <w:rPr>
          <w:rFonts w:ascii="Arial" w:eastAsia="Times New Roman" w:hAnsi="Arial" w:cs="Arial"/>
          <w:sz w:val="24"/>
          <w:szCs w:val="24"/>
        </w:rPr>
        <w:t>The POLST process r</w:t>
      </w:r>
      <w:r w:rsidRPr="00F618D8">
        <w:rPr>
          <w:rFonts w:ascii="Arial" w:eastAsia="Arial" w:hAnsi="Arial" w:cs="Arial"/>
          <w:sz w:val="24"/>
          <w:szCs w:val="24"/>
        </w:rPr>
        <w:t>equires a discussion between the treating health care practitioner and the person about key end-of-life care treatment options, so that the person’s wishes can be identified and incorporated into doctor’s orders kept in the medical record or with the person. Those orders are reviewed periodically and must travel with the patient whenever he or she moves from one setting to another, thereby promoting continuity of care</w:t>
      </w:r>
      <w:r w:rsidR="00DC579D" w:rsidRPr="00F618D8">
        <w:rPr>
          <w:rFonts w:ascii="Arial" w:eastAsia="Arial" w:hAnsi="Arial" w:cs="Arial"/>
          <w:sz w:val="24"/>
          <w:szCs w:val="24"/>
        </w:rPr>
        <w:t>.</w:t>
      </w:r>
    </w:p>
    <w:p w14:paraId="389D3FCD" w14:textId="77777777" w:rsidR="003616B3" w:rsidRPr="00F618D8" w:rsidRDefault="003616B3" w:rsidP="00682CF8">
      <w:pPr>
        <w:spacing w:line="360" w:lineRule="auto"/>
        <w:rPr>
          <w:rFonts w:ascii="Arial" w:hAnsi="Arial" w:cs="Arial"/>
          <w:sz w:val="24"/>
          <w:szCs w:val="24"/>
        </w:rPr>
      </w:pPr>
      <w:r w:rsidRPr="00F618D8">
        <w:rPr>
          <w:rFonts w:ascii="Arial" w:hAnsi="Arial" w:cs="Arial"/>
          <w:b/>
          <w:sz w:val="24"/>
          <w:szCs w:val="24"/>
        </w:rPr>
        <w:t>Plenary Guardianship:</w:t>
      </w:r>
      <w:r w:rsidRPr="00F618D8">
        <w:rPr>
          <w:rFonts w:ascii="Arial" w:hAnsi="Arial" w:cs="Arial"/>
          <w:sz w:val="24"/>
          <w:szCs w:val="24"/>
        </w:rPr>
        <w:t xml:space="preserve"> A </w:t>
      </w:r>
      <w:r w:rsidR="009842BA" w:rsidRPr="00F618D8">
        <w:rPr>
          <w:rFonts w:ascii="Arial" w:hAnsi="Arial" w:cs="Arial"/>
          <w:sz w:val="24"/>
          <w:szCs w:val="24"/>
        </w:rPr>
        <w:t xml:space="preserve">full </w:t>
      </w:r>
      <w:r w:rsidRPr="00F618D8">
        <w:rPr>
          <w:rFonts w:ascii="Arial" w:hAnsi="Arial" w:cs="Arial"/>
          <w:sz w:val="24"/>
          <w:szCs w:val="24"/>
        </w:rPr>
        <w:t xml:space="preserve">guardianship where the court gives the guardian the power to exercise all </w:t>
      </w:r>
      <w:r w:rsidR="001017B7" w:rsidRPr="00F618D8">
        <w:rPr>
          <w:rFonts w:ascii="Arial" w:hAnsi="Arial" w:cs="Arial"/>
          <w:sz w:val="24"/>
          <w:szCs w:val="24"/>
        </w:rPr>
        <w:t xml:space="preserve">delegable </w:t>
      </w:r>
      <w:r w:rsidRPr="00F618D8">
        <w:rPr>
          <w:rFonts w:ascii="Arial" w:hAnsi="Arial" w:cs="Arial"/>
          <w:sz w:val="24"/>
          <w:szCs w:val="24"/>
        </w:rPr>
        <w:t xml:space="preserve">legal rights and duties on behalf of the person </w:t>
      </w:r>
      <w:r w:rsidR="00B21AC3" w:rsidRPr="00F618D8">
        <w:rPr>
          <w:rFonts w:ascii="Arial" w:hAnsi="Arial" w:cs="Arial"/>
          <w:sz w:val="24"/>
          <w:szCs w:val="24"/>
        </w:rPr>
        <w:t>in</w:t>
      </w:r>
      <w:r w:rsidR="009842BA" w:rsidRPr="00F618D8">
        <w:rPr>
          <w:rFonts w:ascii="Arial" w:hAnsi="Arial" w:cs="Arial"/>
          <w:sz w:val="24"/>
          <w:szCs w:val="24"/>
        </w:rPr>
        <w:t xml:space="preserve"> guardianship</w:t>
      </w:r>
      <w:r w:rsidR="0095631B" w:rsidRPr="00F618D8">
        <w:rPr>
          <w:rFonts w:ascii="Arial" w:hAnsi="Arial" w:cs="Arial"/>
          <w:sz w:val="24"/>
          <w:szCs w:val="24"/>
        </w:rPr>
        <w:t>.</w:t>
      </w:r>
      <w:r w:rsidRPr="00F618D8">
        <w:rPr>
          <w:rFonts w:ascii="Arial" w:hAnsi="Arial" w:cs="Arial"/>
          <w:sz w:val="24"/>
          <w:szCs w:val="24"/>
        </w:rPr>
        <w:t xml:space="preserve"> The guardianship is of both the </w:t>
      </w:r>
      <w:r w:rsidRPr="00F618D8">
        <w:rPr>
          <w:rFonts w:ascii="Arial" w:hAnsi="Arial" w:cs="Arial"/>
          <w:i/>
          <w:sz w:val="24"/>
          <w:szCs w:val="24"/>
        </w:rPr>
        <w:t>person</w:t>
      </w:r>
      <w:r w:rsidRPr="00F618D8">
        <w:rPr>
          <w:rFonts w:ascii="Arial" w:hAnsi="Arial" w:cs="Arial"/>
          <w:sz w:val="24"/>
          <w:szCs w:val="24"/>
        </w:rPr>
        <w:t xml:space="preserve"> and the </w:t>
      </w:r>
      <w:r w:rsidRPr="00F618D8">
        <w:rPr>
          <w:rFonts w:ascii="Arial" w:hAnsi="Arial" w:cs="Arial"/>
          <w:i/>
          <w:sz w:val="24"/>
          <w:szCs w:val="24"/>
        </w:rPr>
        <w:t>property</w:t>
      </w:r>
      <w:r w:rsidRPr="00F618D8">
        <w:rPr>
          <w:rFonts w:ascii="Arial" w:hAnsi="Arial" w:cs="Arial"/>
          <w:sz w:val="24"/>
          <w:szCs w:val="24"/>
        </w:rPr>
        <w:t xml:space="preserve">, and the individual </w:t>
      </w:r>
      <w:r w:rsidR="00B21AC3" w:rsidRPr="00F618D8">
        <w:rPr>
          <w:rFonts w:ascii="Arial" w:hAnsi="Arial" w:cs="Arial"/>
          <w:sz w:val="24"/>
          <w:szCs w:val="24"/>
        </w:rPr>
        <w:t>in a plenary guardianship</w:t>
      </w:r>
      <w:r w:rsidRPr="00F618D8">
        <w:rPr>
          <w:rFonts w:ascii="Arial" w:hAnsi="Arial" w:cs="Arial"/>
          <w:sz w:val="24"/>
          <w:szCs w:val="24"/>
        </w:rPr>
        <w:t xml:space="preserve"> has been adjudicated completely </w:t>
      </w:r>
      <w:r w:rsidRPr="00F618D8">
        <w:rPr>
          <w:rFonts w:ascii="Arial" w:hAnsi="Arial" w:cs="Arial"/>
          <w:i/>
          <w:sz w:val="24"/>
          <w:szCs w:val="24"/>
        </w:rPr>
        <w:t>incapacitated</w:t>
      </w:r>
      <w:r w:rsidRPr="00F618D8">
        <w:rPr>
          <w:rFonts w:ascii="Arial" w:hAnsi="Arial" w:cs="Arial"/>
          <w:sz w:val="24"/>
          <w:szCs w:val="24"/>
        </w:rPr>
        <w:t>. This is the most restrictive form of guardianship.</w:t>
      </w:r>
    </w:p>
    <w:p w14:paraId="03A55BD7" w14:textId="77777777" w:rsidR="003616B3" w:rsidRPr="00F618D8" w:rsidRDefault="003616B3" w:rsidP="00682CF8">
      <w:pPr>
        <w:spacing w:line="360" w:lineRule="auto"/>
        <w:rPr>
          <w:rFonts w:ascii="Arial" w:hAnsi="Arial" w:cs="Arial"/>
          <w:sz w:val="24"/>
          <w:szCs w:val="24"/>
        </w:rPr>
      </w:pPr>
      <w:r w:rsidRPr="00F618D8">
        <w:rPr>
          <w:rFonts w:ascii="Arial" w:hAnsi="Arial" w:cs="Arial"/>
          <w:b/>
          <w:sz w:val="24"/>
          <w:szCs w:val="24"/>
        </w:rPr>
        <w:t xml:space="preserve">Power of Attorney: </w:t>
      </w:r>
      <w:r w:rsidRPr="00F618D8">
        <w:rPr>
          <w:rFonts w:ascii="Arial" w:hAnsi="Arial" w:cs="Arial"/>
          <w:sz w:val="24"/>
          <w:szCs w:val="24"/>
        </w:rPr>
        <w:t xml:space="preserve">A legal </w:t>
      </w:r>
      <w:r w:rsidR="009842BA" w:rsidRPr="00F618D8">
        <w:rPr>
          <w:rFonts w:ascii="Arial" w:hAnsi="Arial" w:cs="Arial"/>
          <w:sz w:val="24"/>
          <w:szCs w:val="24"/>
        </w:rPr>
        <w:t>document</w:t>
      </w:r>
      <w:r w:rsidRPr="00F618D8">
        <w:rPr>
          <w:rFonts w:ascii="Arial" w:hAnsi="Arial" w:cs="Arial"/>
          <w:sz w:val="24"/>
          <w:szCs w:val="24"/>
        </w:rPr>
        <w:t xml:space="preserve"> executed under state law</w:t>
      </w:r>
      <w:r w:rsidR="00D2581C" w:rsidRPr="00F618D8">
        <w:rPr>
          <w:rFonts w:ascii="Arial" w:hAnsi="Arial" w:cs="Arial"/>
          <w:sz w:val="24"/>
          <w:szCs w:val="24"/>
        </w:rPr>
        <w:t xml:space="preserve"> whereby</w:t>
      </w:r>
      <w:r w:rsidRPr="00F618D8">
        <w:rPr>
          <w:rFonts w:ascii="Arial" w:hAnsi="Arial" w:cs="Arial"/>
          <w:sz w:val="24"/>
          <w:szCs w:val="24"/>
        </w:rPr>
        <w:t xml:space="preserve"> one person (called the </w:t>
      </w:r>
      <w:r w:rsidRPr="00F618D8">
        <w:rPr>
          <w:rFonts w:ascii="Arial" w:hAnsi="Arial" w:cs="Arial"/>
          <w:i/>
          <w:sz w:val="24"/>
          <w:szCs w:val="24"/>
        </w:rPr>
        <w:t>principal</w:t>
      </w:r>
      <w:r w:rsidRPr="00F618D8">
        <w:rPr>
          <w:rFonts w:ascii="Arial" w:hAnsi="Arial" w:cs="Arial"/>
          <w:sz w:val="24"/>
          <w:szCs w:val="24"/>
        </w:rPr>
        <w:t xml:space="preserve">) voluntarily </w:t>
      </w:r>
      <w:r w:rsidR="009842BA" w:rsidRPr="00F618D8">
        <w:rPr>
          <w:rFonts w:ascii="Arial" w:hAnsi="Arial" w:cs="Arial"/>
          <w:sz w:val="24"/>
          <w:szCs w:val="24"/>
        </w:rPr>
        <w:t>designates</w:t>
      </w:r>
      <w:r w:rsidRPr="00F618D8">
        <w:rPr>
          <w:rFonts w:ascii="Arial" w:hAnsi="Arial" w:cs="Arial"/>
          <w:sz w:val="24"/>
          <w:szCs w:val="24"/>
        </w:rPr>
        <w:t xml:space="preserve"> someone else (called the </w:t>
      </w:r>
      <w:r w:rsidRPr="00F618D8">
        <w:rPr>
          <w:rFonts w:ascii="Arial" w:hAnsi="Arial" w:cs="Arial"/>
          <w:i/>
          <w:sz w:val="24"/>
          <w:szCs w:val="24"/>
        </w:rPr>
        <w:t>attorney-in-fact</w:t>
      </w:r>
      <w:r w:rsidRPr="00F618D8">
        <w:rPr>
          <w:rFonts w:ascii="Arial" w:hAnsi="Arial" w:cs="Arial"/>
          <w:sz w:val="24"/>
          <w:szCs w:val="24"/>
        </w:rPr>
        <w:t xml:space="preserve"> or </w:t>
      </w:r>
      <w:r w:rsidRPr="00F618D8">
        <w:rPr>
          <w:rFonts w:ascii="Arial" w:hAnsi="Arial" w:cs="Arial"/>
          <w:i/>
          <w:sz w:val="24"/>
          <w:szCs w:val="24"/>
        </w:rPr>
        <w:t>agent</w:t>
      </w:r>
      <w:r w:rsidRPr="00F618D8">
        <w:rPr>
          <w:rFonts w:ascii="Arial" w:hAnsi="Arial" w:cs="Arial"/>
          <w:sz w:val="24"/>
          <w:szCs w:val="24"/>
        </w:rPr>
        <w:t xml:space="preserve">) to legally act on their behalf </w:t>
      </w:r>
      <w:r w:rsidR="009842BA" w:rsidRPr="00F618D8">
        <w:rPr>
          <w:rFonts w:ascii="Arial" w:hAnsi="Arial" w:cs="Arial"/>
          <w:sz w:val="24"/>
          <w:szCs w:val="24"/>
        </w:rPr>
        <w:t>for</w:t>
      </w:r>
      <w:r w:rsidRPr="00F618D8">
        <w:rPr>
          <w:rFonts w:ascii="Arial" w:hAnsi="Arial" w:cs="Arial"/>
          <w:sz w:val="24"/>
          <w:szCs w:val="24"/>
        </w:rPr>
        <w:t xml:space="preserve"> certain decisions and </w:t>
      </w:r>
      <w:r w:rsidR="009842BA" w:rsidRPr="00F618D8">
        <w:rPr>
          <w:rFonts w:ascii="Arial" w:hAnsi="Arial" w:cs="Arial"/>
          <w:sz w:val="24"/>
          <w:szCs w:val="24"/>
        </w:rPr>
        <w:t xml:space="preserve">in </w:t>
      </w:r>
      <w:r w:rsidRPr="00F618D8">
        <w:rPr>
          <w:rFonts w:ascii="Arial" w:hAnsi="Arial" w:cs="Arial"/>
          <w:sz w:val="24"/>
          <w:szCs w:val="24"/>
        </w:rPr>
        <w:t>certain circumstances</w:t>
      </w:r>
      <w:r w:rsidR="00AA1F92" w:rsidRPr="00F618D8">
        <w:rPr>
          <w:rFonts w:ascii="Arial" w:hAnsi="Arial" w:cs="Arial"/>
          <w:sz w:val="24"/>
          <w:szCs w:val="24"/>
        </w:rPr>
        <w:t xml:space="preserve">. </w:t>
      </w:r>
      <w:r w:rsidRPr="00F618D8">
        <w:rPr>
          <w:rFonts w:ascii="Arial" w:hAnsi="Arial" w:cs="Arial"/>
          <w:sz w:val="24"/>
          <w:szCs w:val="24"/>
        </w:rPr>
        <w:t xml:space="preserve">A </w:t>
      </w:r>
      <w:r w:rsidRPr="00F618D8">
        <w:rPr>
          <w:rFonts w:ascii="Arial" w:hAnsi="Arial" w:cs="Arial"/>
          <w:i/>
          <w:sz w:val="24"/>
          <w:szCs w:val="24"/>
        </w:rPr>
        <w:lastRenderedPageBreak/>
        <w:t>durable power of attorney</w:t>
      </w:r>
      <w:r w:rsidRPr="00F618D8">
        <w:rPr>
          <w:rFonts w:ascii="Arial" w:hAnsi="Arial" w:cs="Arial"/>
          <w:sz w:val="24"/>
          <w:szCs w:val="24"/>
        </w:rPr>
        <w:t xml:space="preserve"> </w:t>
      </w:r>
      <w:r w:rsidR="009842BA" w:rsidRPr="00F618D8">
        <w:rPr>
          <w:rFonts w:ascii="Arial" w:hAnsi="Arial" w:cs="Arial"/>
          <w:sz w:val="24"/>
          <w:szCs w:val="24"/>
        </w:rPr>
        <w:t xml:space="preserve">continues </w:t>
      </w:r>
      <w:r w:rsidRPr="00F618D8">
        <w:rPr>
          <w:rFonts w:ascii="Arial" w:hAnsi="Arial" w:cs="Arial"/>
          <w:sz w:val="24"/>
          <w:szCs w:val="24"/>
        </w:rPr>
        <w:t xml:space="preserve">even after the individual has lost capacity. A </w:t>
      </w:r>
      <w:r w:rsidRPr="00F618D8">
        <w:rPr>
          <w:rFonts w:ascii="Arial" w:hAnsi="Arial" w:cs="Arial"/>
          <w:i/>
          <w:sz w:val="24"/>
          <w:szCs w:val="24"/>
        </w:rPr>
        <w:t>power of attorney for health care</w:t>
      </w:r>
      <w:r w:rsidRPr="00F618D8">
        <w:rPr>
          <w:rFonts w:ascii="Arial" w:hAnsi="Arial" w:cs="Arial"/>
          <w:sz w:val="24"/>
          <w:szCs w:val="24"/>
        </w:rPr>
        <w:t xml:space="preserve"> </w:t>
      </w:r>
      <w:r w:rsidR="009842BA" w:rsidRPr="00F618D8">
        <w:rPr>
          <w:rFonts w:ascii="Arial" w:hAnsi="Arial" w:cs="Arial"/>
          <w:sz w:val="24"/>
          <w:szCs w:val="24"/>
        </w:rPr>
        <w:t xml:space="preserve">usually goes into effect </w:t>
      </w:r>
      <w:r w:rsidRPr="00F618D8">
        <w:rPr>
          <w:rFonts w:ascii="Arial" w:hAnsi="Arial" w:cs="Arial"/>
          <w:sz w:val="24"/>
          <w:szCs w:val="24"/>
        </w:rPr>
        <w:t>when the person becomes incapacitated.</w:t>
      </w:r>
    </w:p>
    <w:p w14:paraId="79C0FBB4" w14:textId="77777777" w:rsidR="003616B3" w:rsidRPr="00F618D8" w:rsidRDefault="003616B3" w:rsidP="00682CF8">
      <w:pPr>
        <w:spacing w:line="360" w:lineRule="auto"/>
        <w:rPr>
          <w:rFonts w:ascii="Arial" w:hAnsi="Arial" w:cs="Arial"/>
          <w:sz w:val="24"/>
          <w:szCs w:val="24"/>
        </w:rPr>
      </w:pPr>
      <w:r w:rsidRPr="00F618D8">
        <w:rPr>
          <w:rFonts w:ascii="Arial" w:hAnsi="Arial" w:cs="Arial"/>
          <w:b/>
          <w:sz w:val="24"/>
          <w:szCs w:val="24"/>
        </w:rPr>
        <w:t xml:space="preserve">Professional Guardian: </w:t>
      </w:r>
      <w:r w:rsidRPr="00F618D8">
        <w:rPr>
          <w:rFonts w:ascii="Arial" w:hAnsi="Arial" w:cs="Arial"/>
          <w:sz w:val="24"/>
          <w:szCs w:val="24"/>
        </w:rPr>
        <w:t>A professional guardian is generally a private individual or organization who serves as guardian for numerous individuals and is not a member of those individuals’ families. Professional guardians charge fees for carrying out their duties. They are generally paid out of the resources of the person subject to guardianship, when that person has such resources.</w:t>
      </w:r>
    </w:p>
    <w:p w14:paraId="7B8515DC" w14:textId="77777777" w:rsidR="003616B3" w:rsidRPr="00F618D8" w:rsidRDefault="003616B3" w:rsidP="00682CF8">
      <w:pPr>
        <w:spacing w:line="360" w:lineRule="auto"/>
        <w:rPr>
          <w:rFonts w:ascii="Arial" w:hAnsi="Arial" w:cs="Arial"/>
          <w:b/>
          <w:sz w:val="24"/>
          <w:szCs w:val="24"/>
        </w:rPr>
      </w:pPr>
      <w:r w:rsidRPr="00F618D8">
        <w:rPr>
          <w:rFonts w:ascii="Arial" w:hAnsi="Arial" w:cs="Arial"/>
          <w:b/>
          <w:sz w:val="24"/>
          <w:szCs w:val="24"/>
        </w:rPr>
        <w:t xml:space="preserve">Public Guardian: </w:t>
      </w:r>
      <w:r w:rsidRPr="00F618D8">
        <w:rPr>
          <w:rFonts w:ascii="Arial" w:hAnsi="Arial" w:cs="Arial"/>
          <w:sz w:val="24"/>
          <w:szCs w:val="24"/>
        </w:rPr>
        <w:t xml:space="preserve">A guardian who generally is either employed or funded by the state </w:t>
      </w:r>
      <w:r w:rsidR="001017B7" w:rsidRPr="00F618D8">
        <w:rPr>
          <w:rFonts w:ascii="Arial" w:hAnsi="Arial" w:cs="Arial"/>
          <w:sz w:val="24"/>
          <w:szCs w:val="24"/>
        </w:rPr>
        <w:t xml:space="preserve">or local government </w:t>
      </w:r>
      <w:r w:rsidRPr="00F618D8">
        <w:rPr>
          <w:rFonts w:ascii="Arial" w:hAnsi="Arial" w:cs="Arial"/>
          <w:sz w:val="24"/>
          <w:szCs w:val="24"/>
        </w:rPr>
        <w:t xml:space="preserve">to provide guardianship services to individuals who have been determined incapacitated. Often, public guardians serve people who are </w:t>
      </w:r>
      <w:r w:rsidRPr="00F618D8">
        <w:rPr>
          <w:rFonts w:ascii="Arial" w:hAnsi="Arial" w:cs="Arial"/>
          <w:i/>
          <w:sz w:val="24"/>
          <w:szCs w:val="24"/>
        </w:rPr>
        <w:t>indigent</w:t>
      </w:r>
      <w:r w:rsidRPr="00F618D8">
        <w:rPr>
          <w:rFonts w:ascii="Arial" w:hAnsi="Arial" w:cs="Arial"/>
          <w:sz w:val="24"/>
          <w:szCs w:val="24"/>
        </w:rPr>
        <w:t xml:space="preserve"> and/or are the responsibility of a </w:t>
      </w:r>
      <w:r w:rsidR="001017B7" w:rsidRPr="00F618D8">
        <w:rPr>
          <w:rFonts w:ascii="Arial" w:hAnsi="Arial" w:cs="Arial"/>
          <w:sz w:val="24"/>
          <w:szCs w:val="24"/>
        </w:rPr>
        <w:t xml:space="preserve">governmental </w:t>
      </w:r>
      <w:r w:rsidRPr="00F618D8">
        <w:rPr>
          <w:rFonts w:ascii="Arial" w:hAnsi="Arial" w:cs="Arial"/>
          <w:sz w:val="24"/>
          <w:szCs w:val="24"/>
        </w:rPr>
        <w:t>agency or entity.</w:t>
      </w:r>
    </w:p>
    <w:p w14:paraId="3BA4814C" w14:textId="77777777" w:rsidR="003616B3" w:rsidRPr="00F618D8" w:rsidRDefault="003616B3" w:rsidP="00682CF8">
      <w:pPr>
        <w:spacing w:line="360" w:lineRule="auto"/>
        <w:rPr>
          <w:rFonts w:ascii="Arial" w:hAnsi="Arial" w:cs="Arial"/>
          <w:sz w:val="24"/>
          <w:szCs w:val="24"/>
        </w:rPr>
      </w:pPr>
      <w:r w:rsidRPr="00F618D8">
        <w:rPr>
          <w:rFonts w:ascii="Arial" w:hAnsi="Arial" w:cs="Arial"/>
          <w:b/>
          <w:sz w:val="24"/>
          <w:szCs w:val="24"/>
        </w:rPr>
        <w:t xml:space="preserve">Representative Payee: </w:t>
      </w:r>
      <w:r w:rsidRPr="00F618D8">
        <w:rPr>
          <w:rFonts w:ascii="Arial" w:hAnsi="Arial" w:cs="Arial"/>
          <w:sz w:val="24"/>
          <w:szCs w:val="24"/>
        </w:rPr>
        <w:t>An individual, agency, or organization appointed by the Social Security Administration (SSA) to receive, manage, and spend Social Security benefits on behalf of and for the benefit of an individual who is entitled to the benefits but who has been determined by SSA to be unable to manage the resource.</w:t>
      </w:r>
    </w:p>
    <w:p w14:paraId="31011B80" w14:textId="77777777" w:rsidR="003616B3" w:rsidRPr="00F618D8" w:rsidRDefault="003616B3" w:rsidP="00682CF8">
      <w:pPr>
        <w:spacing w:line="360" w:lineRule="auto"/>
        <w:rPr>
          <w:rFonts w:ascii="Arial" w:hAnsi="Arial" w:cs="Arial"/>
          <w:b/>
          <w:sz w:val="24"/>
          <w:szCs w:val="24"/>
        </w:rPr>
      </w:pPr>
      <w:r w:rsidRPr="00F618D8">
        <w:rPr>
          <w:rFonts w:ascii="Arial" w:hAnsi="Arial" w:cs="Arial"/>
          <w:b/>
          <w:sz w:val="24"/>
          <w:szCs w:val="24"/>
        </w:rPr>
        <w:t xml:space="preserve">Respondent: </w:t>
      </w:r>
      <w:r w:rsidRPr="00F618D8">
        <w:rPr>
          <w:rFonts w:ascii="Arial" w:hAnsi="Arial" w:cs="Arial"/>
          <w:sz w:val="24"/>
          <w:szCs w:val="24"/>
        </w:rPr>
        <w:t xml:space="preserve">A person who is responding to a lawsuit or legal action. In guardianship, the </w:t>
      </w:r>
      <w:r w:rsidRPr="00F618D8">
        <w:rPr>
          <w:rFonts w:ascii="Arial" w:hAnsi="Arial" w:cs="Arial"/>
          <w:i/>
          <w:sz w:val="24"/>
          <w:szCs w:val="24"/>
        </w:rPr>
        <w:t>alleged incapacitated person is</w:t>
      </w:r>
      <w:r w:rsidRPr="00F618D8">
        <w:rPr>
          <w:rFonts w:ascii="Arial" w:hAnsi="Arial" w:cs="Arial"/>
          <w:sz w:val="24"/>
          <w:szCs w:val="24"/>
        </w:rPr>
        <w:t xml:space="preserve"> the </w:t>
      </w:r>
      <w:r w:rsidRPr="00F618D8">
        <w:rPr>
          <w:rFonts w:ascii="Arial" w:hAnsi="Arial" w:cs="Arial"/>
          <w:i/>
          <w:sz w:val="24"/>
          <w:szCs w:val="24"/>
        </w:rPr>
        <w:t>respondent</w:t>
      </w:r>
      <w:r w:rsidRPr="00F618D8">
        <w:rPr>
          <w:rFonts w:ascii="Arial" w:hAnsi="Arial" w:cs="Arial"/>
          <w:sz w:val="24"/>
          <w:szCs w:val="24"/>
        </w:rPr>
        <w:t>.</w:t>
      </w:r>
    </w:p>
    <w:p w14:paraId="1288BDA4" w14:textId="77777777" w:rsidR="003616B3" w:rsidRPr="00F618D8" w:rsidRDefault="003616B3" w:rsidP="00682CF8">
      <w:pPr>
        <w:spacing w:line="360" w:lineRule="auto"/>
        <w:rPr>
          <w:rFonts w:ascii="Arial" w:hAnsi="Arial" w:cs="Arial"/>
          <w:sz w:val="24"/>
          <w:szCs w:val="24"/>
        </w:rPr>
      </w:pPr>
      <w:r w:rsidRPr="00F618D8">
        <w:rPr>
          <w:rFonts w:ascii="Arial" w:hAnsi="Arial" w:cs="Arial"/>
          <w:b/>
          <w:sz w:val="24"/>
          <w:szCs w:val="24"/>
        </w:rPr>
        <w:t>Special Needs Trust:</w:t>
      </w:r>
      <w:r w:rsidRPr="00F618D8">
        <w:rPr>
          <w:rFonts w:ascii="Arial" w:hAnsi="Arial" w:cs="Arial"/>
          <w:sz w:val="24"/>
          <w:szCs w:val="24"/>
        </w:rPr>
        <w:t xml:space="preserve"> A type of trust that is established for the benefit of a person with disabilities. The assets in this type of trust are intended to supplement and protect public benefits, specifically Medicaid. The advantage of this type of trust is that its assets do not negatively impact the beneficiary’s eligibility for Medicaid or other government programs </w:t>
      </w:r>
      <w:r w:rsidR="004B4935" w:rsidRPr="00F618D8">
        <w:rPr>
          <w:rFonts w:ascii="Arial" w:hAnsi="Arial" w:cs="Arial"/>
          <w:sz w:val="24"/>
          <w:szCs w:val="24"/>
        </w:rPr>
        <w:t>if</w:t>
      </w:r>
      <w:r w:rsidRPr="00F618D8">
        <w:rPr>
          <w:rFonts w:ascii="Arial" w:hAnsi="Arial" w:cs="Arial"/>
          <w:sz w:val="24"/>
          <w:szCs w:val="24"/>
        </w:rPr>
        <w:t xml:space="preserve"> the trust is administered properly.</w:t>
      </w:r>
    </w:p>
    <w:p w14:paraId="22E002A3" w14:textId="77777777" w:rsidR="003616B3" w:rsidRPr="00F618D8" w:rsidRDefault="003616B3" w:rsidP="00682CF8">
      <w:pPr>
        <w:spacing w:line="360" w:lineRule="auto"/>
        <w:rPr>
          <w:rFonts w:ascii="Arial" w:hAnsi="Arial" w:cs="Arial"/>
          <w:sz w:val="24"/>
          <w:szCs w:val="24"/>
        </w:rPr>
      </w:pPr>
      <w:r w:rsidRPr="00F618D8">
        <w:rPr>
          <w:rFonts w:ascii="Arial" w:hAnsi="Arial" w:cs="Arial"/>
          <w:b/>
          <w:sz w:val="24"/>
          <w:szCs w:val="24"/>
        </w:rPr>
        <w:t xml:space="preserve">Standard of Proof: </w:t>
      </w:r>
      <w:r w:rsidRPr="00F618D8">
        <w:rPr>
          <w:rFonts w:ascii="Arial" w:hAnsi="Arial" w:cs="Arial"/>
          <w:sz w:val="24"/>
          <w:szCs w:val="24"/>
        </w:rPr>
        <w:t>Refers to the duty or burden carried by the party responsible for proving the case. There are generally three standards of proof that can apply in legal cases: “beyond a reasonable doubt” (highest standard, applies in criminal cases and in guardianship cases in New Hampshire)</w:t>
      </w:r>
      <w:r w:rsidR="009D6B00" w:rsidRPr="00F618D8">
        <w:rPr>
          <w:rFonts w:ascii="Arial" w:hAnsi="Arial" w:cs="Arial"/>
          <w:sz w:val="24"/>
          <w:szCs w:val="24"/>
        </w:rPr>
        <w:t>,</w:t>
      </w:r>
      <w:r w:rsidRPr="00F618D8">
        <w:rPr>
          <w:rFonts w:ascii="Arial" w:hAnsi="Arial" w:cs="Arial"/>
          <w:sz w:val="24"/>
          <w:szCs w:val="24"/>
        </w:rPr>
        <w:t xml:space="preserve"> “clear and convincing” (second highest standard, which applies in most states’ guardianship cases), and “preponderance of the </w:t>
      </w:r>
      <w:r w:rsidRPr="00F618D8">
        <w:rPr>
          <w:rFonts w:ascii="Arial" w:hAnsi="Arial" w:cs="Arial"/>
          <w:sz w:val="24"/>
          <w:szCs w:val="24"/>
        </w:rPr>
        <w:lastRenderedPageBreak/>
        <w:t>evidence” (lowest standard, which applies in some states’ guardianship cases and also may be the burden of proof in restoration cases).</w:t>
      </w:r>
    </w:p>
    <w:p w14:paraId="06D1FAB0" w14:textId="77777777" w:rsidR="003616B3" w:rsidRPr="00F618D8" w:rsidRDefault="003616B3" w:rsidP="00682CF8">
      <w:pPr>
        <w:spacing w:line="360" w:lineRule="auto"/>
        <w:rPr>
          <w:rFonts w:ascii="Arial" w:hAnsi="Arial" w:cs="Arial"/>
          <w:sz w:val="24"/>
          <w:szCs w:val="24"/>
        </w:rPr>
      </w:pPr>
      <w:r w:rsidRPr="00F618D8">
        <w:rPr>
          <w:rFonts w:ascii="Arial" w:hAnsi="Arial" w:cs="Arial"/>
          <w:b/>
          <w:sz w:val="24"/>
          <w:szCs w:val="24"/>
        </w:rPr>
        <w:t xml:space="preserve">Substituted Judgment: </w:t>
      </w:r>
      <w:r w:rsidRPr="00F618D8">
        <w:rPr>
          <w:rFonts w:ascii="Arial" w:hAnsi="Arial" w:cs="Arial"/>
          <w:sz w:val="24"/>
          <w:szCs w:val="24"/>
        </w:rPr>
        <w:t xml:space="preserve">A standard of decision-making that should generally be used when making decisions on behalf of an adult with a disability, according to the National Guardianship Association. It refers to </w:t>
      </w:r>
      <w:r w:rsidR="009D6B00" w:rsidRPr="00F618D8">
        <w:rPr>
          <w:rFonts w:ascii="Arial" w:hAnsi="Arial" w:cs="Arial"/>
          <w:sz w:val="24"/>
          <w:szCs w:val="24"/>
        </w:rPr>
        <w:t>deciding</w:t>
      </w:r>
      <w:r w:rsidRPr="00F618D8">
        <w:rPr>
          <w:rFonts w:ascii="Arial" w:hAnsi="Arial" w:cs="Arial"/>
          <w:sz w:val="24"/>
          <w:szCs w:val="24"/>
        </w:rPr>
        <w:t xml:space="preserve"> on behalf of an individual </w:t>
      </w:r>
      <w:r w:rsidR="001E5BE4" w:rsidRPr="00F618D8">
        <w:rPr>
          <w:rFonts w:ascii="Arial" w:hAnsi="Arial" w:cs="Arial"/>
          <w:sz w:val="24"/>
          <w:szCs w:val="24"/>
        </w:rPr>
        <w:t xml:space="preserve">in a manner </w:t>
      </w:r>
      <w:r w:rsidRPr="00F618D8">
        <w:rPr>
          <w:rFonts w:ascii="Arial" w:hAnsi="Arial" w:cs="Arial"/>
          <w:sz w:val="24"/>
          <w:szCs w:val="24"/>
        </w:rPr>
        <w:t xml:space="preserve">that is aligned with the decision they would have made for themselves if they had the </w:t>
      </w:r>
      <w:r w:rsidRPr="00F618D8">
        <w:rPr>
          <w:rFonts w:ascii="Arial" w:hAnsi="Arial" w:cs="Arial"/>
          <w:i/>
          <w:sz w:val="24"/>
          <w:szCs w:val="24"/>
        </w:rPr>
        <w:t>capacity</w:t>
      </w:r>
      <w:r w:rsidRPr="00F618D8">
        <w:rPr>
          <w:rFonts w:ascii="Arial" w:hAnsi="Arial" w:cs="Arial"/>
          <w:sz w:val="24"/>
          <w:szCs w:val="24"/>
        </w:rPr>
        <w:t xml:space="preserve"> to do so. This includes understanding and considering the values and preferences of the individual for whom decisions are being made either as currently expressed or as expressed prior to the determination that the individual was </w:t>
      </w:r>
      <w:r w:rsidRPr="00F618D8">
        <w:rPr>
          <w:rFonts w:ascii="Arial" w:hAnsi="Arial" w:cs="Arial"/>
          <w:i/>
          <w:sz w:val="24"/>
          <w:szCs w:val="24"/>
        </w:rPr>
        <w:t>incapacitated</w:t>
      </w:r>
      <w:r w:rsidRPr="00F618D8">
        <w:rPr>
          <w:rFonts w:ascii="Arial" w:hAnsi="Arial" w:cs="Arial"/>
          <w:sz w:val="24"/>
          <w:szCs w:val="24"/>
        </w:rPr>
        <w:t>.</w:t>
      </w:r>
    </w:p>
    <w:p w14:paraId="408AF2C0" w14:textId="77777777" w:rsidR="003616B3" w:rsidRPr="00F618D8" w:rsidRDefault="004B4814" w:rsidP="00682CF8">
      <w:pPr>
        <w:spacing w:line="360" w:lineRule="auto"/>
        <w:rPr>
          <w:rFonts w:ascii="Arial" w:hAnsi="Arial" w:cs="Arial"/>
          <w:b/>
          <w:sz w:val="24"/>
          <w:szCs w:val="24"/>
        </w:rPr>
      </w:pPr>
      <w:r w:rsidRPr="00F618D8">
        <w:rPr>
          <w:rFonts w:ascii="Arial" w:hAnsi="Arial" w:cs="Arial"/>
          <w:b/>
          <w:sz w:val="24"/>
          <w:szCs w:val="24"/>
        </w:rPr>
        <w:t>Supported Decision-Making</w:t>
      </w:r>
      <w:r w:rsidR="000C666E" w:rsidRPr="00F618D8">
        <w:rPr>
          <w:rFonts w:ascii="Arial" w:hAnsi="Arial" w:cs="Arial"/>
          <w:sz w:val="24"/>
          <w:szCs w:val="24"/>
        </w:rPr>
        <w:t xml:space="preserve">: </w:t>
      </w:r>
      <w:r w:rsidR="00706EC8" w:rsidRPr="00F618D8">
        <w:rPr>
          <w:rFonts w:ascii="Arial" w:hAnsi="Arial" w:cs="Arial"/>
          <w:sz w:val="24"/>
          <w:szCs w:val="24"/>
        </w:rPr>
        <w:t>There is no singular definition or model</w:t>
      </w:r>
      <w:r w:rsidR="00377092" w:rsidRPr="00F618D8">
        <w:rPr>
          <w:rFonts w:ascii="Arial" w:hAnsi="Arial" w:cs="Arial"/>
          <w:sz w:val="24"/>
          <w:szCs w:val="24"/>
        </w:rPr>
        <w:t xml:space="preserve">, but this generally means an individual choosing one or more people to </w:t>
      </w:r>
      <w:r w:rsidR="00314FF2" w:rsidRPr="00F618D8">
        <w:rPr>
          <w:rFonts w:ascii="Arial" w:hAnsi="Arial" w:cs="Arial"/>
          <w:sz w:val="24"/>
          <w:szCs w:val="24"/>
        </w:rPr>
        <w:t xml:space="preserve">assist that person </w:t>
      </w:r>
      <w:r w:rsidR="000C666E" w:rsidRPr="00F618D8">
        <w:rPr>
          <w:rFonts w:ascii="Arial" w:hAnsi="Arial" w:cs="Arial"/>
          <w:sz w:val="24"/>
          <w:szCs w:val="24"/>
        </w:rPr>
        <w:t>in understanding the nature and consequences of potential personal and financial decisions</w:t>
      </w:r>
      <w:r w:rsidR="0008309C" w:rsidRPr="00F618D8">
        <w:rPr>
          <w:rFonts w:ascii="Arial" w:hAnsi="Arial" w:cs="Arial"/>
          <w:sz w:val="24"/>
          <w:szCs w:val="24"/>
        </w:rPr>
        <w:t xml:space="preserve">, </w:t>
      </w:r>
      <w:r w:rsidR="00A2441B" w:rsidRPr="00F618D8">
        <w:rPr>
          <w:rFonts w:ascii="Arial" w:hAnsi="Arial" w:cs="Arial"/>
          <w:sz w:val="24"/>
          <w:szCs w:val="24"/>
        </w:rPr>
        <w:t xml:space="preserve">supporting the individual in making their own decisions, </w:t>
      </w:r>
      <w:r w:rsidR="0008309C" w:rsidRPr="00F618D8">
        <w:rPr>
          <w:rFonts w:ascii="Arial" w:hAnsi="Arial" w:cs="Arial"/>
          <w:sz w:val="24"/>
          <w:szCs w:val="24"/>
        </w:rPr>
        <w:t>and then communicating decisions as needed</w:t>
      </w:r>
      <w:r w:rsidR="00AA1F92" w:rsidRPr="00F618D8">
        <w:rPr>
          <w:rFonts w:ascii="Arial" w:hAnsi="Arial" w:cs="Arial"/>
          <w:sz w:val="24"/>
          <w:szCs w:val="24"/>
        </w:rPr>
        <w:t xml:space="preserve">. </w:t>
      </w:r>
      <w:r w:rsidR="000C666E" w:rsidRPr="00F618D8">
        <w:rPr>
          <w:rFonts w:ascii="Arial" w:hAnsi="Arial" w:cs="Arial"/>
          <w:sz w:val="24"/>
          <w:szCs w:val="24"/>
        </w:rPr>
        <w:t xml:space="preserve">It generally occurs when people with disabilities use friends, family members, and professionals to help them understand the everyday situations they face and choices they must make, allowing them to make their own decisions without the need for a substitute decision maker, such as a guardian. </w:t>
      </w:r>
      <w:r w:rsidR="00A2441B" w:rsidRPr="00F618D8">
        <w:rPr>
          <w:rFonts w:ascii="Arial" w:hAnsi="Arial" w:cs="Arial"/>
          <w:sz w:val="24"/>
          <w:szCs w:val="24"/>
        </w:rPr>
        <w:t xml:space="preserve">This process </w:t>
      </w:r>
      <w:r w:rsidR="000C666E" w:rsidRPr="00F618D8">
        <w:rPr>
          <w:rFonts w:ascii="Arial" w:hAnsi="Arial" w:cs="Arial"/>
          <w:sz w:val="24"/>
          <w:szCs w:val="24"/>
        </w:rPr>
        <w:t>works in the same way that most adults make daily decisions</w:t>
      </w:r>
      <w:r w:rsidR="000C666E" w:rsidRPr="00F618D8">
        <w:rPr>
          <w:rFonts w:ascii="Arial" w:hAnsi="Arial" w:cs="Arial"/>
          <w:sz w:val="24"/>
          <w:szCs w:val="24"/>
          <w:shd w:val="clear" w:color="auto" w:fill="FFFFFF"/>
        </w:rPr>
        <w:t>—</w:t>
      </w:r>
      <w:r w:rsidR="000C666E" w:rsidRPr="00F618D8">
        <w:rPr>
          <w:rFonts w:ascii="Arial" w:hAnsi="Arial" w:cs="Arial"/>
          <w:sz w:val="24"/>
          <w:szCs w:val="24"/>
        </w:rPr>
        <w:t xml:space="preserve">by seeking advice, input, and information from </w:t>
      </w:r>
      <w:r w:rsidR="00C33AEF" w:rsidRPr="00F618D8">
        <w:rPr>
          <w:rFonts w:ascii="Arial" w:hAnsi="Arial" w:cs="Arial"/>
          <w:sz w:val="24"/>
          <w:szCs w:val="24"/>
        </w:rPr>
        <w:t xml:space="preserve">trusted knowledgeable </w:t>
      </w:r>
      <w:r w:rsidR="000C666E" w:rsidRPr="00F618D8">
        <w:rPr>
          <w:rFonts w:ascii="Arial" w:hAnsi="Arial" w:cs="Arial"/>
          <w:sz w:val="24"/>
          <w:szCs w:val="24"/>
        </w:rPr>
        <w:t>others</w:t>
      </w:r>
      <w:r w:rsidR="00C33AEF" w:rsidRPr="00F618D8">
        <w:rPr>
          <w:rFonts w:ascii="Arial" w:hAnsi="Arial" w:cs="Arial"/>
          <w:sz w:val="24"/>
          <w:szCs w:val="24"/>
        </w:rPr>
        <w:t>.</w:t>
      </w:r>
    </w:p>
    <w:p w14:paraId="2D8F8E29" w14:textId="77777777" w:rsidR="00EB662F" w:rsidRPr="00F618D8" w:rsidRDefault="003616B3" w:rsidP="00927CD8">
      <w:pPr>
        <w:spacing w:line="360" w:lineRule="auto"/>
        <w:rPr>
          <w:rFonts w:ascii="Arial" w:hAnsi="Arial" w:cs="Arial"/>
        </w:rPr>
      </w:pPr>
      <w:r w:rsidRPr="00F618D8">
        <w:rPr>
          <w:rFonts w:ascii="Arial" w:hAnsi="Arial" w:cs="Arial"/>
          <w:b/>
          <w:sz w:val="24"/>
          <w:szCs w:val="24"/>
        </w:rPr>
        <w:t>Trust:</w:t>
      </w:r>
      <w:r w:rsidRPr="00F618D8">
        <w:rPr>
          <w:rFonts w:ascii="Arial" w:hAnsi="Arial" w:cs="Arial"/>
          <w:sz w:val="24"/>
          <w:szCs w:val="24"/>
        </w:rPr>
        <w:t xml:space="preserve"> A fiduciary arrangement where the trustee manages money or property for the benefit of a beneficiary or beneficiaries. A trust is a separate legal entity that owns assets that are managed by the trustee for the benefit of the beneficiary or beneficiaries in accordance with the rules established by the trust. There are </w:t>
      </w:r>
      <w:r w:rsidR="00497036" w:rsidRPr="00F618D8">
        <w:rPr>
          <w:rFonts w:ascii="Arial" w:hAnsi="Arial" w:cs="Arial"/>
          <w:sz w:val="24"/>
          <w:szCs w:val="24"/>
        </w:rPr>
        <w:t>many kinds of</w:t>
      </w:r>
      <w:r w:rsidRPr="00F618D8">
        <w:rPr>
          <w:rFonts w:ascii="Arial" w:hAnsi="Arial" w:cs="Arial"/>
          <w:sz w:val="24"/>
          <w:szCs w:val="24"/>
        </w:rPr>
        <w:t xml:space="preserve"> trusts, each of which provides different benefits</w:t>
      </w:r>
      <w:r w:rsidRPr="00F618D8">
        <w:rPr>
          <w:rFonts w:ascii="Arial" w:hAnsi="Arial" w:cs="Arial"/>
          <w:szCs w:val="24"/>
        </w:rPr>
        <w:t>.</w:t>
      </w:r>
    </w:p>
    <w:p w14:paraId="6E115CDD" w14:textId="77777777" w:rsidR="00387358" w:rsidRPr="00F618D8" w:rsidRDefault="00387358">
      <w:pPr>
        <w:rPr>
          <w:rFonts w:ascii="Arial" w:hAnsi="Arial" w:cs="Arial"/>
          <w:b/>
          <w:sz w:val="36"/>
          <w:szCs w:val="36"/>
        </w:rPr>
      </w:pPr>
      <w:bookmarkStart w:id="26" w:name="_Toc507437084"/>
      <w:r w:rsidRPr="00F618D8">
        <w:rPr>
          <w:rFonts w:ascii="Arial" w:hAnsi="Arial" w:cs="Arial"/>
          <w:szCs w:val="36"/>
        </w:rPr>
        <w:br w:type="page"/>
      </w:r>
    </w:p>
    <w:p w14:paraId="12CB95B7" w14:textId="77777777" w:rsidR="001B3DDE" w:rsidRPr="00F618D8" w:rsidRDefault="001B3DDE">
      <w:pPr>
        <w:rPr>
          <w:rFonts w:ascii="Arial" w:eastAsia="Cambria" w:hAnsi="Arial" w:cs="Arial"/>
          <w:b/>
          <w:sz w:val="36"/>
          <w:szCs w:val="28"/>
        </w:rPr>
      </w:pPr>
      <w:r w:rsidRPr="00F618D8">
        <w:rPr>
          <w:rFonts w:ascii="Arial" w:hAnsi="Arial" w:cs="Arial"/>
        </w:rPr>
        <w:lastRenderedPageBreak/>
        <w:br w:type="page"/>
      </w:r>
    </w:p>
    <w:p w14:paraId="758C4AC3" w14:textId="4B3030C3" w:rsidR="003B65F5" w:rsidRPr="00F618D8" w:rsidRDefault="003B65F5" w:rsidP="00387358">
      <w:pPr>
        <w:pStyle w:val="Heading1"/>
        <w:rPr>
          <w:rFonts w:ascii="Arial" w:hAnsi="Arial" w:cs="Arial"/>
        </w:rPr>
      </w:pPr>
      <w:bookmarkStart w:id="27" w:name="_Toc10290948"/>
      <w:r w:rsidRPr="00F618D8">
        <w:rPr>
          <w:rFonts w:ascii="Arial" w:hAnsi="Arial" w:cs="Arial"/>
        </w:rPr>
        <w:lastRenderedPageBreak/>
        <w:t>List of Acronyms</w:t>
      </w:r>
      <w:bookmarkEnd w:id="26"/>
      <w:bookmarkEnd w:id="27"/>
    </w:p>
    <w:p w14:paraId="221D0012" w14:textId="77777777" w:rsidR="003B65F5" w:rsidRPr="00F618D8" w:rsidRDefault="003B65F5" w:rsidP="003B65F5">
      <w:pPr>
        <w:rPr>
          <w:rFonts w:ascii="Arial" w:hAnsi="Arial" w:cs="Arial"/>
          <w:sz w:val="24"/>
          <w:szCs w:val="24"/>
        </w:rPr>
      </w:pPr>
      <w:r w:rsidRPr="00F618D8">
        <w:rPr>
          <w:rFonts w:ascii="Arial" w:hAnsi="Arial" w:cs="Arial"/>
          <w:sz w:val="24"/>
          <w:szCs w:val="24"/>
        </w:rPr>
        <w:t>ACL</w:t>
      </w:r>
      <w:r w:rsidRPr="00F618D8">
        <w:rPr>
          <w:rFonts w:ascii="Arial" w:hAnsi="Arial" w:cs="Arial"/>
          <w:sz w:val="24"/>
          <w:szCs w:val="24"/>
        </w:rPr>
        <w:tab/>
      </w:r>
      <w:r w:rsidRPr="00F618D8">
        <w:rPr>
          <w:rFonts w:ascii="Arial" w:hAnsi="Arial" w:cs="Arial"/>
          <w:sz w:val="24"/>
          <w:szCs w:val="24"/>
        </w:rPr>
        <w:tab/>
        <w:t>Administration for Community Living</w:t>
      </w:r>
    </w:p>
    <w:p w14:paraId="4D98754D" w14:textId="77777777" w:rsidR="003B65F5" w:rsidRPr="00F618D8" w:rsidRDefault="003B65F5" w:rsidP="003B65F5">
      <w:pPr>
        <w:rPr>
          <w:rFonts w:ascii="Arial" w:hAnsi="Arial" w:cs="Arial"/>
          <w:sz w:val="24"/>
          <w:szCs w:val="24"/>
        </w:rPr>
      </w:pPr>
      <w:r w:rsidRPr="00F618D8">
        <w:rPr>
          <w:rFonts w:ascii="Arial" w:hAnsi="Arial" w:cs="Arial"/>
          <w:sz w:val="24"/>
          <w:szCs w:val="24"/>
        </w:rPr>
        <w:t>ADA</w:t>
      </w:r>
      <w:r w:rsidRPr="00F618D8">
        <w:rPr>
          <w:rFonts w:ascii="Arial" w:hAnsi="Arial" w:cs="Arial"/>
          <w:sz w:val="24"/>
          <w:szCs w:val="24"/>
        </w:rPr>
        <w:tab/>
      </w:r>
      <w:r w:rsidRPr="00F618D8">
        <w:rPr>
          <w:rFonts w:ascii="Arial" w:hAnsi="Arial" w:cs="Arial"/>
          <w:sz w:val="24"/>
          <w:szCs w:val="24"/>
        </w:rPr>
        <w:tab/>
        <w:t>Americans with Disabilities Act</w:t>
      </w:r>
    </w:p>
    <w:p w14:paraId="6CD8DEBD" w14:textId="77777777" w:rsidR="003B65F5" w:rsidRPr="00F618D8" w:rsidRDefault="003B65F5" w:rsidP="003B65F5">
      <w:pPr>
        <w:rPr>
          <w:rFonts w:ascii="Arial" w:hAnsi="Arial" w:cs="Arial"/>
          <w:sz w:val="24"/>
          <w:szCs w:val="24"/>
        </w:rPr>
      </w:pPr>
      <w:r w:rsidRPr="00F618D8">
        <w:rPr>
          <w:rFonts w:ascii="Arial" w:hAnsi="Arial" w:cs="Arial"/>
          <w:sz w:val="24"/>
          <w:szCs w:val="24"/>
        </w:rPr>
        <w:t>ADAA</w:t>
      </w:r>
      <w:r w:rsidRPr="00F618D8">
        <w:rPr>
          <w:rFonts w:ascii="Arial" w:hAnsi="Arial" w:cs="Arial"/>
          <w:sz w:val="24"/>
          <w:szCs w:val="24"/>
        </w:rPr>
        <w:tab/>
      </w:r>
      <w:r w:rsidRPr="00F618D8">
        <w:rPr>
          <w:rFonts w:ascii="Arial" w:hAnsi="Arial" w:cs="Arial"/>
          <w:sz w:val="24"/>
          <w:szCs w:val="24"/>
        </w:rPr>
        <w:tab/>
        <w:t>ADA Amendments Act of 2008</w:t>
      </w:r>
    </w:p>
    <w:p w14:paraId="56E5FBB5" w14:textId="77777777" w:rsidR="003B65F5" w:rsidRPr="00F618D8" w:rsidRDefault="003B65F5" w:rsidP="003B65F5">
      <w:pPr>
        <w:rPr>
          <w:rFonts w:ascii="Arial" w:hAnsi="Arial" w:cs="Arial"/>
          <w:sz w:val="24"/>
          <w:szCs w:val="24"/>
        </w:rPr>
      </w:pPr>
      <w:r w:rsidRPr="00F618D8">
        <w:rPr>
          <w:rFonts w:ascii="Arial" w:hAnsi="Arial" w:cs="Arial"/>
          <w:sz w:val="24"/>
          <w:szCs w:val="24"/>
        </w:rPr>
        <w:t>AIP</w:t>
      </w:r>
      <w:r w:rsidRPr="00F618D8">
        <w:rPr>
          <w:rFonts w:ascii="Arial" w:hAnsi="Arial" w:cs="Arial"/>
          <w:sz w:val="24"/>
          <w:szCs w:val="24"/>
        </w:rPr>
        <w:tab/>
      </w:r>
      <w:r w:rsidRPr="00F618D8">
        <w:rPr>
          <w:rFonts w:ascii="Arial" w:hAnsi="Arial" w:cs="Arial"/>
          <w:sz w:val="24"/>
          <w:szCs w:val="24"/>
        </w:rPr>
        <w:tab/>
      </w:r>
      <w:r w:rsidR="007D4F0F" w:rsidRPr="00F618D8">
        <w:rPr>
          <w:rFonts w:ascii="Arial" w:hAnsi="Arial" w:cs="Arial"/>
          <w:sz w:val="24"/>
          <w:szCs w:val="24"/>
        </w:rPr>
        <w:t>Alleged Incapacitated Person</w:t>
      </w:r>
    </w:p>
    <w:p w14:paraId="4FF6431E" w14:textId="77777777" w:rsidR="003B65F5" w:rsidRPr="00F618D8" w:rsidRDefault="003B65F5" w:rsidP="003B65F5">
      <w:pPr>
        <w:rPr>
          <w:rFonts w:ascii="Arial" w:hAnsi="Arial" w:cs="Arial"/>
          <w:sz w:val="24"/>
          <w:szCs w:val="24"/>
        </w:rPr>
      </w:pPr>
      <w:r w:rsidRPr="00F618D8">
        <w:rPr>
          <w:rFonts w:ascii="Arial" w:hAnsi="Arial" w:cs="Arial"/>
          <w:sz w:val="24"/>
          <w:szCs w:val="24"/>
        </w:rPr>
        <w:t>AP</w:t>
      </w:r>
      <w:r w:rsidRPr="00F618D8">
        <w:rPr>
          <w:rFonts w:ascii="Arial" w:hAnsi="Arial" w:cs="Arial"/>
          <w:sz w:val="24"/>
          <w:szCs w:val="24"/>
        </w:rPr>
        <w:tab/>
      </w:r>
      <w:r w:rsidRPr="00F618D8">
        <w:rPr>
          <w:rFonts w:ascii="Arial" w:hAnsi="Arial" w:cs="Arial"/>
          <w:sz w:val="24"/>
          <w:szCs w:val="24"/>
        </w:rPr>
        <w:tab/>
        <w:t>Associated Press</w:t>
      </w:r>
    </w:p>
    <w:p w14:paraId="3579B31C" w14:textId="77777777" w:rsidR="003B65F5" w:rsidRPr="00F618D8" w:rsidRDefault="003B65F5" w:rsidP="003B65F5">
      <w:pPr>
        <w:rPr>
          <w:rFonts w:ascii="Arial" w:hAnsi="Arial" w:cs="Arial"/>
          <w:sz w:val="24"/>
          <w:szCs w:val="24"/>
        </w:rPr>
      </w:pPr>
      <w:r w:rsidRPr="00F618D8">
        <w:rPr>
          <w:rFonts w:ascii="Arial" w:hAnsi="Arial" w:cs="Arial"/>
          <w:sz w:val="24"/>
          <w:szCs w:val="24"/>
        </w:rPr>
        <w:t>APS</w:t>
      </w:r>
      <w:r w:rsidRPr="00F618D8">
        <w:rPr>
          <w:rFonts w:ascii="Arial" w:hAnsi="Arial" w:cs="Arial"/>
          <w:sz w:val="24"/>
          <w:szCs w:val="24"/>
        </w:rPr>
        <w:tab/>
      </w:r>
      <w:r w:rsidRPr="00F618D8">
        <w:rPr>
          <w:rFonts w:ascii="Arial" w:hAnsi="Arial" w:cs="Arial"/>
          <w:sz w:val="24"/>
          <w:szCs w:val="24"/>
        </w:rPr>
        <w:tab/>
        <w:t>Adult Protective Services</w:t>
      </w:r>
    </w:p>
    <w:p w14:paraId="18D91184" w14:textId="77777777" w:rsidR="003B65F5" w:rsidRPr="00F618D8" w:rsidRDefault="003B65F5" w:rsidP="003B65F5">
      <w:pPr>
        <w:rPr>
          <w:rFonts w:ascii="Arial" w:hAnsi="Arial" w:cs="Arial"/>
          <w:sz w:val="24"/>
          <w:szCs w:val="24"/>
        </w:rPr>
      </w:pPr>
      <w:r w:rsidRPr="00F618D8">
        <w:rPr>
          <w:rFonts w:ascii="Arial" w:hAnsi="Arial" w:cs="Arial"/>
          <w:sz w:val="24"/>
          <w:szCs w:val="24"/>
        </w:rPr>
        <w:t>CMS</w:t>
      </w:r>
      <w:r w:rsidRPr="00F618D8">
        <w:rPr>
          <w:rFonts w:ascii="Arial" w:hAnsi="Arial" w:cs="Arial"/>
          <w:sz w:val="24"/>
          <w:szCs w:val="24"/>
        </w:rPr>
        <w:tab/>
      </w:r>
      <w:r w:rsidRPr="00F618D8">
        <w:rPr>
          <w:rFonts w:ascii="Arial" w:hAnsi="Arial" w:cs="Arial"/>
          <w:sz w:val="24"/>
          <w:szCs w:val="24"/>
        </w:rPr>
        <w:tab/>
        <w:t>Centers for Medicare and Medicaid Services</w:t>
      </w:r>
    </w:p>
    <w:p w14:paraId="5A81AE59" w14:textId="77777777" w:rsidR="003B65F5" w:rsidRPr="00F618D8" w:rsidRDefault="003B65F5" w:rsidP="003B65F5">
      <w:pPr>
        <w:rPr>
          <w:rFonts w:ascii="Arial" w:hAnsi="Arial" w:cs="Arial"/>
          <w:sz w:val="24"/>
          <w:szCs w:val="24"/>
        </w:rPr>
      </w:pPr>
      <w:r w:rsidRPr="00F618D8">
        <w:rPr>
          <w:rFonts w:ascii="Arial" w:hAnsi="Arial" w:cs="Arial"/>
          <w:sz w:val="24"/>
          <w:szCs w:val="24"/>
        </w:rPr>
        <w:t>CRPD</w:t>
      </w:r>
      <w:r w:rsidRPr="00F618D8">
        <w:rPr>
          <w:rFonts w:ascii="Arial" w:hAnsi="Arial" w:cs="Arial"/>
          <w:sz w:val="24"/>
          <w:szCs w:val="24"/>
        </w:rPr>
        <w:tab/>
      </w:r>
      <w:r w:rsidRPr="00F618D8">
        <w:rPr>
          <w:rFonts w:ascii="Arial" w:hAnsi="Arial" w:cs="Arial"/>
          <w:sz w:val="24"/>
          <w:szCs w:val="24"/>
        </w:rPr>
        <w:tab/>
        <w:t>United Nations Convention on the Rights of Persons with Disabilities</w:t>
      </w:r>
    </w:p>
    <w:p w14:paraId="3C0A6B6B" w14:textId="77777777" w:rsidR="003B65F5" w:rsidRPr="00F618D8" w:rsidRDefault="003B65F5" w:rsidP="003B65F5">
      <w:pPr>
        <w:rPr>
          <w:rFonts w:ascii="Arial" w:hAnsi="Arial" w:cs="Arial"/>
          <w:sz w:val="24"/>
          <w:szCs w:val="24"/>
        </w:rPr>
      </w:pPr>
      <w:r w:rsidRPr="00F618D8">
        <w:rPr>
          <w:rFonts w:ascii="Arial" w:hAnsi="Arial" w:cs="Arial"/>
          <w:sz w:val="24"/>
          <w:szCs w:val="24"/>
        </w:rPr>
        <w:t>DOJ</w:t>
      </w:r>
      <w:r w:rsidRPr="00F618D8">
        <w:rPr>
          <w:rFonts w:ascii="Arial" w:hAnsi="Arial" w:cs="Arial"/>
          <w:sz w:val="24"/>
          <w:szCs w:val="24"/>
        </w:rPr>
        <w:tab/>
      </w:r>
      <w:r w:rsidRPr="00F618D8">
        <w:rPr>
          <w:rFonts w:ascii="Arial" w:hAnsi="Arial" w:cs="Arial"/>
          <w:sz w:val="24"/>
          <w:szCs w:val="24"/>
        </w:rPr>
        <w:tab/>
        <w:t>U.S. Department of Justice</w:t>
      </w:r>
    </w:p>
    <w:p w14:paraId="76C7AE9A" w14:textId="77777777" w:rsidR="003B65F5" w:rsidRPr="00F618D8" w:rsidRDefault="003B65F5" w:rsidP="003B65F5">
      <w:pPr>
        <w:rPr>
          <w:rFonts w:ascii="Arial" w:hAnsi="Arial" w:cs="Arial"/>
          <w:sz w:val="24"/>
          <w:szCs w:val="24"/>
        </w:rPr>
      </w:pPr>
      <w:r w:rsidRPr="00F618D8">
        <w:rPr>
          <w:rFonts w:ascii="Arial" w:hAnsi="Arial" w:cs="Arial"/>
          <w:sz w:val="24"/>
          <w:szCs w:val="24"/>
        </w:rPr>
        <w:t>EAHCA</w:t>
      </w:r>
      <w:r w:rsidRPr="00F618D8">
        <w:rPr>
          <w:rFonts w:ascii="Arial" w:hAnsi="Arial" w:cs="Arial"/>
          <w:sz w:val="24"/>
          <w:szCs w:val="24"/>
        </w:rPr>
        <w:tab/>
        <w:t>Education for All Handicapped Children Act</w:t>
      </w:r>
    </w:p>
    <w:p w14:paraId="658235C4" w14:textId="77777777" w:rsidR="003B65F5" w:rsidRPr="00F618D8" w:rsidRDefault="003B65F5" w:rsidP="003B65F5">
      <w:pPr>
        <w:rPr>
          <w:rFonts w:ascii="Arial" w:hAnsi="Arial" w:cs="Arial"/>
          <w:sz w:val="24"/>
          <w:szCs w:val="24"/>
        </w:rPr>
      </w:pPr>
      <w:r w:rsidRPr="00F618D8">
        <w:rPr>
          <w:rFonts w:ascii="Arial" w:hAnsi="Arial" w:cs="Arial"/>
          <w:sz w:val="24"/>
          <w:szCs w:val="24"/>
        </w:rPr>
        <w:t>FHAA</w:t>
      </w:r>
      <w:r w:rsidRPr="00F618D8">
        <w:rPr>
          <w:rFonts w:ascii="Arial" w:hAnsi="Arial" w:cs="Arial"/>
          <w:sz w:val="24"/>
          <w:szCs w:val="24"/>
        </w:rPr>
        <w:tab/>
      </w:r>
      <w:r w:rsidRPr="00F618D8">
        <w:rPr>
          <w:rFonts w:ascii="Arial" w:hAnsi="Arial" w:cs="Arial"/>
          <w:sz w:val="24"/>
          <w:szCs w:val="24"/>
        </w:rPr>
        <w:tab/>
      </w:r>
      <w:r w:rsidRPr="00F618D8">
        <w:rPr>
          <w:rFonts w:ascii="Arial" w:eastAsia="Arial" w:hAnsi="Arial" w:cs="Arial"/>
          <w:sz w:val="24"/>
          <w:szCs w:val="24"/>
        </w:rPr>
        <w:t>Fair Housing Amendments Act of 1988</w:t>
      </w:r>
    </w:p>
    <w:p w14:paraId="4F5588BA" w14:textId="77777777" w:rsidR="003B65F5" w:rsidRPr="00F618D8" w:rsidRDefault="003B65F5" w:rsidP="003B65F5">
      <w:pPr>
        <w:rPr>
          <w:rFonts w:ascii="Arial" w:hAnsi="Arial" w:cs="Arial"/>
          <w:sz w:val="24"/>
          <w:szCs w:val="24"/>
        </w:rPr>
      </w:pPr>
      <w:r w:rsidRPr="00F618D8">
        <w:rPr>
          <w:rFonts w:ascii="Arial" w:hAnsi="Arial" w:cs="Arial"/>
          <w:sz w:val="24"/>
          <w:szCs w:val="24"/>
        </w:rPr>
        <w:t>HCBS</w:t>
      </w:r>
      <w:r w:rsidRPr="00F618D8">
        <w:rPr>
          <w:rFonts w:ascii="Arial" w:hAnsi="Arial" w:cs="Arial"/>
          <w:sz w:val="24"/>
          <w:szCs w:val="24"/>
        </w:rPr>
        <w:tab/>
      </w:r>
      <w:r w:rsidRPr="00F618D8">
        <w:rPr>
          <w:rFonts w:ascii="Arial" w:hAnsi="Arial" w:cs="Arial"/>
          <w:sz w:val="24"/>
          <w:szCs w:val="24"/>
        </w:rPr>
        <w:tab/>
        <w:t>Medicaid Home and Community-Based Services</w:t>
      </w:r>
    </w:p>
    <w:p w14:paraId="1F6B3053" w14:textId="77777777" w:rsidR="003B65F5" w:rsidRPr="00F618D8" w:rsidRDefault="003B65F5" w:rsidP="003B65F5">
      <w:pPr>
        <w:rPr>
          <w:rFonts w:ascii="Arial" w:hAnsi="Arial" w:cs="Arial"/>
          <w:sz w:val="24"/>
          <w:szCs w:val="24"/>
        </w:rPr>
      </w:pPr>
      <w:r w:rsidRPr="00F618D8">
        <w:rPr>
          <w:rFonts w:ascii="Arial" w:hAnsi="Arial" w:cs="Arial"/>
          <w:sz w:val="24"/>
          <w:szCs w:val="24"/>
        </w:rPr>
        <w:t>HHS</w:t>
      </w:r>
      <w:r w:rsidRPr="00F618D8">
        <w:rPr>
          <w:rFonts w:ascii="Arial" w:hAnsi="Arial" w:cs="Arial"/>
          <w:sz w:val="24"/>
          <w:szCs w:val="24"/>
        </w:rPr>
        <w:tab/>
      </w:r>
      <w:r w:rsidRPr="00F618D8">
        <w:rPr>
          <w:rFonts w:ascii="Arial" w:hAnsi="Arial" w:cs="Arial"/>
          <w:sz w:val="24"/>
          <w:szCs w:val="24"/>
        </w:rPr>
        <w:tab/>
        <w:t>Department of Health and Human Services</w:t>
      </w:r>
    </w:p>
    <w:p w14:paraId="6E299114" w14:textId="77777777" w:rsidR="003B65F5" w:rsidRPr="00F618D8" w:rsidRDefault="00C46B9D" w:rsidP="003B65F5">
      <w:pPr>
        <w:rPr>
          <w:rFonts w:ascii="Arial" w:hAnsi="Arial" w:cs="Arial"/>
          <w:sz w:val="24"/>
          <w:szCs w:val="24"/>
        </w:rPr>
      </w:pPr>
      <w:r w:rsidRPr="00F618D8">
        <w:rPr>
          <w:rFonts w:ascii="Arial" w:hAnsi="Arial" w:cs="Arial"/>
          <w:sz w:val="24"/>
          <w:szCs w:val="24"/>
        </w:rPr>
        <w:t>ID/DD</w:t>
      </w:r>
      <w:r w:rsidRPr="00F618D8">
        <w:rPr>
          <w:rFonts w:ascii="Arial" w:hAnsi="Arial" w:cs="Arial"/>
          <w:sz w:val="24"/>
          <w:szCs w:val="24"/>
        </w:rPr>
        <w:tab/>
      </w:r>
      <w:r w:rsidRPr="00F618D8">
        <w:rPr>
          <w:rFonts w:ascii="Arial" w:hAnsi="Arial" w:cs="Arial"/>
          <w:sz w:val="24"/>
          <w:szCs w:val="24"/>
        </w:rPr>
        <w:tab/>
        <w:t>Intellectual and Developmental D</w:t>
      </w:r>
      <w:r w:rsidR="003B65F5" w:rsidRPr="00F618D8">
        <w:rPr>
          <w:rFonts w:ascii="Arial" w:hAnsi="Arial" w:cs="Arial"/>
          <w:sz w:val="24"/>
          <w:szCs w:val="24"/>
        </w:rPr>
        <w:t>isabilities</w:t>
      </w:r>
    </w:p>
    <w:p w14:paraId="4BAF9D8F" w14:textId="77777777" w:rsidR="003B65F5" w:rsidRPr="00F618D8" w:rsidRDefault="003B65F5" w:rsidP="003B65F5">
      <w:pPr>
        <w:rPr>
          <w:rFonts w:ascii="Arial" w:hAnsi="Arial" w:cs="Arial"/>
          <w:sz w:val="24"/>
          <w:szCs w:val="24"/>
        </w:rPr>
      </w:pPr>
      <w:r w:rsidRPr="00F618D8">
        <w:rPr>
          <w:rFonts w:ascii="Arial" w:hAnsi="Arial" w:cs="Arial"/>
          <w:sz w:val="24"/>
          <w:szCs w:val="24"/>
        </w:rPr>
        <w:t>IDEA</w:t>
      </w:r>
      <w:r w:rsidRPr="00F618D8">
        <w:rPr>
          <w:rFonts w:ascii="Arial" w:hAnsi="Arial" w:cs="Arial"/>
          <w:sz w:val="24"/>
          <w:szCs w:val="24"/>
        </w:rPr>
        <w:tab/>
      </w:r>
      <w:r w:rsidRPr="00F618D8">
        <w:rPr>
          <w:rFonts w:ascii="Arial" w:hAnsi="Arial" w:cs="Arial"/>
          <w:sz w:val="24"/>
          <w:szCs w:val="24"/>
        </w:rPr>
        <w:tab/>
        <w:t>Individuals with Disabilities Education Act</w:t>
      </w:r>
    </w:p>
    <w:p w14:paraId="2B3C4301" w14:textId="77777777" w:rsidR="003B65F5" w:rsidRPr="00F618D8" w:rsidRDefault="003B65F5" w:rsidP="003B65F5">
      <w:pPr>
        <w:rPr>
          <w:rFonts w:ascii="Arial" w:hAnsi="Arial" w:cs="Arial"/>
          <w:sz w:val="24"/>
          <w:szCs w:val="24"/>
        </w:rPr>
      </w:pPr>
      <w:r w:rsidRPr="00F618D8">
        <w:rPr>
          <w:rFonts w:ascii="Arial" w:hAnsi="Arial" w:cs="Arial"/>
          <w:sz w:val="24"/>
          <w:szCs w:val="24"/>
        </w:rPr>
        <w:t>IEP</w:t>
      </w:r>
      <w:r w:rsidRPr="00F618D8">
        <w:rPr>
          <w:rFonts w:ascii="Arial" w:hAnsi="Arial" w:cs="Arial"/>
          <w:sz w:val="24"/>
          <w:szCs w:val="24"/>
        </w:rPr>
        <w:tab/>
      </w:r>
      <w:r w:rsidRPr="00F618D8">
        <w:rPr>
          <w:rFonts w:ascii="Arial" w:hAnsi="Arial" w:cs="Arial"/>
          <w:sz w:val="24"/>
          <w:szCs w:val="24"/>
        </w:rPr>
        <w:tab/>
      </w:r>
      <w:r w:rsidR="007D4F0F" w:rsidRPr="00F618D8">
        <w:rPr>
          <w:rFonts w:ascii="Arial" w:hAnsi="Arial" w:cs="Arial"/>
          <w:sz w:val="24"/>
          <w:szCs w:val="24"/>
        </w:rPr>
        <w:t>Individualized Education Program</w:t>
      </w:r>
    </w:p>
    <w:p w14:paraId="41E33EDA" w14:textId="77777777" w:rsidR="003B65F5" w:rsidRPr="00F618D8" w:rsidRDefault="003B65F5" w:rsidP="003B65F5">
      <w:pPr>
        <w:rPr>
          <w:rFonts w:ascii="Arial" w:hAnsi="Arial" w:cs="Arial"/>
          <w:sz w:val="24"/>
          <w:szCs w:val="24"/>
        </w:rPr>
      </w:pPr>
      <w:r w:rsidRPr="00F618D8">
        <w:rPr>
          <w:rFonts w:ascii="Arial" w:hAnsi="Arial" w:cs="Arial"/>
          <w:sz w:val="24"/>
          <w:szCs w:val="24"/>
        </w:rPr>
        <w:t>NCD</w:t>
      </w:r>
      <w:r w:rsidRPr="00F618D8">
        <w:rPr>
          <w:rFonts w:ascii="Arial" w:hAnsi="Arial" w:cs="Arial"/>
          <w:sz w:val="24"/>
          <w:szCs w:val="24"/>
        </w:rPr>
        <w:tab/>
      </w:r>
      <w:r w:rsidRPr="00F618D8">
        <w:rPr>
          <w:rFonts w:ascii="Arial" w:hAnsi="Arial" w:cs="Arial"/>
          <w:sz w:val="24"/>
          <w:szCs w:val="24"/>
        </w:rPr>
        <w:tab/>
        <w:t>National Council on Disability</w:t>
      </w:r>
    </w:p>
    <w:p w14:paraId="45EF0198" w14:textId="77777777" w:rsidR="003B65F5" w:rsidRPr="00F618D8" w:rsidRDefault="003B65F5" w:rsidP="003B65F5">
      <w:pPr>
        <w:ind w:left="1440" w:hanging="1440"/>
        <w:rPr>
          <w:rFonts w:ascii="Arial" w:hAnsi="Arial" w:cs="Arial"/>
          <w:sz w:val="24"/>
          <w:szCs w:val="24"/>
        </w:rPr>
      </w:pPr>
      <w:r w:rsidRPr="00F618D8">
        <w:rPr>
          <w:rFonts w:ascii="Arial" w:hAnsi="Arial" w:cs="Arial"/>
          <w:sz w:val="24"/>
          <w:szCs w:val="24"/>
        </w:rPr>
        <w:t>NIDILRR</w:t>
      </w:r>
      <w:r w:rsidRPr="00F618D8">
        <w:rPr>
          <w:rFonts w:ascii="Arial" w:hAnsi="Arial" w:cs="Arial"/>
          <w:sz w:val="24"/>
          <w:szCs w:val="24"/>
        </w:rPr>
        <w:tab/>
      </w:r>
      <w:r w:rsidRPr="00F618D8">
        <w:rPr>
          <w:rFonts w:ascii="Arial" w:hAnsi="Arial" w:cs="Arial"/>
          <w:sz w:val="24"/>
          <w:szCs w:val="24"/>
          <w:shd w:val="clear" w:color="auto" w:fill="FFFFFF"/>
        </w:rPr>
        <w:t>National Institute on Disability, Independent Living, and Rehabilitation Research</w:t>
      </w:r>
    </w:p>
    <w:p w14:paraId="7D1CFA3C" w14:textId="77777777" w:rsidR="003B65F5" w:rsidRPr="00F618D8" w:rsidRDefault="003B65F5" w:rsidP="003B65F5">
      <w:pPr>
        <w:ind w:left="1440" w:hanging="1440"/>
        <w:rPr>
          <w:rFonts w:ascii="Arial" w:hAnsi="Arial" w:cs="Arial"/>
          <w:sz w:val="24"/>
          <w:szCs w:val="24"/>
        </w:rPr>
      </w:pPr>
      <w:r w:rsidRPr="00F618D8">
        <w:rPr>
          <w:rFonts w:ascii="Arial" w:hAnsi="Arial" w:cs="Arial"/>
          <w:sz w:val="24"/>
          <w:szCs w:val="24"/>
        </w:rPr>
        <w:t>NQE</w:t>
      </w:r>
      <w:r w:rsidRPr="00F618D8">
        <w:rPr>
          <w:rFonts w:ascii="Arial" w:hAnsi="Arial" w:cs="Arial"/>
          <w:sz w:val="24"/>
          <w:szCs w:val="24"/>
        </w:rPr>
        <w:tab/>
        <w:t>National Home and Community-Based Services Quality Enterprise</w:t>
      </w:r>
    </w:p>
    <w:p w14:paraId="5BB8BDB7" w14:textId="77777777" w:rsidR="003B65F5" w:rsidRPr="00F618D8" w:rsidRDefault="003B65F5" w:rsidP="003B65F5">
      <w:pPr>
        <w:ind w:left="1440" w:hanging="1440"/>
        <w:rPr>
          <w:rFonts w:ascii="Arial" w:hAnsi="Arial" w:cs="Arial"/>
          <w:sz w:val="24"/>
          <w:szCs w:val="24"/>
        </w:rPr>
      </w:pPr>
      <w:r w:rsidRPr="00F618D8">
        <w:rPr>
          <w:rFonts w:ascii="Arial" w:hAnsi="Arial" w:cs="Arial"/>
          <w:sz w:val="24"/>
          <w:szCs w:val="24"/>
        </w:rPr>
        <w:t>OSEP</w:t>
      </w:r>
      <w:r w:rsidRPr="00F618D8">
        <w:rPr>
          <w:rFonts w:ascii="Arial" w:hAnsi="Arial" w:cs="Arial"/>
          <w:sz w:val="24"/>
          <w:szCs w:val="24"/>
        </w:rPr>
        <w:tab/>
      </w:r>
      <w:r w:rsidR="007D4F0F" w:rsidRPr="00F618D8">
        <w:rPr>
          <w:rFonts w:ascii="Arial" w:hAnsi="Arial" w:cs="Arial"/>
          <w:sz w:val="24"/>
          <w:szCs w:val="24"/>
        </w:rPr>
        <w:t>The</w:t>
      </w:r>
      <w:r w:rsidRPr="00F618D8">
        <w:rPr>
          <w:rFonts w:ascii="Arial" w:hAnsi="Arial" w:cs="Arial"/>
          <w:sz w:val="24"/>
          <w:szCs w:val="24"/>
        </w:rPr>
        <w:t xml:space="preserve"> Office of Special Education Programs</w:t>
      </w:r>
      <w:r w:rsidR="007D4F0F" w:rsidRPr="00F618D8">
        <w:rPr>
          <w:rFonts w:ascii="Arial" w:hAnsi="Arial" w:cs="Arial"/>
          <w:sz w:val="24"/>
          <w:szCs w:val="24"/>
        </w:rPr>
        <w:t xml:space="preserve"> at the U.S. Department of Education</w:t>
      </w:r>
    </w:p>
    <w:p w14:paraId="5953014D" w14:textId="77777777" w:rsidR="003B65F5" w:rsidRPr="00F618D8" w:rsidRDefault="003B65F5" w:rsidP="003B65F5">
      <w:pPr>
        <w:ind w:left="1440" w:hanging="1440"/>
        <w:rPr>
          <w:rFonts w:ascii="Arial" w:hAnsi="Arial" w:cs="Arial"/>
          <w:sz w:val="24"/>
          <w:szCs w:val="24"/>
        </w:rPr>
      </w:pPr>
      <w:r w:rsidRPr="00F618D8">
        <w:rPr>
          <w:rFonts w:ascii="Arial" w:hAnsi="Arial" w:cs="Arial"/>
          <w:sz w:val="24"/>
          <w:szCs w:val="24"/>
        </w:rPr>
        <w:t>OSERS</w:t>
      </w:r>
      <w:r w:rsidRPr="00F618D8">
        <w:rPr>
          <w:rFonts w:ascii="Arial" w:hAnsi="Arial" w:cs="Arial"/>
          <w:sz w:val="24"/>
          <w:szCs w:val="24"/>
        </w:rPr>
        <w:tab/>
      </w:r>
      <w:r w:rsidR="007D4F0F" w:rsidRPr="00F618D8">
        <w:rPr>
          <w:rFonts w:ascii="Arial" w:hAnsi="Arial" w:cs="Arial"/>
          <w:sz w:val="24"/>
          <w:szCs w:val="24"/>
        </w:rPr>
        <w:t>The</w:t>
      </w:r>
      <w:r w:rsidRPr="00F618D8">
        <w:rPr>
          <w:rFonts w:ascii="Arial" w:hAnsi="Arial" w:cs="Arial"/>
          <w:sz w:val="24"/>
          <w:szCs w:val="24"/>
        </w:rPr>
        <w:t xml:space="preserve"> Office of Special Education and Rehabilitative Services</w:t>
      </w:r>
      <w:r w:rsidR="007D4F0F" w:rsidRPr="00F618D8">
        <w:rPr>
          <w:rFonts w:ascii="Arial" w:hAnsi="Arial" w:cs="Arial"/>
          <w:sz w:val="24"/>
          <w:szCs w:val="24"/>
        </w:rPr>
        <w:t xml:space="preserve"> at the U.S. Department of Education</w:t>
      </w:r>
    </w:p>
    <w:p w14:paraId="6065CF6C" w14:textId="77777777" w:rsidR="003B65F5" w:rsidRPr="00F618D8" w:rsidRDefault="003B65F5" w:rsidP="003B65F5">
      <w:pPr>
        <w:rPr>
          <w:rFonts w:ascii="Arial" w:hAnsi="Arial" w:cs="Arial"/>
          <w:sz w:val="24"/>
          <w:szCs w:val="24"/>
        </w:rPr>
      </w:pPr>
      <w:r w:rsidRPr="00F618D8">
        <w:rPr>
          <w:rFonts w:ascii="Arial" w:hAnsi="Arial" w:cs="Arial"/>
          <w:sz w:val="24"/>
          <w:szCs w:val="24"/>
        </w:rPr>
        <w:t>P&amp;A</w:t>
      </w:r>
      <w:r w:rsidRPr="00F618D8">
        <w:rPr>
          <w:rFonts w:ascii="Arial" w:hAnsi="Arial" w:cs="Arial"/>
          <w:sz w:val="24"/>
          <w:szCs w:val="24"/>
        </w:rPr>
        <w:tab/>
      </w:r>
      <w:r w:rsidRPr="00F618D8">
        <w:rPr>
          <w:rFonts w:ascii="Arial" w:hAnsi="Arial" w:cs="Arial"/>
          <w:sz w:val="24"/>
          <w:szCs w:val="24"/>
        </w:rPr>
        <w:tab/>
        <w:t>Protection and Advocacy</w:t>
      </w:r>
    </w:p>
    <w:p w14:paraId="3CD34404" w14:textId="77777777" w:rsidR="003B65F5" w:rsidRPr="00F618D8" w:rsidRDefault="003B65F5" w:rsidP="003B65F5">
      <w:pPr>
        <w:rPr>
          <w:rFonts w:ascii="Arial" w:hAnsi="Arial" w:cs="Arial"/>
          <w:sz w:val="24"/>
          <w:szCs w:val="24"/>
        </w:rPr>
      </w:pPr>
      <w:r w:rsidRPr="00F618D8">
        <w:rPr>
          <w:rFonts w:ascii="Arial" w:hAnsi="Arial" w:cs="Arial"/>
          <w:sz w:val="24"/>
          <w:szCs w:val="24"/>
        </w:rPr>
        <w:lastRenderedPageBreak/>
        <w:t>SAMHSA</w:t>
      </w:r>
      <w:r w:rsidRPr="00F618D8">
        <w:rPr>
          <w:rFonts w:ascii="Arial" w:hAnsi="Arial" w:cs="Arial"/>
          <w:sz w:val="24"/>
          <w:szCs w:val="24"/>
        </w:rPr>
        <w:tab/>
        <w:t>Substance Abuse and Mental Health Services Administration</w:t>
      </w:r>
    </w:p>
    <w:p w14:paraId="0FE528DE" w14:textId="77777777" w:rsidR="003B65F5" w:rsidRPr="00F618D8" w:rsidRDefault="003B65F5" w:rsidP="003B65F5">
      <w:pPr>
        <w:rPr>
          <w:rFonts w:ascii="Arial" w:hAnsi="Arial" w:cs="Arial"/>
          <w:sz w:val="24"/>
          <w:szCs w:val="24"/>
        </w:rPr>
      </w:pPr>
      <w:r w:rsidRPr="00F618D8">
        <w:rPr>
          <w:rFonts w:ascii="Arial" w:hAnsi="Arial" w:cs="Arial"/>
          <w:sz w:val="24"/>
          <w:szCs w:val="24"/>
        </w:rPr>
        <w:t>SDM</w:t>
      </w:r>
      <w:r w:rsidRPr="00F618D8">
        <w:rPr>
          <w:rFonts w:ascii="Arial" w:hAnsi="Arial" w:cs="Arial"/>
          <w:sz w:val="24"/>
          <w:szCs w:val="24"/>
        </w:rPr>
        <w:tab/>
      </w:r>
      <w:r w:rsidRPr="00F618D8">
        <w:rPr>
          <w:rFonts w:ascii="Arial" w:hAnsi="Arial" w:cs="Arial"/>
          <w:sz w:val="24"/>
          <w:szCs w:val="24"/>
        </w:rPr>
        <w:tab/>
      </w:r>
      <w:r w:rsidR="00C46B9D" w:rsidRPr="00F618D8">
        <w:rPr>
          <w:rFonts w:ascii="Arial" w:hAnsi="Arial" w:cs="Arial"/>
          <w:sz w:val="24"/>
          <w:szCs w:val="24"/>
        </w:rPr>
        <w:t>Supported Decision-</w:t>
      </w:r>
      <w:r w:rsidR="007D4F0F" w:rsidRPr="00F618D8">
        <w:rPr>
          <w:rFonts w:ascii="Arial" w:hAnsi="Arial" w:cs="Arial"/>
          <w:sz w:val="24"/>
          <w:szCs w:val="24"/>
        </w:rPr>
        <w:t>Making</w:t>
      </w:r>
    </w:p>
    <w:p w14:paraId="655D9733" w14:textId="77777777" w:rsidR="003B65F5" w:rsidRPr="00F618D8" w:rsidRDefault="003B65F5" w:rsidP="003B65F5">
      <w:pPr>
        <w:rPr>
          <w:rFonts w:ascii="Arial" w:hAnsi="Arial" w:cs="Arial"/>
          <w:sz w:val="24"/>
          <w:szCs w:val="24"/>
        </w:rPr>
      </w:pPr>
      <w:r w:rsidRPr="00F618D8">
        <w:rPr>
          <w:rFonts w:ascii="Arial" w:hAnsi="Arial" w:cs="Arial"/>
          <w:sz w:val="24"/>
          <w:szCs w:val="24"/>
        </w:rPr>
        <w:t>SSA</w:t>
      </w:r>
      <w:r w:rsidRPr="00F618D8">
        <w:rPr>
          <w:rFonts w:ascii="Arial" w:hAnsi="Arial" w:cs="Arial"/>
          <w:sz w:val="24"/>
          <w:szCs w:val="24"/>
        </w:rPr>
        <w:tab/>
      </w:r>
      <w:r w:rsidRPr="00F618D8">
        <w:rPr>
          <w:rFonts w:ascii="Arial" w:hAnsi="Arial" w:cs="Arial"/>
          <w:sz w:val="24"/>
          <w:szCs w:val="24"/>
        </w:rPr>
        <w:tab/>
        <w:t>Social Security Administration</w:t>
      </w:r>
    </w:p>
    <w:p w14:paraId="527E7577" w14:textId="77777777" w:rsidR="003B65F5" w:rsidRPr="00F618D8" w:rsidRDefault="003B65F5" w:rsidP="003B65F5">
      <w:pPr>
        <w:rPr>
          <w:rFonts w:ascii="Arial" w:hAnsi="Arial" w:cs="Arial"/>
          <w:sz w:val="24"/>
          <w:szCs w:val="24"/>
        </w:rPr>
      </w:pPr>
      <w:r w:rsidRPr="00F618D8">
        <w:rPr>
          <w:rFonts w:ascii="Arial" w:hAnsi="Arial" w:cs="Arial"/>
          <w:sz w:val="24"/>
          <w:szCs w:val="24"/>
        </w:rPr>
        <w:t>SSI</w:t>
      </w:r>
      <w:r w:rsidRPr="00F618D8">
        <w:rPr>
          <w:rFonts w:ascii="Arial" w:hAnsi="Arial" w:cs="Arial"/>
          <w:sz w:val="24"/>
          <w:szCs w:val="24"/>
        </w:rPr>
        <w:tab/>
      </w:r>
      <w:r w:rsidRPr="00F618D8">
        <w:rPr>
          <w:rFonts w:ascii="Arial" w:hAnsi="Arial" w:cs="Arial"/>
          <w:sz w:val="24"/>
          <w:szCs w:val="24"/>
        </w:rPr>
        <w:tab/>
        <w:t>Supplemental Security Income</w:t>
      </w:r>
    </w:p>
    <w:p w14:paraId="586D2C52" w14:textId="77777777" w:rsidR="003B65F5" w:rsidRPr="00F618D8" w:rsidRDefault="003B65F5" w:rsidP="003B65F5">
      <w:pPr>
        <w:rPr>
          <w:rFonts w:ascii="Arial" w:hAnsi="Arial" w:cs="Arial"/>
          <w:sz w:val="24"/>
          <w:szCs w:val="24"/>
        </w:rPr>
      </w:pPr>
      <w:r w:rsidRPr="00F618D8">
        <w:rPr>
          <w:rFonts w:ascii="Arial" w:hAnsi="Arial" w:cs="Arial"/>
          <w:sz w:val="24"/>
          <w:szCs w:val="24"/>
        </w:rPr>
        <w:t>UCEDDs</w:t>
      </w:r>
      <w:r w:rsidRPr="00F618D8">
        <w:rPr>
          <w:rFonts w:ascii="Arial" w:hAnsi="Arial" w:cs="Arial"/>
          <w:sz w:val="24"/>
          <w:szCs w:val="24"/>
        </w:rPr>
        <w:tab/>
        <w:t>University Centers for Excellence in Developmental Disabilities</w:t>
      </w:r>
    </w:p>
    <w:p w14:paraId="6F4A3AAD" w14:textId="77777777" w:rsidR="003B65F5" w:rsidRPr="00F618D8" w:rsidRDefault="003B65F5" w:rsidP="003B65F5">
      <w:pPr>
        <w:ind w:left="1440" w:hanging="1440"/>
        <w:rPr>
          <w:rFonts w:ascii="Arial" w:hAnsi="Arial" w:cs="Arial"/>
          <w:sz w:val="24"/>
          <w:szCs w:val="24"/>
        </w:rPr>
      </w:pPr>
      <w:r w:rsidRPr="00F618D8">
        <w:rPr>
          <w:rFonts w:ascii="Arial" w:hAnsi="Arial" w:cs="Arial"/>
          <w:sz w:val="24"/>
          <w:szCs w:val="24"/>
        </w:rPr>
        <w:t>UGCOPAA</w:t>
      </w:r>
      <w:r w:rsidRPr="00F618D8">
        <w:rPr>
          <w:rFonts w:ascii="Arial" w:hAnsi="Arial" w:cs="Arial"/>
          <w:sz w:val="24"/>
          <w:szCs w:val="24"/>
        </w:rPr>
        <w:tab/>
        <w:t xml:space="preserve">Uniform Guardianship, Conservatorship &amp; Other Protective </w:t>
      </w:r>
      <w:r w:rsidRPr="00F618D8">
        <w:rPr>
          <w:rFonts w:ascii="Arial" w:hAnsi="Arial" w:cs="Arial"/>
          <w:sz w:val="24"/>
          <w:szCs w:val="24"/>
        </w:rPr>
        <w:br/>
        <w:t>Arrangements Act</w:t>
      </w:r>
    </w:p>
    <w:p w14:paraId="0DB9E67A" w14:textId="77777777" w:rsidR="003B65F5" w:rsidRPr="00F618D8" w:rsidRDefault="003B65F5" w:rsidP="003B65F5">
      <w:pPr>
        <w:rPr>
          <w:rFonts w:ascii="Arial" w:hAnsi="Arial" w:cs="Arial"/>
          <w:sz w:val="24"/>
          <w:szCs w:val="24"/>
        </w:rPr>
      </w:pPr>
      <w:r w:rsidRPr="00F618D8">
        <w:rPr>
          <w:rFonts w:ascii="Arial" w:hAnsi="Arial" w:cs="Arial"/>
          <w:sz w:val="24"/>
          <w:szCs w:val="24"/>
        </w:rPr>
        <w:t>UGPPA</w:t>
      </w:r>
      <w:r w:rsidRPr="00F618D8">
        <w:rPr>
          <w:rFonts w:ascii="Arial" w:hAnsi="Arial" w:cs="Arial"/>
          <w:sz w:val="24"/>
          <w:szCs w:val="24"/>
        </w:rPr>
        <w:tab/>
      </w:r>
      <w:r w:rsidRPr="00F618D8">
        <w:rPr>
          <w:rFonts w:ascii="Arial" w:eastAsia="Arial" w:hAnsi="Arial" w:cs="Arial"/>
          <w:sz w:val="24"/>
          <w:szCs w:val="24"/>
        </w:rPr>
        <w:t>Uniform Guardianship and Protective Proceedings Act</w:t>
      </w:r>
    </w:p>
    <w:p w14:paraId="2FCB91E4" w14:textId="77777777" w:rsidR="003B65F5" w:rsidRPr="00F618D8" w:rsidRDefault="003B65F5" w:rsidP="003B65F5">
      <w:pPr>
        <w:rPr>
          <w:rFonts w:ascii="Arial" w:hAnsi="Arial" w:cs="Arial"/>
          <w:sz w:val="24"/>
          <w:szCs w:val="24"/>
        </w:rPr>
      </w:pPr>
      <w:r w:rsidRPr="00F618D8">
        <w:rPr>
          <w:rFonts w:ascii="Arial" w:hAnsi="Arial" w:cs="Arial"/>
          <w:sz w:val="24"/>
          <w:szCs w:val="24"/>
        </w:rPr>
        <w:t>VA</w:t>
      </w:r>
      <w:r w:rsidRPr="00F618D8">
        <w:rPr>
          <w:rFonts w:ascii="Arial" w:hAnsi="Arial" w:cs="Arial"/>
          <w:sz w:val="24"/>
          <w:szCs w:val="24"/>
        </w:rPr>
        <w:tab/>
      </w:r>
      <w:r w:rsidRPr="00F618D8">
        <w:rPr>
          <w:rFonts w:ascii="Arial" w:hAnsi="Arial" w:cs="Arial"/>
          <w:sz w:val="24"/>
          <w:szCs w:val="24"/>
        </w:rPr>
        <w:tab/>
        <w:t>U.S. Department of Veterans Affairs</w:t>
      </w:r>
    </w:p>
    <w:p w14:paraId="2FA89AD1" w14:textId="77777777" w:rsidR="003B65F5" w:rsidRPr="00F618D8" w:rsidRDefault="003B65F5" w:rsidP="003B65F5">
      <w:pPr>
        <w:rPr>
          <w:rFonts w:ascii="Arial" w:hAnsi="Arial" w:cs="Arial"/>
          <w:sz w:val="24"/>
          <w:szCs w:val="24"/>
        </w:rPr>
      </w:pPr>
      <w:r w:rsidRPr="00F618D8">
        <w:rPr>
          <w:rFonts w:ascii="Arial" w:hAnsi="Arial" w:cs="Arial"/>
          <w:sz w:val="24"/>
          <w:szCs w:val="24"/>
        </w:rPr>
        <w:t>WINGS</w:t>
      </w:r>
      <w:r w:rsidRPr="00F618D8">
        <w:rPr>
          <w:rFonts w:ascii="Arial" w:hAnsi="Arial" w:cs="Arial"/>
          <w:sz w:val="24"/>
          <w:szCs w:val="24"/>
        </w:rPr>
        <w:tab/>
        <w:t>Working Interdisciplinary Networks of Guardianship Stakeholders</w:t>
      </w:r>
    </w:p>
    <w:p w14:paraId="7248063C" w14:textId="77777777" w:rsidR="00371223" w:rsidRPr="00F618D8" w:rsidRDefault="00371223" w:rsidP="003B65F5">
      <w:pPr>
        <w:rPr>
          <w:rFonts w:ascii="Arial" w:hAnsi="Arial" w:cs="Arial"/>
          <w:sz w:val="24"/>
          <w:szCs w:val="24"/>
        </w:rPr>
      </w:pPr>
      <w:r w:rsidRPr="00F618D8">
        <w:rPr>
          <w:rFonts w:ascii="Arial" w:hAnsi="Arial" w:cs="Arial"/>
          <w:sz w:val="24"/>
          <w:szCs w:val="24"/>
        </w:rPr>
        <w:t>WIOA</w:t>
      </w:r>
      <w:r w:rsidRPr="00F618D8">
        <w:rPr>
          <w:rFonts w:ascii="Arial" w:hAnsi="Arial" w:cs="Arial"/>
          <w:sz w:val="24"/>
          <w:szCs w:val="24"/>
        </w:rPr>
        <w:tab/>
      </w:r>
      <w:r w:rsidRPr="00F618D8">
        <w:rPr>
          <w:rFonts w:ascii="Arial" w:hAnsi="Arial" w:cs="Arial"/>
          <w:sz w:val="24"/>
          <w:szCs w:val="24"/>
        </w:rPr>
        <w:tab/>
        <w:t>Workforce Innovation and Opportunity Act</w:t>
      </w:r>
    </w:p>
    <w:p w14:paraId="5024227C" w14:textId="77777777" w:rsidR="003B65F5" w:rsidRPr="00F618D8" w:rsidRDefault="003B65F5">
      <w:pPr>
        <w:rPr>
          <w:rFonts w:ascii="Arial" w:hAnsi="Arial" w:cs="Arial"/>
        </w:rPr>
      </w:pPr>
      <w:r w:rsidRPr="00F618D8">
        <w:rPr>
          <w:rFonts w:ascii="Arial" w:hAnsi="Arial" w:cs="Arial"/>
        </w:rPr>
        <w:br w:type="page"/>
      </w:r>
    </w:p>
    <w:p w14:paraId="15C890C3" w14:textId="0AEE9EAA" w:rsidR="00ED1CB1" w:rsidRPr="00F618D8" w:rsidRDefault="005E58FB" w:rsidP="00387358">
      <w:pPr>
        <w:pStyle w:val="Heading1"/>
        <w:rPr>
          <w:rFonts w:ascii="Arial" w:hAnsi="Arial" w:cs="Arial"/>
        </w:rPr>
      </w:pPr>
      <w:bookmarkStart w:id="28" w:name="_Toc10290949"/>
      <w:r w:rsidRPr="00F618D8">
        <w:rPr>
          <w:rFonts w:ascii="Arial" w:hAnsi="Arial" w:cs="Arial"/>
        </w:rPr>
        <w:lastRenderedPageBreak/>
        <w:t xml:space="preserve">Chapter 1: Introduction to </w:t>
      </w:r>
      <w:r w:rsidR="00927CD8" w:rsidRPr="00F618D8">
        <w:rPr>
          <w:rFonts w:ascii="Arial" w:hAnsi="Arial" w:cs="Arial"/>
        </w:rPr>
        <w:t>ID/DD,</w:t>
      </w:r>
      <w:r w:rsidRPr="00F618D8">
        <w:rPr>
          <w:rFonts w:ascii="Arial" w:hAnsi="Arial" w:cs="Arial"/>
        </w:rPr>
        <w:t xml:space="preserve">Guardianship, </w:t>
      </w:r>
      <w:r w:rsidR="00927CD8" w:rsidRPr="00F618D8">
        <w:rPr>
          <w:rFonts w:ascii="Arial" w:hAnsi="Arial" w:cs="Arial"/>
        </w:rPr>
        <w:t xml:space="preserve">and </w:t>
      </w:r>
      <w:r w:rsidRPr="00F618D8">
        <w:rPr>
          <w:rFonts w:ascii="Arial" w:hAnsi="Arial" w:cs="Arial"/>
        </w:rPr>
        <w:t>Alternatives</w:t>
      </w:r>
      <w:bookmarkEnd w:id="28"/>
    </w:p>
    <w:p w14:paraId="51C562D6" w14:textId="77777777" w:rsidR="00BE684F" w:rsidRPr="00F618D8" w:rsidRDefault="00BE684F" w:rsidP="00610EEF">
      <w:pPr>
        <w:pStyle w:val="Heading2"/>
        <w:rPr>
          <w:rFonts w:ascii="Arial" w:hAnsi="Arial" w:cs="Arial"/>
        </w:rPr>
      </w:pPr>
      <w:bookmarkStart w:id="29" w:name="_Toc10290950"/>
      <w:r w:rsidRPr="00F618D8">
        <w:rPr>
          <w:rFonts w:ascii="Arial" w:hAnsi="Arial" w:cs="Arial"/>
        </w:rPr>
        <w:t>People with Intellectual and Developmental Disabilities</w:t>
      </w:r>
      <w:bookmarkEnd w:id="29"/>
      <w:r w:rsidRPr="00F618D8">
        <w:rPr>
          <w:rFonts w:ascii="Arial" w:hAnsi="Arial" w:cs="Arial"/>
        </w:rPr>
        <w:t xml:space="preserve"> </w:t>
      </w:r>
    </w:p>
    <w:p w14:paraId="1C6D7FE4" w14:textId="77777777" w:rsidR="00BE684F" w:rsidRPr="00F618D8" w:rsidRDefault="00BE684F" w:rsidP="00610EEF">
      <w:pPr>
        <w:pStyle w:val="ParaNoIndent"/>
        <w:rPr>
          <w:rFonts w:ascii="Arial" w:hAnsi="Arial"/>
        </w:rPr>
      </w:pPr>
      <w:r w:rsidRPr="00F618D8">
        <w:rPr>
          <w:rFonts w:ascii="Arial" w:hAnsi="Arial"/>
        </w:rPr>
        <w:t>The group of people with disabilities addressed in this report are people with intellectual and/or developmental disabilities (ID/DD)</w:t>
      </w:r>
      <w:r w:rsidR="00AA1F92" w:rsidRPr="00F618D8">
        <w:rPr>
          <w:rFonts w:ascii="Arial" w:hAnsi="Arial"/>
        </w:rPr>
        <w:t xml:space="preserve">. </w:t>
      </w:r>
      <w:r w:rsidRPr="00F618D8">
        <w:rPr>
          <w:rFonts w:ascii="Arial" w:hAnsi="Arial"/>
        </w:rPr>
        <w:t>According to the American Association on Intellectual and Devel</w:t>
      </w:r>
      <w:r w:rsidR="003E2407" w:rsidRPr="00F618D8">
        <w:rPr>
          <w:rFonts w:ascii="Arial" w:hAnsi="Arial"/>
        </w:rPr>
        <w:t>opmental Disabilities (AAIDD):</w:t>
      </w:r>
      <w:r w:rsidRPr="00F618D8">
        <w:rPr>
          <w:rFonts w:ascii="Arial" w:hAnsi="Arial"/>
        </w:rPr>
        <w:t xml:space="preserve"> “</w:t>
      </w:r>
      <w:r w:rsidR="003E2407" w:rsidRPr="00F618D8">
        <w:rPr>
          <w:rFonts w:ascii="Arial" w:hAnsi="Arial"/>
        </w:rPr>
        <w:t>I</w:t>
      </w:r>
      <w:r w:rsidRPr="00F618D8">
        <w:rPr>
          <w:rFonts w:ascii="Arial" w:hAnsi="Arial"/>
        </w:rPr>
        <w:t>ntellectual disability is a disability characterized by significant limitations in both intellectual functioning and in adaptive behavior, which covers many everyday social and practical skills” and originates before the age of 18.</w:t>
      </w:r>
      <w:r w:rsidRPr="00F618D8">
        <w:rPr>
          <w:rStyle w:val="EndnoteReference"/>
          <w:rFonts w:ascii="Arial" w:hAnsi="Arial"/>
          <w:spacing w:val="-2"/>
          <w:szCs w:val="24"/>
        </w:rPr>
        <w:endnoteReference w:id="5"/>
      </w:r>
      <w:r w:rsidRPr="00F618D8">
        <w:rPr>
          <w:rFonts w:ascii="Arial" w:hAnsi="Arial"/>
        </w:rPr>
        <w:t xml:space="preserve">  Prior to 2010</w:t>
      </w:r>
      <w:r w:rsidR="009842BA" w:rsidRPr="00F618D8">
        <w:rPr>
          <w:rFonts w:ascii="Arial" w:hAnsi="Arial"/>
        </w:rPr>
        <w:t xml:space="preserve"> and the passage of federal legislation known as “Rosa’s Law,”</w:t>
      </w:r>
      <w:r w:rsidRPr="00F618D8">
        <w:rPr>
          <w:rFonts w:ascii="Arial" w:hAnsi="Arial"/>
        </w:rPr>
        <w:t xml:space="preserve"> intellectual disability was </w:t>
      </w:r>
      <w:r w:rsidR="003E2407" w:rsidRPr="00F618D8">
        <w:rPr>
          <w:rFonts w:ascii="Arial" w:hAnsi="Arial"/>
        </w:rPr>
        <w:t xml:space="preserve">generally </w:t>
      </w:r>
      <w:r w:rsidRPr="00F618D8">
        <w:rPr>
          <w:rFonts w:ascii="Arial" w:hAnsi="Arial"/>
        </w:rPr>
        <w:t>referred to as “mental retardation,” which advocates with disabil</w:t>
      </w:r>
      <w:r w:rsidR="00C46B9D" w:rsidRPr="00F618D8">
        <w:rPr>
          <w:rFonts w:ascii="Arial" w:hAnsi="Arial"/>
        </w:rPr>
        <w:t>ities now consider a pejorative</w:t>
      </w:r>
      <w:r w:rsidRPr="00F618D8">
        <w:rPr>
          <w:rFonts w:ascii="Arial" w:hAnsi="Arial"/>
        </w:rPr>
        <w:t>.</w:t>
      </w:r>
      <w:r w:rsidRPr="00F618D8">
        <w:rPr>
          <w:rStyle w:val="EndnoteReference"/>
          <w:rFonts w:ascii="Arial" w:hAnsi="Arial"/>
          <w:spacing w:val="-2"/>
          <w:szCs w:val="24"/>
        </w:rPr>
        <w:endnoteReference w:id="6"/>
      </w:r>
      <w:r w:rsidRPr="00F618D8">
        <w:rPr>
          <w:rFonts w:ascii="Arial" w:hAnsi="Arial"/>
        </w:rPr>
        <w:t xml:space="preserve"> </w:t>
      </w:r>
    </w:p>
    <w:p w14:paraId="2FD000A1" w14:textId="77777777" w:rsidR="00BE684F" w:rsidRPr="00F618D8" w:rsidRDefault="00BE684F" w:rsidP="00610EEF">
      <w:pPr>
        <w:pStyle w:val="ParaNoIndent"/>
        <w:rPr>
          <w:rFonts w:ascii="Arial" w:hAnsi="Arial"/>
        </w:rPr>
      </w:pPr>
      <w:r w:rsidRPr="00F618D8">
        <w:rPr>
          <w:rFonts w:ascii="Arial" w:hAnsi="Arial"/>
        </w:rPr>
        <w:t>While</w:t>
      </w:r>
      <w:r w:rsidR="007C33B5" w:rsidRPr="00F618D8">
        <w:rPr>
          <w:rFonts w:ascii="Arial" w:hAnsi="Arial"/>
        </w:rPr>
        <w:t xml:space="preserve"> </w:t>
      </w:r>
      <w:r w:rsidR="00C46B9D" w:rsidRPr="00F618D8">
        <w:rPr>
          <w:rFonts w:ascii="Arial" w:hAnsi="Arial"/>
        </w:rPr>
        <w:t xml:space="preserve">an </w:t>
      </w:r>
      <w:r w:rsidRPr="00F618D8">
        <w:rPr>
          <w:rFonts w:ascii="Arial" w:hAnsi="Arial"/>
        </w:rPr>
        <w:t xml:space="preserve">intellectual disability is usually considered </w:t>
      </w:r>
      <w:r w:rsidR="00C46B9D" w:rsidRPr="00F618D8">
        <w:rPr>
          <w:rFonts w:ascii="Arial" w:hAnsi="Arial"/>
        </w:rPr>
        <w:t xml:space="preserve">to be </w:t>
      </w:r>
      <w:r w:rsidRPr="00F618D8">
        <w:rPr>
          <w:rFonts w:ascii="Arial" w:hAnsi="Arial"/>
        </w:rPr>
        <w:t xml:space="preserve">a developmental disability, the term “developmental disabilities” </w:t>
      </w:r>
      <w:r w:rsidR="00C46B9D" w:rsidRPr="00F618D8">
        <w:rPr>
          <w:rFonts w:ascii="Arial" w:hAnsi="Arial"/>
        </w:rPr>
        <w:t xml:space="preserve">refers to </w:t>
      </w:r>
      <w:r w:rsidRPr="00F618D8">
        <w:rPr>
          <w:rFonts w:ascii="Arial" w:hAnsi="Arial"/>
        </w:rPr>
        <w:t xml:space="preserve">a broader </w:t>
      </w:r>
      <w:r w:rsidR="00C46B9D" w:rsidRPr="00F618D8">
        <w:rPr>
          <w:rFonts w:ascii="Arial" w:hAnsi="Arial"/>
        </w:rPr>
        <w:t>group</w:t>
      </w:r>
      <w:r w:rsidRPr="00F618D8">
        <w:rPr>
          <w:rFonts w:ascii="Arial" w:hAnsi="Arial"/>
        </w:rPr>
        <w:t xml:space="preserve"> of lifelong disabili</w:t>
      </w:r>
      <w:r w:rsidR="00C46B9D" w:rsidRPr="00F618D8">
        <w:rPr>
          <w:rFonts w:ascii="Arial" w:hAnsi="Arial"/>
        </w:rPr>
        <w:t>ties</w:t>
      </w:r>
      <w:r w:rsidRPr="00F618D8">
        <w:rPr>
          <w:rFonts w:ascii="Arial" w:hAnsi="Arial"/>
        </w:rPr>
        <w:t xml:space="preserve"> that can be intellectual, physical, or both</w:t>
      </w:r>
      <w:r w:rsidR="00AA1F92" w:rsidRPr="00F618D8">
        <w:rPr>
          <w:rFonts w:ascii="Arial" w:hAnsi="Arial"/>
        </w:rPr>
        <w:t xml:space="preserve">. </w:t>
      </w:r>
      <w:r w:rsidRPr="00F618D8">
        <w:rPr>
          <w:rFonts w:ascii="Arial" w:hAnsi="Arial"/>
        </w:rPr>
        <w:t xml:space="preserve">Federal law defines developmental disabilities as:  </w:t>
      </w:r>
    </w:p>
    <w:p w14:paraId="59B5002C" w14:textId="77777777" w:rsidR="00BE684F" w:rsidRPr="00F618D8" w:rsidRDefault="00BE684F" w:rsidP="00610EEF">
      <w:pPr>
        <w:pStyle w:val="ParaNoIndent"/>
        <w:rPr>
          <w:rFonts w:ascii="Arial" w:hAnsi="Arial"/>
        </w:rPr>
      </w:pPr>
      <w:r w:rsidRPr="00F618D8">
        <w:rPr>
          <w:rFonts w:ascii="Arial" w:hAnsi="Arial"/>
        </w:rPr>
        <w:t>A severe, chronic disability of an individual that: (i) is attributable to a mental or physical impairment or combination of mental and physical impairments; (ii) is manifested before the individual attains age 22; (iii) is likely to continue indefinitely; (iv) results in substantial functional limitations in 3 or more of the following areas of major life activity: (I) [s]elf-care; (II) [r]eceptive and expressive language; (III) [l]earning; (IV) [m]obility; (V) [s]elf-direction; (VI) [c]apacity for independent living; (VII) [e]conomic self-sufficiency; and (v) reflects the individual’s need for a combination and sequence of special, interdisciplinary, or generic services, individualized supports, or other forms of assistance that are of lifelong or extended duration and are individually planned and coordinated.</w:t>
      </w:r>
      <w:r w:rsidRPr="00F618D8">
        <w:rPr>
          <w:rStyle w:val="EndnoteReference"/>
          <w:rFonts w:ascii="Arial" w:hAnsi="Arial"/>
          <w:spacing w:val="-2"/>
          <w:szCs w:val="24"/>
        </w:rPr>
        <w:endnoteReference w:id="7"/>
      </w:r>
      <w:r w:rsidRPr="00F618D8">
        <w:rPr>
          <w:rFonts w:ascii="Arial" w:hAnsi="Arial"/>
        </w:rPr>
        <w:t xml:space="preserve">  </w:t>
      </w:r>
    </w:p>
    <w:p w14:paraId="0FD4701A" w14:textId="77777777" w:rsidR="00BE684F" w:rsidRPr="00F618D8" w:rsidRDefault="00BE684F" w:rsidP="00610EEF">
      <w:pPr>
        <w:pStyle w:val="ParaNoIndent"/>
        <w:rPr>
          <w:rFonts w:ascii="Arial" w:hAnsi="Arial"/>
        </w:rPr>
      </w:pPr>
      <w:r w:rsidRPr="00F618D8">
        <w:rPr>
          <w:rFonts w:ascii="Arial" w:hAnsi="Arial"/>
        </w:rPr>
        <w:t xml:space="preserve">Depending on their functional impact, examples of developmental disabilities under this federal definition may include intellectual disability, autism, cerebral palsy, Down syndrome, </w:t>
      </w:r>
      <w:r w:rsidR="009F790B" w:rsidRPr="00F618D8">
        <w:rPr>
          <w:rFonts w:ascii="Arial" w:hAnsi="Arial"/>
        </w:rPr>
        <w:t>f</w:t>
      </w:r>
      <w:r w:rsidRPr="00F618D8">
        <w:rPr>
          <w:rFonts w:ascii="Arial" w:hAnsi="Arial"/>
        </w:rPr>
        <w:t>ragile X</w:t>
      </w:r>
      <w:r w:rsidR="009F790B" w:rsidRPr="00F618D8">
        <w:rPr>
          <w:rFonts w:ascii="Arial" w:hAnsi="Arial"/>
        </w:rPr>
        <w:t xml:space="preserve"> syndrome</w:t>
      </w:r>
      <w:r w:rsidRPr="00F618D8">
        <w:rPr>
          <w:rFonts w:ascii="Arial" w:hAnsi="Arial"/>
        </w:rPr>
        <w:t xml:space="preserve">, fetal alcohol syndrome, spina bifida, and brain injuries occurring before the age of 22, </w:t>
      </w:r>
      <w:r w:rsidR="009842BA" w:rsidRPr="00F618D8">
        <w:rPr>
          <w:rFonts w:ascii="Arial" w:hAnsi="Arial"/>
        </w:rPr>
        <w:t>among other disabilities</w:t>
      </w:r>
      <w:r w:rsidRPr="00F618D8">
        <w:rPr>
          <w:rFonts w:ascii="Arial" w:hAnsi="Arial"/>
        </w:rPr>
        <w:t>.</w:t>
      </w:r>
    </w:p>
    <w:p w14:paraId="63DD604C" w14:textId="77777777" w:rsidR="00C46B9D" w:rsidRPr="00F618D8" w:rsidRDefault="00BE684F" w:rsidP="00610EEF">
      <w:pPr>
        <w:pStyle w:val="ParaNoIndent"/>
        <w:rPr>
          <w:rFonts w:ascii="Arial" w:hAnsi="Arial"/>
        </w:rPr>
      </w:pPr>
      <w:bookmarkStart w:id="30" w:name="_Hlk5189840"/>
      <w:r w:rsidRPr="00F618D8">
        <w:rPr>
          <w:rFonts w:ascii="Arial" w:hAnsi="Arial"/>
        </w:rPr>
        <w:lastRenderedPageBreak/>
        <w:t>People with ID/DD have been the target of stigma, segregation, and low expectations throughout history</w:t>
      </w:r>
      <w:r w:rsidR="00AA1F92" w:rsidRPr="00F618D8">
        <w:rPr>
          <w:rFonts w:ascii="Arial" w:hAnsi="Arial"/>
        </w:rPr>
        <w:t>.</w:t>
      </w:r>
      <w:bookmarkEnd w:id="30"/>
      <w:r w:rsidR="00AA1F92" w:rsidRPr="00F618D8">
        <w:rPr>
          <w:rFonts w:ascii="Arial" w:hAnsi="Arial"/>
        </w:rPr>
        <w:t xml:space="preserve"> </w:t>
      </w:r>
      <w:r w:rsidR="00EE7E1C" w:rsidRPr="00F618D8">
        <w:rPr>
          <w:rFonts w:ascii="Arial" w:hAnsi="Arial"/>
        </w:rPr>
        <w:t>It was a widely held belief that</w:t>
      </w:r>
      <w:r w:rsidRPr="00F618D8">
        <w:rPr>
          <w:rFonts w:ascii="Arial" w:hAnsi="Arial"/>
        </w:rPr>
        <w:t xml:space="preserve"> people</w:t>
      </w:r>
      <w:r w:rsidR="00EE7E1C" w:rsidRPr="00F618D8">
        <w:rPr>
          <w:rFonts w:ascii="Arial" w:hAnsi="Arial"/>
        </w:rPr>
        <w:t xml:space="preserve"> with</w:t>
      </w:r>
      <w:r w:rsidRPr="00F618D8">
        <w:rPr>
          <w:rFonts w:ascii="Arial" w:hAnsi="Arial"/>
        </w:rPr>
        <w:t xml:space="preserve"> </w:t>
      </w:r>
      <w:r w:rsidR="00C46B9D" w:rsidRPr="00F618D8">
        <w:rPr>
          <w:rFonts w:ascii="Arial" w:hAnsi="Arial"/>
        </w:rPr>
        <w:t>ID/DD</w:t>
      </w:r>
      <w:r w:rsidRPr="00F618D8">
        <w:rPr>
          <w:rFonts w:ascii="Arial" w:hAnsi="Arial"/>
        </w:rPr>
        <w:t xml:space="preserve"> were</w:t>
      </w:r>
      <w:r w:rsidR="00EE7E1C" w:rsidRPr="00F618D8">
        <w:rPr>
          <w:rFonts w:ascii="Arial" w:hAnsi="Arial"/>
        </w:rPr>
        <w:t xml:space="preserve"> unable</w:t>
      </w:r>
      <w:r w:rsidRPr="00F618D8">
        <w:rPr>
          <w:rFonts w:ascii="Arial" w:hAnsi="Arial"/>
        </w:rPr>
        <w:t xml:space="preserve"> to benefit from typical life experiences or contribute to society in any meaningful way</w:t>
      </w:r>
      <w:r w:rsidR="00AA1F92" w:rsidRPr="00F618D8">
        <w:rPr>
          <w:rFonts w:ascii="Arial" w:hAnsi="Arial"/>
        </w:rPr>
        <w:t xml:space="preserve">. </w:t>
      </w:r>
      <w:r w:rsidRPr="00F618D8">
        <w:rPr>
          <w:rFonts w:ascii="Arial" w:hAnsi="Arial"/>
        </w:rPr>
        <w:t xml:space="preserve">It </w:t>
      </w:r>
      <w:r w:rsidR="003E2407" w:rsidRPr="00F618D8">
        <w:rPr>
          <w:rFonts w:ascii="Arial" w:hAnsi="Arial"/>
        </w:rPr>
        <w:t>also was</w:t>
      </w:r>
      <w:r w:rsidRPr="00F618D8">
        <w:rPr>
          <w:rFonts w:ascii="Arial" w:hAnsi="Arial"/>
        </w:rPr>
        <w:t xml:space="preserve"> believed </w:t>
      </w:r>
      <w:r w:rsidR="00C46B9D" w:rsidRPr="00F618D8">
        <w:rPr>
          <w:rFonts w:ascii="Arial" w:hAnsi="Arial"/>
        </w:rPr>
        <w:t xml:space="preserve">that </w:t>
      </w:r>
      <w:r w:rsidRPr="00F618D8">
        <w:rPr>
          <w:rFonts w:ascii="Arial" w:hAnsi="Arial"/>
        </w:rPr>
        <w:t xml:space="preserve">people </w:t>
      </w:r>
      <w:r w:rsidR="009842BA" w:rsidRPr="00F618D8">
        <w:rPr>
          <w:rFonts w:ascii="Arial" w:hAnsi="Arial"/>
        </w:rPr>
        <w:t xml:space="preserve">with ID/DD </w:t>
      </w:r>
      <w:r w:rsidRPr="00F618D8">
        <w:rPr>
          <w:rFonts w:ascii="Arial" w:hAnsi="Arial"/>
        </w:rPr>
        <w:t xml:space="preserve">needed </w:t>
      </w:r>
      <w:r w:rsidR="009842BA" w:rsidRPr="00F618D8">
        <w:rPr>
          <w:rFonts w:ascii="Arial" w:hAnsi="Arial"/>
        </w:rPr>
        <w:t xml:space="preserve">high </w:t>
      </w:r>
      <w:r w:rsidRPr="00F618D8">
        <w:rPr>
          <w:rFonts w:ascii="Arial" w:hAnsi="Arial"/>
        </w:rPr>
        <w:t>levels of supervision and protection throughout their lifetime</w:t>
      </w:r>
      <w:r w:rsidR="00C46B9D" w:rsidRPr="00F618D8">
        <w:rPr>
          <w:rFonts w:ascii="Arial" w:hAnsi="Arial"/>
        </w:rPr>
        <w:t>s</w:t>
      </w:r>
      <w:r w:rsidR="00AA1F92" w:rsidRPr="00F618D8">
        <w:rPr>
          <w:rFonts w:ascii="Arial" w:hAnsi="Arial"/>
        </w:rPr>
        <w:t xml:space="preserve">. </w:t>
      </w:r>
      <w:r w:rsidRPr="00F618D8">
        <w:rPr>
          <w:rFonts w:ascii="Arial" w:hAnsi="Arial"/>
        </w:rPr>
        <w:t>These beliefs led to people being denied opportunities for education, confined to institutions</w:t>
      </w:r>
      <w:r w:rsidR="001017B7" w:rsidRPr="00F618D8">
        <w:rPr>
          <w:rFonts w:ascii="Arial" w:hAnsi="Arial"/>
        </w:rPr>
        <w:t>,</w:t>
      </w:r>
      <w:r w:rsidRPr="00F618D8">
        <w:rPr>
          <w:rFonts w:ascii="Arial" w:hAnsi="Arial"/>
        </w:rPr>
        <w:t xml:space="preserve"> and being placed under guardianship primarily based on the presence of a</w:t>
      </w:r>
      <w:r w:rsidR="001017B7" w:rsidRPr="00F618D8">
        <w:rPr>
          <w:rFonts w:ascii="Arial" w:hAnsi="Arial"/>
        </w:rPr>
        <w:t>n ID/DD-related</w:t>
      </w:r>
      <w:r w:rsidRPr="00F618D8">
        <w:rPr>
          <w:rFonts w:ascii="Arial" w:hAnsi="Arial"/>
        </w:rPr>
        <w:t xml:space="preserve"> diagnosis</w:t>
      </w:r>
      <w:r w:rsidR="00AA1F92" w:rsidRPr="00F618D8">
        <w:rPr>
          <w:rFonts w:ascii="Arial" w:hAnsi="Arial"/>
        </w:rPr>
        <w:t xml:space="preserve">. </w:t>
      </w:r>
    </w:p>
    <w:p w14:paraId="3EC42F0F" w14:textId="77777777" w:rsidR="00BE684F" w:rsidRPr="00F618D8" w:rsidRDefault="00BE684F" w:rsidP="00610EEF">
      <w:pPr>
        <w:pStyle w:val="ParaNoIndent"/>
        <w:rPr>
          <w:rFonts w:ascii="Arial" w:hAnsi="Arial"/>
        </w:rPr>
      </w:pPr>
      <w:r w:rsidRPr="00F618D8">
        <w:rPr>
          <w:rFonts w:ascii="Arial" w:hAnsi="Arial"/>
        </w:rPr>
        <w:t>While some of these beliefs and practices persist today, significant progress has been made in the past 50 years</w:t>
      </w:r>
      <w:r w:rsidR="00AA1F92" w:rsidRPr="00F618D8">
        <w:rPr>
          <w:rFonts w:ascii="Arial" w:hAnsi="Arial"/>
        </w:rPr>
        <w:t xml:space="preserve">. </w:t>
      </w:r>
      <w:r w:rsidRPr="00F618D8">
        <w:rPr>
          <w:rFonts w:ascii="Arial" w:hAnsi="Arial"/>
        </w:rPr>
        <w:t xml:space="preserve">The passage of </w:t>
      </w:r>
      <w:r w:rsidR="00FA3FEB" w:rsidRPr="00F618D8">
        <w:rPr>
          <w:rFonts w:ascii="Arial" w:hAnsi="Arial"/>
        </w:rPr>
        <w:t xml:space="preserve">IDEA </w:t>
      </w:r>
      <w:r w:rsidRPr="00F618D8">
        <w:rPr>
          <w:rFonts w:ascii="Arial" w:hAnsi="Arial"/>
        </w:rPr>
        <w:t>(then known as the Education for All Handicapped Children Act) in 1975 and the</w:t>
      </w:r>
      <w:r w:rsidR="000E56DD" w:rsidRPr="00F618D8">
        <w:rPr>
          <w:rFonts w:ascii="Arial" w:hAnsi="Arial"/>
        </w:rPr>
        <w:t xml:space="preserve"> ADA</w:t>
      </w:r>
      <w:r w:rsidRPr="00F618D8">
        <w:rPr>
          <w:rFonts w:ascii="Arial" w:hAnsi="Arial"/>
        </w:rPr>
        <w:t xml:space="preserve"> in 1990 were supported by new beliefs about the potential for people </w:t>
      </w:r>
      <w:r w:rsidR="00C46B9D" w:rsidRPr="00F618D8">
        <w:rPr>
          <w:rFonts w:ascii="Arial" w:hAnsi="Arial"/>
        </w:rPr>
        <w:t xml:space="preserve">with ID/DD </w:t>
      </w:r>
      <w:r w:rsidRPr="00F618D8">
        <w:rPr>
          <w:rFonts w:ascii="Arial" w:hAnsi="Arial"/>
        </w:rPr>
        <w:t xml:space="preserve">to learn, grow, and contribute </w:t>
      </w:r>
      <w:r w:rsidR="00C46B9D" w:rsidRPr="00F618D8">
        <w:rPr>
          <w:rFonts w:ascii="Arial" w:hAnsi="Arial"/>
        </w:rPr>
        <w:t xml:space="preserve">to society, </w:t>
      </w:r>
      <w:r w:rsidR="001650C8" w:rsidRPr="00F618D8">
        <w:rPr>
          <w:rFonts w:ascii="Arial" w:hAnsi="Arial"/>
        </w:rPr>
        <w:t>including</w:t>
      </w:r>
      <w:r w:rsidRPr="00F618D8">
        <w:rPr>
          <w:rFonts w:ascii="Arial" w:hAnsi="Arial"/>
        </w:rPr>
        <w:t xml:space="preserve"> equal access to education and human rights</w:t>
      </w:r>
      <w:r w:rsidR="00AA1F92" w:rsidRPr="00F618D8">
        <w:rPr>
          <w:rFonts w:ascii="Arial" w:hAnsi="Arial"/>
        </w:rPr>
        <w:t xml:space="preserve">. </w:t>
      </w:r>
      <w:r w:rsidRPr="00F618D8">
        <w:rPr>
          <w:rFonts w:ascii="Arial" w:hAnsi="Arial"/>
        </w:rPr>
        <w:t xml:space="preserve">People with ID/DD </w:t>
      </w:r>
      <w:r w:rsidR="00C46B9D" w:rsidRPr="00F618D8">
        <w:rPr>
          <w:rFonts w:ascii="Arial" w:hAnsi="Arial"/>
        </w:rPr>
        <w:t xml:space="preserve">now </w:t>
      </w:r>
      <w:r w:rsidRPr="00F618D8">
        <w:rPr>
          <w:rFonts w:ascii="Arial" w:hAnsi="Arial"/>
        </w:rPr>
        <w:t>are breaking down many of the old stereotypes with support from improved medical knowledge, access to education and technology, and opportunities for full community inclusion and participation</w:t>
      </w:r>
      <w:r w:rsidR="00AA1F92" w:rsidRPr="00F618D8">
        <w:rPr>
          <w:rFonts w:ascii="Arial" w:hAnsi="Arial"/>
        </w:rPr>
        <w:t xml:space="preserve">. </w:t>
      </w:r>
    </w:p>
    <w:p w14:paraId="074E1810" w14:textId="77777777" w:rsidR="00BE684F" w:rsidRPr="00F618D8" w:rsidRDefault="00BE684F" w:rsidP="00610EEF">
      <w:pPr>
        <w:pStyle w:val="Heading2"/>
        <w:rPr>
          <w:rFonts w:ascii="Arial" w:hAnsi="Arial" w:cs="Arial"/>
        </w:rPr>
      </w:pPr>
      <w:bookmarkStart w:id="31" w:name="_Toc10290951"/>
      <w:r w:rsidRPr="00F618D8">
        <w:rPr>
          <w:rFonts w:ascii="Arial" w:hAnsi="Arial" w:cs="Arial"/>
        </w:rPr>
        <w:t>Debunking Myths of Intelligence Testing of People with ID/DD</w:t>
      </w:r>
      <w:bookmarkEnd w:id="31"/>
    </w:p>
    <w:p w14:paraId="59FDC779" w14:textId="77777777" w:rsidR="00BE684F" w:rsidRPr="00F618D8" w:rsidRDefault="005924B9" w:rsidP="00610EEF">
      <w:pPr>
        <w:pStyle w:val="ParaNoIndent"/>
        <w:rPr>
          <w:rFonts w:ascii="Arial" w:hAnsi="Arial"/>
        </w:rPr>
      </w:pPr>
      <w:r w:rsidRPr="00F618D8">
        <w:rPr>
          <w:rFonts w:ascii="Arial" w:hAnsi="Arial"/>
        </w:rPr>
        <w:t>Diagnosing</w:t>
      </w:r>
      <w:r w:rsidR="00C46B9D" w:rsidRPr="00F618D8">
        <w:rPr>
          <w:rFonts w:ascii="Arial" w:hAnsi="Arial"/>
        </w:rPr>
        <w:t xml:space="preserve"> ID/DD</w:t>
      </w:r>
      <w:r w:rsidR="00BE684F" w:rsidRPr="00F618D8">
        <w:rPr>
          <w:rFonts w:ascii="Arial" w:hAnsi="Arial"/>
        </w:rPr>
        <w:t xml:space="preserve"> frequently involve</w:t>
      </w:r>
      <w:r w:rsidR="00C46B9D" w:rsidRPr="00F618D8">
        <w:rPr>
          <w:rFonts w:ascii="Arial" w:hAnsi="Arial"/>
        </w:rPr>
        <w:t>s</w:t>
      </w:r>
      <w:r w:rsidR="00BE684F" w:rsidRPr="00F618D8">
        <w:rPr>
          <w:rFonts w:ascii="Arial" w:hAnsi="Arial"/>
        </w:rPr>
        <w:t xml:space="preserve"> some sort of testing</w:t>
      </w:r>
      <w:r w:rsidR="00AA1F92" w:rsidRPr="00F618D8">
        <w:rPr>
          <w:rFonts w:ascii="Arial" w:hAnsi="Arial"/>
        </w:rPr>
        <w:t xml:space="preserve">. </w:t>
      </w:r>
      <w:r w:rsidR="00C46B9D" w:rsidRPr="00F618D8">
        <w:rPr>
          <w:rFonts w:ascii="Arial" w:hAnsi="Arial"/>
        </w:rPr>
        <w:t xml:space="preserve">This testing usually includes tests of </w:t>
      </w:r>
      <w:r w:rsidR="00BE684F" w:rsidRPr="00F618D8">
        <w:rPr>
          <w:rFonts w:ascii="Arial" w:hAnsi="Arial"/>
        </w:rPr>
        <w:t>intellectual functioning</w:t>
      </w:r>
      <w:r w:rsidR="00AA1F92" w:rsidRPr="00F618D8">
        <w:rPr>
          <w:rFonts w:ascii="Arial" w:hAnsi="Arial"/>
        </w:rPr>
        <w:t xml:space="preserve">. </w:t>
      </w:r>
      <w:r w:rsidR="00BE684F" w:rsidRPr="00F618D8">
        <w:rPr>
          <w:rFonts w:ascii="Arial" w:hAnsi="Arial"/>
        </w:rPr>
        <w:t xml:space="preserve">A person’s intellectual functioning is generally determined by the demonstration of certain skills such as the ability to reason, solve problems, and navigate through </w:t>
      </w:r>
      <w:r w:rsidR="00DA736B" w:rsidRPr="00F618D8">
        <w:rPr>
          <w:rFonts w:ascii="Arial" w:hAnsi="Arial"/>
        </w:rPr>
        <w:t>a variety of life situations</w:t>
      </w:r>
      <w:r w:rsidR="00AA1F92" w:rsidRPr="00F618D8">
        <w:rPr>
          <w:rFonts w:ascii="Arial" w:hAnsi="Arial"/>
        </w:rPr>
        <w:t xml:space="preserve">. </w:t>
      </w:r>
      <w:r w:rsidR="00BE684F" w:rsidRPr="00F618D8">
        <w:rPr>
          <w:rFonts w:ascii="Arial" w:hAnsi="Arial"/>
        </w:rPr>
        <w:t>Although intelligence testing has</w:t>
      </w:r>
      <w:r w:rsidR="00C46B9D" w:rsidRPr="00F618D8">
        <w:rPr>
          <w:rFonts w:ascii="Arial" w:hAnsi="Arial"/>
        </w:rPr>
        <w:t xml:space="preserve"> existed </w:t>
      </w:r>
      <w:r w:rsidR="00BE684F" w:rsidRPr="00F618D8">
        <w:rPr>
          <w:rFonts w:ascii="Arial" w:hAnsi="Arial"/>
        </w:rPr>
        <w:t>since the early 1900s, there has been much controversy within the field of psychology about whether the testing actually measures “intelligence</w:t>
      </w:r>
      <w:r w:rsidR="00AA1F92" w:rsidRPr="00F618D8">
        <w:rPr>
          <w:rFonts w:ascii="Arial" w:hAnsi="Arial"/>
        </w:rPr>
        <w:t xml:space="preserve">.” </w:t>
      </w:r>
      <w:r w:rsidR="00BE684F" w:rsidRPr="00F618D8">
        <w:rPr>
          <w:rFonts w:ascii="Arial" w:hAnsi="Arial"/>
        </w:rPr>
        <w:t xml:space="preserve">One of the first </w:t>
      </w:r>
      <w:r w:rsidRPr="00F618D8">
        <w:rPr>
          <w:rFonts w:ascii="Arial" w:hAnsi="Arial"/>
        </w:rPr>
        <w:t>of these</w:t>
      </w:r>
      <w:r w:rsidR="00BE684F" w:rsidRPr="00F618D8">
        <w:rPr>
          <w:rFonts w:ascii="Arial" w:hAnsi="Arial"/>
        </w:rPr>
        <w:t xml:space="preserve"> tests</w:t>
      </w:r>
      <w:r w:rsidR="00C46B9D" w:rsidRPr="00F618D8">
        <w:rPr>
          <w:rFonts w:ascii="Arial" w:hAnsi="Arial"/>
        </w:rPr>
        <w:t>,</w:t>
      </w:r>
      <w:r w:rsidR="00BE684F" w:rsidRPr="00F618D8">
        <w:rPr>
          <w:rFonts w:ascii="Arial" w:hAnsi="Arial"/>
        </w:rPr>
        <w:t xml:space="preserve"> designed by Alfred Binet</w:t>
      </w:r>
      <w:r w:rsidR="00C46B9D" w:rsidRPr="00F618D8">
        <w:rPr>
          <w:rFonts w:ascii="Arial" w:hAnsi="Arial"/>
        </w:rPr>
        <w:t>,</w:t>
      </w:r>
      <w:r w:rsidR="00BE684F" w:rsidRPr="00F618D8">
        <w:rPr>
          <w:rFonts w:ascii="Arial" w:hAnsi="Arial"/>
        </w:rPr>
        <w:t xml:space="preserve"> was</w:t>
      </w:r>
      <w:r w:rsidR="00C46B9D" w:rsidRPr="00F618D8">
        <w:rPr>
          <w:rFonts w:ascii="Arial" w:hAnsi="Arial"/>
        </w:rPr>
        <w:t xml:space="preserve"> </w:t>
      </w:r>
      <w:r w:rsidR="00BE684F" w:rsidRPr="00F618D8">
        <w:rPr>
          <w:rFonts w:ascii="Arial" w:hAnsi="Arial"/>
        </w:rPr>
        <w:t xml:space="preserve">intended to identify children who might need extra assistance with learning, </w:t>
      </w:r>
      <w:r w:rsidR="00C46B9D" w:rsidRPr="00F618D8">
        <w:rPr>
          <w:rFonts w:ascii="Arial" w:hAnsi="Arial"/>
        </w:rPr>
        <w:t xml:space="preserve">and was not intended to </w:t>
      </w:r>
      <w:r w:rsidR="00BE684F" w:rsidRPr="00F618D8">
        <w:rPr>
          <w:rFonts w:ascii="Arial" w:hAnsi="Arial"/>
        </w:rPr>
        <w:t>measure intelligence</w:t>
      </w:r>
      <w:r w:rsidR="00AA1F92" w:rsidRPr="00F618D8">
        <w:rPr>
          <w:rFonts w:ascii="Arial" w:hAnsi="Arial"/>
        </w:rPr>
        <w:t xml:space="preserve">. </w:t>
      </w:r>
      <w:r w:rsidR="00BE684F" w:rsidRPr="00F618D8">
        <w:rPr>
          <w:rFonts w:ascii="Arial" w:hAnsi="Arial"/>
        </w:rPr>
        <w:t>Although Binet believed that intelligence was not fixed and could change over time, future tests building on his original work were developed by peo</w:t>
      </w:r>
      <w:r w:rsidR="00DA736B" w:rsidRPr="00F618D8">
        <w:rPr>
          <w:rFonts w:ascii="Arial" w:hAnsi="Arial"/>
        </w:rPr>
        <w:t xml:space="preserve">ple who believed </w:t>
      </w:r>
      <w:r w:rsidRPr="00F618D8">
        <w:rPr>
          <w:rFonts w:ascii="Arial" w:hAnsi="Arial"/>
        </w:rPr>
        <w:t>differently</w:t>
      </w:r>
      <w:r w:rsidR="00AA1F92" w:rsidRPr="00F618D8">
        <w:rPr>
          <w:rFonts w:ascii="Arial" w:hAnsi="Arial"/>
        </w:rPr>
        <w:t xml:space="preserve">. </w:t>
      </w:r>
      <w:r w:rsidR="00BE684F" w:rsidRPr="00F618D8">
        <w:rPr>
          <w:rFonts w:ascii="Arial" w:hAnsi="Arial"/>
        </w:rPr>
        <w:t xml:space="preserve">These subsequent tests were frequently used to identify people who were </w:t>
      </w:r>
      <w:r w:rsidR="00C46B9D" w:rsidRPr="00F618D8">
        <w:rPr>
          <w:rFonts w:ascii="Arial" w:hAnsi="Arial"/>
        </w:rPr>
        <w:t xml:space="preserve">considered </w:t>
      </w:r>
      <w:r w:rsidR="00BE684F" w:rsidRPr="00F618D8">
        <w:rPr>
          <w:rFonts w:ascii="Arial" w:hAnsi="Arial"/>
        </w:rPr>
        <w:t xml:space="preserve">less capable and therefore </w:t>
      </w:r>
      <w:r w:rsidR="00C46B9D" w:rsidRPr="00F618D8">
        <w:rPr>
          <w:rFonts w:ascii="Arial" w:hAnsi="Arial"/>
        </w:rPr>
        <w:t xml:space="preserve">somehow </w:t>
      </w:r>
      <w:r w:rsidR="00DA736B" w:rsidRPr="00F618D8">
        <w:rPr>
          <w:rFonts w:ascii="Arial" w:hAnsi="Arial"/>
        </w:rPr>
        <w:t>inferior in society</w:t>
      </w:r>
      <w:r w:rsidR="00AA1F92" w:rsidRPr="00F618D8">
        <w:rPr>
          <w:rFonts w:ascii="Arial" w:hAnsi="Arial"/>
        </w:rPr>
        <w:t xml:space="preserve">. </w:t>
      </w:r>
      <w:r w:rsidR="00BE684F" w:rsidRPr="00F618D8">
        <w:rPr>
          <w:rFonts w:ascii="Arial" w:hAnsi="Arial"/>
        </w:rPr>
        <w:t xml:space="preserve">This had the greatest impact on people with ID/DD during what is known as the “eugenics era,” </w:t>
      </w:r>
      <w:r w:rsidR="00BE684F" w:rsidRPr="00F618D8">
        <w:rPr>
          <w:rFonts w:ascii="Arial" w:hAnsi="Arial"/>
        </w:rPr>
        <w:lastRenderedPageBreak/>
        <w:t>where people who were identified as “feeble minded” based on intelligence testing were removed from society, sterilized, and sent to institutions</w:t>
      </w:r>
      <w:r w:rsidR="00AA1F92" w:rsidRPr="00F618D8">
        <w:rPr>
          <w:rFonts w:ascii="Arial" w:hAnsi="Arial"/>
        </w:rPr>
        <w:t xml:space="preserve">. </w:t>
      </w:r>
    </w:p>
    <w:p w14:paraId="77DA467E" w14:textId="77777777" w:rsidR="00BE684F" w:rsidRPr="00F618D8" w:rsidRDefault="00BE684F" w:rsidP="00610EEF">
      <w:pPr>
        <w:pStyle w:val="ParaNoIndent"/>
        <w:rPr>
          <w:rFonts w:ascii="Arial" w:hAnsi="Arial"/>
        </w:rPr>
      </w:pPr>
      <w:r w:rsidRPr="00F618D8">
        <w:rPr>
          <w:rFonts w:ascii="Arial" w:hAnsi="Arial"/>
        </w:rPr>
        <w:t xml:space="preserve">While significant scientific debate about the usefulness and meaning of intelligence testing continues </w:t>
      </w:r>
      <w:r w:rsidR="005924B9" w:rsidRPr="00F618D8">
        <w:rPr>
          <w:rFonts w:ascii="Arial" w:hAnsi="Arial"/>
        </w:rPr>
        <w:t xml:space="preserve">within the field of psychology </w:t>
      </w:r>
      <w:r w:rsidRPr="00F618D8">
        <w:rPr>
          <w:rFonts w:ascii="Arial" w:hAnsi="Arial"/>
        </w:rPr>
        <w:t xml:space="preserve">today, </w:t>
      </w:r>
      <w:r w:rsidR="00C46B9D" w:rsidRPr="00F618D8">
        <w:rPr>
          <w:rFonts w:ascii="Arial" w:hAnsi="Arial"/>
        </w:rPr>
        <w:t>t</w:t>
      </w:r>
      <w:r w:rsidR="005924B9" w:rsidRPr="00F618D8">
        <w:rPr>
          <w:rFonts w:ascii="Arial" w:hAnsi="Arial"/>
        </w:rPr>
        <w:t>he greater practical problem is the general misconceptions of such testing by lay and legal communities</w:t>
      </w:r>
      <w:r w:rsidR="00AA1F92" w:rsidRPr="00F618D8">
        <w:rPr>
          <w:rFonts w:ascii="Arial" w:hAnsi="Arial"/>
        </w:rPr>
        <w:t xml:space="preserve">. </w:t>
      </w:r>
      <w:r w:rsidRPr="00F618D8">
        <w:rPr>
          <w:rFonts w:ascii="Arial" w:hAnsi="Arial"/>
        </w:rPr>
        <w:t>The Intelligence Quotient or “IQ” score that is produced by various tests is often misconstrued to be a measure of a how well a person’s brain works, as well as their potential for learning in the future</w:t>
      </w:r>
      <w:r w:rsidR="00AA1F92" w:rsidRPr="00F618D8">
        <w:rPr>
          <w:rFonts w:ascii="Arial" w:hAnsi="Arial"/>
        </w:rPr>
        <w:t xml:space="preserve">. </w:t>
      </w:r>
      <w:r w:rsidRPr="00F618D8">
        <w:rPr>
          <w:rFonts w:ascii="Arial" w:hAnsi="Arial"/>
        </w:rPr>
        <w:t>“Mental age,” a concept tied to IQ tests, is commonly misused to infer that people with ID/DD are incapable of developing beyond the</w:t>
      </w:r>
      <w:r w:rsidR="00DA736B" w:rsidRPr="00F618D8">
        <w:rPr>
          <w:rFonts w:ascii="Arial" w:hAnsi="Arial"/>
        </w:rPr>
        <w:t xml:space="preserve"> abilities of young children</w:t>
      </w:r>
      <w:r w:rsidR="00AA1F92" w:rsidRPr="00F618D8">
        <w:rPr>
          <w:rFonts w:ascii="Arial" w:hAnsi="Arial"/>
        </w:rPr>
        <w:t xml:space="preserve">. </w:t>
      </w:r>
      <w:r w:rsidRPr="00F618D8">
        <w:rPr>
          <w:rFonts w:ascii="Arial" w:hAnsi="Arial"/>
        </w:rPr>
        <w:t>Originally, mental age</w:t>
      </w:r>
      <w:r w:rsidR="005924B9" w:rsidRPr="00F618D8">
        <w:rPr>
          <w:rFonts w:ascii="Arial" w:hAnsi="Arial"/>
        </w:rPr>
        <w:t>,</w:t>
      </w:r>
      <w:r w:rsidRPr="00F618D8">
        <w:rPr>
          <w:rFonts w:ascii="Arial" w:hAnsi="Arial"/>
        </w:rPr>
        <w:t xml:space="preserve"> as determined by performance on the intelligence test</w:t>
      </w:r>
      <w:r w:rsidR="005924B9" w:rsidRPr="00F618D8">
        <w:rPr>
          <w:rFonts w:ascii="Arial" w:hAnsi="Arial"/>
        </w:rPr>
        <w:t>,</w:t>
      </w:r>
      <w:r w:rsidRPr="00F618D8">
        <w:rPr>
          <w:rFonts w:ascii="Arial" w:hAnsi="Arial"/>
        </w:rPr>
        <w:t xml:space="preserve"> was used along with chronological age to calculate the IQ score</w:t>
      </w:r>
      <w:r w:rsidR="00AA1F92" w:rsidRPr="00F618D8">
        <w:rPr>
          <w:rFonts w:ascii="Arial" w:hAnsi="Arial"/>
        </w:rPr>
        <w:t xml:space="preserve">. </w:t>
      </w:r>
      <w:r w:rsidRPr="00F618D8">
        <w:rPr>
          <w:rFonts w:ascii="Arial" w:hAnsi="Arial"/>
        </w:rPr>
        <w:t xml:space="preserve">Although this concept is no longer used in most contemporary testing, it is still commonly used to explain the </w:t>
      </w:r>
      <w:r w:rsidR="005924B9" w:rsidRPr="00F618D8">
        <w:rPr>
          <w:rFonts w:ascii="Arial" w:hAnsi="Arial"/>
        </w:rPr>
        <w:t xml:space="preserve">intelligence and </w:t>
      </w:r>
      <w:r w:rsidRPr="00F618D8">
        <w:rPr>
          <w:rFonts w:ascii="Arial" w:hAnsi="Arial"/>
        </w:rPr>
        <w:t>abilities of people with ID/DD</w:t>
      </w:r>
      <w:r w:rsidR="00AA1F92" w:rsidRPr="00F618D8">
        <w:rPr>
          <w:rFonts w:ascii="Arial" w:hAnsi="Arial"/>
        </w:rPr>
        <w:t xml:space="preserve">. </w:t>
      </w:r>
      <w:r w:rsidR="001017B7" w:rsidRPr="00F618D8">
        <w:rPr>
          <w:rFonts w:ascii="Arial" w:hAnsi="Arial"/>
        </w:rPr>
        <w:t>For example, one family member explained that she was a guardian because “[o]ur daughter functions [as] a 5</w:t>
      </w:r>
      <w:r w:rsidR="00675BBE" w:rsidRPr="00F618D8">
        <w:rPr>
          <w:rFonts w:ascii="Arial" w:hAnsi="Arial"/>
        </w:rPr>
        <w:t>-</w:t>
      </w:r>
      <w:r w:rsidR="001017B7" w:rsidRPr="00F618D8">
        <w:rPr>
          <w:rFonts w:ascii="Arial" w:hAnsi="Arial"/>
        </w:rPr>
        <w:t xml:space="preserve">year old to </w:t>
      </w:r>
      <w:r w:rsidR="00675BBE" w:rsidRPr="00F618D8">
        <w:rPr>
          <w:rFonts w:ascii="Arial" w:hAnsi="Arial"/>
        </w:rPr>
        <w:t>16-year-old</w:t>
      </w:r>
      <w:r w:rsidR="001017B7" w:rsidRPr="00F618D8">
        <w:rPr>
          <w:rFonts w:ascii="Arial" w:hAnsi="Arial"/>
        </w:rPr>
        <w:t>, depending on the context</w:t>
      </w:r>
      <w:r w:rsidR="00AA1F92" w:rsidRPr="00F618D8">
        <w:rPr>
          <w:rFonts w:ascii="Arial" w:hAnsi="Arial"/>
        </w:rPr>
        <w:t xml:space="preserve">.” </w:t>
      </w:r>
    </w:p>
    <w:p w14:paraId="0BCF524D" w14:textId="77777777" w:rsidR="00BE684F" w:rsidRPr="00F618D8" w:rsidRDefault="00BE684F" w:rsidP="00610EEF">
      <w:pPr>
        <w:pStyle w:val="ParaNoIndent"/>
        <w:rPr>
          <w:rFonts w:ascii="Arial" w:hAnsi="Arial"/>
        </w:rPr>
      </w:pPr>
      <w:r w:rsidRPr="00F618D8">
        <w:rPr>
          <w:rFonts w:ascii="Arial" w:hAnsi="Arial"/>
        </w:rPr>
        <w:t>Properly used, intelligence and other tests can help practitioners understand individual learning challenges and make recommendations for improving educational and other learning support</w:t>
      </w:r>
      <w:r w:rsidR="00AA1F92" w:rsidRPr="00F618D8">
        <w:rPr>
          <w:rFonts w:ascii="Arial" w:hAnsi="Arial"/>
        </w:rPr>
        <w:t xml:space="preserve">. </w:t>
      </w:r>
      <w:r w:rsidRPr="00F618D8">
        <w:rPr>
          <w:rFonts w:ascii="Arial" w:hAnsi="Arial"/>
        </w:rPr>
        <w:t>In a 2003 article on “Intelligent Intelligence Testing,” then president</w:t>
      </w:r>
      <w:r w:rsidR="001017B7" w:rsidRPr="00F618D8">
        <w:rPr>
          <w:rFonts w:ascii="Arial" w:hAnsi="Arial"/>
        </w:rPr>
        <w:t>-</w:t>
      </w:r>
      <w:r w:rsidRPr="00F618D8">
        <w:rPr>
          <w:rFonts w:ascii="Arial" w:hAnsi="Arial"/>
        </w:rPr>
        <w:t>elect of the American Psychological Association Diane Halpern noted that “We are not all the same; we have different skills and abilities</w:t>
      </w:r>
      <w:r w:rsidR="00AA1F92" w:rsidRPr="00F618D8">
        <w:rPr>
          <w:rFonts w:ascii="Arial" w:hAnsi="Arial"/>
        </w:rPr>
        <w:t xml:space="preserve">. </w:t>
      </w:r>
      <w:r w:rsidRPr="00F618D8">
        <w:rPr>
          <w:rFonts w:ascii="Arial" w:hAnsi="Arial"/>
        </w:rPr>
        <w:t>What’s wrong is thinking of intelligence as a fixed, innate ability instead of something that develops in a context.”</w:t>
      </w:r>
      <w:r w:rsidRPr="00F618D8">
        <w:rPr>
          <w:rStyle w:val="EndnoteReference"/>
          <w:rFonts w:ascii="Arial" w:hAnsi="Arial"/>
          <w:szCs w:val="24"/>
        </w:rPr>
        <w:endnoteReference w:id="8"/>
      </w:r>
      <w:r w:rsidRPr="00F618D8">
        <w:rPr>
          <w:rFonts w:ascii="Arial" w:hAnsi="Arial"/>
          <w:b/>
        </w:rPr>
        <w:t xml:space="preserve">  </w:t>
      </w:r>
      <w:r w:rsidRPr="00F618D8">
        <w:rPr>
          <w:rFonts w:ascii="Arial" w:hAnsi="Arial"/>
        </w:rPr>
        <w:t>Science and experience have shown that human learning is a highly individualized process that can be facilitated by a variety of strategies and life experien</w:t>
      </w:r>
      <w:r w:rsidR="005924B9" w:rsidRPr="00F618D8">
        <w:rPr>
          <w:rFonts w:ascii="Arial" w:hAnsi="Arial"/>
        </w:rPr>
        <w:t>ces</w:t>
      </w:r>
      <w:r w:rsidR="00AA1F92" w:rsidRPr="00F618D8">
        <w:rPr>
          <w:rFonts w:ascii="Arial" w:hAnsi="Arial"/>
        </w:rPr>
        <w:t xml:space="preserve">. </w:t>
      </w:r>
      <w:r w:rsidR="005924B9" w:rsidRPr="00F618D8">
        <w:rPr>
          <w:rFonts w:ascii="Arial" w:hAnsi="Arial"/>
        </w:rPr>
        <w:t>While these interventions do not make a person’s</w:t>
      </w:r>
      <w:r w:rsidRPr="00F618D8">
        <w:rPr>
          <w:rFonts w:ascii="Arial" w:hAnsi="Arial"/>
        </w:rPr>
        <w:t xml:space="preserve"> disability go away, they do function to strengthen other skills and help the person learn new ways to accomplish a challenging task.</w:t>
      </w:r>
      <w:r w:rsidRPr="00F618D8">
        <w:rPr>
          <w:rStyle w:val="EndnoteReference"/>
          <w:rFonts w:ascii="Arial" w:hAnsi="Arial"/>
          <w:szCs w:val="24"/>
        </w:rPr>
        <w:endnoteReference w:id="9"/>
      </w:r>
      <w:r w:rsidRPr="00F618D8">
        <w:rPr>
          <w:rFonts w:ascii="Arial" w:hAnsi="Arial"/>
        </w:rPr>
        <w:t xml:space="preserve"> This process is applicable to all areas of learning and life</w:t>
      </w:r>
      <w:r w:rsidR="000B17C6" w:rsidRPr="00F618D8">
        <w:rPr>
          <w:rFonts w:ascii="Arial" w:hAnsi="Arial"/>
        </w:rPr>
        <w:t>,</w:t>
      </w:r>
      <w:r w:rsidRPr="00F618D8">
        <w:rPr>
          <w:rFonts w:ascii="Arial" w:hAnsi="Arial"/>
        </w:rPr>
        <w:t xml:space="preserve"> including decision-making</w:t>
      </w:r>
      <w:r w:rsidR="00AA1F92" w:rsidRPr="00F618D8">
        <w:rPr>
          <w:rFonts w:ascii="Arial" w:hAnsi="Arial"/>
        </w:rPr>
        <w:t xml:space="preserve">. </w:t>
      </w:r>
      <w:r w:rsidR="000B17C6" w:rsidRPr="00F618D8">
        <w:rPr>
          <w:rFonts w:ascii="Arial" w:hAnsi="Arial"/>
        </w:rPr>
        <w:t>It also</w:t>
      </w:r>
      <w:r w:rsidRPr="00F618D8">
        <w:rPr>
          <w:rFonts w:ascii="Arial" w:hAnsi="Arial"/>
        </w:rPr>
        <w:t xml:space="preserve"> means that not having the chance to learn to make decisions or taking away the opportunity and right to be involved in personal decision-making</w:t>
      </w:r>
      <w:r w:rsidR="000B17C6" w:rsidRPr="00F618D8">
        <w:rPr>
          <w:rFonts w:ascii="Arial" w:hAnsi="Arial"/>
        </w:rPr>
        <w:t>,</w:t>
      </w:r>
      <w:r w:rsidRPr="00F618D8">
        <w:rPr>
          <w:rFonts w:ascii="Arial" w:hAnsi="Arial"/>
        </w:rPr>
        <w:t xml:space="preserve"> preempts the person from becoming a better decision-maker over time.</w:t>
      </w:r>
    </w:p>
    <w:p w14:paraId="2B9517A2" w14:textId="77777777" w:rsidR="008A4CE8" w:rsidRPr="00F618D8" w:rsidRDefault="008A4CE8" w:rsidP="00610EEF">
      <w:pPr>
        <w:pStyle w:val="Heading2"/>
        <w:rPr>
          <w:rFonts w:ascii="Arial" w:hAnsi="Arial" w:cs="Arial"/>
        </w:rPr>
      </w:pPr>
      <w:bookmarkStart w:id="32" w:name="_Toc10290952"/>
      <w:r w:rsidRPr="00F618D8">
        <w:rPr>
          <w:rFonts w:ascii="Arial" w:hAnsi="Arial" w:cs="Arial"/>
        </w:rPr>
        <w:lastRenderedPageBreak/>
        <w:t>Guardianship</w:t>
      </w:r>
      <w:r w:rsidR="00BE684F" w:rsidRPr="00F618D8">
        <w:rPr>
          <w:rFonts w:ascii="Arial" w:hAnsi="Arial" w:cs="Arial"/>
        </w:rPr>
        <w:t xml:space="preserve"> and People with ID/DD</w:t>
      </w:r>
      <w:bookmarkEnd w:id="32"/>
      <w:r w:rsidRPr="00F618D8">
        <w:rPr>
          <w:rFonts w:ascii="Arial" w:hAnsi="Arial" w:cs="Arial"/>
        </w:rPr>
        <w:t xml:space="preserve"> </w:t>
      </w:r>
    </w:p>
    <w:p w14:paraId="11B87C85" w14:textId="77777777" w:rsidR="001017B7" w:rsidRPr="00F618D8" w:rsidRDefault="00BE684F" w:rsidP="00610EEF">
      <w:pPr>
        <w:pStyle w:val="ParaNoIndent"/>
        <w:rPr>
          <w:rFonts w:ascii="Arial" w:hAnsi="Arial"/>
        </w:rPr>
      </w:pPr>
      <w:r w:rsidRPr="00F618D8">
        <w:rPr>
          <w:rFonts w:ascii="Arial" w:hAnsi="Arial"/>
        </w:rPr>
        <w:t xml:space="preserve">Guardianship is a state legal process where a court removes some or </w:t>
      </w:r>
      <w:r w:rsidR="003E2407" w:rsidRPr="00F618D8">
        <w:rPr>
          <w:rFonts w:ascii="Arial" w:hAnsi="Arial"/>
        </w:rPr>
        <w:t>many</w:t>
      </w:r>
      <w:r w:rsidRPr="00F618D8">
        <w:rPr>
          <w:rFonts w:ascii="Arial" w:hAnsi="Arial"/>
        </w:rPr>
        <w:t xml:space="preserve"> of the legal </w:t>
      </w:r>
      <w:r w:rsidR="003E2407" w:rsidRPr="00F618D8">
        <w:rPr>
          <w:rFonts w:ascii="Arial" w:hAnsi="Arial"/>
        </w:rPr>
        <w:t xml:space="preserve">and decision-making rights </w:t>
      </w:r>
      <w:r w:rsidR="001017B7" w:rsidRPr="00F618D8">
        <w:rPr>
          <w:rFonts w:ascii="Arial" w:hAnsi="Arial"/>
        </w:rPr>
        <w:t xml:space="preserve">from an individual </w:t>
      </w:r>
      <w:r w:rsidRPr="00F618D8">
        <w:rPr>
          <w:rFonts w:ascii="Arial" w:hAnsi="Arial"/>
        </w:rPr>
        <w:t>and t</w:t>
      </w:r>
      <w:r w:rsidR="001017B7" w:rsidRPr="00F618D8">
        <w:rPr>
          <w:rFonts w:ascii="Arial" w:hAnsi="Arial"/>
        </w:rPr>
        <w:t>ransfers all or some of them to another person, called a guardian or conservator</w:t>
      </w:r>
      <w:r w:rsidR="00AA1F92" w:rsidRPr="00F618D8">
        <w:rPr>
          <w:rFonts w:ascii="Arial" w:hAnsi="Arial"/>
        </w:rPr>
        <w:t xml:space="preserve">. </w:t>
      </w:r>
      <w:r w:rsidRPr="00F618D8">
        <w:rPr>
          <w:rFonts w:ascii="Arial" w:hAnsi="Arial"/>
        </w:rPr>
        <w:t xml:space="preserve">Although the particulars </w:t>
      </w:r>
      <w:r w:rsidR="003E2407" w:rsidRPr="00F618D8">
        <w:rPr>
          <w:rFonts w:ascii="Arial" w:hAnsi="Arial"/>
        </w:rPr>
        <w:t xml:space="preserve">of guardianship </w:t>
      </w:r>
      <w:r w:rsidRPr="00F618D8">
        <w:rPr>
          <w:rFonts w:ascii="Arial" w:hAnsi="Arial"/>
        </w:rPr>
        <w:t xml:space="preserve">depend on state law, an adult usually becomes </w:t>
      </w:r>
      <w:r w:rsidR="003E2407" w:rsidRPr="00F618D8">
        <w:rPr>
          <w:rFonts w:ascii="Arial" w:hAnsi="Arial"/>
        </w:rPr>
        <w:t>subject to guardianship when a</w:t>
      </w:r>
      <w:r w:rsidRPr="00F618D8">
        <w:rPr>
          <w:rFonts w:ascii="Arial" w:hAnsi="Arial"/>
        </w:rPr>
        <w:t xml:space="preserve"> court</w:t>
      </w:r>
      <w:r w:rsidR="003E2407" w:rsidRPr="00F618D8">
        <w:rPr>
          <w:rFonts w:ascii="Arial" w:hAnsi="Arial"/>
        </w:rPr>
        <w:t xml:space="preserve">, through a judge or magistrate judge, </w:t>
      </w:r>
      <w:r w:rsidRPr="00F618D8">
        <w:rPr>
          <w:rFonts w:ascii="Arial" w:hAnsi="Arial"/>
        </w:rPr>
        <w:t>finds that the individual is incapable of making all or some of their own financial or personal decisions</w:t>
      </w:r>
      <w:r w:rsidR="003E2407" w:rsidRPr="00F618D8">
        <w:rPr>
          <w:rFonts w:ascii="Arial" w:hAnsi="Arial"/>
        </w:rPr>
        <w:t xml:space="preserve"> and</w:t>
      </w:r>
      <w:r w:rsidRPr="00F618D8">
        <w:rPr>
          <w:rFonts w:ascii="Arial" w:hAnsi="Arial"/>
        </w:rPr>
        <w:t xml:space="preserve"> deem</w:t>
      </w:r>
      <w:r w:rsidR="003E2407" w:rsidRPr="00F618D8">
        <w:rPr>
          <w:rFonts w:ascii="Arial" w:hAnsi="Arial"/>
        </w:rPr>
        <w:t>s it</w:t>
      </w:r>
      <w:r w:rsidRPr="00F618D8">
        <w:rPr>
          <w:rFonts w:ascii="Arial" w:hAnsi="Arial"/>
        </w:rPr>
        <w:t xml:space="preserve"> necessary to appoint a guardian to make those choices on their behalf</w:t>
      </w:r>
      <w:r w:rsidR="00AA1F92" w:rsidRPr="00F618D8">
        <w:rPr>
          <w:rFonts w:ascii="Arial" w:hAnsi="Arial"/>
        </w:rPr>
        <w:t xml:space="preserve">. </w:t>
      </w:r>
      <w:r w:rsidRPr="00F618D8">
        <w:rPr>
          <w:rFonts w:ascii="Arial" w:hAnsi="Arial"/>
        </w:rPr>
        <w:t>The guardianship process usually starts with someone, such as a family member, a governmental agency, or a service provider, filing of a petition in the cou</w:t>
      </w:r>
      <w:r w:rsidR="009842BA" w:rsidRPr="00F618D8">
        <w:rPr>
          <w:rFonts w:ascii="Arial" w:hAnsi="Arial"/>
        </w:rPr>
        <w:t>rt with jurisdiction</w:t>
      </w:r>
      <w:r w:rsidR="00AA1F92" w:rsidRPr="00F618D8">
        <w:rPr>
          <w:rFonts w:ascii="Arial" w:hAnsi="Arial"/>
        </w:rPr>
        <w:t xml:space="preserve">. </w:t>
      </w:r>
      <w:r w:rsidR="009842BA" w:rsidRPr="00F618D8">
        <w:rPr>
          <w:rFonts w:ascii="Arial" w:hAnsi="Arial"/>
        </w:rPr>
        <w:t xml:space="preserve">The petition is </w:t>
      </w:r>
      <w:r w:rsidRPr="00F618D8">
        <w:rPr>
          <w:rFonts w:ascii="Arial" w:hAnsi="Arial"/>
        </w:rPr>
        <w:t xml:space="preserve">generally followed </w:t>
      </w:r>
      <w:r w:rsidR="001017B7" w:rsidRPr="00F618D8">
        <w:rPr>
          <w:rFonts w:ascii="Arial" w:hAnsi="Arial"/>
        </w:rPr>
        <w:t xml:space="preserve">by a </w:t>
      </w:r>
      <w:r w:rsidRPr="00F618D8">
        <w:rPr>
          <w:rFonts w:ascii="Arial" w:hAnsi="Arial"/>
        </w:rPr>
        <w:t>notice of the petition to interested parties that a guardianship petition has been filed, appointment of an attorney to represent the allegedly incapacitated p</w:t>
      </w:r>
      <w:r w:rsidR="009842BA" w:rsidRPr="00F618D8">
        <w:rPr>
          <w:rFonts w:ascii="Arial" w:hAnsi="Arial"/>
        </w:rPr>
        <w:t xml:space="preserve">erson, a capacity evaluation, </w:t>
      </w:r>
      <w:r w:rsidRPr="00F618D8">
        <w:rPr>
          <w:rFonts w:ascii="Arial" w:hAnsi="Arial"/>
        </w:rPr>
        <w:t>court hearing(s), and, if the petition is successful, letters of guardianship</w:t>
      </w:r>
      <w:r w:rsidR="00AA1F92" w:rsidRPr="00F618D8">
        <w:rPr>
          <w:rFonts w:ascii="Arial" w:hAnsi="Arial"/>
        </w:rPr>
        <w:t xml:space="preserve">. </w:t>
      </w:r>
      <w:r w:rsidRPr="00F618D8">
        <w:rPr>
          <w:rFonts w:ascii="Arial" w:hAnsi="Arial"/>
        </w:rPr>
        <w:t>Once a guardianship is put in place, in most circumstances, it lasts either until the individual in guardianship dies or has their rights restored.</w:t>
      </w:r>
      <w:r w:rsidR="003E2407" w:rsidRPr="00F618D8">
        <w:rPr>
          <w:rFonts w:ascii="Arial" w:hAnsi="Arial"/>
        </w:rPr>
        <w:t xml:space="preserve"> Guardians’ responsibilities under state law vary but may include submitting guardianship plans and initial </w:t>
      </w:r>
      <w:r w:rsidR="009842BA" w:rsidRPr="00F618D8">
        <w:rPr>
          <w:rFonts w:ascii="Arial" w:hAnsi="Arial"/>
        </w:rPr>
        <w:t xml:space="preserve">and annual </w:t>
      </w:r>
      <w:r w:rsidR="003E2407" w:rsidRPr="00F618D8">
        <w:rPr>
          <w:rFonts w:ascii="Arial" w:hAnsi="Arial"/>
        </w:rPr>
        <w:t>reports to the court</w:t>
      </w:r>
      <w:r w:rsidR="00AA1F92" w:rsidRPr="00F618D8">
        <w:rPr>
          <w:rFonts w:ascii="Arial" w:hAnsi="Arial"/>
        </w:rPr>
        <w:t xml:space="preserve">. </w:t>
      </w:r>
    </w:p>
    <w:p w14:paraId="6D8DA58C" w14:textId="77777777" w:rsidR="001017B7" w:rsidRPr="00F618D8" w:rsidRDefault="003E2407" w:rsidP="00610EEF">
      <w:pPr>
        <w:pStyle w:val="ParaNoIndent"/>
        <w:rPr>
          <w:rFonts w:ascii="Arial" w:hAnsi="Arial"/>
        </w:rPr>
      </w:pPr>
      <w:r w:rsidRPr="00F618D8">
        <w:rPr>
          <w:rFonts w:ascii="Arial" w:hAnsi="Arial"/>
        </w:rPr>
        <w:t xml:space="preserve">The 2018 NCD </w:t>
      </w:r>
      <w:r w:rsidR="009842BA" w:rsidRPr="00F618D8">
        <w:rPr>
          <w:rFonts w:ascii="Arial" w:hAnsi="Arial"/>
        </w:rPr>
        <w:t>Report</w:t>
      </w:r>
      <w:r w:rsidRPr="00F618D8">
        <w:rPr>
          <w:rFonts w:ascii="Arial" w:hAnsi="Arial"/>
        </w:rPr>
        <w:t xml:space="preserve"> reviews this general process and fundamentals of guardianship in more detail, including what rights are at risk in guardianship, how courts determine incapacity, and what the scope of the guardian’s authority may be.</w:t>
      </w:r>
      <w:r w:rsidRPr="00F618D8">
        <w:rPr>
          <w:rStyle w:val="EndnoteReference"/>
          <w:rFonts w:ascii="Arial" w:hAnsi="Arial"/>
          <w:szCs w:val="24"/>
        </w:rPr>
        <w:endnoteReference w:id="10"/>
      </w:r>
      <w:r w:rsidRPr="00F618D8">
        <w:rPr>
          <w:rFonts w:ascii="Arial" w:hAnsi="Arial"/>
        </w:rPr>
        <w:t xml:space="preserve"> </w:t>
      </w:r>
      <w:r w:rsidR="001017B7" w:rsidRPr="00F618D8">
        <w:rPr>
          <w:rFonts w:ascii="Arial" w:hAnsi="Arial"/>
        </w:rPr>
        <w:t>Guardianships are typically separated into two categories</w:t>
      </w:r>
      <w:r w:rsidR="003844A9" w:rsidRPr="00F618D8">
        <w:rPr>
          <w:rFonts w:ascii="Arial" w:hAnsi="Arial"/>
        </w:rPr>
        <w:t>:</w:t>
      </w:r>
      <w:r w:rsidR="001017B7" w:rsidRPr="00F618D8">
        <w:rPr>
          <w:rFonts w:ascii="Arial" w:hAnsi="Arial"/>
        </w:rPr>
        <w:t xml:space="preserve"> guardianships of the person and guardianships of the property (also sometimes referred to as </w:t>
      </w:r>
      <w:r w:rsidR="001017B7" w:rsidRPr="00F618D8">
        <w:rPr>
          <w:rFonts w:ascii="Arial" w:hAnsi="Arial"/>
          <w:i/>
        </w:rPr>
        <w:t>conservatorship</w:t>
      </w:r>
      <w:r w:rsidR="001017B7" w:rsidRPr="00F618D8">
        <w:rPr>
          <w:rFonts w:ascii="Arial" w:hAnsi="Arial"/>
        </w:rPr>
        <w:t>). When the guardian controls decisions regarding both person and property, the guardianship is called plenary or full</w:t>
      </w:r>
      <w:r w:rsidR="00AA1F92" w:rsidRPr="00F618D8">
        <w:rPr>
          <w:rFonts w:ascii="Arial" w:hAnsi="Arial"/>
        </w:rPr>
        <w:t xml:space="preserve">. </w:t>
      </w:r>
      <w:r w:rsidR="001017B7" w:rsidRPr="00F618D8">
        <w:rPr>
          <w:rFonts w:ascii="Arial" w:hAnsi="Arial"/>
        </w:rPr>
        <w:t>Some rights may be removed without being transferred to the guardian, such as the right to marry, vote, drive, or seek or retain employment</w:t>
      </w:r>
      <w:r w:rsidR="00AA1F92" w:rsidRPr="00F618D8">
        <w:rPr>
          <w:rFonts w:ascii="Arial" w:hAnsi="Arial"/>
        </w:rPr>
        <w:t xml:space="preserve">. </w:t>
      </w:r>
      <w:r w:rsidR="001017B7" w:rsidRPr="00F618D8">
        <w:rPr>
          <w:rFonts w:ascii="Arial" w:hAnsi="Arial"/>
        </w:rPr>
        <w:t>Other rights may be removed and transferred to the guardian to exercise on behalf of the person, such as the right to contract, sue and defend lawsuits, apply for governmental benefits, manage money or property, decide where to live, consent to medical treatment, and decide with whom to associate or be friends</w:t>
      </w:r>
      <w:r w:rsidR="00AA1F92" w:rsidRPr="00F618D8">
        <w:rPr>
          <w:rFonts w:ascii="Arial" w:hAnsi="Arial"/>
        </w:rPr>
        <w:t xml:space="preserve">. </w:t>
      </w:r>
      <w:r w:rsidR="001017B7" w:rsidRPr="00F618D8">
        <w:rPr>
          <w:rFonts w:ascii="Arial" w:hAnsi="Arial"/>
        </w:rPr>
        <w:t xml:space="preserve">In many states, there are also some rights that a guardian can exercise on behalf of the person, but only after the court has issued a </w:t>
      </w:r>
      <w:r w:rsidR="001017B7" w:rsidRPr="00F618D8">
        <w:rPr>
          <w:rFonts w:ascii="Arial" w:hAnsi="Arial"/>
        </w:rPr>
        <w:lastRenderedPageBreak/>
        <w:t>specific order allowing the action, such as committing the person to a facility or institution, consenting to biomedical or behavioral experiments, filing for divorce, consenting to the termination of parental rights, and consenting to sterilization or abortion.</w:t>
      </w:r>
      <w:r w:rsidR="001017B7" w:rsidRPr="00F618D8">
        <w:rPr>
          <w:rStyle w:val="EndnoteReference"/>
          <w:rFonts w:ascii="Arial" w:hAnsi="Arial"/>
          <w:szCs w:val="24"/>
        </w:rPr>
        <w:endnoteReference w:id="11"/>
      </w:r>
    </w:p>
    <w:p w14:paraId="6E14E4A4" w14:textId="77777777" w:rsidR="00D077CE" w:rsidRPr="00F618D8" w:rsidRDefault="001017B7" w:rsidP="00610EEF">
      <w:pPr>
        <w:pStyle w:val="ParaNoIndent"/>
        <w:rPr>
          <w:rFonts w:ascii="Arial" w:hAnsi="Arial"/>
          <w:spacing w:val="-2"/>
        </w:rPr>
      </w:pPr>
      <w:r w:rsidRPr="00F618D8">
        <w:rPr>
          <w:rFonts w:ascii="Arial" w:hAnsi="Arial"/>
        </w:rPr>
        <w:t>In short, there are very wid</w:t>
      </w:r>
      <w:r w:rsidR="009842BA" w:rsidRPr="00F618D8">
        <w:rPr>
          <w:rFonts w:ascii="Arial" w:hAnsi="Arial"/>
        </w:rPr>
        <w:t>e-</w:t>
      </w:r>
      <w:r w:rsidRPr="00F618D8">
        <w:rPr>
          <w:rFonts w:ascii="Arial" w:hAnsi="Arial"/>
        </w:rPr>
        <w:t>ranging actions that a guardian may be authorized to take on behalf of and instead of the person</w:t>
      </w:r>
      <w:r w:rsidR="00AA1F92" w:rsidRPr="00F618D8">
        <w:rPr>
          <w:rFonts w:ascii="Arial" w:hAnsi="Arial"/>
        </w:rPr>
        <w:t xml:space="preserve">. </w:t>
      </w:r>
      <w:r w:rsidRPr="00F618D8">
        <w:rPr>
          <w:rFonts w:ascii="Arial" w:hAnsi="Arial"/>
        </w:rPr>
        <w:t>This is why guardianship has been described as a “kind of civil death”</w:t>
      </w:r>
      <w:r w:rsidR="009842BA" w:rsidRPr="00F618D8">
        <w:rPr>
          <w:rFonts w:ascii="Arial" w:hAnsi="Arial"/>
        </w:rPr>
        <w:t xml:space="preserve"> for people subject to it, in that they are</w:t>
      </w:r>
      <w:r w:rsidRPr="00F618D8">
        <w:rPr>
          <w:rFonts w:ascii="Arial" w:hAnsi="Arial"/>
        </w:rPr>
        <w:t xml:space="preserve"> “no longer permitted to participate in society without mediation through the actions of another if at all.”</w:t>
      </w:r>
      <w:r w:rsidRPr="00F618D8">
        <w:rPr>
          <w:rFonts w:ascii="Arial" w:hAnsi="Arial"/>
          <w:vertAlign w:val="superscript"/>
        </w:rPr>
        <w:t xml:space="preserve"> </w:t>
      </w:r>
      <w:r w:rsidRPr="00F618D8">
        <w:rPr>
          <w:rFonts w:ascii="Arial" w:hAnsi="Arial"/>
          <w:vertAlign w:val="superscript"/>
        </w:rPr>
        <w:endnoteReference w:id="12"/>
      </w:r>
      <w:r w:rsidRPr="00F618D8">
        <w:rPr>
          <w:rFonts w:ascii="Arial" w:hAnsi="Arial"/>
        </w:rPr>
        <w:t xml:space="preserve"> Given the nature of our nation’s existing legal system, there may well be times </w:t>
      </w:r>
      <w:r w:rsidR="00F97EEB" w:rsidRPr="00F618D8">
        <w:rPr>
          <w:rFonts w:ascii="Arial" w:hAnsi="Arial"/>
        </w:rPr>
        <w:t>when</w:t>
      </w:r>
      <w:r w:rsidRPr="00F618D8">
        <w:rPr>
          <w:rFonts w:ascii="Arial" w:hAnsi="Arial"/>
        </w:rPr>
        <w:t xml:space="preserve"> guardianship is justified and necessary</w:t>
      </w:r>
      <w:r w:rsidR="00314214" w:rsidRPr="00F618D8">
        <w:rPr>
          <w:rFonts w:ascii="Arial" w:hAnsi="Arial"/>
        </w:rPr>
        <w:t>, although some disability rights advocates strongly disagree</w:t>
      </w:r>
      <w:r w:rsidR="00AA1F92" w:rsidRPr="00F618D8">
        <w:rPr>
          <w:rFonts w:ascii="Arial" w:hAnsi="Arial"/>
        </w:rPr>
        <w:t xml:space="preserve">. </w:t>
      </w:r>
      <w:r w:rsidR="00314214" w:rsidRPr="00F618D8">
        <w:rPr>
          <w:rFonts w:ascii="Arial" w:hAnsi="Arial"/>
        </w:rPr>
        <w:t>Regardless</w:t>
      </w:r>
      <w:bookmarkStart w:id="33" w:name="_Hlk5190956"/>
      <w:r w:rsidRPr="00F618D8">
        <w:rPr>
          <w:rFonts w:ascii="Arial" w:hAnsi="Arial"/>
        </w:rPr>
        <w:t xml:space="preserve">, because of </w:t>
      </w:r>
      <w:r w:rsidR="009842BA" w:rsidRPr="00F618D8">
        <w:rPr>
          <w:rFonts w:ascii="Arial" w:hAnsi="Arial"/>
        </w:rPr>
        <w:t>its</w:t>
      </w:r>
      <w:r w:rsidRPr="00F618D8">
        <w:rPr>
          <w:rFonts w:ascii="Arial" w:hAnsi="Arial"/>
        </w:rPr>
        <w:t xml:space="preserve"> legal implication on the </w:t>
      </w:r>
      <w:r w:rsidR="009842BA" w:rsidRPr="00F618D8">
        <w:rPr>
          <w:rFonts w:ascii="Arial" w:hAnsi="Arial"/>
        </w:rPr>
        <w:t xml:space="preserve">person’s </w:t>
      </w:r>
      <w:r w:rsidRPr="00F618D8">
        <w:rPr>
          <w:rFonts w:ascii="Arial" w:hAnsi="Arial"/>
        </w:rPr>
        <w:t>civil rights, guardianship must be recognized as “an extraordinary intervention in a person’s life and affairs,”</w:t>
      </w:r>
      <w:r w:rsidRPr="00F618D8">
        <w:rPr>
          <w:rStyle w:val="EndnoteReference"/>
          <w:rFonts w:ascii="Arial" w:hAnsi="Arial"/>
          <w:szCs w:val="24"/>
        </w:rPr>
        <w:endnoteReference w:id="13"/>
      </w:r>
      <w:r w:rsidRPr="00F618D8">
        <w:rPr>
          <w:rFonts w:ascii="Arial" w:hAnsi="Arial"/>
        </w:rPr>
        <w:t xml:space="preserve"> with the inherent potential to be a “drastic restraint on a person’s liberty,”</w:t>
      </w:r>
      <w:bookmarkEnd w:id="33"/>
      <w:r w:rsidRPr="00F618D8">
        <w:rPr>
          <w:rStyle w:val="EndnoteReference"/>
          <w:rFonts w:ascii="Arial" w:hAnsi="Arial"/>
          <w:szCs w:val="24"/>
        </w:rPr>
        <w:endnoteReference w:id="14"/>
      </w:r>
      <w:r w:rsidRPr="00F618D8">
        <w:rPr>
          <w:rFonts w:ascii="Arial" w:hAnsi="Arial"/>
        </w:rPr>
        <w:t xml:space="preserve"> and, as such, an option of last resort</w:t>
      </w:r>
      <w:r w:rsidR="00AA1F92" w:rsidRPr="00F618D8">
        <w:rPr>
          <w:rFonts w:ascii="Arial" w:hAnsi="Arial"/>
        </w:rPr>
        <w:t xml:space="preserve">. </w:t>
      </w:r>
      <w:r w:rsidRPr="00F618D8">
        <w:rPr>
          <w:rFonts w:ascii="Arial" w:hAnsi="Arial"/>
        </w:rPr>
        <w:t xml:space="preserve">As emphasized in the 2018 NCD report, </w:t>
      </w:r>
      <w:r w:rsidR="009842BA" w:rsidRPr="00F618D8">
        <w:rPr>
          <w:rFonts w:ascii="Arial" w:hAnsi="Arial"/>
        </w:rPr>
        <w:t>although</w:t>
      </w:r>
      <w:r w:rsidRPr="00F618D8">
        <w:rPr>
          <w:rFonts w:ascii="Arial" w:hAnsi="Arial"/>
        </w:rPr>
        <w:t xml:space="preserve"> guardianship is created by state law, it raises fundamental questions concerning federal civil rights and constitutional due process worthy of examination and intervention at the national level</w:t>
      </w:r>
      <w:r w:rsidR="00AA1F92" w:rsidRPr="00F618D8">
        <w:rPr>
          <w:rFonts w:ascii="Arial" w:hAnsi="Arial"/>
        </w:rPr>
        <w:t xml:space="preserve">. </w:t>
      </w:r>
    </w:p>
    <w:p w14:paraId="3294604A" w14:textId="77777777" w:rsidR="00927CD8" w:rsidRPr="00F618D8" w:rsidRDefault="001017B7" w:rsidP="00610EEF">
      <w:pPr>
        <w:pStyle w:val="ParaNoIndent"/>
        <w:rPr>
          <w:rFonts w:ascii="Arial" w:hAnsi="Arial"/>
        </w:rPr>
      </w:pPr>
      <w:r w:rsidRPr="00F618D8">
        <w:rPr>
          <w:rFonts w:ascii="Arial" w:hAnsi="Arial"/>
          <w:spacing w:val="-2"/>
        </w:rPr>
        <w:t>This impact of guardianship is particularly relevant to p</w:t>
      </w:r>
      <w:r w:rsidR="00927CD8" w:rsidRPr="00F618D8">
        <w:rPr>
          <w:rFonts w:ascii="Arial" w:hAnsi="Arial"/>
          <w:spacing w:val="-2"/>
        </w:rPr>
        <w:t>eople with ID/DD</w:t>
      </w:r>
      <w:r w:rsidRPr="00F618D8">
        <w:rPr>
          <w:rFonts w:ascii="Arial" w:hAnsi="Arial"/>
          <w:spacing w:val="-2"/>
        </w:rPr>
        <w:t xml:space="preserve">, who </w:t>
      </w:r>
      <w:r w:rsidR="003E2407" w:rsidRPr="00F618D8">
        <w:rPr>
          <w:rFonts w:ascii="Arial" w:hAnsi="Arial"/>
          <w:spacing w:val="-2"/>
        </w:rPr>
        <w:t>have been found to be at</w:t>
      </w:r>
      <w:r w:rsidR="00927CD8" w:rsidRPr="00F618D8">
        <w:rPr>
          <w:rFonts w:ascii="Arial" w:hAnsi="Arial"/>
          <w:spacing w:val="-2"/>
        </w:rPr>
        <w:t xml:space="preserve"> i</w:t>
      </w:r>
      <w:r w:rsidR="00927CD8" w:rsidRPr="00F618D8">
        <w:rPr>
          <w:rFonts w:ascii="Arial" w:hAnsi="Arial"/>
        </w:rPr>
        <w:t xml:space="preserve">ncreased risk for being made subject </w:t>
      </w:r>
      <w:r w:rsidRPr="00F618D8">
        <w:rPr>
          <w:rFonts w:ascii="Arial" w:hAnsi="Arial"/>
        </w:rPr>
        <w:t>to it</w:t>
      </w:r>
      <w:r w:rsidR="003E2407" w:rsidRPr="00F618D8">
        <w:rPr>
          <w:rFonts w:ascii="Arial" w:hAnsi="Arial"/>
        </w:rPr>
        <w:t>.</w:t>
      </w:r>
      <w:r w:rsidR="003E2407" w:rsidRPr="00F618D8">
        <w:rPr>
          <w:rStyle w:val="EndnoteReference"/>
          <w:rFonts w:ascii="Arial" w:hAnsi="Arial"/>
          <w:szCs w:val="24"/>
        </w:rPr>
        <w:endnoteReference w:id="15"/>
      </w:r>
      <w:r w:rsidR="003E2407" w:rsidRPr="00F618D8">
        <w:rPr>
          <w:rFonts w:ascii="Arial" w:hAnsi="Arial"/>
        </w:rPr>
        <w:t xml:space="preserve"> Guardianship is often implemented, because service providers, family, judges, and others assume people with ID/DD cannot make decisions for themselves,</w:t>
      </w:r>
      <w:r w:rsidR="003E2407" w:rsidRPr="00F618D8">
        <w:rPr>
          <w:rFonts w:ascii="Arial" w:hAnsi="Arial"/>
          <w:vertAlign w:val="superscript"/>
        </w:rPr>
        <w:endnoteReference w:id="16"/>
      </w:r>
      <w:r w:rsidR="003E2407" w:rsidRPr="00F618D8">
        <w:rPr>
          <w:rFonts w:ascii="Arial" w:hAnsi="Arial"/>
        </w:rPr>
        <w:t xml:space="preserve"> despite research to the contrary.</w:t>
      </w:r>
      <w:r w:rsidR="003E2407" w:rsidRPr="00F618D8">
        <w:rPr>
          <w:rFonts w:ascii="Arial" w:hAnsi="Arial"/>
          <w:vertAlign w:val="superscript"/>
        </w:rPr>
        <w:endnoteReference w:id="17"/>
      </w:r>
      <w:r w:rsidR="003E2407" w:rsidRPr="00F618D8">
        <w:rPr>
          <w:rFonts w:ascii="Arial" w:hAnsi="Arial"/>
        </w:rPr>
        <w:t xml:space="preserve"> As scholars have said</w:t>
      </w:r>
      <w:bookmarkStart w:id="34" w:name="_Hlk5191396"/>
      <w:r w:rsidR="003E2407" w:rsidRPr="00F618D8">
        <w:rPr>
          <w:rFonts w:ascii="Arial" w:hAnsi="Arial"/>
        </w:rPr>
        <w:t>, “rather than being treated as the extraordinary proceedings that they are, guardianships are often treated as a routine part of permanency planning for persons with [intellectual disabilities.</w:t>
      </w:r>
      <w:bookmarkEnd w:id="34"/>
      <w:r w:rsidR="003E2407" w:rsidRPr="00F618D8">
        <w:rPr>
          <w:rFonts w:ascii="Arial" w:hAnsi="Arial"/>
        </w:rPr>
        <w:t xml:space="preserve">]  </w:t>
      </w:r>
      <w:r w:rsidRPr="00F618D8">
        <w:rPr>
          <w:rFonts w:ascii="Arial" w:hAnsi="Arial"/>
        </w:rPr>
        <w:t xml:space="preserve"> . . . [G]</w:t>
      </w:r>
      <w:r w:rsidR="003E2407" w:rsidRPr="00F618D8">
        <w:rPr>
          <w:rFonts w:ascii="Arial" w:hAnsi="Arial"/>
        </w:rPr>
        <w:t>uardianships</w:t>
      </w:r>
      <w:r w:rsidR="00825B3D" w:rsidRPr="00F618D8">
        <w:rPr>
          <w:rFonts w:ascii="Arial" w:hAnsi="Arial"/>
        </w:rPr>
        <w:t>—</w:t>
      </w:r>
      <w:r w:rsidR="003E2407" w:rsidRPr="00F618D8">
        <w:rPr>
          <w:rFonts w:ascii="Arial" w:hAnsi="Arial"/>
        </w:rPr>
        <w:t>including plenary guardianships</w:t>
      </w:r>
      <w:r w:rsidR="00CC527E" w:rsidRPr="00F618D8">
        <w:rPr>
          <w:rFonts w:ascii="Arial" w:hAnsi="Arial"/>
        </w:rPr>
        <w:t>—</w:t>
      </w:r>
      <w:r w:rsidR="003E2407" w:rsidRPr="00F618D8">
        <w:rPr>
          <w:rFonts w:ascii="Arial" w:hAnsi="Arial"/>
        </w:rPr>
        <w:t>appear to be routinely granted over persons with [intellectual disabilities].”</w:t>
      </w:r>
      <w:r w:rsidR="003E2407" w:rsidRPr="00F618D8">
        <w:rPr>
          <w:rStyle w:val="EndnoteReference"/>
          <w:rFonts w:ascii="Arial" w:hAnsi="Arial"/>
          <w:szCs w:val="24"/>
        </w:rPr>
        <w:endnoteReference w:id="18"/>
      </w:r>
      <w:r w:rsidR="003E2407" w:rsidRPr="00F618D8">
        <w:rPr>
          <w:rFonts w:ascii="Arial" w:hAnsi="Arial"/>
        </w:rPr>
        <w:t xml:space="preserve"> This may be </w:t>
      </w:r>
      <w:r w:rsidR="00927CD8" w:rsidRPr="00F618D8">
        <w:rPr>
          <w:rFonts w:ascii="Arial" w:hAnsi="Arial"/>
        </w:rPr>
        <w:t xml:space="preserve">due to a combination of factors including the “School-to-Guardianship Pipeline” (discussed in Chapter 2), ID/DD specific guardianship statutes (discussed in Chapter 3), barriers to accessing alternatives, pressures by governmental and other agencies providing or funding disability-related services; and societal biases regarding </w:t>
      </w:r>
      <w:r w:rsidR="003E2407" w:rsidRPr="00F618D8">
        <w:rPr>
          <w:rFonts w:ascii="Arial" w:hAnsi="Arial"/>
        </w:rPr>
        <w:t>ID/DD d</w:t>
      </w:r>
      <w:r w:rsidR="00927CD8" w:rsidRPr="00F618D8">
        <w:rPr>
          <w:rFonts w:ascii="Arial" w:hAnsi="Arial"/>
        </w:rPr>
        <w:t>iagnosis and capacity</w:t>
      </w:r>
      <w:r w:rsidR="00AA1F92" w:rsidRPr="00F618D8">
        <w:rPr>
          <w:rFonts w:ascii="Arial" w:hAnsi="Arial"/>
        </w:rPr>
        <w:t xml:space="preserve">. </w:t>
      </w:r>
      <w:r w:rsidRPr="00F618D8">
        <w:rPr>
          <w:rFonts w:ascii="Arial" w:hAnsi="Arial"/>
        </w:rPr>
        <w:t xml:space="preserve">This project’s stakeholder outreach indicated </w:t>
      </w:r>
      <w:r w:rsidRPr="00F618D8">
        <w:rPr>
          <w:rFonts w:ascii="Arial" w:hAnsi="Arial"/>
        </w:rPr>
        <w:lastRenderedPageBreak/>
        <w:t>that these barriers may be overcame in individual situations, but societal misunderstandings of what it means to live with ID/DD persist</w:t>
      </w:r>
      <w:r w:rsidR="00AA1F92" w:rsidRPr="00F618D8">
        <w:rPr>
          <w:rFonts w:ascii="Arial" w:hAnsi="Arial"/>
        </w:rPr>
        <w:t xml:space="preserve">. </w:t>
      </w:r>
      <w:r w:rsidR="003E2407" w:rsidRPr="00F618D8">
        <w:rPr>
          <w:rFonts w:ascii="Arial" w:hAnsi="Arial"/>
        </w:rPr>
        <w:t>For example,</w:t>
      </w:r>
      <w:r w:rsidRPr="00F618D8">
        <w:rPr>
          <w:rFonts w:ascii="Arial" w:hAnsi="Arial"/>
        </w:rPr>
        <w:t xml:space="preserve"> a</w:t>
      </w:r>
      <w:r w:rsidR="003E2407" w:rsidRPr="00F618D8">
        <w:rPr>
          <w:rFonts w:ascii="Arial" w:hAnsi="Arial"/>
        </w:rPr>
        <w:t xml:space="preserve"> person with ID/DD </w:t>
      </w:r>
      <w:r w:rsidRPr="00F618D8">
        <w:rPr>
          <w:rFonts w:ascii="Arial" w:hAnsi="Arial"/>
        </w:rPr>
        <w:t>told us</w:t>
      </w:r>
      <w:r w:rsidR="003E2407" w:rsidRPr="00F618D8">
        <w:rPr>
          <w:rFonts w:ascii="Arial" w:hAnsi="Arial"/>
        </w:rPr>
        <w:t xml:space="preserve">: “People are shocked [I don’t have a guardian] because I have so many disabilities and I have been told from people who did tests on me that I am like a 2 year old.” </w:t>
      </w:r>
    </w:p>
    <w:p w14:paraId="013EC257" w14:textId="77777777" w:rsidR="00D077CE" w:rsidRPr="00F618D8" w:rsidRDefault="00927CD8" w:rsidP="00610EEF">
      <w:pPr>
        <w:pStyle w:val="Heading2"/>
        <w:rPr>
          <w:rFonts w:ascii="Arial" w:hAnsi="Arial" w:cs="Arial"/>
        </w:rPr>
      </w:pPr>
      <w:bookmarkStart w:id="35" w:name="_Toc10290953"/>
      <w:r w:rsidRPr="00F618D8">
        <w:rPr>
          <w:rFonts w:ascii="Arial" w:hAnsi="Arial" w:cs="Arial"/>
        </w:rPr>
        <w:t>Alternatives to Guardianship</w:t>
      </w:r>
      <w:r w:rsidR="009842BA" w:rsidRPr="00F618D8">
        <w:rPr>
          <w:rFonts w:ascii="Arial" w:hAnsi="Arial" w:cs="Arial"/>
        </w:rPr>
        <w:t xml:space="preserve"> and People with ID/DD</w:t>
      </w:r>
      <w:bookmarkEnd w:id="35"/>
    </w:p>
    <w:p w14:paraId="5FB233B5" w14:textId="77777777" w:rsidR="006E5504" w:rsidRPr="00F618D8" w:rsidRDefault="003E2407" w:rsidP="00610EEF">
      <w:pPr>
        <w:pStyle w:val="ParaNoIndent"/>
        <w:rPr>
          <w:rFonts w:ascii="Arial" w:hAnsi="Arial"/>
        </w:rPr>
      </w:pPr>
      <w:r w:rsidRPr="00F618D8">
        <w:rPr>
          <w:rFonts w:ascii="Arial" w:hAnsi="Arial"/>
        </w:rPr>
        <w:t xml:space="preserve">As the American Association on Intellectual and Developmental Disabilities and The Arc </w:t>
      </w:r>
      <w:r w:rsidR="009842BA" w:rsidRPr="00F618D8">
        <w:rPr>
          <w:rFonts w:ascii="Arial" w:hAnsi="Arial"/>
        </w:rPr>
        <w:t xml:space="preserve">of the United States </w:t>
      </w:r>
      <w:r w:rsidRPr="00F618D8">
        <w:rPr>
          <w:rFonts w:ascii="Arial" w:hAnsi="Arial"/>
        </w:rPr>
        <w:t>have jointly concluded: “Less restrictive means of decision-making supports (e.g., health-care proxies, advance directives, supported decision-making, powers of attorney, notarized statements, representation agreements, etc.) should be tried and found to be ineffective in ensuring the individual’s decision-making capacity before use of guardianship as an option is considered.”</w:t>
      </w:r>
      <w:r w:rsidRPr="00F618D8">
        <w:rPr>
          <w:rStyle w:val="EndnoteReference"/>
          <w:rFonts w:ascii="Arial" w:eastAsia="Times New Roman" w:hAnsi="Arial"/>
          <w:szCs w:val="24"/>
        </w:rPr>
        <w:endnoteReference w:id="19"/>
      </w:r>
      <w:r w:rsidRPr="00F618D8">
        <w:rPr>
          <w:rFonts w:ascii="Arial" w:hAnsi="Arial"/>
        </w:rPr>
        <w:t xml:space="preserve"> Other common examples of legal alternatives to guardianship include </w:t>
      </w:r>
      <w:r w:rsidR="00BD1D61" w:rsidRPr="00F618D8">
        <w:rPr>
          <w:rFonts w:ascii="Arial" w:hAnsi="Arial"/>
        </w:rPr>
        <w:t xml:space="preserve">health care surrogates </w:t>
      </w:r>
      <w:r w:rsidRPr="00F618D8">
        <w:rPr>
          <w:rFonts w:ascii="Arial" w:hAnsi="Arial"/>
        </w:rPr>
        <w:t>by operation of</w:t>
      </w:r>
      <w:r w:rsidR="00BD1D61" w:rsidRPr="00F618D8">
        <w:rPr>
          <w:rFonts w:ascii="Arial" w:hAnsi="Arial"/>
        </w:rPr>
        <w:t xml:space="preserve"> state</w:t>
      </w:r>
      <w:r w:rsidRPr="00F618D8">
        <w:rPr>
          <w:rFonts w:ascii="Arial" w:hAnsi="Arial"/>
        </w:rPr>
        <w:t xml:space="preserve"> law</w:t>
      </w:r>
      <w:r w:rsidR="00BD1D61" w:rsidRPr="00F618D8">
        <w:rPr>
          <w:rFonts w:ascii="Arial" w:hAnsi="Arial"/>
        </w:rPr>
        <w:t>, representative payees, trusts, and joint ownership</w:t>
      </w:r>
      <w:r w:rsidR="00AA1F92" w:rsidRPr="00F618D8">
        <w:rPr>
          <w:rFonts w:ascii="Arial" w:hAnsi="Arial"/>
        </w:rPr>
        <w:t xml:space="preserve">. </w:t>
      </w:r>
      <w:r w:rsidR="00BD1D61" w:rsidRPr="00F618D8">
        <w:rPr>
          <w:rFonts w:ascii="Arial" w:hAnsi="Arial"/>
        </w:rPr>
        <w:t>If alternatives to guardianship are thought of broadly</w:t>
      </w:r>
      <w:r w:rsidR="002C7A91" w:rsidRPr="00F618D8">
        <w:rPr>
          <w:rFonts w:ascii="Arial" w:hAnsi="Arial"/>
        </w:rPr>
        <w:t>—</w:t>
      </w:r>
      <w:r w:rsidR="00BD1D61" w:rsidRPr="00F618D8">
        <w:rPr>
          <w:rFonts w:ascii="Arial" w:hAnsi="Arial"/>
        </w:rPr>
        <w:t>i.e., as services or supports that allow a person’s needs to be met without a court-appointed guardian</w:t>
      </w:r>
      <w:r w:rsidR="002C7A91" w:rsidRPr="00F618D8">
        <w:rPr>
          <w:rFonts w:ascii="Arial" w:hAnsi="Arial"/>
        </w:rPr>
        <w:t>—</w:t>
      </w:r>
      <w:r w:rsidR="00BD1D61" w:rsidRPr="00F618D8">
        <w:rPr>
          <w:rFonts w:ascii="Arial" w:hAnsi="Arial"/>
        </w:rPr>
        <w:t>many other options may be included within the continuum of deci</w:t>
      </w:r>
      <w:r w:rsidR="009842BA" w:rsidRPr="00F618D8">
        <w:rPr>
          <w:rFonts w:ascii="Arial" w:hAnsi="Arial"/>
        </w:rPr>
        <w:t>sion-making support</w:t>
      </w:r>
      <w:r w:rsidR="00AA1F92" w:rsidRPr="00F618D8">
        <w:rPr>
          <w:rFonts w:ascii="Arial" w:hAnsi="Arial"/>
        </w:rPr>
        <w:t xml:space="preserve">. </w:t>
      </w:r>
      <w:r w:rsidR="009842BA" w:rsidRPr="00F618D8">
        <w:rPr>
          <w:rFonts w:ascii="Arial" w:hAnsi="Arial"/>
        </w:rPr>
        <w:t>These options include</w:t>
      </w:r>
      <w:r w:rsidR="006E5504" w:rsidRPr="00F618D8">
        <w:rPr>
          <w:rFonts w:ascii="Arial" w:hAnsi="Arial"/>
        </w:rPr>
        <w:t>:</w:t>
      </w:r>
    </w:p>
    <w:p w14:paraId="5276981F" w14:textId="77777777" w:rsidR="00D51387" w:rsidRPr="00F618D8" w:rsidRDefault="009842BA" w:rsidP="00610EEF">
      <w:pPr>
        <w:pStyle w:val="ListParagraph"/>
        <w:rPr>
          <w:rFonts w:ascii="Arial" w:hAnsi="Arial" w:cs="Arial"/>
        </w:rPr>
      </w:pPr>
      <w:r w:rsidRPr="00F618D8">
        <w:rPr>
          <w:rFonts w:ascii="Arial" w:hAnsi="Arial" w:cs="Arial"/>
        </w:rPr>
        <w:t>voluntary participation in money management services</w:t>
      </w:r>
    </w:p>
    <w:p w14:paraId="2AB6BBBF" w14:textId="77777777" w:rsidR="006E5504" w:rsidRPr="00F618D8" w:rsidRDefault="003E2407" w:rsidP="00610EEF">
      <w:pPr>
        <w:pStyle w:val="ListParagraph"/>
        <w:rPr>
          <w:rFonts w:ascii="Arial" w:hAnsi="Arial" w:cs="Arial"/>
        </w:rPr>
      </w:pPr>
      <w:r w:rsidRPr="00F618D8">
        <w:rPr>
          <w:rFonts w:ascii="Arial" w:hAnsi="Arial" w:cs="Arial"/>
        </w:rPr>
        <w:t>case management services</w:t>
      </w:r>
    </w:p>
    <w:p w14:paraId="3F4D6A19" w14:textId="77777777" w:rsidR="006E5504" w:rsidRPr="00F618D8" w:rsidRDefault="00BD1D61" w:rsidP="00610EEF">
      <w:pPr>
        <w:pStyle w:val="ListParagraph"/>
        <w:rPr>
          <w:rFonts w:ascii="Arial" w:hAnsi="Arial" w:cs="Arial"/>
        </w:rPr>
      </w:pPr>
      <w:r w:rsidRPr="00F618D8">
        <w:rPr>
          <w:rFonts w:ascii="Arial" w:hAnsi="Arial" w:cs="Arial"/>
        </w:rPr>
        <w:t>in-home care services</w:t>
      </w:r>
    </w:p>
    <w:p w14:paraId="17EC2783" w14:textId="77777777" w:rsidR="006E5504" w:rsidRPr="00F618D8" w:rsidRDefault="00BD1D61" w:rsidP="00610EEF">
      <w:pPr>
        <w:pStyle w:val="ListParagraph"/>
        <w:rPr>
          <w:rFonts w:ascii="Arial" w:hAnsi="Arial" w:cs="Arial"/>
        </w:rPr>
      </w:pPr>
      <w:r w:rsidRPr="00F618D8">
        <w:rPr>
          <w:rFonts w:ascii="Arial" w:hAnsi="Arial" w:cs="Arial"/>
        </w:rPr>
        <w:t>food and prescription delivery</w:t>
      </w:r>
    </w:p>
    <w:p w14:paraId="59B48BAE" w14:textId="77777777" w:rsidR="006E5504" w:rsidRPr="00F618D8" w:rsidRDefault="00BD1D61" w:rsidP="00610EEF">
      <w:pPr>
        <w:pStyle w:val="ListParagraph"/>
        <w:rPr>
          <w:rFonts w:ascii="Arial" w:hAnsi="Arial" w:cs="Arial"/>
        </w:rPr>
      </w:pPr>
      <w:r w:rsidRPr="00F618D8">
        <w:rPr>
          <w:rFonts w:ascii="Arial" w:hAnsi="Arial" w:cs="Arial"/>
        </w:rPr>
        <w:t>daily call services</w:t>
      </w:r>
    </w:p>
    <w:p w14:paraId="7E5F69CC" w14:textId="77777777" w:rsidR="006E5504" w:rsidRPr="00F618D8" w:rsidRDefault="00BD1D61" w:rsidP="00610EEF">
      <w:pPr>
        <w:pStyle w:val="ListParagraph"/>
        <w:rPr>
          <w:rFonts w:ascii="Arial" w:hAnsi="Arial" w:cs="Arial"/>
        </w:rPr>
      </w:pPr>
      <w:r w:rsidRPr="00F618D8">
        <w:rPr>
          <w:rFonts w:ascii="Arial" w:hAnsi="Arial" w:cs="Arial"/>
        </w:rPr>
        <w:t>direct deposit or bill pay</w:t>
      </w:r>
    </w:p>
    <w:p w14:paraId="2D6AC447" w14:textId="77777777" w:rsidR="006E5504" w:rsidRPr="00F618D8" w:rsidRDefault="00BD1D61" w:rsidP="00610EEF">
      <w:pPr>
        <w:pStyle w:val="ListParagraph"/>
        <w:rPr>
          <w:rFonts w:ascii="Arial" w:hAnsi="Arial" w:cs="Arial"/>
        </w:rPr>
      </w:pPr>
      <w:r w:rsidRPr="00F618D8">
        <w:rPr>
          <w:rFonts w:ascii="Arial" w:hAnsi="Arial" w:cs="Arial"/>
        </w:rPr>
        <w:t>medical or educational release forms to allow the sharing of confidential information with supporters</w:t>
      </w:r>
    </w:p>
    <w:p w14:paraId="73F8935C" w14:textId="77777777" w:rsidR="006E5504" w:rsidRPr="00F618D8" w:rsidRDefault="00BD1D61" w:rsidP="00610EEF">
      <w:pPr>
        <w:pStyle w:val="ListParagraph"/>
        <w:rPr>
          <w:rFonts w:ascii="Arial" w:hAnsi="Arial" w:cs="Arial"/>
        </w:rPr>
      </w:pPr>
      <w:r w:rsidRPr="00F618D8">
        <w:rPr>
          <w:rFonts w:ascii="Arial" w:hAnsi="Arial" w:cs="Arial"/>
        </w:rPr>
        <w:t>other credit union and banking services</w:t>
      </w:r>
    </w:p>
    <w:p w14:paraId="223A19C6" w14:textId="77777777" w:rsidR="006E5504" w:rsidRPr="00F618D8" w:rsidRDefault="00BD1D61" w:rsidP="00610EEF">
      <w:pPr>
        <w:pStyle w:val="ListParagraph"/>
        <w:rPr>
          <w:rFonts w:ascii="Arial" w:hAnsi="Arial" w:cs="Arial"/>
        </w:rPr>
      </w:pPr>
      <w:r w:rsidRPr="00F618D8">
        <w:rPr>
          <w:rFonts w:ascii="Arial" w:hAnsi="Arial" w:cs="Arial"/>
        </w:rPr>
        <w:t>technology</w:t>
      </w:r>
      <w:r w:rsidRPr="00F618D8">
        <w:rPr>
          <w:rFonts w:ascii="Arial" w:hAnsi="Arial" w:cs="Arial"/>
          <w:vertAlign w:val="superscript"/>
        </w:rPr>
        <w:endnoteReference w:id="20"/>
      </w:r>
      <w:r w:rsidRPr="00F618D8">
        <w:rPr>
          <w:rFonts w:ascii="Arial" w:hAnsi="Arial" w:cs="Arial"/>
        </w:rPr>
        <w:t xml:space="preserve"> </w:t>
      </w:r>
    </w:p>
    <w:p w14:paraId="29FB8365" w14:textId="77777777" w:rsidR="006E5504" w:rsidRPr="00F618D8" w:rsidRDefault="00BD1D61" w:rsidP="00610EEF">
      <w:pPr>
        <w:pStyle w:val="ListParagraph"/>
        <w:rPr>
          <w:rFonts w:ascii="Arial" w:hAnsi="Arial" w:cs="Arial"/>
        </w:rPr>
      </w:pPr>
      <w:r w:rsidRPr="00F618D8">
        <w:rPr>
          <w:rFonts w:ascii="Arial" w:hAnsi="Arial" w:cs="Arial"/>
        </w:rPr>
        <w:t>person-centered planning</w:t>
      </w:r>
    </w:p>
    <w:p w14:paraId="30EC7197" w14:textId="6E703BD1" w:rsidR="006E5504" w:rsidRPr="00F618D8" w:rsidRDefault="00BD1D61" w:rsidP="001B5CC9">
      <w:pPr>
        <w:pStyle w:val="ListParagraph"/>
        <w:rPr>
          <w:rFonts w:ascii="Arial" w:hAnsi="Arial" w:cs="Arial"/>
        </w:rPr>
      </w:pPr>
      <w:r w:rsidRPr="00F618D8">
        <w:rPr>
          <w:rFonts w:ascii="Arial" w:hAnsi="Arial" w:cs="Arial"/>
        </w:rPr>
        <w:t>vocational serv</w:t>
      </w:r>
      <w:r w:rsidR="009842BA" w:rsidRPr="00F618D8">
        <w:rPr>
          <w:rFonts w:ascii="Arial" w:hAnsi="Arial" w:cs="Arial"/>
        </w:rPr>
        <w:t xml:space="preserve">ices </w:t>
      </w:r>
      <w:r w:rsidR="001B5CC9" w:rsidRPr="00F618D8">
        <w:rPr>
          <w:rFonts w:ascii="Arial" w:hAnsi="Arial" w:cs="Arial"/>
          <w:vertAlign w:val="superscript"/>
        </w:rPr>
        <w:endnoteReference w:id="21"/>
      </w:r>
    </w:p>
    <w:p w14:paraId="79CE74A9" w14:textId="77777777" w:rsidR="00350880" w:rsidRPr="00F618D8" w:rsidRDefault="009842BA" w:rsidP="00610EEF">
      <w:pPr>
        <w:pStyle w:val="ListParagraph"/>
        <w:rPr>
          <w:rFonts w:ascii="Arial" w:hAnsi="Arial" w:cs="Arial"/>
        </w:rPr>
      </w:pPr>
      <w:r w:rsidRPr="00F618D8">
        <w:rPr>
          <w:rFonts w:ascii="Arial" w:hAnsi="Arial" w:cs="Arial"/>
        </w:rPr>
        <w:t>supported living services</w:t>
      </w:r>
      <w:r w:rsidR="00BD1D61" w:rsidRPr="00F618D8">
        <w:rPr>
          <w:rFonts w:ascii="Arial" w:hAnsi="Arial" w:cs="Arial"/>
        </w:rPr>
        <w:t>.</w:t>
      </w:r>
      <w:r w:rsidR="00BD1D61" w:rsidRPr="00F618D8">
        <w:rPr>
          <w:rFonts w:ascii="Arial" w:hAnsi="Arial" w:cs="Arial"/>
          <w:vertAlign w:val="superscript"/>
        </w:rPr>
        <w:endnoteReference w:id="22"/>
      </w:r>
      <w:r w:rsidR="00BD1D61" w:rsidRPr="00F618D8">
        <w:rPr>
          <w:rFonts w:ascii="Arial" w:hAnsi="Arial" w:cs="Arial"/>
        </w:rPr>
        <w:t xml:space="preserve"> </w:t>
      </w:r>
    </w:p>
    <w:p w14:paraId="411C7167" w14:textId="77777777" w:rsidR="009842BA" w:rsidRPr="00F618D8" w:rsidRDefault="00BD1D61" w:rsidP="00610EEF">
      <w:pPr>
        <w:pStyle w:val="ParaNoIndent"/>
        <w:rPr>
          <w:rFonts w:ascii="Arial" w:hAnsi="Arial"/>
        </w:rPr>
      </w:pPr>
      <w:r w:rsidRPr="00F618D8">
        <w:rPr>
          <w:rFonts w:ascii="Arial" w:hAnsi="Arial"/>
        </w:rPr>
        <w:lastRenderedPageBreak/>
        <w:t>Emerging alternatives to guardianship in the U</w:t>
      </w:r>
      <w:r w:rsidR="003E2407" w:rsidRPr="00F618D8">
        <w:rPr>
          <w:rFonts w:ascii="Arial" w:hAnsi="Arial"/>
        </w:rPr>
        <w:t>nited States</w:t>
      </w:r>
      <w:r w:rsidRPr="00F618D8">
        <w:rPr>
          <w:rFonts w:ascii="Arial" w:hAnsi="Arial"/>
        </w:rPr>
        <w:t xml:space="preserve"> include Physician Orders for Life-Sustaining Treatment </w:t>
      </w:r>
      <w:r w:rsidR="00927CD8" w:rsidRPr="00F618D8">
        <w:rPr>
          <w:rFonts w:ascii="Arial" w:hAnsi="Arial"/>
        </w:rPr>
        <w:t xml:space="preserve">(POLST) </w:t>
      </w:r>
      <w:r w:rsidRPr="00F618D8">
        <w:rPr>
          <w:rFonts w:ascii="Arial" w:hAnsi="Arial"/>
        </w:rPr>
        <w:t>and, of particular rele</w:t>
      </w:r>
      <w:r w:rsidR="00927CD8" w:rsidRPr="00F618D8">
        <w:rPr>
          <w:rFonts w:ascii="Arial" w:hAnsi="Arial"/>
        </w:rPr>
        <w:t>vance to people with ID/DD</w:t>
      </w:r>
      <w:r w:rsidRPr="00F618D8">
        <w:rPr>
          <w:rFonts w:ascii="Arial" w:hAnsi="Arial"/>
        </w:rPr>
        <w:t>, ABLE accounts</w:t>
      </w:r>
      <w:r w:rsidR="00AA1F92" w:rsidRPr="00F618D8">
        <w:rPr>
          <w:rFonts w:ascii="Arial" w:hAnsi="Arial"/>
        </w:rPr>
        <w:t xml:space="preserve">. </w:t>
      </w:r>
      <w:r w:rsidR="009842BA" w:rsidRPr="00F618D8">
        <w:rPr>
          <w:rFonts w:ascii="Arial" w:hAnsi="Arial"/>
        </w:rPr>
        <w:t>The 2018 NCD Report reviews at length the advantages and disadvantages of many of these less-restrictive options and includes discussi</w:t>
      </w:r>
      <w:r w:rsidR="005924B9" w:rsidRPr="00F618D8">
        <w:rPr>
          <w:rFonts w:ascii="Arial" w:hAnsi="Arial"/>
        </w:rPr>
        <w:t xml:space="preserve">on </w:t>
      </w:r>
      <w:r w:rsidR="002562E6" w:rsidRPr="00F618D8">
        <w:rPr>
          <w:rFonts w:ascii="Arial" w:hAnsi="Arial"/>
        </w:rPr>
        <w:t xml:space="preserve">of </w:t>
      </w:r>
      <w:r w:rsidR="005924B9" w:rsidRPr="00F618D8">
        <w:rPr>
          <w:rFonts w:ascii="Arial" w:hAnsi="Arial"/>
        </w:rPr>
        <w:t>the promising “PRACTICAL Tool,” which was</w:t>
      </w:r>
      <w:r w:rsidR="009842BA" w:rsidRPr="00F618D8">
        <w:rPr>
          <w:rFonts w:ascii="Arial" w:hAnsi="Arial"/>
        </w:rPr>
        <w:t xml:space="preserve"> developed by the American Bar Association to encourage lawyers to identify and implement appropriate decision-making options for people with disabilities that are less restrictive than guardianship.</w:t>
      </w:r>
      <w:r w:rsidR="009842BA" w:rsidRPr="00F618D8">
        <w:rPr>
          <w:rStyle w:val="EndnoteReference"/>
          <w:rFonts w:ascii="Arial" w:eastAsia="Times New Roman" w:hAnsi="Arial"/>
          <w:szCs w:val="24"/>
        </w:rPr>
        <w:endnoteReference w:id="23"/>
      </w:r>
      <w:r w:rsidR="009842BA" w:rsidRPr="00F618D8">
        <w:rPr>
          <w:rFonts w:ascii="Arial" w:hAnsi="Arial"/>
        </w:rPr>
        <w:t xml:space="preserve">  </w:t>
      </w:r>
    </w:p>
    <w:p w14:paraId="7B375E92" w14:textId="77777777" w:rsidR="002B7E0A" w:rsidRPr="00F618D8" w:rsidRDefault="009842BA" w:rsidP="00610EEF">
      <w:pPr>
        <w:pStyle w:val="ParaNoIndent"/>
        <w:rPr>
          <w:rFonts w:ascii="Arial" w:hAnsi="Arial"/>
        </w:rPr>
      </w:pPr>
      <w:r w:rsidRPr="00F618D8">
        <w:rPr>
          <w:rFonts w:ascii="Arial" w:hAnsi="Arial"/>
        </w:rPr>
        <w:t xml:space="preserve">For the purpose of the present report, NCD wants to emphasize that, </w:t>
      </w:r>
      <w:bookmarkStart w:id="36" w:name="_Hlk5191667"/>
      <w:r w:rsidRPr="00F618D8">
        <w:rPr>
          <w:rFonts w:ascii="Arial" w:hAnsi="Arial"/>
        </w:rPr>
        <w:t>from a rights perspective, alternatives that are voluntary in nature</w:t>
      </w:r>
      <w:r w:rsidR="002014A8" w:rsidRPr="00F618D8">
        <w:rPr>
          <w:rFonts w:ascii="Arial" w:hAnsi="Arial"/>
        </w:rPr>
        <w:t>—</w:t>
      </w:r>
      <w:r w:rsidRPr="00F618D8">
        <w:rPr>
          <w:rFonts w:ascii="Arial" w:hAnsi="Arial"/>
        </w:rPr>
        <w:t>i.e., decision-making support arrangements that are chosen and able to be cancelled or changed by the people with disabilities themselves</w:t>
      </w:r>
      <w:r w:rsidR="002014A8" w:rsidRPr="00F618D8">
        <w:rPr>
          <w:rFonts w:ascii="Arial" w:hAnsi="Arial"/>
        </w:rPr>
        <w:t>—</w:t>
      </w:r>
      <w:r w:rsidRPr="00F618D8">
        <w:rPr>
          <w:rFonts w:ascii="Arial" w:hAnsi="Arial"/>
        </w:rPr>
        <w:t>are less-restrictive than those that are involuntary in nature and, as such, are options that should be considered first for people with ID/DD</w:t>
      </w:r>
      <w:r w:rsidR="00AA1F92" w:rsidRPr="00F618D8">
        <w:rPr>
          <w:rFonts w:ascii="Arial" w:hAnsi="Arial"/>
        </w:rPr>
        <w:t xml:space="preserve">. </w:t>
      </w:r>
      <w:bookmarkEnd w:id="36"/>
      <w:r w:rsidRPr="00F618D8">
        <w:rPr>
          <w:rFonts w:ascii="Arial" w:hAnsi="Arial"/>
        </w:rPr>
        <w:t xml:space="preserve">Voluntary alternatives to guardianship include tools such as </w:t>
      </w:r>
      <w:r w:rsidR="009B057B" w:rsidRPr="00F618D8">
        <w:rPr>
          <w:rFonts w:ascii="Arial" w:hAnsi="Arial"/>
        </w:rPr>
        <w:t xml:space="preserve">supported decision-making </w:t>
      </w:r>
      <w:r w:rsidRPr="00F618D8">
        <w:rPr>
          <w:rFonts w:ascii="Arial" w:hAnsi="Arial"/>
        </w:rPr>
        <w:t xml:space="preserve">(when people with disabilities use friends, family members, and others they trust to help them understand the everyday situations and choices they face, so that they can make their own decisions without the need for a substitute decision maker) and </w:t>
      </w:r>
      <w:r w:rsidR="00463039" w:rsidRPr="00F618D8">
        <w:rPr>
          <w:rFonts w:ascii="Arial" w:hAnsi="Arial"/>
          <w:i/>
        </w:rPr>
        <w:t>p</w:t>
      </w:r>
      <w:r w:rsidRPr="00F618D8">
        <w:rPr>
          <w:rFonts w:ascii="Arial" w:hAnsi="Arial"/>
          <w:i/>
        </w:rPr>
        <w:t xml:space="preserve">owers of </w:t>
      </w:r>
      <w:r w:rsidR="00463039" w:rsidRPr="00F618D8">
        <w:rPr>
          <w:rFonts w:ascii="Arial" w:hAnsi="Arial"/>
          <w:i/>
        </w:rPr>
        <w:t>a</w:t>
      </w:r>
      <w:r w:rsidRPr="00F618D8">
        <w:rPr>
          <w:rFonts w:ascii="Arial" w:hAnsi="Arial"/>
          <w:i/>
        </w:rPr>
        <w:t>ttorney</w:t>
      </w:r>
      <w:r w:rsidRPr="00F618D8">
        <w:rPr>
          <w:rFonts w:ascii="Arial" w:hAnsi="Arial"/>
        </w:rPr>
        <w:t xml:space="preserve"> (written documents executed under state law that allow</w:t>
      </w:r>
      <w:r w:rsidR="002B7E0A" w:rsidRPr="00F618D8">
        <w:rPr>
          <w:rFonts w:ascii="Arial" w:hAnsi="Arial"/>
        </w:rPr>
        <w:t>s</w:t>
      </w:r>
      <w:r w:rsidRPr="00F618D8">
        <w:rPr>
          <w:rFonts w:ascii="Arial" w:hAnsi="Arial"/>
        </w:rPr>
        <w:t xml:space="preserve"> a person to voluntarily designate someone else to act for them in certain situations and to cancel or change that designation at </w:t>
      </w:r>
      <w:r w:rsidR="002B7E0A" w:rsidRPr="00F618D8">
        <w:rPr>
          <w:rFonts w:ascii="Arial" w:hAnsi="Arial"/>
        </w:rPr>
        <w:t xml:space="preserve">a </w:t>
      </w:r>
      <w:r w:rsidRPr="00F618D8">
        <w:rPr>
          <w:rFonts w:ascii="Arial" w:hAnsi="Arial"/>
        </w:rPr>
        <w:t>later time without court involvement)</w:t>
      </w:r>
      <w:r w:rsidR="00AA1F92" w:rsidRPr="00F618D8">
        <w:rPr>
          <w:rFonts w:ascii="Arial" w:hAnsi="Arial"/>
        </w:rPr>
        <w:t xml:space="preserve">. </w:t>
      </w:r>
    </w:p>
    <w:p w14:paraId="163413AF" w14:textId="77777777" w:rsidR="009842BA" w:rsidRPr="00F618D8" w:rsidRDefault="009842BA" w:rsidP="00610EEF">
      <w:pPr>
        <w:pStyle w:val="ParaNoIndent"/>
        <w:rPr>
          <w:rFonts w:ascii="Arial" w:hAnsi="Arial"/>
        </w:rPr>
      </w:pPr>
      <w:r w:rsidRPr="00F618D8">
        <w:rPr>
          <w:rFonts w:ascii="Arial" w:hAnsi="Arial"/>
        </w:rPr>
        <w:t xml:space="preserve">Involuntary alternatives involve some entity other than a court or the person with a disability appointing and having control over who serves as the decision-maker. They include options such as </w:t>
      </w:r>
      <w:r w:rsidR="00463039" w:rsidRPr="007A6338">
        <w:rPr>
          <w:rFonts w:ascii="Arial" w:hAnsi="Arial"/>
        </w:rPr>
        <w:t>r</w:t>
      </w:r>
      <w:r w:rsidRPr="007A6338">
        <w:rPr>
          <w:rFonts w:ascii="Arial" w:hAnsi="Arial"/>
        </w:rPr>
        <w:t xml:space="preserve">epresentative </w:t>
      </w:r>
      <w:r w:rsidR="00463039" w:rsidRPr="007A6338">
        <w:rPr>
          <w:rFonts w:ascii="Arial" w:hAnsi="Arial"/>
        </w:rPr>
        <w:t>p</w:t>
      </w:r>
      <w:r w:rsidRPr="007A6338">
        <w:rPr>
          <w:rFonts w:ascii="Arial" w:hAnsi="Arial"/>
        </w:rPr>
        <w:t>ayees</w:t>
      </w:r>
      <w:r w:rsidRPr="00F618D8">
        <w:rPr>
          <w:rFonts w:ascii="Arial" w:hAnsi="Arial"/>
        </w:rPr>
        <w:t xml:space="preserve"> (which are appointed by </w:t>
      </w:r>
      <w:r w:rsidR="00153C02" w:rsidRPr="00F618D8">
        <w:rPr>
          <w:rFonts w:ascii="Arial" w:hAnsi="Arial"/>
        </w:rPr>
        <w:t>SSA</w:t>
      </w:r>
      <w:r w:rsidRPr="00F618D8">
        <w:rPr>
          <w:rFonts w:ascii="Arial" w:hAnsi="Arial"/>
        </w:rPr>
        <w:t xml:space="preserve"> when it determines beneficiaries cannot manage or direct the management of his or her own benefits and cannot be independently removed or changed by the beneficiaries themselves), </w:t>
      </w:r>
      <w:r w:rsidR="00371223" w:rsidRPr="00F618D8">
        <w:rPr>
          <w:rFonts w:ascii="Arial" w:hAnsi="Arial"/>
        </w:rPr>
        <w:t xml:space="preserve">surrogate health care decision-makers </w:t>
      </w:r>
      <w:r w:rsidRPr="00F618D8">
        <w:rPr>
          <w:rFonts w:ascii="Arial" w:hAnsi="Arial"/>
        </w:rPr>
        <w:t xml:space="preserve">(which are not acting under the authority of a </w:t>
      </w:r>
      <w:r w:rsidR="0096596E" w:rsidRPr="00F618D8">
        <w:rPr>
          <w:rFonts w:ascii="Arial" w:hAnsi="Arial"/>
        </w:rPr>
        <w:t xml:space="preserve">power </w:t>
      </w:r>
      <w:r w:rsidRPr="00F618D8">
        <w:rPr>
          <w:rFonts w:ascii="Arial" w:hAnsi="Arial"/>
        </w:rPr>
        <w:t xml:space="preserve">of </w:t>
      </w:r>
      <w:r w:rsidR="0096596E" w:rsidRPr="00F618D8">
        <w:rPr>
          <w:rFonts w:ascii="Arial" w:hAnsi="Arial"/>
        </w:rPr>
        <w:t xml:space="preserve">attorney </w:t>
      </w:r>
      <w:r w:rsidRPr="00F618D8">
        <w:rPr>
          <w:rFonts w:ascii="Arial" w:hAnsi="Arial"/>
        </w:rPr>
        <w:t>or judicial determination, but rather by operation of other state law, and usually involve some form of professional certification(s) of a person’s incapacity to make health care decisions), and Educational Representatives (</w:t>
      </w:r>
      <w:r w:rsidR="005924B9" w:rsidRPr="00F618D8">
        <w:rPr>
          <w:rFonts w:ascii="Arial" w:hAnsi="Arial"/>
        </w:rPr>
        <w:t xml:space="preserve">which are </w:t>
      </w:r>
      <w:r w:rsidRPr="00F618D8">
        <w:rPr>
          <w:rFonts w:ascii="Arial" w:hAnsi="Arial"/>
        </w:rPr>
        <w:t>discussed further in Chapter 2)</w:t>
      </w:r>
      <w:r w:rsidR="00AA1F92" w:rsidRPr="00F618D8">
        <w:rPr>
          <w:rFonts w:ascii="Arial" w:hAnsi="Arial"/>
        </w:rPr>
        <w:t xml:space="preserve">. </w:t>
      </w:r>
      <w:r w:rsidRPr="00F618D8">
        <w:rPr>
          <w:rFonts w:ascii="Arial" w:hAnsi="Arial"/>
        </w:rPr>
        <w:t xml:space="preserve"> </w:t>
      </w:r>
    </w:p>
    <w:p w14:paraId="66E3D1CD" w14:textId="5733698E" w:rsidR="009842BA" w:rsidRPr="00F618D8" w:rsidRDefault="009842BA" w:rsidP="00610EEF">
      <w:pPr>
        <w:pStyle w:val="ParaNoIndent"/>
        <w:rPr>
          <w:rFonts w:ascii="Arial" w:hAnsi="Arial"/>
        </w:rPr>
      </w:pPr>
      <w:r w:rsidRPr="00F618D8">
        <w:rPr>
          <w:rFonts w:ascii="Arial" w:hAnsi="Arial"/>
        </w:rPr>
        <w:lastRenderedPageBreak/>
        <w:t>NCD supports delinking perceptions about the ability of people with ID/DD to access voluntary alternatives to guardianship from their diagnosis alone</w:t>
      </w:r>
      <w:r w:rsidR="00AA1F92" w:rsidRPr="00F618D8">
        <w:rPr>
          <w:rFonts w:ascii="Arial" w:hAnsi="Arial"/>
        </w:rPr>
        <w:t xml:space="preserve">. </w:t>
      </w:r>
      <w:r w:rsidRPr="00F618D8">
        <w:rPr>
          <w:rFonts w:ascii="Arial" w:hAnsi="Arial"/>
        </w:rPr>
        <w:t>M</w:t>
      </w:r>
      <w:r w:rsidR="00927CD8" w:rsidRPr="00F618D8">
        <w:rPr>
          <w:rFonts w:ascii="Arial" w:hAnsi="Arial"/>
        </w:rPr>
        <w:t>any people with cognitive and intellectual disabilities can knowingly and voluntarily execute powers of attorney or advance directives, yet misconceptions about this persist,</w:t>
      </w:r>
      <w:r w:rsidR="003E2407" w:rsidRPr="00F618D8">
        <w:rPr>
          <w:rStyle w:val="EndnoteReference"/>
          <w:rFonts w:ascii="Arial" w:hAnsi="Arial"/>
          <w:szCs w:val="24"/>
        </w:rPr>
        <w:t xml:space="preserve"> </w:t>
      </w:r>
      <w:r w:rsidR="003E2407" w:rsidRPr="00F618D8">
        <w:rPr>
          <w:rStyle w:val="EndnoteReference"/>
          <w:rFonts w:ascii="Arial" w:hAnsi="Arial"/>
          <w:szCs w:val="24"/>
        </w:rPr>
        <w:endnoteReference w:id="24"/>
      </w:r>
      <w:r w:rsidR="00927CD8" w:rsidRPr="00F618D8">
        <w:rPr>
          <w:rFonts w:ascii="Arial" w:hAnsi="Arial"/>
        </w:rPr>
        <w:t xml:space="preserve"> and opportunities to access </w:t>
      </w:r>
      <w:r w:rsidRPr="00F618D8">
        <w:rPr>
          <w:rFonts w:ascii="Arial" w:hAnsi="Arial"/>
        </w:rPr>
        <w:t>th</w:t>
      </w:r>
      <w:r w:rsidR="005924B9" w:rsidRPr="00F618D8">
        <w:rPr>
          <w:rFonts w:ascii="Arial" w:hAnsi="Arial"/>
        </w:rPr>
        <w:t>ese</w:t>
      </w:r>
      <w:r w:rsidRPr="00F618D8">
        <w:rPr>
          <w:rFonts w:ascii="Arial" w:hAnsi="Arial"/>
        </w:rPr>
        <w:t xml:space="preserve"> option</w:t>
      </w:r>
      <w:r w:rsidR="005924B9" w:rsidRPr="00F618D8">
        <w:rPr>
          <w:rFonts w:ascii="Arial" w:hAnsi="Arial"/>
        </w:rPr>
        <w:t>s</w:t>
      </w:r>
      <w:r w:rsidR="00927CD8" w:rsidRPr="00F618D8">
        <w:rPr>
          <w:rFonts w:ascii="Arial" w:hAnsi="Arial"/>
        </w:rPr>
        <w:t xml:space="preserve"> </w:t>
      </w:r>
      <w:r w:rsidR="003E2407" w:rsidRPr="00F618D8">
        <w:rPr>
          <w:rFonts w:ascii="Arial" w:hAnsi="Arial"/>
        </w:rPr>
        <w:t xml:space="preserve">may not be offered to </w:t>
      </w:r>
      <w:r w:rsidRPr="00F618D8">
        <w:rPr>
          <w:rFonts w:ascii="Arial" w:hAnsi="Arial"/>
        </w:rPr>
        <w:t>them</w:t>
      </w:r>
      <w:r w:rsidR="00AA1F92" w:rsidRPr="00F618D8">
        <w:rPr>
          <w:rFonts w:ascii="Arial" w:hAnsi="Arial"/>
        </w:rPr>
        <w:t xml:space="preserve">. </w:t>
      </w:r>
      <w:r w:rsidR="003E2407" w:rsidRPr="00F618D8">
        <w:rPr>
          <w:rFonts w:ascii="Arial" w:hAnsi="Arial"/>
        </w:rPr>
        <w:t xml:space="preserve">A family </w:t>
      </w:r>
      <w:r w:rsidRPr="00F618D8">
        <w:rPr>
          <w:rFonts w:ascii="Arial" w:hAnsi="Arial"/>
        </w:rPr>
        <w:t>respondent</w:t>
      </w:r>
      <w:r w:rsidR="003E2407" w:rsidRPr="00F618D8">
        <w:rPr>
          <w:rFonts w:ascii="Arial" w:hAnsi="Arial"/>
        </w:rPr>
        <w:t xml:space="preserve"> reported: “An attorney has claimed that our son does not have legal capacity to enter into a durable medical power of attorney due to </w:t>
      </w:r>
      <w:r w:rsidRPr="00F618D8">
        <w:rPr>
          <w:rFonts w:ascii="Arial" w:hAnsi="Arial"/>
        </w:rPr>
        <w:t xml:space="preserve">. . . </w:t>
      </w:r>
      <w:r w:rsidR="003E2407" w:rsidRPr="00F618D8">
        <w:rPr>
          <w:rFonts w:ascii="Arial" w:hAnsi="Arial"/>
        </w:rPr>
        <w:t>his intellectual disability, but he is very clearly expressing preferences and making decisions about what he wants in life</w:t>
      </w:r>
      <w:r w:rsidR="00AA1F92" w:rsidRPr="00F618D8">
        <w:rPr>
          <w:rFonts w:ascii="Arial" w:hAnsi="Arial"/>
        </w:rPr>
        <w:t xml:space="preserve">.” </w:t>
      </w:r>
    </w:p>
    <w:p w14:paraId="4CF48C46" w14:textId="77777777" w:rsidR="009842BA" w:rsidRPr="00F618D8" w:rsidRDefault="009842BA" w:rsidP="00610EEF">
      <w:pPr>
        <w:pStyle w:val="ParaNoIndent"/>
        <w:rPr>
          <w:rFonts w:ascii="Arial" w:hAnsi="Arial"/>
        </w:rPr>
      </w:pPr>
      <w:r w:rsidRPr="00F618D8">
        <w:rPr>
          <w:rFonts w:ascii="Arial" w:hAnsi="Arial"/>
        </w:rPr>
        <w:t>NCD also cautions against the over-use of involuntary alternatives to guardianship for people with ID/DD</w:t>
      </w:r>
      <w:r w:rsidR="00AA1F92" w:rsidRPr="00F618D8">
        <w:rPr>
          <w:rFonts w:ascii="Arial" w:hAnsi="Arial"/>
        </w:rPr>
        <w:t xml:space="preserve">. </w:t>
      </w:r>
      <w:r w:rsidRPr="00F618D8">
        <w:rPr>
          <w:rFonts w:ascii="Arial" w:hAnsi="Arial"/>
        </w:rPr>
        <w:t>While they do not involve the court system and are expressly limited in nature, they are still</w:t>
      </w:r>
      <w:r w:rsidR="0041700C" w:rsidRPr="00F618D8">
        <w:rPr>
          <w:rFonts w:ascii="Arial" w:hAnsi="Arial"/>
        </w:rPr>
        <w:t xml:space="preserve"> a form</w:t>
      </w:r>
      <w:r w:rsidRPr="00F618D8">
        <w:rPr>
          <w:rFonts w:ascii="Arial" w:hAnsi="Arial"/>
        </w:rPr>
        <w:t xml:space="preserve"> of substitute or surrogate, rather than supported, decision-making.</w:t>
      </w:r>
      <w:r w:rsidRPr="00F618D8">
        <w:rPr>
          <w:rStyle w:val="EndnoteReference"/>
          <w:rFonts w:ascii="Arial" w:hAnsi="Arial"/>
          <w:szCs w:val="24"/>
        </w:rPr>
        <w:endnoteReference w:id="25"/>
      </w:r>
      <w:r w:rsidRPr="00F618D8">
        <w:rPr>
          <w:rFonts w:ascii="Arial" w:hAnsi="Arial"/>
        </w:rPr>
        <w:t xml:space="preserve">  For example, having </w:t>
      </w:r>
      <w:r w:rsidR="004D57F5" w:rsidRPr="00F618D8">
        <w:rPr>
          <w:rFonts w:ascii="Arial" w:hAnsi="Arial"/>
        </w:rPr>
        <w:t>r</w:t>
      </w:r>
      <w:r w:rsidRPr="00F618D8">
        <w:rPr>
          <w:rFonts w:ascii="Arial" w:hAnsi="Arial"/>
        </w:rPr>
        <w:t xml:space="preserve">epresentative </w:t>
      </w:r>
      <w:r w:rsidR="004D57F5" w:rsidRPr="00F618D8">
        <w:rPr>
          <w:rFonts w:ascii="Arial" w:hAnsi="Arial"/>
        </w:rPr>
        <w:t>p</w:t>
      </w:r>
      <w:r w:rsidRPr="00F618D8">
        <w:rPr>
          <w:rFonts w:ascii="Arial" w:hAnsi="Arial"/>
        </w:rPr>
        <w:t xml:space="preserve">ayees is </w:t>
      </w:r>
      <w:r w:rsidR="00DA736B" w:rsidRPr="00F618D8">
        <w:rPr>
          <w:rFonts w:ascii="Arial" w:hAnsi="Arial"/>
        </w:rPr>
        <w:t xml:space="preserve">a </w:t>
      </w:r>
      <w:r w:rsidRPr="00F618D8">
        <w:rPr>
          <w:rFonts w:ascii="Arial" w:hAnsi="Arial"/>
        </w:rPr>
        <w:t>common alterna</w:t>
      </w:r>
      <w:r w:rsidR="005924B9" w:rsidRPr="00F618D8">
        <w:rPr>
          <w:rFonts w:ascii="Arial" w:hAnsi="Arial"/>
        </w:rPr>
        <w:t xml:space="preserve">tive to guardianship for people with ID/DD, based on </w:t>
      </w:r>
      <w:r w:rsidRPr="00F618D8">
        <w:rPr>
          <w:rFonts w:ascii="Arial" w:hAnsi="Arial"/>
        </w:rPr>
        <w:t>the stakeholder respondents in this project</w:t>
      </w:r>
      <w:r w:rsidR="00AA1F92" w:rsidRPr="00F618D8">
        <w:rPr>
          <w:rFonts w:ascii="Arial" w:hAnsi="Arial"/>
        </w:rPr>
        <w:t xml:space="preserve">. </w:t>
      </w:r>
      <w:r w:rsidRPr="00F618D8">
        <w:rPr>
          <w:rFonts w:ascii="Arial" w:hAnsi="Arial"/>
        </w:rPr>
        <w:t xml:space="preserve">Yet, while there are benefits to having a </w:t>
      </w:r>
      <w:r w:rsidR="004D57F5" w:rsidRPr="00F618D8">
        <w:rPr>
          <w:rFonts w:ascii="Arial" w:hAnsi="Arial"/>
        </w:rPr>
        <w:t>r</w:t>
      </w:r>
      <w:r w:rsidRPr="00F618D8">
        <w:rPr>
          <w:rFonts w:ascii="Arial" w:hAnsi="Arial"/>
        </w:rPr>
        <w:t xml:space="preserve">epresentative </w:t>
      </w:r>
      <w:r w:rsidR="00545A20" w:rsidRPr="00F618D8">
        <w:rPr>
          <w:rFonts w:ascii="Arial" w:hAnsi="Arial"/>
        </w:rPr>
        <w:t>p</w:t>
      </w:r>
      <w:r w:rsidRPr="00F618D8">
        <w:rPr>
          <w:rFonts w:ascii="Arial" w:hAnsi="Arial"/>
        </w:rPr>
        <w:t>ayee in certain circumstances, there also risks to the beneficiary that should not be forgotten, including loss in their feelings of self-worth and autonomy, encouragement of dependence, stigmatization, and the possibility that the representative payee will financial</w:t>
      </w:r>
      <w:r w:rsidR="007829CD" w:rsidRPr="00F618D8">
        <w:rPr>
          <w:rFonts w:ascii="Arial" w:hAnsi="Arial"/>
        </w:rPr>
        <w:t>ly</w:t>
      </w:r>
      <w:r w:rsidRPr="00F618D8">
        <w:rPr>
          <w:rFonts w:ascii="Arial" w:hAnsi="Arial"/>
        </w:rPr>
        <w:t xml:space="preserve"> exploit or use the benefits as leverage to control the beneficiary.</w:t>
      </w:r>
      <w:r w:rsidRPr="00F618D8">
        <w:rPr>
          <w:rStyle w:val="EndnoteReference"/>
          <w:rFonts w:ascii="Arial" w:hAnsi="Arial"/>
          <w:szCs w:val="24"/>
        </w:rPr>
        <w:endnoteReference w:id="26"/>
      </w:r>
      <w:r w:rsidRPr="00F618D8">
        <w:rPr>
          <w:rFonts w:ascii="Arial" w:hAnsi="Arial"/>
        </w:rPr>
        <w:t xml:space="preserve"> As the Social Security Advisory Board has recognized, “[t]he appointment of a payee represents the curtailment of certain rights for the beneficiary and, therefore, should be undertaken carefully” and with consideration of the </w:t>
      </w:r>
      <w:r w:rsidR="009B057B" w:rsidRPr="00F618D8">
        <w:rPr>
          <w:rFonts w:ascii="Arial" w:hAnsi="Arial"/>
        </w:rPr>
        <w:t xml:space="preserve">supported decision-making </w:t>
      </w:r>
      <w:r w:rsidR="003A2393" w:rsidRPr="00F618D8">
        <w:rPr>
          <w:rFonts w:ascii="Arial" w:hAnsi="Arial"/>
        </w:rPr>
        <w:t>(SDM)</w:t>
      </w:r>
      <w:r w:rsidRPr="00F618D8">
        <w:rPr>
          <w:rFonts w:ascii="Arial" w:hAnsi="Arial"/>
        </w:rPr>
        <w:t xml:space="preserve"> as an alternative to appointment.</w:t>
      </w:r>
      <w:r w:rsidRPr="00F618D8">
        <w:rPr>
          <w:rStyle w:val="EndnoteReference"/>
          <w:rFonts w:ascii="Arial" w:hAnsi="Arial"/>
          <w:szCs w:val="24"/>
        </w:rPr>
        <w:endnoteReference w:id="27"/>
      </w:r>
      <w:r w:rsidR="00DA736B" w:rsidRPr="00F618D8">
        <w:rPr>
          <w:rFonts w:ascii="Arial" w:hAnsi="Arial"/>
        </w:rPr>
        <w:t xml:space="preserve"> </w:t>
      </w:r>
      <w:r w:rsidRPr="00F618D8">
        <w:rPr>
          <w:rFonts w:ascii="Arial" w:hAnsi="Arial"/>
        </w:rPr>
        <w:t xml:space="preserve">A respondent agreed with such careful consideration: “I am considering terminating [my] role [as representative payee] in light of what I now know about supported decision-making . . . I would like to return the right to decide how his </w:t>
      </w:r>
      <w:r w:rsidR="007322C4" w:rsidRPr="00F618D8">
        <w:rPr>
          <w:rFonts w:ascii="Arial" w:hAnsi="Arial"/>
        </w:rPr>
        <w:t xml:space="preserve">SSDI </w:t>
      </w:r>
      <w:r w:rsidRPr="00F618D8">
        <w:rPr>
          <w:rFonts w:ascii="Arial" w:hAnsi="Arial"/>
        </w:rPr>
        <w:t>is spent to [my family member with ID/DD]</w:t>
      </w:r>
      <w:r w:rsidR="00F21D1C" w:rsidRPr="00F618D8">
        <w:rPr>
          <w:rFonts w:ascii="Arial" w:hAnsi="Arial"/>
        </w:rPr>
        <w:t xml:space="preserve"> </w:t>
      </w:r>
      <w:r w:rsidRPr="00F618D8">
        <w:rPr>
          <w:rFonts w:ascii="Arial" w:hAnsi="Arial"/>
        </w:rPr>
        <w:t xml:space="preserve">. . </w:t>
      </w:r>
      <w:r w:rsidR="00AA1F92" w:rsidRPr="00F618D8">
        <w:rPr>
          <w:rFonts w:ascii="Arial" w:hAnsi="Arial"/>
        </w:rPr>
        <w:t xml:space="preserve">. </w:t>
      </w:r>
      <w:r w:rsidRPr="00F618D8">
        <w:rPr>
          <w:rFonts w:ascii="Arial" w:hAnsi="Arial"/>
        </w:rPr>
        <w:t>He is already more confident and assertive since the conservatorship termination, and I expect him to continue to grow as he takes ownership of his decisions with my support</w:t>
      </w:r>
      <w:r w:rsidR="00AA1F92" w:rsidRPr="00F618D8">
        <w:rPr>
          <w:rFonts w:ascii="Arial" w:hAnsi="Arial"/>
        </w:rPr>
        <w:t xml:space="preserve">.” </w:t>
      </w:r>
      <w:r w:rsidR="005924B9" w:rsidRPr="00F618D8">
        <w:rPr>
          <w:rFonts w:ascii="Arial" w:hAnsi="Arial"/>
        </w:rPr>
        <w:t>Possible w</w:t>
      </w:r>
      <w:r w:rsidRPr="00F618D8">
        <w:rPr>
          <w:rFonts w:ascii="Arial" w:hAnsi="Arial"/>
        </w:rPr>
        <w:t xml:space="preserve">ays </w:t>
      </w:r>
      <w:r w:rsidR="005924B9" w:rsidRPr="00F618D8">
        <w:rPr>
          <w:rFonts w:ascii="Arial" w:hAnsi="Arial"/>
        </w:rPr>
        <w:t>states can</w:t>
      </w:r>
      <w:r w:rsidRPr="00F618D8">
        <w:rPr>
          <w:rFonts w:ascii="Arial" w:hAnsi="Arial"/>
        </w:rPr>
        <w:t xml:space="preserve"> address concerns about other involuntary alternatives to guardianship, such as Surrogate Health Care Decision-Makers and Educational Representatives, are discussed in Chapter 5. </w:t>
      </w:r>
    </w:p>
    <w:p w14:paraId="5CB63B5C" w14:textId="77777777" w:rsidR="007C08AD" w:rsidRPr="00F618D8" w:rsidRDefault="005924B9" w:rsidP="00610EEF">
      <w:pPr>
        <w:pStyle w:val="ParaNoIndent"/>
        <w:rPr>
          <w:rFonts w:ascii="Arial" w:hAnsi="Arial"/>
        </w:rPr>
      </w:pPr>
      <w:r w:rsidRPr="00F618D8">
        <w:rPr>
          <w:rFonts w:ascii="Arial" w:hAnsi="Arial"/>
        </w:rPr>
        <w:lastRenderedPageBreak/>
        <w:t>Finally</w:t>
      </w:r>
      <w:r w:rsidR="009842BA" w:rsidRPr="00F618D8">
        <w:rPr>
          <w:rFonts w:ascii="Arial" w:hAnsi="Arial"/>
        </w:rPr>
        <w:t xml:space="preserve">, NCD sees </w:t>
      </w:r>
      <w:r w:rsidR="003A2393" w:rsidRPr="00F618D8">
        <w:rPr>
          <w:rFonts w:ascii="Arial" w:hAnsi="Arial"/>
        </w:rPr>
        <w:t>SDM</w:t>
      </w:r>
      <w:r w:rsidR="009842BA" w:rsidRPr="00F618D8">
        <w:rPr>
          <w:rFonts w:ascii="Arial" w:hAnsi="Arial"/>
        </w:rPr>
        <w:t xml:space="preserve"> as an evermore promising and recognized option for people with ID/DD</w:t>
      </w:r>
      <w:r w:rsidR="00AA1F92" w:rsidRPr="00F618D8">
        <w:rPr>
          <w:rFonts w:ascii="Arial" w:hAnsi="Arial"/>
        </w:rPr>
        <w:t xml:space="preserve">. </w:t>
      </w:r>
      <w:r w:rsidR="009842BA" w:rsidRPr="00F618D8">
        <w:rPr>
          <w:rFonts w:ascii="Arial" w:hAnsi="Arial"/>
        </w:rPr>
        <w:t xml:space="preserve">Based on information from the National Resource Center for Supported Decision-Making’s website, </w:t>
      </w:r>
      <w:r w:rsidRPr="00F618D8">
        <w:rPr>
          <w:rFonts w:ascii="Arial" w:hAnsi="Arial"/>
        </w:rPr>
        <w:t>as of June 2018, of t</w:t>
      </w:r>
      <w:r w:rsidR="009842BA" w:rsidRPr="00F618D8">
        <w:rPr>
          <w:rFonts w:ascii="Arial" w:hAnsi="Arial"/>
        </w:rPr>
        <w:t xml:space="preserve">he almost 20 cases where a court terminated or denied a guardianship explicitly in favor of </w:t>
      </w:r>
      <w:r w:rsidR="003A2393" w:rsidRPr="00F618D8">
        <w:rPr>
          <w:rFonts w:ascii="Arial" w:hAnsi="Arial"/>
        </w:rPr>
        <w:t>SDM</w:t>
      </w:r>
      <w:r w:rsidR="009842BA" w:rsidRPr="00F618D8">
        <w:rPr>
          <w:rFonts w:ascii="Arial" w:hAnsi="Arial"/>
        </w:rPr>
        <w:t>, almost 90</w:t>
      </w:r>
      <w:r w:rsidR="003A2393" w:rsidRPr="00F618D8">
        <w:rPr>
          <w:rFonts w:ascii="Arial" w:hAnsi="Arial"/>
        </w:rPr>
        <w:t xml:space="preserve"> percent</w:t>
      </w:r>
      <w:r w:rsidR="009842BA" w:rsidRPr="00F618D8">
        <w:rPr>
          <w:rFonts w:ascii="Arial" w:hAnsi="Arial"/>
        </w:rPr>
        <w:t xml:space="preserve"> of the</w:t>
      </w:r>
      <w:r w:rsidR="000E3D9A" w:rsidRPr="00F618D8">
        <w:rPr>
          <w:rFonts w:ascii="Arial" w:hAnsi="Arial"/>
        </w:rPr>
        <w:t xml:space="preserve"> cases</w:t>
      </w:r>
      <w:r w:rsidR="009842BA" w:rsidRPr="00F618D8">
        <w:rPr>
          <w:rFonts w:ascii="Arial" w:hAnsi="Arial"/>
        </w:rPr>
        <w:t xml:space="preserve"> involved people with ID/DD</w:t>
      </w:r>
      <w:r w:rsidR="00AA1F92" w:rsidRPr="00F618D8">
        <w:rPr>
          <w:rFonts w:ascii="Arial" w:hAnsi="Arial"/>
        </w:rPr>
        <w:t xml:space="preserve">. </w:t>
      </w:r>
      <w:r w:rsidR="009842BA" w:rsidRPr="00F618D8">
        <w:rPr>
          <w:rFonts w:ascii="Arial" w:hAnsi="Arial"/>
        </w:rPr>
        <w:t xml:space="preserve">The first reported court decision terminating a guardianship specifically in favor of </w:t>
      </w:r>
      <w:r w:rsidR="000E3D9A" w:rsidRPr="00F618D8">
        <w:rPr>
          <w:rFonts w:ascii="Arial" w:hAnsi="Arial"/>
        </w:rPr>
        <w:t xml:space="preserve">SDM </w:t>
      </w:r>
      <w:r w:rsidR="009842BA" w:rsidRPr="00F618D8">
        <w:rPr>
          <w:rFonts w:ascii="Arial" w:hAnsi="Arial"/>
        </w:rPr>
        <w:t xml:space="preserve">occurred in 2012 in </w:t>
      </w:r>
      <w:r w:rsidR="000E3D9A" w:rsidRPr="00F618D8">
        <w:rPr>
          <w:rFonts w:ascii="Arial" w:hAnsi="Arial"/>
        </w:rPr>
        <w:t xml:space="preserve">the state of </w:t>
      </w:r>
      <w:r w:rsidR="009842BA" w:rsidRPr="00F618D8">
        <w:rPr>
          <w:rFonts w:ascii="Arial" w:hAnsi="Arial"/>
        </w:rPr>
        <w:t>New York and was followed by other cases in New York (2015, 2016, 2017), Virginia (2013), Massachusetts (2015), the District of Columbia (2016), Florida (2016), Vermont (2017), Kentucky (2017), Nevada (2017), Maine (2018), and Indiana (2018).</w:t>
      </w:r>
      <w:r w:rsidR="009842BA" w:rsidRPr="00F618D8">
        <w:rPr>
          <w:rStyle w:val="EndnoteReference"/>
          <w:rFonts w:ascii="Arial" w:hAnsi="Arial"/>
          <w:szCs w:val="24"/>
        </w:rPr>
        <w:endnoteReference w:id="28"/>
      </w:r>
      <w:r w:rsidR="009842BA" w:rsidRPr="00F618D8">
        <w:rPr>
          <w:rFonts w:ascii="Arial" w:hAnsi="Arial"/>
        </w:rPr>
        <w:t xml:space="preserve"> Two of the people with ID/DD involved in such cases, namely Jenny Hatch of Virginia</w:t>
      </w:r>
      <w:r w:rsidR="009842BA" w:rsidRPr="00F618D8">
        <w:rPr>
          <w:rStyle w:val="EndnoteReference"/>
          <w:rFonts w:ascii="Arial" w:hAnsi="Arial"/>
          <w:szCs w:val="24"/>
        </w:rPr>
        <w:endnoteReference w:id="29"/>
      </w:r>
      <w:r w:rsidR="009842BA" w:rsidRPr="00F618D8">
        <w:rPr>
          <w:rFonts w:ascii="Arial" w:hAnsi="Arial"/>
        </w:rPr>
        <w:t xml:space="preserve"> and Ryan King of the District of Columbia,</w:t>
      </w:r>
      <w:r w:rsidR="009842BA" w:rsidRPr="00F618D8">
        <w:rPr>
          <w:rStyle w:val="EndnoteReference"/>
          <w:rFonts w:ascii="Arial" w:hAnsi="Arial"/>
          <w:szCs w:val="24"/>
        </w:rPr>
        <w:endnoteReference w:id="30"/>
      </w:r>
      <w:r w:rsidR="009842BA" w:rsidRPr="00F618D8">
        <w:rPr>
          <w:rFonts w:ascii="Arial" w:hAnsi="Arial"/>
        </w:rPr>
        <w:t xml:space="preserve"> were highlighted in the 2018 NCD report as representative of the third wave of guardianship reform</w:t>
      </w:r>
      <w:r w:rsidR="00AA1F92" w:rsidRPr="00F618D8">
        <w:rPr>
          <w:rFonts w:ascii="Arial" w:hAnsi="Arial"/>
        </w:rPr>
        <w:t xml:space="preserve">. </w:t>
      </w:r>
      <w:r w:rsidR="000E3D9A" w:rsidRPr="00F618D8">
        <w:rPr>
          <w:rFonts w:ascii="Arial" w:hAnsi="Arial"/>
        </w:rPr>
        <w:t xml:space="preserve">Additionally, </w:t>
      </w:r>
      <w:r w:rsidR="009842BA" w:rsidRPr="00F618D8">
        <w:rPr>
          <w:rFonts w:ascii="Arial" w:hAnsi="Arial"/>
        </w:rPr>
        <w:t xml:space="preserve">the first formal </w:t>
      </w:r>
      <w:r w:rsidR="000E3D9A" w:rsidRPr="00F618D8">
        <w:rPr>
          <w:rFonts w:ascii="Arial" w:hAnsi="Arial"/>
        </w:rPr>
        <w:t>SDM</w:t>
      </w:r>
      <w:r w:rsidR="009842BA" w:rsidRPr="00F618D8">
        <w:rPr>
          <w:rFonts w:ascii="Arial" w:hAnsi="Arial"/>
        </w:rPr>
        <w:t xml:space="preserve"> pilot</w:t>
      </w:r>
      <w:r w:rsidR="000E3D9A" w:rsidRPr="00F618D8">
        <w:rPr>
          <w:rFonts w:ascii="Arial" w:hAnsi="Arial"/>
        </w:rPr>
        <w:t xml:space="preserve"> program</w:t>
      </w:r>
      <w:r w:rsidR="009842BA" w:rsidRPr="00F618D8">
        <w:rPr>
          <w:rFonts w:ascii="Arial" w:hAnsi="Arial"/>
        </w:rPr>
        <w:t xml:space="preserve"> in the United States involved people with ID/DD and w</w:t>
      </w:r>
      <w:r w:rsidR="00DA736B" w:rsidRPr="00F618D8">
        <w:rPr>
          <w:rFonts w:ascii="Arial" w:hAnsi="Arial"/>
        </w:rPr>
        <w:t>as</w:t>
      </w:r>
      <w:r w:rsidR="009842BA" w:rsidRPr="00F618D8">
        <w:rPr>
          <w:rFonts w:ascii="Arial" w:hAnsi="Arial"/>
        </w:rPr>
        <w:t xml:space="preserve"> held in Massachusetts (2014-2016).</w:t>
      </w:r>
      <w:r w:rsidR="009842BA" w:rsidRPr="00F618D8">
        <w:rPr>
          <w:rStyle w:val="EndnoteReference"/>
          <w:rFonts w:ascii="Arial" w:hAnsi="Arial"/>
          <w:szCs w:val="24"/>
        </w:rPr>
        <w:endnoteReference w:id="31"/>
      </w:r>
      <w:r w:rsidR="009842BA" w:rsidRPr="00F618D8">
        <w:rPr>
          <w:rFonts w:ascii="Arial" w:hAnsi="Arial"/>
        </w:rPr>
        <w:t xml:space="preserve"> Since then, it has been joined by ID/DD</w:t>
      </w:r>
      <w:r w:rsidR="00742D40" w:rsidRPr="00F618D8">
        <w:rPr>
          <w:rFonts w:ascii="Arial" w:hAnsi="Arial"/>
        </w:rPr>
        <w:t>-</w:t>
      </w:r>
      <w:r w:rsidR="009842BA" w:rsidRPr="00F618D8">
        <w:rPr>
          <w:rFonts w:ascii="Arial" w:hAnsi="Arial"/>
        </w:rPr>
        <w:t>specific pilots in states such as New York (2016</w:t>
      </w:r>
      <w:r w:rsidR="00742D40" w:rsidRPr="00F618D8">
        <w:rPr>
          <w:rFonts w:ascii="Arial" w:hAnsi="Arial"/>
        </w:rPr>
        <w:t>—</w:t>
      </w:r>
      <w:r w:rsidR="009842BA" w:rsidRPr="00F618D8">
        <w:rPr>
          <w:rFonts w:ascii="Arial" w:hAnsi="Arial"/>
        </w:rPr>
        <w:t>2021),</w:t>
      </w:r>
      <w:r w:rsidR="009842BA" w:rsidRPr="00F618D8">
        <w:rPr>
          <w:rStyle w:val="EndnoteReference"/>
          <w:rFonts w:ascii="Arial" w:hAnsi="Arial"/>
          <w:szCs w:val="24"/>
        </w:rPr>
        <w:endnoteReference w:id="32"/>
      </w:r>
      <w:r w:rsidR="009842BA" w:rsidRPr="00F618D8">
        <w:rPr>
          <w:rFonts w:ascii="Arial" w:hAnsi="Arial"/>
        </w:rPr>
        <w:t xml:space="preserve"> Maine (2016-2017)</w:t>
      </w:r>
      <w:r w:rsidR="009842BA" w:rsidRPr="00F618D8">
        <w:rPr>
          <w:rStyle w:val="EndnoteReference"/>
          <w:rFonts w:ascii="Arial" w:hAnsi="Arial"/>
          <w:szCs w:val="24"/>
        </w:rPr>
        <w:endnoteReference w:id="33"/>
      </w:r>
      <w:r w:rsidR="009842BA" w:rsidRPr="00F618D8">
        <w:rPr>
          <w:rFonts w:ascii="Arial" w:hAnsi="Arial"/>
        </w:rPr>
        <w:t>, and Georgia (2018 and ongoing),</w:t>
      </w:r>
      <w:r w:rsidR="009842BA" w:rsidRPr="00F618D8">
        <w:rPr>
          <w:rStyle w:val="EndnoteReference"/>
          <w:rFonts w:ascii="Arial" w:hAnsi="Arial"/>
          <w:szCs w:val="24"/>
        </w:rPr>
        <w:endnoteReference w:id="34"/>
      </w:r>
      <w:r w:rsidR="009842BA" w:rsidRPr="00F618D8">
        <w:rPr>
          <w:rFonts w:ascii="Arial" w:hAnsi="Arial"/>
        </w:rPr>
        <w:t xml:space="preserve"> among others</w:t>
      </w:r>
      <w:r w:rsidR="00AA1F92" w:rsidRPr="00F618D8">
        <w:rPr>
          <w:rFonts w:ascii="Arial" w:hAnsi="Arial"/>
        </w:rPr>
        <w:t xml:space="preserve">. </w:t>
      </w:r>
      <w:r w:rsidR="009842BA" w:rsidRPr="00F618D8">
        <w:rPr>
          <w:rFonts w:ascii="Arial" w:hAnsi="Arial"/>
        </w:rPr>
        <w:t xml:space="preserve"> </w:t>
      </w:r>
    </w:p>
    <w:p w14:paraId="561021C5" w14:textId="77777777" w:rsidR="00F83558" w:rsidRPr="00F618D8" w:rsidRDefault="007C08AD" w:rsidP="00610EEF">
      <w:pPr>
        <w:pStyle w:val="ParaNoIndent"/>
        <w:rPr>
          <w:rFonts w:ascii="Arial" w:hAnsi="Arial"/>
        </w:rPr>
      </w:pPr>
      <w:r w:rsidRPr="00F618D8">
        <w:rPr>
          <w:rFonts w:ascii="Arial" w:hAnsi="Arial"/>
        </w:rPr>
        <w:t xml:space="preserve">Supported </w:t>
      </w:r>
      <w:r w:rsidR="009B057B" w:rsidRPr="00F618D8">
        <w:rPr>
          <w:rFonts w:ascii="Arial" w:hAnsi="Arial"/>
        </w:rPr>
        <w:t>d</w:t>
      </w:r>
      <w:r w:rsidRPr="00F618D8">
        <w:rPr>
          <w:rFonts w:ascii="Arial" w:hAnsi="Arial"/>
        </w:rPr>
        <w:t>ecision-</w:t>
      </w:r>
      <w:r w:rsidR="009B057B" w:rsidRPr="00F618D8">
        <w:rPr>
          <w:rFonts w:ascii="Arial" w:hAnsi="Arial"/>
        </w:rPr>
        <w:t>m</w:t>
      </w:r>
      <w:r w:rsidRPr="00F618D8">
        <w:rPr>
          <w:rFonts w:ascii="Arial" w:hAnsi="Arial"/>
        </w:rPr>
        <w:t>aking also is beginning to receive public attention for people with ID/DD in the health care realm</w:t>
      </w:r>
      <w:r w:rsidR="00AA1F92" w:rsidRPr="00F618D8">
        <w:rPr>
          <w:rFonts w:ascii="Arial" w:hAnsi="Arial"/>
        </w:rPr>
        <w:t xml:space="preserve">. </w:t>
      </w:r>
      <w:r w:rsidRPr="00F618D8">
        <w:rPr>
          <w:rFonts w:ascii="Arial" w:hAnsi="Arial"/>
        </w:rPr>
        <w:t xml:space="preserve">For example, in a film called </w:t>
      </w:r>
      <w:r w:rsidRPr="00F618D8">
        <w:rPr>
          <w:rFonts w:ascii="Arial" w:hAnsi="Arial"/>
          <w:i/>
        </w:rPr>
        <w:t>Supported Decision-Making: Gabby’s Story</w:t>
      </w:r>
      <w:r w:rsidRPr="00F618D8">
        <w:rPr>
          <w:rFonts w:ascii="Arial" w:hAnsi="Arial"/>
        </w:rPr>
        <w:t>,</w:t>
      </w:r>
      <w:r w:rsidRPr="00F618D8">
        <w:rPr>
          <w:rStyle w:val="EndnoteReference"/>
          <w:rFonts w:ascii="Arial" w:eastAsia="Times New Roman" w:hAnsi="Arial"/>
          <w:szCs w:val="24"/>
        </w:rPr>
        <w:endnoteReference w:id="35"/>
      </w:r>
      <w:r w:rsidRPr="00F618D8">
        <w:rPr>
          <w:rFonts w:ascii="Arial" w:hAnsi="Arial"/>
        </w:rPr>
        <w:t xml:space="preserve"> a young woman with </w:t>
      </w:r>
      <w:r w:rsidR="00F83558" w:rsidRPr="00F618D8">
        <w:rPr>
          <w:rFonts w:ascii="Arial" w:hAnsi="Arial"/>
        </w:rPr>
        <w:t>s</w:t>
      </w:r>
      <w:r w:rsidRPr="00F618D8">
        <w:rPr>
          <w:rFonts w:ascii="Arial" w:hAnsi="Arial"/>
        </w:rPr>
        <w:t xml:space="preserve">pina </w:t>
      </w:r>
      <w:r w:rsidR="00F83558" w:rsidRPr="00F618D8">
        <w:rPr>
          <w:rFonts w:ascii="Arial" w:hAnsi="Arial"/>
        </w:rPr>
        <w:t>b</w:t>
      </w:r>
      <w:r w:rsidRPr="00F618D8">
        <w:rPr>
          <w:rFonts w:ascii="Arial" w:hAnsi="Arial"/>
        </w:rPr>
        <w:t xml:space="preserve">ifida describes her experience working with a </w:t>
      </w:r>
      <w:r w:rsidR="00F83558" w:rsidRPr="00F618D8">
        <w:rPr>
          <w:rFonts w:ascii="Arial" w:hAnsi="Arial"/>
        </w:rPr>
        <w:t>h</w:t>
      </w:r>
      <w:r w:rsidRPr="00F618D8">
        <w:rPr>
          <w:rFonts w:ascii="Arial" w:hAnsi="Arial"/>
        </w:rPr>
        <w:t xml:space="preserve">ealth </w:t>
      </w:r>
      <w:r w:rsidR="00F83558" w:rsidRPr="00F618D8">
        <w:rPr>
          <w:rFonts w:ascii="Arial" w:hAnsi="Arial"/>
        </w:rPr>
        <w:t>a</w:t>
      </w:r>
      <w:r w:rsidRPr="00F618D8">
        <w:rPr>
          <w:rFonts w:ascii="Arial" w:hAnsi="Arial"/>
        </w:rPr>
        <w:t>dvocate through The Arc San Francisco</w:t>
      </w:r>
      <w:r w:rsidR="00AA1F92" w:rsidRPr="00F618D8">
        <w:rPr>
          <w:rFonts w:ascii="Arial" w:hAnsi="Arial"/>
        </w:rPr>
        <w:t xml:space="preserve">. </w:t>
      </w:r>
      <w:r w:rsidRPr="00F618D8">
        <w:rPr>
          <w:rFonts w:ascii="Arial" w:hAnsi="Arial"/>
        </w:rPr>
        <w:t xml:space="preserve">The film uses Gabby’s story to illustrate the benefits of </w:t>
      </w:r>
      <w:r w:rsidR="00F83558" w:rsidRPr="00F618D8">
        <w:rPr>
          <w:rFonts w:ascii="Arial" w:hAnsi="Arial"/>
        </w:rPr>
        <w:t>SDM</w:t>
      </w:r>
      <w:r w:rsidRPr="00F618D8">
        <w:rPr>
          <w:rFonts w:ascii="Arial" w:hAnsi="Arial"/>
        </w:rPr>
        <w:t>, both as a decision-making approach and as a way of maintaining personal autonomy in managing one’s own medical care</w:t>
      </w:r>
      <w:r w:rsidR="00AA1F92" w:rsidRPr="00F618D8">
        <w:rPr>
          <w:rFonts w:ascii="Arial" w:hAnsi="Arial"/>
        </w:rPr>
        <w:t xml:space="preserve">. </w:t>
      </w:r>
    </w:p>
    <w:p w14:paraId="43EC6B3E" w14:textId="0519A7C9" w:rsidR="009842BA" w:rsidRPr="00F618D8" w:rsidRDefault="007C08AD" w:rsidP="00610EEF">
      <w:pPr>
        <w:pStyle w:val="ParaNoIndent"/>
        <w:rPr>
          <w:rFonts w:ascii="Arial" w:hAnsi="Arial"/>
        </w:rPr>
      </w:pPr>
      <w:r w:rsidRPr="00F618D8">
        <w:rPr>
          <w:rFonts w:ascii="Arial" w:hAnsi="Arial"/>
        </w:rPr>
        <w:t xml:space="preserve">Lacking a robust natural support system can be a barrier to some people’s ability to use </w:t>
      </w:r>
      <w:r w:rsidR="00F83558" w:rsidRPr="00F618D8">
        <w:rPr>
          <w:rFonts w:ascii="Arial" w:hAnsi="Arial"/>
        </w:rPr>
        <w:t>SDM</w:t>
      </w:r>
      <w:r w:rsidR="00AA1F92" w:rsidRPr="00F618D8">
        <w:rPr>
          <w:rFonts w:ascii="Arial" w:hAnsi="Arial"/>
        </w:rPr>
        <w:t xml:space="preserve">. </w:t>
      </w:r>
      <w:r w:rsidRPr="00F618D8">
        <w:rPr>
          <w:rFonts w:ascii="Arial" w:hAnsi="Arial"/>
        </w:rPr>
        <w:t>Gabby’s story highlights the role organization</w:t>
      </w:r>
      <w:r w:rsidR="00F83558" w:rsidRPr="00F618D8">
        <w:rPr>
          <w:rFonts w:ascii="Arial" w:hAnsi="Arial"/>
        </w:rPr>
        <w:t>s</w:t>
      </w:r>
      <w:r w:rsidRPr="00F618D8">
        <w:rPr>
          <w:rFonts w:ascii="Arial" w:hAnsi="Arial"/>
        </w:rPr>
        <w:t xml:space="preserve"> and community supports can play in advancing the decision-making rights of people with ID/DD</w:t>
      </w:r>
      <w:r w:rsidR="00AA1F92" w:rsidRPr="00F618D8">
        <w:rPr>
          <w:rFonts w:ascii="Arial" w:hAnsi="Arial"/>
        </w:rPr>
        <w:t xml:space="preserve">. </w:t>
      </w:r>
      <w:r w:rsidRPr="00F618D8">
        <w:rPr>
          <w:rFonts w:ascii="Arial" w:hAnsi="Arial"/>
        </w:rPr>
        <w:t xml:space="preserve">Under its Health Care Management Services program, which began in 2003, </w:t>
      </w:r>
      <w:r w:rsidR="00B8006C" w:rsidRPr="00F618D8">
        <w:rPr>
          <w:rFonts w:ascii="Arial" w:hAnsi="Arial"/>
        </w:rPr>
        <w:t>h</w:t>
      </w:r>
      <w:r w:rsidRPr="00F618D8">
        <w:rPr>
          <w:rFonts w:ascii="Arial" w:hAnsi="Arial"/>
        </w:rPr>
        <w:t xml:space="preserve">ealth </w:t>
      </w:r>
      <w:r w:rsidR="00B8006C" w:rsidRPr="00F618D8">
        <w:rPr>
          <w:rFonts w:ascii="Arial" w:hAnsi="Arial"/>
        </w:rPr>
        <w:t>a</w:t>
      </w:r>
      <w:r w:rsidRPr="00F618D8">
        <w:rPr>
          <w:rFonts w:ascii="Arial" w:hAnsi="Arial"/>
        </w:rPr>
        <w:t xml:space="preserve">dvocates at </w:t>
      </w:r>
      <w:r w:rsidR="00B8006C" w:rsidRPr="00F618D8">
        <w:rPr>
          <w:rFonts w:ascii="Arial" w:hAnsi="Arial"/>
        </w:rPr>
        <w:t>T</w:t>
      </w:r>
      <w:r w:rsidRPr="00F618D8">
        <w:rPr>
          <w:rFonts w:ascii="Arial" w:hAnsi="Arial"/>
        </w:rPr>
        <w:t>he San Francisco ARC are available to assist people with ID/DD by attending medical appointments with them, helping them understand medical decisions, and acting as a facilitator between the supporter person and medical providers</w:t>
      </w:r>
      <w:bookmarkStart w:id="37" w:name="_Hlk2769804"/>
      <w:r w:rsidR="00B8006C" w:rsidRPr="00F618D8">
        <w:rPr>
          <w:rFonts w:ascii="Arial" w:hAnsi="Arial"/>
        </w:rPr>
        <w:t>—</w:t>
      </w:r>
      <w:bookmarkEnd w:id="37"/>
      <w:r w:rsidRPr="00F618D8">
        <w:rPr>
          <w:rFonts w:ascii="Arial" w:hAnsi="Arial"/>
        </w:rPr>
        <w:t>all at no change to the people with ID/DD</w:t>
      </w:r>
      <w:r w:rsidR="00AA1F92" w:rsidRPr="00F618D8">
        <w:rPr>
          <w:rFonts w:ascii="Arial" w:hAnsi="Arial"/>
        </w:rPr>
        <w:t xml:space="preserve">. </w:t>
      </w:r>
      <w:r w:rsidRPr="00F618D8">
        <w:rPr>
          <w:rFonts w:ascii="Arial" w:hAnsi="Arial"/>
        </w:rPr>
        <w:t xml:space="preserve">According to Jennifer Dresden, the Director for the Center for Health </w:t>
      </w:r>
      <w:r w:rsidRPr="006F4A50">
        <w:rPr>
          <w:rFonts w:ascii="Arial" w:hAnsi="Arial"/>
          <w:szCs w:val="24"/>
        </w:rPr>
        <w:lastRenderedPageBreak/>
        <w:t>and Wellness, the program empowers people with ID/DD to have control over their health care decisions and helps medical providers better understand and serve their patients</w:t>
      </w:r>
      <w:r w:rsidR="00AA1F92" w:rsidRPr="006F4A50">
        <w:rPr>
          <w:rFonts w:ascii="Arial" w:hAnsi="Arial"/>
          <w:szCs w:val="24"/>
        </w:rPr>
        <w:t xml:space="preserve">. </w:t>
      </w:r>
      <w:r w:rsidR="006F4A50" w:rsidRPr="006F4A50">
        <w:rPr>
          <w:rFonts w:ascii="Arial" w:hAnsi="Arial"/>
          <w:color w:val="000000"/>
          <w:szCs w:val="24"/>
        </w:rPr>
        <w:t xml:space="preserve">The National Disability Rights Network is also exploring the use of supported decision making in the </w:t>
      </w:r>
      <w:r w:rsidR="006F4A50" w:rsidRPr="006F4A50">
        <w:rPr>
          <w:rFonts w:ascii="Arial" w:hAnsi="Arial"/>
          <w:szCs w:val="24"/>
        </w:rPr>
        <w:t>healthcare</w:t>
      </w:r>
      <w:r w:rsidR="006F4A50" w:rsidRPr="006F4A50">
        <w:rPr>
          <w:rFonts w:ascii="Arial" w:hAnsi="Arial"/>
          <w:color w:val="000000"/>
          <w:szCs w:val="24"/>
        </w:rPr>
        <w:t xml:space="preserve"> context with support from a grant by the WITH Foundation.</w:t>
      </w:r>
      <w:r w:rsidR="0014730D">
        <w:rPr>
          <w:rStyle w:val="EndnoteReference"/>
          <w:rFonts w:ascii="Arial" w:hAnsi="Arial"/>
          <w:color w:val="000000"/>
          <w:szCs w:val="24"/>
        </w:rPr>
        <w:endnoteReference w:id="36"/>
      </w:r>
      <w:r w:rsidR="006F4A50" w:rsidRPr="006F4A50">
        <w:rPr>
          <w:rFonts w:ascii="Arial" w:hAnsi="Arial"/>
          <w:color w:val="000000"/>
          <w:szCs w:val="24"/>
        </w:rPr>
        <w:t xml:space="preserve"> </w:t>
      </w:r>
      <w:r w:rsidR="009842BA" w:rsidRPr="006F4A50">
        <w:rPr>
          <w:rFonts w:ascii="Arial" w:hAnsi="Arial"/>
          <w:szCs w:val="24"/>
        </w:rPr>
        <w:t xml:space="preserve">This report will explore </w:t>
      </w:r>
      <w:r w:rsidRPr="006F4A50">
        <w:rPr>
          <w:rFonts w:ascii="Arial" w:hAnsi="Arial"/>
          <w:szCs w:val="24"/>
        </w:rPr>
        <w:t xml:space="preserve">more promising practices </w:t>
      </w:r>
      <w:r w:rsidR="009842BA" w:rsidRPr="006F4A50">
        <w:rPr>
          <w:rFonts w:ascii="Arial" w:hAnsi="Arial"/>
          <w:szCs w:val="24"/>
        </w:rPr>
        <w:t>to further promote self-determination throughout the life</w:t>
      </w:r>
      <w:r w:rsidR="00B8006C" w:rsidRPr="006F4A50">
        <w:rPr>
          <w:rFonts w:ascii="Arial" w:hAnsi="Arial"/>
          <w:szCs w:val="24"/>
        </w:rPr>
        <w:t xml:space="preserve"> </w:t>
      </w:r>
      <w:r w:rsidR="009842BA" w:rsidRPr="006F4A50">
        <w:rPr>
          <w:rFonts w:ascii="Arial" w:hAnsi="Arial"/>
          <w:szCs w:val="24"/>
        </w:rPr>
        <w:t>span</w:t>
      </w:r>
      <w:r w:rsidR="00B8006C" w:rsidRPr="006F4A50">
        <w:rPr>
          <w:rFonts w:ascii="Arial" w:hAnsi="Arial"/>
          <w:szCs w:val="24"/>
        </w:rPr>
        <w:t>s</w:t>
      </w:r>
      <w:r w:rsidR="009842BA" w:rsidRPr="006F4A50">
        <w:rPr>
          <w:rFonts w:ascii="Arial" w:hAnsi="Arial"/>
          <w:szCs w:val="24"/>
        </w:rPr>
        <w:t xml:space="preserve"> of people with ID/DD</w:t>
      </w:r>
      <w:r w:rsidR="00AA1F92" w:rsidRPr="006F4A50">
        <w:rPr>
          <w:rFonts w:ascii="Arial" w:hAnsi="Arial"/>
          <w:szCs w:val="24"/>
        </w:rPr>
        <w:t>.</w:t>
      </w:r>
      <w:r w:rsidR="00AA1F92" w:rsidRPr="00F618D8">
        <w:rPr>
          <w:rFonts w:ascii="Arial" w:hAnsi="Arial"/>
        </w:rPr>
        <w:t xml:space="preserve"> </w:t>
      </w:r>
    </w:p>
    <w:p w14:paraId="4EE02AD1" w14:textId="77777777" w:rsidR="005E58FB" w:rsidRPr="00F618D8" w:rsidRDefault="005E58FB">
      <w:pPr>
        <w:rPr>
          <w:rFonts w:ascii="Arial" w:hAnsi="Arial" w:cs="Arial"/>
        </w:rPr>
      </w:pPr>
      <w:r w:rsidRPr="00F618D8">
        <w:rPr>
          <w:rFonts w:ascii="Arial" w:hAnsi="Arial" w:cs="Arial"/>
        </w:rPr>
        <w:br w:type="page"/>
      </w:r>
    </w:p>
    <w:p w14:paraId="08D76082" w14:textId="77777777" w:rsidR="005E58FB" w:rsidRPr="00F618D8" w:rsidRDefault="00D82611" w:rsidP="00610EEF">
      <w:pPr>
        <w:pStyle w:val="Heading1"/>
        <w:rPr>
          <w:rFonts w:ascii="Arial" w:hAnsi="Arial" w:cs="Arial"/>
        </w:rPr>
      </w:pPr>
      <w:bookmarkStart w:id="38" w:name="_Toc10290954"/>
      <w:r w:rsidRPr="00F618D8">
        <w:rPr>
          <w:rFonts w:ascii="Arial" w:hAnsi="Arial" w:cs="Arial"/>
        </w:rPr>
        <w:lastRenderedPageBreak/>
        <w:t xml:space="preserve">Chapter </w:t>
      </w:r>
      <w:r w:rsidR="00112026" w:rsidRPr="00F618D8">
        <w:rPr>
          <w:rFonts w:ascii="Arial" w:hAnsi="Arial" w:cs="Arial"/>
        </w:rPr>
        <w:t>2</w:t>
      </w:r>
      <w:r w:rsidRPr="00F618D8">
        <w:rPr>
          <w:rFonts w:ascii="Arial" w:hAnsi="Arial" w:cs="Arial"/>
        </w:rPr>
        <w:t>:</w:t>
      </w:r>
      <w:r w:rsidR="00016078" w:rsidRPr="00F618D8">
        <w:rPr>
          <w:rFonts w:ascii="Arial" w:hAnsi="Arial" w:cs="Arial"/>
        </w:rPr>
        <w:t xml:space="preserve"> School-to-Guardianship Pipeline for</w:t>
      </w:r>
      <w:bookmarkEnd w:id="38"/>
    </w:p>
    <w:p w14:paraId="499E00C4" w14:textId="77777777" w:rsidR="00D82611" w:rsidRPr="00F618D8" w:rsidRDefault="00016078" w:rsidP="00387358">
      <w:pPr>
        <w:pStyle w:val="Heading1"/>
        <w:rPr>
          <w:rFonts w:ascii="Arial" w:hAnsi="Arial" w:cs="Arial"/>
        </w:rPr>
      </w:pPr>
      <w:bookmarkStart w:id="39" w:name="_Toc809853"/>
      <w:bookmarkStart w:id="40" w:name="_Toc10290955"/>
      <w:r w:rsidRPr="00F618D8">
        <w:rPr>
          <w:rFonts w:ascii="Arial" w:hAnsi="Arial" w:cs="Arial"/>
        </w:rPr>
        <w:t>Youth with ID/DD</w:t>
      </w:r>
      <w:bookmarkEnd w:id="39"/>
      <w:bookmarkEnd w:id="40"/>
    </w:p>
    <w:p w14:paraId="30EC0C8A" w14:textId="77777777" w:rsidR="00915C9C" w:rsidRPr="00F618D8" w:rsidRDefault="00915C9C" w:rsidP="00610EEF">
      <w:pPr>
        <w:pStyle w:val="Heading2"/>
        <w:rPr>
          <w:rFonts w:ascii="Arial" w:hAnsi="Arial" w:cs="Arial"/>
        </w:rPr>
      </w:pPr>
      <w:bookmarkStart w:id="41" w:name="_Toc10290956"/>
      <w:r w:rsidRPr="00F618D8">
        <w:rPr>
          <w:rFonts w:ascii="Arial" w:hAnsi="Arial" w:cs="Arial"/>
        </w:rPr>
        <w:t xml:space="preserve">The </w:t>
      </w:r>
      <w:r w:rsidR="00E80F82" w:rsidRPr="00F618D8">
        <w:rPr>
          <w:rFonts w:ascii="Arial" w:hAnsi="Arial" w:cs="Arial"/>
        </w:rPr>
        <w:t xml:space="preserve">School-to-Guardianship </w:t>
      </w:r>
      <w:r w:rsidRPr="00F618D8">
        <w:rPr>
          <w:rFonts w:ascii="Arial" w:hAnsi="Arial" w:cs="Arial"/>
        </w:rPr>
        <w:t>Phenomenon</w:t>
      </w:r>
      <w:bookmarkEnd w:id="41"/>
    </w:p>
    <w:p w14:paraId="11EC4105" w14:textId="47E06D7E" w:rsidR="00710D1D" w:rsidRPr="00F618D8" w:rsidRDefault="00710D1D" w:rsidP="00610EEF">
      <w:pPr>
        <w:pStyle w:val="ParaNoIndent"/>
        <w:rPr>
          <w:rFonts w:ascii="Arial" w:hAnsi="Arial"/>
        </w:rPr>
      </w:pPr>
      <w:r w:rsidRPr="00F618D8">
        <w:rPr>
          <w:rFonts w:ascii="Arial" w:hAnsi="Arial"/>
        </w:rPr>
        <w:t>The Individuals with Disabilities Education Act (IDEA) generally requires</w:t>
      </w:r>
      <w:r w:rsidR="00B546FA" w:rsidRPr="00F618D8">
        <w:rPr>
          <w:rFonts w:ascii="Arial" w:hAnsi="Arial"/>
        </w:rPr>
        <w:t>—</w:t>
      </w:r>
      <w:r w:rsidRPr="00F618D8">
        <w:rPr>
          <w:rFonts w:ascii="Arial" w:hAnsi="Arial"/>
        </w:rPr>
        <w:t>once students in special education reach the age of majority (usually 18, depending on state law</w:t>
      </w:r>
      <w:r w:rsidRPr="00F618D8">
        <w:rPr>
          <w:rFonts w:ascii="Arial" w:hAnsi="Arial"/>
          <w:vertAlign w:val="superscript"/>
        </w:rPr>
        <w:t xml:space="preserve"> </w:t>
      </w:r>
      <w:r w:rsidRPr="00F618D8">
        <w:rPr>
          <w:rFonts w:ascii="Arial" w:hAnsi="Arial"/>
          <w:vertAlign w:val="superscript"/>
        </w:rPr>
        <w:endnoteReference w:id="37"/>
      </w:r>
      <w:r w:rsidRPr="00F618D8">
        <w:rPr>
          <w:rFonts w:ascii="Arial" w:hAnsi="Arial"/>
        </w:rPr>
        <w:t>)</w:t>
      </w:r>
      <w:r w:rsidR="00B546FA" w:rsidRPr="00F618D8">
        <w:rPr>
          <w:rFonts w:ascii="Arial" w:hAnsi="Arial"/>
        </w:rPr>
        <w:t>—</w:t>
      </w:r>
      <w:r w:rsidRPr="00F618D8">
        <w:rPr>
          <w:rFonts w:ascii="Arial" w:hAnsi="Arial"/>
        </w:rPr>
        <w:t xml:space="preserve"> the school to transfer all of their parents</w:t>
      </w:r>
      <w:r w:rsidR="005924B9" w:rsidRPr="00F618D8">
        <w:rPr>
          <w:rFonts w:ascii="Arial" w:hAnsi="Arial"/>
        </w:rPr>
        <w:t>’</w:t>
      </w:r>
      <w:r w:rsidRPr="00F618D8">
        <w:rPr>
          <w:rFonts w:ascii="Arial" w:hAnsi="Arial"/>
        </w:rPr>
        <w:t xml:space="preserve"> educational rights to them as part of the transition planning process.</w:t>
      </w:r>
      <w:r w:rsidRPr="00F618D8">
        <w:rPr>
          <w:rFonts w:ascii="Arial" w:hAnsi="Arial"/>
          <w:vertAlign w:val="superscript"/>
        </w:rPr>
        <w:endnoteReference w:id="38"/>
      </w:r>
      <w:r w:rsidRPr="00F618D8">
        <w:rPr>
          <w:rFonts w:ascii="Arial" w:hAnsi="Arial"/>
        </w:rPr>
        <w:t xml:space="preserve"> When that occurs, students have the right to make their own educational decis</w:t>
      </w:r>
      <w:r w:rsidR="00DA736B" w:rsidRPr="00F618D8">
        <w:rPr>
          <w:rFonts w:ascii="Arial" w:hAnsi="Arial"/>
        </w:rPr>
        <w:t xml:space="preserve">ions for as long as they are </w:t>
      </w:r>
      <w:r w:rsidRPr="00F618D8">
        <w:rPr>
          <w:rFonts w:ascii="Arial" w:hAnsi="Arial"/>
        </w:rPr>
        <w:t>entitled to receive special education services</w:t>
      </w:r>
      <w:r w:rsidR="00B546FA" w:rsidRPr="00F618D8">
        <w:rPr>
          <w:rFonts w:ascii="Arial" w:hAnsi="Arial"/>
        </w:rPr>
        <w:t>—</w:t>
      </w:r>
      <w:r w:rsidRPr="00F618D8">
        <w:rPr>
          <w:rFonts w:ascii="Arial" w:hAnsi="Arial"/>
        </w:rPr>
        <w:t>i.e., until they graduate from high school or exceed the maximum age for receiving special education services, which, in most states, is 21 years old.</w:t>
      </w:r>
      <w:r w:rsidRPr="00F618D8">
        <w:rPr>
          <w:rFonts w:ascii="Arial" w:hAnsi="Arial"/>
          <w:vertAlign w:val="superscript"/>
        </w:rPr>
        <w:t xml:space="preserve"> </w:t>
      </w:r>
      <w:r w:rsidRPr="00F618D8">
        <w:rPr>
          <w:rFonts w:ascii="Arial" w:hAnsi="Arial"/>
          <w:vertAlign w:val="superscript"/>
        </w:rPr>
        <w:endnoteReference w:id="39"/>
      </w:r>
      <w:r w:rsidRPr="00F618D8">
        <w:rPr>
          <w:rFonts w:ascii="Arial" w:hAnsi="Arial"/>
        </w:rPr>
        <w:t xml:space="preserve"> </w:t>
      </w:r>
      <w:bookmarkStart w:id="42" w:name="_Hlk5194408"/>
      <w:r w:rsidRPr="00F618D8">
        <w:rPr>
          <w:rFonts w:ascii="Arial" w:hAnsi="Arial"/>
        </w:rPr>
        <w:t xml:space="preserve">However, under IDEA, the transfer of rights will not occur if the adult </w:t>
      </w:r>
      <w:r w:rsidR="006F4A50">
        <w:rPr>
          <w:rFonts w:ascii="Arial" w:hAnsi="Arial"/>
        </w:rPr>
        <w:t>student</w:t>
      </w:r>
      <w:r w:rsidRPr="00F618D8">
        <w:rPr>
          <w:rFonts w:ascii="Arial" w:hAnsi="Arial"/>
        </w:rPr>
        <w:t xml:space="preserve"> is subject to guardianship</w:t>
      </w:r>
      <w:bookmarkEnd w:id="42"/>
      <w:r w:rsidR="005924B9" w:rsidRPr="00F618D8">
        <w:rPr>
          <w:rFonts w:ascii="Arial" w:hAnsi="Arial"/>
        </w:rPr>
        <w:t xml:space="preserve">. The transfer also will not occur </w:t>
      </w:r>
      <w:r w:rsidRPr="00F618D8">
        <w:rPr>
          <w:rFonts w:ascii="Arial" w:hAnsi="Arial"/>
        </w:rPr>
        <w:t>if the school</w:t>
      </w:r>
      <w:r w:rsidR="00CD6D96" w:rsidRPr="00F618D8">
        <w:rPr>
          <w:rFonts w:ascii="Arial" w:hAnsi="Arial"/>
        </w:rPr>
        <w:t xml:space="preserve"> uses a separately established non</w:t>
      </w:r>
      <w:r w:rsidRPr="00F618D8">
        <w:rPr>
          <w:rFonts w:ascii="Arial" w:hAnsi="Arial"/>
        </w:rPr>
        <w:t xml:space="preserve">-judicial </w:t>
      </w:r>
      <w:r w:rsidR="00F21D1C" w:rsidRPr="00F618D8">
        <w:rPr>
          <w:rFonts w:ascii="Arial" w:hAnsi="Arial"/>
        </w:rPr>
        <w:t>e</w:t>
      </w:r>
      <w:r w:rsidR="00CD6D96" w:rsidRPr="00F618D8">
        <w:rPr>
          <w:rFonts w:ascii="Arial" w:hAnsi="Arial"/>
        </w:rPr>
        <w:t xml:space="preserve">ducational </w:t>
      </w:r>
      <w:r w:rsidR="00F21D1C" w:rsidRPr="00F618D8">
        <w:rPr>
          <w:rFonts w:ascii="Arial" w:hAnsi="Arial"/>
        </w:rPr>
        <w:t>r</w:t>
      </w:r>
      <w:r w:rsidR="00CD6D96" w:rsidRPr="00F618D8">
        <w:rPr>
          <w:rFonts w:ascii="Arial" w:hAnsi="Arial"/>
        </w:rPr>
        <w:t xml:space="preserve">epresentative </w:t>
      </w:r>
      <w:r w:rsidRPr="00F618D8">
        <w:rPr>
          <w:rFonts w:ascii="Arial" w:hAnsi="Arial"/>
        </w:rPr>
        <w:t>process to determine that the student cannot provide informed consent to educational decisions and to appoint</w:t>
      </w:r>
      <w:r w:rsidR="005924B9" w:rsidRPr="00F618D8">
        <w:rPr>
          <w:rFonts w:ascii="Arial" w:hAnsi="Arial"/>
        </w:rPr>
        <w:t xml:space="preserve"> another person (usually a family member)</w:t>
      </w:r>
      <w:r w:rsidRPr="00F618D8">
        <w:rPr>
          <w:rFonts w:ascii="Arial" w:hAnsi="Arial"/>
        </w:rPr>
        <w:t xml:space="preserve"> as the adult student’s educational representative</w:t>
      </w:r>
      <w:r w:rsidR="00AA1F92" w:rsidRPr="00F618D8">
        <w:rPr>
          <w:rFonts w:ascii="Arial" w:hAnsi="Arial"/>
        </w:rPr>
        <w:t xml:space="preserve">. </w:t>
      </w:r>
      <w:r w:rsidRPr="00F618D8">
        <w:rPr>
          <w:rFonts w:ascii="Arial" w:hAnsi="Arial"/>
        </w:rPr>
        <w:t xml:space="preserve">It is </w:t>
      </w:r>
      <w:r w:rsidR="005924B9" w:rsidRPr="00F618D8">
        <w:rPr>
          <w:rFonts w:ascii="Arial" w:hAnsi="Arial"/>
        </w:rPr>
        <w:t xml:space="preserve">often </w:t>
      </w:r>
      <w:r w:rsidRPr="00F618D8">
        <w:rPr>
          <w:rFonts w:ascii="Arial" w:hAnsi="Arial"/>
        </w:rPr>
        <w:t>at the transfer-of-</w:t>
      </w:r>
      <w:r w:rsidR="00DA736B" w:rsidRPr="00F618D8">
        <w:rPr>
          <w:rFonts w:ascii="Arial" w:hAnsi="Arial"/>
        </w:rPr>
        <w:t xml:space="preserve">rights juncture that many </w:t>
      </w:r>
      <w:r w:rsidRPr="00F618D8">
        <w:rPr>
          <w:rFonts w:ascii="Arial" w:hAnsi="Arial"/>
        </w:rPr>
        <w:t>parents and school personnel question</w:t>
      </w:r>
      <w:r w:rsidR="00DA736B" w:rsidRPr="00F618D8">
        <w:rPr>
          <w:rFonts w:ascii="Arial" w:hAnsi="Arial"/>
        </w:rPr>
        <w:t xml:space="preserve"> </w:t>
      </w:r>
      <w:r w:rsidRPr="00F618D8">
        <w:rPr>
          <w:rFonts w:ascii="Arial" w:hAnsi="Arial"/>
        </w:rPr>
        <w:t>the competence of students</w:t>
      </w:r>
      <w:r w:rsidR="005924B9" w:rsidRPr="00F618D8">
        <w:rPr>
          <w:rFonts w:ascii="Arial" w:hAnsi="Arial"/>
        </w:rPr>
        <w:t xml:space="preserve"> with disabilities</w:t>
      </w:r>
      <w:r w:rsidRPr="00F618D8">
        <w:rPr>
          <w:rFonts w:ascii="Arial" w:hAnsi="Arial"/>
        </w:rPr>
        <w:t>, and parents seek to become the legal guardian of their young adult children.</w:t>
      </w:r>
      <w:r w:rsidRPr="00F618D8">
        <w:rPr>
          <w:rFonts w:ascii="Arial" w:hAnsi="Arial"/>
          <w:vertAlign w:val="superscript"/>
        </w:rPr>
        <w:endnoteReference w:id="40"/>
      </w:r>
      <w:r w:rsidRPr="00F618D8">
        <w:rPr>
          <w:rFonts w:ascii="Arial" w:hAnsi="Arial"/>
        </w:rPr>
        <w:t xml:space="preserve"> </w:t>
      </w:r>
    </w:p>
    <w:p w14:paraId="6EA51B18" w14:textId="41AFC015" w:rsidR="00710D1D" w:rsidRPr="00F618D8" w:rsidRDefault="00710D1D" w:rsidP="00610EEF">
      <w:pPr>
        <w:pStyle w:val="ParaNoIndent"/>
        <w:rPr>
          <w:rFonts w:ascii="Arial" w:hAnsi="Arial"/>
        </w:rPr>
      </w:pPr>
      <w:r w:rsidRPr="00F618D8">
        <w:rPr>
          <w:rFonts w:ascii="Arial" w:hAnsi="Arial"/>
        </w:rPr>
        <w:t xml:space="preserve">At this point in the IDEA transition process, guardianship can be set in motion by a variety of factors. First, intentionally or unintentionally, </w:t>
      </w:r>
      <w:bookmarkStart w:id="43" w:name="_Hlk5194912"/>
      <w:r w:rsidRPr="00F618D8">
        <w:rPr>
          <w:rFonts w:ascii="Arial" w:hAnsi="Arial"/>
        </w:rPr>
        <w:t xml:space="preserve">school professionals may be biasing parents toward pursuing guardianship because of the way in which they notify them of the transfer-of-rights process. </w:t>
      </w:r>
      <w:bookmarkEnd w:id="43"/>
      <w:r w:rsidRPr="00F618D8">
        <w:rPr>
          <w:rFonts w:ascii="Arial" w:hAnsi="Arial"/>
        </w:rPr>
        <w:t xml:space="preserve">For example, they may start the conversation by asking parents if they have guardianship or are planning to obtain guardianship, rather than discussing the student’s strengths and abilities and </w:t>
      </w:r>
      <w:r w:rsidR="005924B9" w:rsidRPr="00F618D8">
        <w:rPr>
          <w:rFonts w:ascii="Arial" w:hAnsi="Arial"/>
        </w:rPr>
        <w:t>less-</w:t>
      </w:r>
      <w:r w:rsidRPr="00F618D8">
        <w:rPr>
          <w:rFonts w:ascii="Arial" w:hAnsi="Arial"/>
        </w:rPr>
        <w:t xml:space="preserve">restrictive options of decision-making support, such as </w:t>
      </w:r>
      <w:r w:rsidR="00A03A76" w:rsidRPr="00F618D8">
        <w:rPr>
          <w:rFonts w:ascii="Arial" w:hAnsi="Arial"/>
        </w:rPr>
        <w:t>SDM</w:t>
      </w:r>
      <w:r w:rsidRPr="00F618D8">
        <w:rPr>
          <w:rFonts w:ascii="Arial" w:hAnsi="Arial"/>
        </w:rPr>
        <w:t xml:space="preserve"> or educational </w:t>
      </w:r>
      <w:r w:rsidR="00463039" w:rsidRPr="00F618D8">
        <w:rPr>
          <w:rFonts w:ascii="Arial" w:hAnsi="Arial"/>
        </w:rPr>
        <w:t>p</w:t>
      </w:r>
      <w:r w:rsidRPr="00F618D8">
        <w:rPr>
          <w:rFonts w:ascii="Arial" w:hAnsi="Arial"/>
        </w:rPr>
        <w:t xml:space="preserve">owers of </w:t>
      </w:r>
      <w:r w:rsidR="00463039" w:rsidRPr="00F618D8">
        <w:rPr>
          <w:rFonts w:ascii="Arial" w:hAnsi="Arial"/>
        </w:rPr>
        <w:t>p</w:t>
      </w:r>
      <w:r w:rsidRPr="00F618D8">
        <w:rPr>
          <w:rFonts w:ascii="Arial" w:hAnsi="Arial"/>
        </w:rPr>
        <w:t>ttorney.</w:t>
      </w:r>
      <w:r w:rsidR="00CD6D96" w:rsidRPr="00F618D8">
        <w:rPr>
          <w:rFonts w:ascii="Arial" w:hAnsi="Arial"/>
          <w:vertAlign w:val="superscript"/>
        </w:rPr>
        <w:endnoteReference w:id="41"/>
      </w:r>
      <w:r w:rsidRPr="00F618D8">
        <w:rPr>
          <w:rFonts w:ascii="Arial" w:hAnsi="Arial"/>
        </w:rPr>
        <w:t xml:space="preserve"> </w:t>
      </w:r>
      <w:r w:rsidR="00A03A76" w:rsidRPr="00F618D8">
        <w:rPr>
          <w:rFonts w:ascii="Arial" w:hAnsi="Arial"/>
        </w:rPr>
        <w:t>Additionally,</w:t>
      </w:r>
      <w:r w:rsidR="00CD6D96" w:rsidRPr="00F618D8">
        <w:rPr>
          <w:rFonts w:ascii="Arial" w:hAnsi="Arial"/>
        </w:rPr>
        <w:t xml:space="preserve"> school personnel might not be aware of alternatives to guardianship or its legal impact</w:t>
      </w:r>
      <w:r w:rsidR="00AA1F92" w:rsidRPr="00F618D8">
        <w:rPr>
          <w:rFonts w:ascii="Arial" w:hAnsi="Arial"/>
        </w:rPr>
        <w:t xml:space="preserve">. </w:t>
      </w:r>
      <w:r w:rsidR="00CD6D96" w:rsidRPr="00F618D8">
        <w:rPr>
          <w:rFonts w:ascii="Arial" w:hAnsi="Arial"/>
        </w:rPr>
        <w:t xml:space="preserve">As one former educator explained: “I recall hearing the Department </w:t>
      </w:r>
      <w:r w:rsidR="00C55B26" w:rsidRPr="00F618D8">
        <w:rPr>
          <w:rFonts w:ascii="Arial" w:hAnsi="Arial"/>
        </w:rPr>
        <w:t>C</w:t>
      </w:r>
      <w:r w:rsidR="00CD6D96" w:rsidRPr="00F618D8">
        <w:rPr>
          <w:rFonts w:ascii="Arial" w:hAnsi="Arial"/>
        </w:rPr>
        <w:t>hair and others saying that, if the student does not have a guardian, then the parents cannot attend the meetings and it just makes things more challenging</w:t>
      </w:r>
      <w:r w:rsidR="00A03A76" w:rsidRPr="00F618D8">
        <w:rPr>
          <w:rFonts w:ascii="Arial" w:hAnsi="Arial"/>
        </w:rPr>
        <w:t xml:space="preserve"> </w:t>
      </w:r>
      <w:r w:rsidR="00CD6D96" w:rsidRPr="00F618D8">
        <w:rPr>
          <w:rFonts w:ascii="Arial" w:hAnsi="Arial"/>
        </w:rPr>
        <w:t xml:space="preserve">. . . [I was] not told about </w:t>
      </w:r>
      <w:r w:rsidR="00CD6D96" w:rsidRPr="00F618D8">
        <w:rPr>
          <w:rFonts w:ascii="Arial" w:hAnsi="Arial"/>
        </w:rPr>
        <w:lastRenderedPageBreak/>
        <w:t xml:space="preserve">alternatives to guardianship.” </w:t>
      </w:r>
      <w:r w:rsidRPr="00F618D8">
        <w:rPr>
          <w:rFonts w:ascii="Arial" w:hAnsi="Arial"/>
        </w:rPr>
        <w:t xml:space="preserve">Such conversations may pressure parents to pursue guardianship over their </w:t>
      </w:r>
      <w:r w:rsidR="00CD6D96" w:rsidRPr="00F618D8">
        <w:rPr>
          <w:rFonts w:ascii="Arial" w:hAnsi="Arial"/>
        </w:rPr>
        <w:t xml:space="preserve">adult </w:t>
      </w:r>
      <w:r w:rsidRPr="00F618D8">
        <w:rPr>
          <w:rFonts w:ascii="Arial" w:hAnsi="Arial"/>
        </w:rPr>
        <w:t>child</w:t>
      </w:r>
      <w:r w:rsidR="005924B9" w:rsidRPr="00F618D8">
        <w:rPr>
          <w:rFonts w:ascii="Arial" w:hAnsi="Arial"/>
        </w:rPr>
        <w:t xml:space="preserve">, </w:t>
      </w:r>
      <w:r w:rsidRPr="00F618D8">
        <w:rPr>
          <w:rFonts w:ascii="Arial" w:hAnsi="Arial"/>
        </w:rPr>
        <w:t>so that they are assured they can continue to be involved</w:t>
      </w:r>
      <w:r w:rsidR="00CD6D96" w:rsidRPr="00F618D8">
        <w:rPr>
          <w:rFonts w:ascii="Arial" w:hAnsi="Arial"/>
        </w:rPr>
        <w:t xml:space="preserve"> in their child’s education</w:t>
      </w:r>
      <w:r w:rsidR="00FF4A58" w:rsidRPr="00F618D8">
        <w:rPr>
          <w:rFonts w:ascii="Arial" w:hAnsi="Arial"/>
        </w:rPr>
        <w:t>.</w:t>
      </w:r>
    </w:p>
    <w:p w14:paraId="4BEEED61" w14:textId="77777777" w:rsidR="00710D1D" w:rsidRPr="00F618D8" w:rsidRDefault="005924B9" w:rsidP="00610EEF">
      <w:pPr>
        <w:pStyle w:val="ParaNoIndent"/>
        <w:rPr>
          <w:rFonts w:ascii="Arial" w:hAnsi="Arial"/>
        </w:rPr>
      </w:pPr>
      <w:r w:rsidRPr="00F618D8">
        <w:rPr>
          <w:rFonts w:ascii="Arial" w:hAnsi="Arial"/>
        </w:rPr>
        <w:t>W</w:t>
      </w:r>
      <w:r w:rsidR="00710D1D" w:rsidRPr="00F618D8">
        <w:rPr>
          <w:rFonts w:ascii="Arial" w:hAnsi="Arial"/>
        </w:rPr>
        <w:t xml:space="preserve">hile IDEA does not require </w:t>
      </w:r>
      <w:r w:rsidR="00A03A76" w:rsidRPr="00F618D8">
        <w:rPr>
          <w:rFonts w:ascii="Arial" w:hAnsi="Arial"/>
        </w:rPr>
        <w:t>appointing</w:t>
      </w:r>
      <w:r w:rsidR="00710D1D" w:rsidRPr="00F618D8">
        <w:rPr>
          <w:rFonts w:ascii="Arial" w:hAnsi="Arial"/>
        </w:rPr>
        <w:t xml:space="preserve"> a guardian for adult students in special education, it allow</w:t>
      </w:r>
      <w:r w:rsidRPr="00F618D8">
        <w:rPr>
          <w:rFonts w:ascii="Arial" w:hAnsi="Arial"/>
        </w:rPr>
        <w:t>s</w:t>
      </w:r>
      <w:r w:rsidR="00874684" w:rsidRPr="00F618D8">
        <w:rPr>
          <w:rFonts w:ascii="Arial" w:hAnsi="Arial"/>
        </w:rPr>
        <w:t>—</w:t>
      </w:r>
      <w:r w:rsidR="00710D1D" w:rsidRPr="00F618D8">
        <w:rPr>
          <w:rFonts w:ascii="Arial" w:hAnsi="Arial"/>
        </w:rPr>
        <w:t>and arguably mandate</w:t>
      </w:r>
      <w:r w:rsidRPr="00F618D8">
        <w:rPr>
          <w:rFonts w:ascii="Arial" w:hAnsi="Arial"/>
        </w:rPr>
        <w:t>s</w:t>
      </w:r>
      <w:r w:rsidR="00874684" w:rsidRPr="00F618D8">
        <w:rPr>
          <w:rFonts w:ascii="Arial" w:hAnsi="Arial"/>
        </w:rPr>
        <w:t>—</w:t>
      </w:r>
      <w:r w:rsidR="00710D1D" w:rsidRPr="00F618D8">
        <w:rPr>
          <w:rFonts w:ascii="Arial" w:hAnsi="Arial"/>
        </w:rPr>
        <w:t xml:space="preserve">states </w:t>
      </w:r>
      <w:r w:rsidRPr="00F618D8">
        <w:rPr>
          <w:rFonts w:ascii="Arial" w:hAnsi="Arial"/>
        </w:rPr>
        <w:t xml:space="preserve">to </w:t>
      </w:r>
      <w:r w:rsidR="00710D1D" w:rsidRPr="00F618D8">
        <w:rPr>
          <w:rFonts w:ascii="Arial" w:hAnsi="Arial"/>
        </w:rPr>
        <w:t>establish alternative procedures</w:t>
      </w:r>
      <w:r w:rsidR="00DA736B" w:rsidRPr="00F618D8">
        <w:rPr>
          <w:rFonts w:ascii="Arial" w:hAnsi="Arial"/>
        </w:rPr>
        <w:t>,</w:t>
      </w:r>
      <w:r w:rsidR="00710D1D" w:rsidRPr="00F618D8">
        <w:rPr>
          <w:rFonts w:ascii="Arial" w:hAnsi="Arial"/>
        </w:rPr>
        <w:t xml:space="preserve"> short of guardianship and consistent with state law</w:t>
      </w:r>
      <w:r w:rsidR="00DA736B" w:rsidRPr="00F618D8">
        <w:rPr>
          <w:rFonts w:ascii="Arial" w:hAnsi="Arial"/>
        </w:rPr>
        <w:t xml:space="preserve">, </w:t>
      </w:r>
      <w:r w:rsidRPr="00F618D8">
        <w:rPr>
          <w:rFonts w:ascii="Arial" w:hAnsi="Arial"/>
        </w:rPr>
        <w:t>f</w:t>
      </w:r>
      <w:r w:rsidR="00710D1D" w:rsidRPr="00F618D8">
        <w:rPr>
          <w:rFonts w:ascii="Arial" w:hAnsi="Arial"/>
        </w:rPr>
        <w:t xml:space="preserve">or the appointment of the parent or </w:t>
      </w:r>
      <w:r w:rsidRPr="00F618D8">
        <w:rPr>
          <w:rFonts w:ascii="Arial" w:hAnsi="Arial"/>
        </w:rPr>
        <w:t>ano</w:t>
      </w:r>
      <w:r w:rsidR="00710D1D" w:rsidRPr="00F618D8">
        <w:rPr>
          <w:rFonts w:ascii="Arial" w:hAnsi="Arial"/>
        </w:rPr>
        <w:t>ther person to represent the educational interests of an adult student, if the school district determines that the student is unable to provide informed consent to his or her education program.</w:t>
      </w:r>
      <w:r w:rsidR="00710D1D" w:rsidRPr="00F618D8">
        <w:rPr>
          <w:rFonts w:ascii="Arial" w:hAnsi="Arial"/>
          <w:vertAlign w:val="superscript"/>
        </w:rPr>
        <w:endnoteReference w:id="42"/>
      </w:r>
      <w:r w:rsidRPr="00F618D8">
        <w:rPr>
          <w:rFonts w:ascii="Arial" w:hAnsi="Arial"/>
        </w:rPr>
        <w:t xml:space="preserve"> </w:t>
      </w:r>
      <w:bookmarkStart w:id="44" w:name="_Hlk5195050"/>
      <w:r w:rsidR="00710D1D" w:rsidRPr="00F618D8">
        <w:rPr>
          <w:rFonts w:ascii="Arial" w:hAnsi="Arial"/>
        </w:rPr>
        <w:t>Such extra-judicial processes raise due process concerns in that rights are being taken away from the student without court adjudication.</w:t>
      </w:r>
      <w:bookmarkEnd w:id="44"/>
      <w:r w:rsidR="00710D1D" w:rsidRPr="00F618D8">
        <w:rPr>
          <w:rFonts w:ascii="Arial" w:hAnsi="Arial"/>
        </w:rPr>
        <w:t xml:space="preserve"> They also promote substitute or surrogate decision-making</w:t>
      </w:r>
      <w:r w:rsidR="006D453C" w:rsidRPr="00F618D8">
        <w:rPr>
          <w:rFonts w:ascii="Arial" w:hAnsi="Arial"/>
        </w:rPr>
        <w:t>—</w:t>
      </w:r>
      <w:r w:rsidR="00710D1D" w:rsidRPr="00F618D8">
        <w:rPr>
          <w:rFonts w:ascii="Arial" w:hAnsi="Arial"/>
        </w:rPr>
        <w:t xml:space="preserve">rather than </w:t>
      </w:r>
      <w:r w:rsidR="006D453C" w:rsidRPr="00F618D8">
        <w:rPr>
          <w:rFonts w:ascii="Arial" w:hAnsi="Arial"/>
        </w:rPr>
        <w:t>SDM—</w:t>
      </w:r>
      <w:r w:rsidR="00710D1D" w:rsidRPr="00F618D8">
        <w:rPr>
          <w:rFonts w:ascii="Arial" w:hAnsi="Arial"/>
        </w:rPr>
        <w:t>in the educational context.</w:t>
      </w:r>
      <w:r w:rsidR="00710D1D" w:rsidRPr="00F618D8">
        <w:rPr>
          <w:rFonts w:ascii="Arial" w:hAnsi="Arial"/>
          <w:vertAlign w:val="superscript"/>
        </w:rPr>
        <w:endnoteReference w:id="43"/>
      </w:r>
      <w:r w:rsidR="00710D1D" w:rsidRPr="00F618D8">
        <w:rPr>
          <w:rFonts w:ascii="Arial" w:hAnsi="Arial"/>
        </w:rPr>
        <w:t xml:space="preserve"> Based on a 2012 review of state law and regulations, at least </w:t>
      </w:r>
      <w:r w:rsidR="00D71BB5" w:rsidRPr="00F618D8">
        <w:rPr>
          <w:rFonts w:ascii="Arial" w:hAnsi="Arial"/>
        </w:rPr>
        <w:t>six</w:t>
      </w:r>
      <w:r w:rsidR="00710D1D" w:rsidRPr="00F618D8">
        <w:rPr>
          <w:rFonts w:ascii="Arial" w:hAnsi="Arial"/>
        </w:rPr>
        <w:t xml:space="preserve"> states </w:t>
      </w:r>
      <w:r w:rsidR="00CD6D96" w:rsidRPr="00F618D8">
        <w:rPr>
          <w:rFonts w:ascii="Arial" w:hAnsi="Arial"/>
        </w:rPr>
        <w:t xml:space="preserve">had regulations that </w:t>
      </w:r>
      <w:r w:rsidR="00710D1D" w:rsidRPr="00F618D8">
        <w:rPr>
          <w:rFonts w:ascii="Arial" w:hAnsi="Arial"/>
        </w:rPr>
        <w:t xml:space="preserve">expressly </w:t>
      </w:r>
      <w:r w:rsidR="00CD6D96" w:rsidRPr="00F618D8">
        <w:rPr>
          <w:rFonts w:ascii="Arial" w:hAnsi="Arial"/>
        </w:rPr>
        <w:t xml:space="preserve">provided for a non-judicial </w:t>
      </w:r>
      <w:r w:rsidR="00710D1D" w:rsidRPr="00F618D8">
        <w:rPr>
          <w:rFonts w:ascii="Arial" w:hAnsi="Arial"/>
        </w:rPr>
        <w:t>appointment of an educational representative for the student upon parental request and/or professional certification</w:t>
      </w:r>
      <w:r w:rsidR="00CD6D96" w:rsidRPr="00F618D8">
        <w:rPr>
          <w:rFonts w:ascii="Arial" w:hAnsi="Arial"/>
        </w:rPr>
        <w:t>(s)</w:t>
      </w:r>
      <w:r w:rsidR="00710D1D" w:rsidRPr="00F618D8">
        <w:rPr>
          <w:rFonts w:ascii="Arial" w:hAnsi="Arial"/>
        </w:rPr>
        <w:t xml:space="preserve"> o</w:t>
      </w:r>
      <w:r w:rsidR="00CD6D96" w:rsidRPr="00F618D8">
        <w:rPr>
          <w:rFonts w:ascii="Arial" w:hAnsi="Arial"/>
        </w:rPr>
        <w:t>r an</w:t>
      </w:r>
      <w:r w:rsidR="00710D1D" w:rsidRPr="00F618D8">
        <w:rPr>
          <w:rFonts w:ascii="Arial" w:hAnsi="Arial"/>
        </w:rPr>
        <w:t xml:space="preserve"> I</w:t>
      </w:r>
      <w:r w:rsidR="00D71BB5" w:rsidRPr="00F618D8">
        <w:rPr>
          <w:rFonts w:ascii="Arial" w:hAnsi="Arial"/>
        </w:rPr>
        <w:t>ndividualized Education Program (IEP)</w:t>
      </w:r>
      <w:r w:rsidR="00710D1D" w:rsidRPr="00F618D8">
        <w:rPr>
          <w:rFonts w:ascii="Arial" w:hAnsi="Arial"/>
        </w:rPr>
        <w:t xml:space="preserve"> team finding that the student is incapable of providing informed consent for educational decisions</w:t>
      </w:r>
      <w:r w:rsidRPr="00F618D8">
        <w:rPr>
          <w:rFonts w:ascii="Arial" w:hAnsi="Arial"/>
        </w:rPr>
        <w:t>.</w:t>
      </w:r>
      <w:r w:rsidR="00710D1D" w:rsidRPr="00F618D8">
        <w:rPr>
          <w:rFonts w:ascii="Arial" w:hAnsi="Arial"/>
          <w:vertAlign w:val="superscript"/>
        </w:rPr>
        <w:t xml:space="preserve"> </w:t>
      </w:r>
      <w:r w:rsidR="00710D1D" w:rsidRPr="00F618D8">
        <w:rPr>
          <w:rFonts w:ascii="Arial" w:hAnsi="Arial"/>
          <w:vertAlign w:val="superscript"/>
        </w:rPr>
        <w:endnoteReference w:id="44"/>
      </w:r>
      <w:r w:rsidR="00710D1D" w:rsidRPr="00F618D8">
        <w:rPr>
          <w:rFonts w:ascii="Arial" w:hAnsi="Arial"/>
        </w:rPr>
        <w:t xml:space="preserve"> </w:t>
      </w:r>
      <w:r w:rsidRPr="00F618D8">
        <w:rPr>
          <w:rFonts w:ascii="Arial" w:hAnsi="Arial"/>
        </w:rPr>
        <w:t>The District of Columbia joined them in July 2016, a</w:t>
      </w:r>
      <w:r w:rsidR="00710D1D" w:rsidRPr="00F618D8">
        <w:rPr>
          <w:rFonts w:ascii="Arial" w:hAnsi="Arial"/>
        </w:rPr>
        <w:t xml:space="preserve">s discussed in Chapter </w:t>
      </w:r>
      <w:r w:rsidR="00521E4B" w:rsidRPr="00F618D8">
        <w:rPr>
          <w:rFonts w:ascii="Arial" w:hAnsi="Arial"/>
        </w:rPr>
        <w:t>5</w:t>
      </w:r>
      <w:r w:rsidR="00AA1F92" w:rsidRPr="00F618D8">
        <w:rPr>
          <w:rFonts w:ascii="Arial" w:hAnsi="Arial"/>
        </w:rPr>
        <w:t xml:space="preserve">. </w:t>
      </w:r>
      <w:r w:rsidR="00710D1D" w:rsidRPr="00F618D8">
        <w:rPr>
          <w:rFonts w:ascii="Arial" w:hAnsi="Arial"/>
        </w:rPr>
        <w:t>Some states have other exceptions to the transfer of rights</w:t>
      </w:r>
      <w:r w:rsidR="00AA1F92" w:rsidRPr="00F618D8">
        <w:rPr>
          <w:rFonts w:ascii="Arial" w:hAnsi="Arial"/>
        </w:rPr>
        <w:t xml:space="preserve">. </w:t>
      </w:r>
      <w:r w:rsidR="00710D1D" w:rsidRPr="00F618D8">
        <w:rPr>
          <w:rFonts w:ascii="Arial" w:hAnsi="Arial"/>
        </w:rPr>
        <w:t>In Maryland, for example, the general rule is that parents retain the special education rights of their adult child, unless the</w:t>
      </w:r>
      <w:r w:rsidR="009F790B" w:rsidRPr="00F618D8">
        <w:rPr>
          <w:rFonts w:ascii="Arial" w:hAnsi="Arial"/>
        </w:rPr>
        <w:t xml:space="preserve">y </w:t>
      </w:r>
      <w:r w:rsidR="00710D1D" w:rsidRPr="00F618D8">
        <w:rPr>
          <w:rFonts w:ascii="Arial" w:hAnsi="Arial"/>
        </w:rPr>
        <w:t>affirmative</w:t>
      </w:r>
      <w:r w:rsidR="009F790B" w:rsidRPr="00F618D8">
        <w:rPr>
          <w:rFonts w:ascii="Arial" w:hAnsi="Arial"/>
        </w:rPr>
        <w:t>ly</w:t>
      </w:r>
      <w:r w:rsidR="00710D1D" w:rsidRPr="00F618D8">
        <w:rPr>
          <w:rFonts w:ascii="Arial" w:hAnsi="Arial"/>
        </w:rPr>
        <w:t xml:space="preserve"> or tacit</w:t>
      </w:r>
      <w:r w:rsidR="009F790B" w:rsidRPr="00F618D8">
        <w:rPr>
          <w:rFonts w:ascii="Arial" w:hAnsi="Arial"/>
        </w:rPr>
        <w:t>ly</w:t>
      </w:r>
      <w:r w:rsidR="00710D1D" w:rsidRPr="00F618D8">
        <w:rPr>
          <w:rFonts w:ascii="Arial" w:hAnsi="Arial"/>
        </w:rPr>
        <w:t xml:space="preserve"> refus</w:t>
      </w:r>
      <w:r w:rsidR="009F790B" w:rsidRPr="00F618D8">
        <w:rPr>
          <w:rFonts w:ascii="Arial" w:hAnsi="Arial"/>
        </w:rPr>
        <w:t>e</w:t>
      </w:r>
      <w:r w:rsidR="00710D1D" w:rsidRPr="00F618D8">
        <w:rPr>
          <w:rFonts w:ascii="Arial" w:hAnsi="Arial"/>
        </w:rPr>
        <w:t xml:space="preserve"> or fail to participate in the special education decision-making process.</w:t>
      </w:r>
      <w:r w:rsidR="00710D1D" w:rsidRPr="00F618D8">
        <w:rPr>
          <w:rFonts w:ascii="Arial" w:hAnsi="Arial"/>
          <w:vertAlign w:val="superscript"/>
        </w:rPr>
        <w:endnoteReference w:id="45"/>
      </w:r>
    </w:p>
    <w:p w14:paraId="5E8A574D" w14:textId="77777777" w:rsidR="003E2407" w:rsidRPr="00F618D8" w:rsidRDefault="0070792D" w:rsidP="00610EEF">
      <w:pPr>
        <w:pStyle w:val="ParaNoIndent"/>
        <w:rPr>
          <w:rFonts w:ascii="Arial" w:hAnsi="Arial"/>
        </w:rPr>
      </w:pPr>
      <w:r w:rsidRPr="00F618D8">
        <w:rPr>
          <w:rFonts w:ascii="Arial" w:hAnsi="Arial"/>
        </w:rPr>
        <w:t>There is no national data available on how many people with ID/DD get guardians right after high school</w:t>
      </w:r>
      <w:r w:rsidR="00AA1F92" w:rsidRPr="00F618D8">
        <w:rPr>
          <w:rFonts w:ascii="Arial" w:hAnsi="Arial"/>
        </w:rPr>
        <w:t xml:space="preserve">. </w:t>
      </w:r>
      <w:r w:rsidR="00DA736B" w:rsidRPr="00F618D8">
        <w:rPr>
          <w:rFonts w:ascii="Arial" w:hAnsi="Arial"/>
        </w:rPr>
        <w:t xml:space="preserve">However, 2015-2016 National Core Indicator survey data indicates that </w:t>
      </w:r>
      <w:bookmarkStart w:id="45" w:name="_Hlk5195081"/>
      <w:r w:rsidR="00DA736B" w:rsidRPr="00F618D8">
        <w:rPr>
          <w:rFonts w:ascii="Arial" w:hAnsi="Arial"/>
        </w:rPr>
        <w:t>the majority (58</w:t>
      </w:r>
      <w:r w:rsidR="00D83B6B" w:rsidRPr="00F618D8">
        <w:rPr>
          <w:rFonts w:ascii="Arial" w:hAnsi="Arial"/>
        </w:rPr>
        <w:t xml:space="preserve"> percent</w:t>
      </w:r>
      <w:r w:rsidR="00DA736B" w:rsidRPr="00F618D8">
        <w:rPr>
          <w:rFonts w:ascii="Arial" w:hAnsi="Arial"/>
        </w:rPr>
        <w:t>) of people with ID/DD ages 18 to 22 receiving publicly funded services have guardians</w:t>
      </w:r>
      <w:bookmarkEnd w:id="45"/>
      <w:r w:rsidR="00DA736B" w:rsidRPr="00F618D8">
        <w:rPr>
          <w:rFonts w:ascii="Arial" w:hAnsi="Arial"/>
        </w:rPr>
        <w:t>, which suggests guardianship is common for this age group</w:t>
      </w:r>
      <w:r w:rsidR="00AA1F92" w:rsidRPr="00F618D8">
        <w:rPr>
          <w:rFonts w:ascii="Arial" w:hAnsi="Arial"/>
        </w:rPr>
        <w:t xml:space="preserve">. </w:t>
      </w:r>
      <w:r w:rsidR="00DA736B" w:rsidRPr="00F618D8">
        <w:rPr>
          <w:rFonts w:ascii="Arial" w:hAnsi="Arial"/>
        </w:rPr>
        <w:t>Moreover</w:t>
      </w:r>
      <w:r w:rsidRPr="00F618D8">
        <w:rPr>
          <w:rFonts w:ascii="Arial" w:hAnsi="Arial"/>
        </w:rPr>
        <w:t>, a</w:t>
      </w:r>
      <w:r w:rsidR="006D57CE" w:rsidRPr="00F618D8">
        <w:rPr>
          <w:rFonts w:ascii="Arial" w:hAnsi="Arial"/>
        </w:rPr>
        <w:t xml:space="preserve">s highlighted in the 2018 NCD Report, </w:t>
      </w:r>
      <w:r w:rsidRPr="00F618D8">
        <w:rPr>
          <w:rFonts w:ascii="Arial" w:hAnsi="Arial"/>
        </w:rPr>
        <w:t xml:space="preserve">stakeholders frequently reported that </w:t>
      </w:r>
      <w:r w:rsidR="006D57CE" w:rsidRPr="00F618D8">
        <w:rPr>
          <w:rFonts w:ascii="Arial" w:hAnsi="Arial"/>
        </w:rPr>
        <w:t xml:space="preserve">guardianship </w:t>
      </w:r>
      <w:r w:rsidRPr="00F618D8">
        <w:rPr>
          <w:rFonts w:ascii="Arial" w:hAnsi="Arial"/>
        </w:rPr>
        <w:t xml:space="preserve">is </w:t>
      </w:r>
      <w:r w:rsidR="006D57CE" w:rsidRPr="00F618D8">
        <w:rPr>
          <w:rFonts w:ascii="Arial" w:hAnsi="Arial"/>
        </w:rPr>
        <w:t>presented by the school system as the main, if not only, option for</w:t>
      </w:r>
      <w:r w:rsidRPr="00F618D8">
        <w:rPr>
          <w:rFonts w:ascii="Arial" w:hAnsi="Arial"/>
        </w:rPr>
        <w:t xml:space="preserve"> decision-making support for </w:t>
      </w:r>
      <w:r w:rsidR="006D57CE" w:rsidRPr="00F618D8">
        <w:rPr>
          <w:rFonts w:ascii="Arial" w:hAnsi="Arial"/>
        </w:rPr>
        <w:t>young adult</w:t>
      </w:r>
      <w:r w:rsidRPr="00F618D8">
        <w:rPr>
          <w:rFonts w:ascii="Arial" w:hAnsi="Arial"/>
        </w:rPr>
        <w:t>s</w:t>
      </w:r>
      <w:r w:rsidR="006D57CE" w:rsidRPr="00F618D8">
        <w:rPr>
          <w:rFonts w:ascii="Arial" w:hAnsi="Arial"/>
        </w:rPr>
        <w:t xml:space="preserve"> with ID/DD</w:t>
      </w:r>
      <w:r w:rsidR="00AA1F92" w:rsidRPr="00F618D8">
        <w:rPr>
          <w:rFonts w:ascii="Arial" w:hAnsi="Arial"/>
        </w:rPr>
        <w:t xml:space="preserve">. </w:t>
      </w:r>
      <w:bookmarkStart w:id="46" w:name="_Hlk5195145"/>
      <w:r w:rsidR="006D57CE" w:rsidRPr="00F618D8">
        <w:rPr>
          <w:rFonts w:ascii="Arial" w:hAnsi="Arial"/>
        </w:rPr>
        <w:t xml:space="preserve">A 2015 study supported by the TASH Human Rights Committee found that schools were the number one referral </w:t>
      </w:r>
      <w:r w:rsidR="006D57CE" w:rsidRPr="00F618D8">
        <w:rPr>
          <w:rFonts w:ascii="Arial" w:hAnsi="Arial"/>
        </w:rPr>
        <w:lastRenderedPageBreak/>
        <w:t>source for guardianship</w:t>
      </w:r>
      <w:bookmarkEnd w:id="46"/>
      <w:r w:rsidRPr="00F618D8">
        <w:rPr>
          <w:rFonts w:ascii="Arial" w:hAnsi="Arial"/>
        </w:rPr>
        <w:t>,</w:t>
      </w:r>
      <w:r w:rsidR="006D57CE" w:rsidRPr="00F618D8">
        <w:rPr>
          <w:rStyle w:val="EndnoteReference"/>
          <w:rFonts w:ascii="Arial" w:hAnsi="Arial"/>
          <w:szCs w:val="24"/>
        </w:rPr>
        <w:endnoteReference w:id="46"/>
      </w:r>
      <w:r w:rsidR="006D57CE" w:rsidRPr="00F618D8">
        <w:rPr>
          <w:rFonts w:ascii="Arial" w:hAnsi="Arial"/>
        </w:rPr>
        <w:t xml:space="preserve"> </w:t>
      </w:r>
      <w:r w:rsidRPr="00F618D8">
        <w:rPr>
          <w:rFonts w:ascii="Arial" w:hAnsi="Arial"/>
        </w:rPr>
        <w:t>and guardianship i</w:t>
      </w:r>
      <w:r w:rsidR="006D57CE" w:rsidRPr="00F618D8">
        <w:rPr>
          <w:rFonts w:ascii="Arial" w:hAnsi="Arial"/>
        </w:rPr>
        <w:t>s frequently considered the default option for students with ID/DD</w:t>
      </w:r>
      <w:r w:rsidRPr="00F618D8">
        <w:rPr>
          <w:rFonts w:ascii="Arial" w:hAnsi="Arial"/>
        </w:rPr>
        <w:t>.</w:t>
      </w:r>
      <w:r w:rsidRPr="00F618D8">
        <w:rPr>
          <w:rStyle w:val="EndnoteReference"/>
          <w:rFonts w:ascii="Arial" w:hAnsi="Arial"/>
        </w:rPr>
        <w:endnoteReference w:id="47"/>
      </w:r>
      <w:r w:rsidR="006D57CE" w:rsidRPr="00F618D8">
        <w:rPr>
          <w:rFonts w:ascii="Arial" w:hAnsi="Arial"/>
        </w:rPr>
        <w:t xml:space="preserve"> </w:t>
      </w:r>
      <w:bookmarkStart w:id="47" w:name="_Hlk5196368"/>
      <w:r w:rsidRPr="00F618D8">
        <w:rPr>
          <w:rFonts w:ascii="Arial" w:hAnsi="Arial"/>
        </w:rPr>
        <w:t>Many of the stories this project collected affirm this</w:t>
      </w:r>
      <w:bookmarkEnd w:id="47"/>
      <w:r w:rsidRPr="00F618D8">
        <w:rPr>
          <w:rFonts w:ascii="Arial" w:hAnsi="Arial"/>
        </w:rPr>
        <w:t>:</w:t>
      </w:r>
    </w:p>
    <w:p w14:paraId="7C441AC2" w14:textId="77777777" w:rsidR="00CD6D96" w:rsidRPr="00F618D8" w:rsidRDefault="00CD6D96" w:rsidP="00610EEF">
      <w:pPr>
        <w:pStyle w:val="ListParagraph"/>
        <w:rPr>
          <w:rFonts w:ascii="Arial" w:hAnsi="Arial" w:cs="Arial"/>
        </w:rPr>
      </w:pPr>
      <w:r w:rsidRPr="00F618D8">
        <w:rPr>
          <w:rFonts w:ascii="Arial" w:hAnsi="Arial" w:cs="Arial"/>
        </w:rPr>
        <w:t>A professional who used to work with transition-age youth in special education reported that she and her colleagues would give parents what was known as a “guardianship packet</w:t>
      </w:r>
      <w:r w:rsidR="00AA1F92" w:rsidRPr="00F618D8">
        <w:rPr>
          <w:rFonts w:ascii="Arial" w:hAnsi="Arial" w:cs="Arial"/>
        </w:rPr>
        <w:t xml:space="preserve">.” </w:t>
      </w:r>
      <w:r w:rsidRPr="00F618D8">
        <w:rPr>
          <w:rFonts w:ascii="Arial" w:hAnsi="Arial" w:cs="Arial"/>
        </w:rPr>
        <w:t>She said: “It makes me cringe now, that that is how it was being passed around school, how nonchalant it is, and then how dangerous it can actually be . . . I didn’t experience from my mentors that this was a human rights issue, that you were [contributing to] taking someone’s rights away by . . . recommending guardianship</w:t>
      </w:r>
      <w:r w:rsidR="005B0E4D" w:rsidRPr="00F618D8">
        <w:rPr>
          <w:rFonts w:ascii="Arial" w:hAnsi="Arial" w:cs="Arial"/>
        </w:rPr>
        <w:t xml:space="preserve"> </w:t>
      </w:r>
      <w:r w:rsidRPr="00F618D8">
        <w:rPr>
          <w:rFonts w:ascii="Arial" w:hAnsi="Arial" w:cs="Arial"/>
        </w:rPr>
        <w:t>. . . Parents see you as a representative and</w:t>
      </w:r>
      <w:r w:rsidR="009F790B" w:rsidRPr="00F618D8">
        <w:rPr>
          <w:rFonts w:ascii="Arial" w:hAnsi="Arial" w:cs="Arial"/>
        </w:rPr>
        <w:t xml:space="preserve"> professional on behalf of the d</w:t>
      </w:r>
      <w:r w:rsidRPr="00F618D8">
        <w:rPr>
          <w:rFonts w:ascii="Arial" w:hAnsi="Arial" w:cs="Arial"/>
        </w:rPr>
        <w:t xml:space="preserve">istrict, so if you say something like, </w:t>
      </w:r>
      <w:r w:rsidR="009F790B" w:rsidRPr="00F618D8">
        <w:rPr>
          <w:rFonts w:ascii="Arial" w:hAnsi="Arial" w:cs="Arial"/>
        </w:rPr>
        <w:t>‘</w:t>
      </w:r>
      <w:r w:rsidRPr="00F618D8">
        <w:rPr>
          <w:rFonts w:ascii="Arial" w:hAnsi="Arial" w:cs="Arial"/>
        </w:rPr>
        <w:t>[H]ere is information on guardianship,</w:t>
      </w:r>
      <w:r w:rsidR="009F790B" w:rsidRPr="00F618D8">
        <w:rPr>
          <w:rFonts w:ascii="Arial" w:hAnsi="Arial" w:cs="Arial"/>
        </w:rPr>
        <w:t>’</w:t>
      </w:r>
      <w:r w:rsidRPr="00F618D8">
        <w:rPr>
          <w:rFonts w:ascii="Arial" w:hAnsi="Arial" w:cs="Arial"/>
        </w:rPr>
        <w:t xml:space="preserve"> then they [may] not do their due diligence.”</w:t>
      </w:r>
    </w:p>
    <w:p w14:paraId="5BC372FF" w14:textId="12F9F212" w:rsidR="003E2407" w:rsidRPr="00F618D8" w:rsidRDefault="003E2407" w:rsidP="00610EEF">
      <w:pPr>
        <w:pStyle w:val="ListParagraph"/>
        <w:rPr>
          <w:rFonts w:ascii="Arial" w:hAnsi="Arial" w:cs="Arial"/>
        </w:rPr>
      </w:pPr>
      <w:r w:rsidRPr="00F618D8">
        <w:rPr>
          <w:rFonts w:ascii="Arial" w:hAnsi="Arial" w:cs="Arial"/>
        </w:rPr>
        <w:t>As a Michigan family member reported: “Too often schools have told family members that a student with I</w:t>
      </w:r>
      <w:r w:rsidR="005B0E4D" w:rsidRPr="00F618D8">
        <w:rPr>
          <w:rFonts w:ascii="Arial" w:hAnsi="Arial" w:cs="Arial"/>
        </w:rPr>
        <w:t>[D]</w:t>
      </w:r>
      <w:r w:rsidRPr="00F618D8">
        <w:rPr>
          <w:rFonts w:ascii="Arial" w:hAnsi="Arial" w:cs="Arial"/>
        </w:rPr>
        <w:t xml:space="preserve">/DD must have guardianship if they want a family member or friend to assist with one’s IEP when the student turns </w:t>
      </w:r>
      <w:r w:rsidR="007A6338" w:rsidRPr="007A6338">
        <w:rPr>
          <w:rFonts w:ascii="Arial" w:hAnsi="Arial" w:cs="Arial"/>
        </w:rPr>
        <w:t>eighteen</w:t>
      </w:r>
      <w:r w:rsidR="00AA1F92" w:rsidRPr="00F618D8">
        <w:rPr>
          <w:rFonts w:ascii="Arial" w:hAnsi="Arial" w:cs="Arial"/>
        </w:rPr>
        <w:t xml:space="preserve">. </w:t>
      </w:r>
      <w:r w:rsidRPr="00F618D8">
        <w:rPr>
          <w:rFonts w:ascii="Arial" w:hAnsi="Arial" w:cs="Arial"/>
        </w:rPr>
        <w:t>School districts are terribly misinformed about guardianship and use this approach to limit families’ involvement in IEPs</w:t>
      </w:r>
      <w:r w:rsidR="00AA1F92" w:rsidRPr="00F618D8">
        <w:rPr>
          <w:rFonts w:ascii="Arial" w:hAnsi="Arial" w:cs="Arial"/>
        </w:rPr>
        <w:t xml:space="preserve">.” </w:t>
      </w:r>
    </w:p>
    <w:p w14:paraId="741F777A" w14:textId="77777777" w:rsidR="006D57CE" w:rsidRPr="00F618D8" w:rsidRDefault="003E2407" w:rsidP="00610EEF">
      <w:pPr>
        <w:pStyle w:val="ListParagraph"/>
        <w:rPr>
          <w:rFonts w:ascii="Arial" w:hAnsi="Arial" w:cs="Arial"/>
        </w:rPr>
      </w:pPr>
      <w:r w:rsidRPr="00F618D8">
        <w:rPr>
          <w:rFonts w:ascii="Arial" w:hAnsi="Arial" w:cs="Arial"/>
        </w:rPr>
        <w:t>A Massachusetts family member reported: “People are encouraged by well-intended educators to make the decision [about guardianship] at the age of majority</w:t>
      </w:r>
      <w:r w:rsidR="00AA1F92" w:rsidRPr="00F618D8">
        <w:rPr>
          <w:rFonts w:ascii="Arial" w:hAnsi="Arial" w:cs="Arial"/>
        </w:rPr>
        <w:t xml:space="preserve">. </w:t>
      </w:r>
      <w:r w:rsidRPr="00F618D8">
        <w:rPr>
          <w:rFonts w:ascii="Arial" w:hAnsi="Arial" w:cs="Arial"/>
        </w:rPr>
        <w:t>These educators do not connect the dots between transition when they should be teaching decision</w:t>
      </w:r>
      <w:r w:rsidR="004F3D6C" w:rsidRPr="00F618D8">
        <w:rPr>
          <w:rFonts w:ascii="Arial" w:hAnsi="Arial" w:cs="Arial"/>
        </w:rPr>
        <w:t>-</w:t>
      </w:r>
      <w:r w:rsidRPr="00F618D8">
        <w:rPr>
          <w:rFonts w:ascii="Arial" w:hAnsi="Arial" w:cs="Arial"/>
        </w:rPr>
        <w:t>making skills</w:t>
      </w:r>
      <w:r w:rsidR="00BC7B69" w:rsidRPr="00F618D8">
        <w:rPr>
          <w:rFonts w:ascii="Arial" w:hAnsi="Arial" w:cs="Arial"/>
        </w:rPr>
        <w:t xml:space="preserve"> </w:t>
      </w:r>
      <w:r w:rsidRPr="00F618D8">
        <w:rPr>
          <w:rFonts w:ascii="Arial" w:hAnsi="Arial" w:cs="Arial"/>
        </w:rPr>
        <w:t>and the notion that guardianship is contrary to what they are supposed to be accomplishing</w:t>
      </w:r>
      <w:r w:rsidR="00AA1F92" w:rsidRPr="00F618D8">
        <w:rPr>
          <w:rFonts w:ascii="Arial" w:hAnsi="Arial" w:cs="Arial"/>
        </w:rPr>
        <w:t xml:space="preserve">.” </w:t>
      </w:r>
    </w:p>
    <w:p w14:paraId="7637712A" w14:textId="77777777" w:rsidR="0070792D" w:rsidRPr="00F618D8" w:rsidRDefault="003E2407" w:rsidP="00610EEF">
      <w:pPr>
        <w:pStyle w:val="ListParagraph"/>
        <w:rPr>
          <w:rFonts w:ascii="Arial" w:hAnsi="Arial" w:cs="Arial"/>
        </w:rPr>
      </w:pPr>
      <w:bookmarkStart w:id="48" w:name="_Hlk5195252"/>
      <w:r w:rsidRPr="00F618D8">
        <w:rPr>
          <w:rFonts w:ascii="Arial" w:hAnsi="Arial" w:cs="Arial"/>
        </w:rPr>
        <w:t xml:space="preserve">A person with ID/DD </w:t>
      </w:r>
      <w:r w:rsidR="0070792D" w:rsidRPr="00F618D8">
        <w:rPr>
          <w:rFonts w:ascii="Arial" w:hAnsi="Arial" w:cs="Arial"/>
        </w:rPr>
        <w:t xml:space="preserve">in Virginia </w:t>
      </w:r>
      <w:r w:rsidRPr="00F618D8">
        <w:rPr>
          <w:rFonts w:ascii="Arial" w:hAnsi="Arial" w:cs="Arial"/>
        </w:rPr>
        <w:t>said guardianship happens “at 18 because schools tell parents they have to have guardianship to make school and IEP decisions for and with their child, when people assume someone like me, who doesn’t walk or talk, is stupid and needs to be put away and to make all the decisions about me for me</w:t>
      </w:r>
      <w:r w:rsidR="00AA1F92" w:rsidRPr="00F618D8">
        <w:rPr>
          <w:rFonts w:ascii="Arial" w:hAnsi="Arial" w:cs="Arial"/>
        </w:rPr>
        <w:t xml:space="preserve">.” </w:t>
      </w:r>
      <w:r w:rsidRPr="00F618D8">
        <w:rPr>
          <w:rFonts w:ascii="Arial" w:hAnsi="Arial" w:cs="Arial"/>
        </w:rPr>
        <w:t xml:space="preserve"> </w:t>
      </w:r>
    </w:p>
    <w:bookmarkEnd w:id="48"/>
    <w:p w14:paraId="47FD3D30" w14:textId="77777777" w:rsidR="0070792D" w:rsidRPr="00F618D8" w:rsidRDefault="0070792D" w:rsidP="00610EEF">
      <w:pPr>
        <w:pStyle w:val="ListParagraph"/>
        <w:rPr>
          <w:rFonts w:ascii="Arial" w:hAnsi="Arial" w:cs="Arial"/>
        </w:rPr>
      </w:pPr>
      <w:r w:rsidRPr="00F618D8">
        <w:rPr>
          <w:rFonts w:ascii="Arial" w:hAnsi="Arial" w:cs="Arial"/>
        </w:rPr>
        <w:t xml:space="preserve">A family member from Kentucky said: </w:t>
      </w:r>
      <w:r w:rsidR="009509CB" w:rsidRPr="00F618D8">
        <w:rPr>
          <w:rFonts w:ascii="Arial" w:hAnsi="Arial" w:cs="Arial"/>
        </w:rPr>
        <w:t>“</w:t>
      </w:r>
      <w:r w:rsidRPr="00F618D8">
        <w:rPr>
          <w:rFonts w:ascii="Arial" w:hAnsi="Arial" w:cs="Arial"/>
          <w:szCs w:val="24"/>
        </w:rPr>
        <w:t>In my family's experience, we were prompted to begin the process [of obtaining guardianship] during his special education case conference meetings while he was still in high school</w:t>
      </w:r>
      <w:r w:rsidR="00AA1F92" w:rsidRPr="00F618D8">
        <w:rPr>
          <w:rFonts w:ascii="Arial" w:hAnsi="Arial" w:cs="Arial"/>
          <w:szCs w:val="24"/>
        </w:rPr>
        <w:t xml:space="preserve">. </w:t>
      </w:r>
      <w:r w:rsidRPr="00F618D8">
        <w:rPr>
          <w:rFonts w:ascii="Arial" w:hAnsi="Arial" w:cs="Arial"/>
          <w:szCs w:val="24"/>
        </w:rPr>
        <w:t>The school was not terribly helpful in informing us of the process, but did provide resources for where to go for more information.”</w:t>
      </w:r>
    </w:p>
    <w:p w14:paraId="592127B0" w14:textId="77777777" w:rsidR="0070792D" w:rsidRPr="00F618D8" w:rsidRDefault="0070792D" w:rsidP="00610EEF">
      <w:pPr>
        <w:pStyle w:val="ListParagraph"/>
        <w:rPr>
          <w:rFonts w:ascii="Arial" w:hAnsi="Arial" w:cs="Arial"/>
        </w:rPr>
      </w:pPr>
      <w:r w:rsidRPr="00F618D8">
        <w:rPr>
          <w:rFonts w:ascii="Arial" w:hAnsi="Arial" w:cs="Arial"/>
        </w:rPr>
        <w:lastRenderedPageBreak/>
        <w:t xml:space="preserve">A Missouri family member reported: “It </w:t>
      </w:r>
      <w:r w:rsidRPr="00F618D8">
        <w:rPr>
          <w:rFonts w:ascii="Arial" w:hAnsi="Arial" w:cs="Arial"/>
          <w:szCs w:val="24"/>
        </w:rPr>
        <w:t xml:space="preserve">was recommended at my son's </w:t>
      </w:r>
      <w:r w:rsidR="009509CB" w:rsidRPr="00F618D8">
        <w:rPr>
          <w:rFonts w:ascii="Arial" w:hAnsi="Arial" w:cs="Arial"/>
          <w:szCs w:val="24"/>
        </w:rPr>
        <w:t>eighteenth</w:t>
      </w:r>
      <w:r w:rsidRPr="00F618D8">
        <w:rPr>
          <w:rFonts w:ascii="Arial" w:hAnsi="Arial" w:cs="Arial"/>
          <w:szCs w:val="24"/>
        </w:rPr>
        <w:t xml:space="preserve"> birthday by the school officials that I file for guardianship.”</w:t>
      </w:r>
    </w:p>
    <w:p w14:paraId="67FC6F30" w14:textId="77777777" w:rsidR="006D57CE" w:rsidRPr="00F618D8" w:rsidRDefault="006D57CE" w:rsidP="00610EEF">
      <w:pPr>
        <w:pStyle w:val="ParaNoIndent"/>
        <w:rPr>
          <w:rFonts w:ascii="Arial" w:hAnsi="Arial"/>
        </w:rPr>
      </w:pPr>
      <w:r w:rsidRPr="00F618D8">
        <w:rPr>
          <w:rFonts w:ascii="Arial" w:hAnsi="Arial"/>
        </w:rPr>
        <w:t xml:space="preserve">Many stakeholders </w:t>
      </w:r>
      <w:r w:rsidR="0070792D" w:rsidRPr="00F618D8">
        <w:rPr>
          <w:rFonts w:ascii="Arial" w:hAnsi="Arial"/>
        </w:rPr>
        <w:t xml:space="preserve">also </w:t>
      </w:r>
      <w:r w:rsidRPr="00F618D8">
        <w:rPr>
          <w:rFonts w:ascii="Arial" w:hAnsi="Arial"/>
        </w:rPr>
        <w:t>re</w:t>
      </w:r>
      <w:r w:rsidR="0070792D" w:rsidRPr="00F618D8">
        <w:rPr>
          <w:rFonts w:ascii="Arial" w:hAnsi="Arial"/>
        </w:rPr>
        <w:t>ferenced the lack of information on alternatives to guardianship provided by schools</w:t>
      </w:r>
      <w:r w:rsidR="00CD6D96" w:rsidRPr="00F618D8">
        <w:rPr>
          <w:rFonts w:ascii="Arial" w:hAnsi="Arial"/>
        </w:rPr>
        <w:t xml:space="preserve"> and its impact</w:t>
      </w:r>
      <w:r w:rsidR="00AA1F92" w:rsidRPr="00F618D8">
        <w:rPr>
          <w:rFonts w:ascii="Arial" w:hAnsi="Arial"/>
        </w:rPr>
        <w:t xml:space="preserve">. </w:t>
      </w:r>
      <w:r w:rsidR="0070792D" w:rsidRPr="00F618D8">
        <w:rPr>
          <w:rFonts w:ascii="Arial" w:hAnsi="Arial"/>
        </w:rPr>
        <w:t>For example:</w:t>
      </w:r>
    </w:p>
    <w:p w14:paraId="5A4285FD" w14:textId="77777777" w:rsidR="006D57CE" w:rsidRPr="00F618D8" w:rsidRDefault="006D57CE" w:rsidP="00610EEF">
      <w:pPr>
        <w:pStyle w:val="ListParagraph"/>
        <w:rPr>
          <w:rFonts w:ascii="Arial" w:hAnsi="Arial" w:cs="Arial"/>
        </w:rPr>
      </w:pPr>
      <w:r w:rsidRPr="00F618D8">
        <w:rPr>
          <w:rFonts w:ascii="Arial" w:hAnsi="Arial" w:cs="Arial"/>
        </w:rPr>
        <w:t xml:space="preserve">A family member </w:t>
      </w:r>
      <w:r w:rsidR="00CD6D96" w:rsidRPr="00F618D8">
        <w:rPr>
          <w:rFonts w:ascii="Arial" w:hAnsi="Arial" w:cs="Arial"/>
        </w:rPr>
        <w:t xml:space="preserve">reported: </w:t>
      </w:r>
      <w:r w:rsidRPr="00F618D8">
        <w:rPr>
          <w:rFonts w:ascii="Arial" w:hAnsi="Arial" w:cs="Arial"/>
        </w:rPr>
        <w:t>“Forms of limited guardianship were not discussed</w:t>
      </w:r>
      <w:r w:rsidR="0070792D" w:rsidRPr="00F618D8">
        <w:rPr>
          <w:rFonts w:ascii="Arial" w:hAnsi="Arial" w:cs="Arial"/>
        </w:rPr>
        <w:t xml:space="preserve"> [in IEP team meetings]</w:t>
      </w:r>
      <w:r w:rsidRPr="00F618D8">
        <w:rPr>
          <w:rFonts w:ascii="Arial" w:hAnsi="Arial" w:cs="Arial"/>
        </w:rPr>
        <w:t xml:space="preserve">, as it was assumed my brother </w:t>
      </w:r>
      <w:r w:rsidR="00A07355" w:rsidRPr="00F618D8">
        <w:rPr>
          <w:rFonts w:ascii="Arial" w:hAnsi="Arial" w:cs="Arial"/>
        </w:rPr>
        <w:t xml:space="preserve">[with ID/DD] </w:t>
      </w:r>
      <w:r w:rsidRPr="00F618D8">
        <w:rPr>
          <w:rFonts w:ascii="Arial" w:hAnsi="Arial" w:cs="Arial"/>
        </w:rPr>
        <w:t xml:space="preserve">would require plenary guardianship.” </w:t>
      </w:r>
    </w:p>
    <w:p w14:paraId="451B16EC" w14:textId="77777777" w:rsidR="006D57CE" w:rsidRPr="00F618D8" w:rsidRDefault="006D57CE" w:rsidP="00610EEF">
      <w:pPr>
        <w:pStyle w:val="ListParagraph"/>
        <w:rPr>
          <w:rFonts w:ascii="Arial" w:hAnsi="Arial" w:cs="Arial"/>
        </w:rPr>
      </w:pPr>
      <w:r w:rsidRPr="00F618D8">
        <w:rPr>
          <w:rFonts w:ascii="Arial" w:hAnsi="Arial" w:cs="Arial"/>
        </w:rPr>
        <w:t xml:space="preserve"> A family member in Michigan responded: “Very, very little information [on this from schools]</w:t>
      </w:r>
      <w:r w:rsidR="00AA1F92" w:rsidRPr="00F618D8">
        <w:rPr>
          <w:rFonts w:ascii="Arial" w:hAnsi="Arial" w:cs="Arial"/>
        </w:rPr>
        <w:t xml:space="preserve">. </w:t>
      </w:r>
      <w:r w:rsidRPr="00F618D8">
        <w:rPr>
          <w:rFonts w:ascii="Arial" w:hAnsi="Arial" w:cs="Arial"/>
        </w:rPr>
        <w:t>Too often schools have told family members that a student with I</w:t>
      </w:r>
      <w:r w:rsidR="00734D81" w:rsidRPr="00F618D8">
        <w:rPr>
          <w:rFonts w:ascii="Arial" w:hAnsi="Arial" w:cs="Arial"/>
        </w:rPr>
        <w:t>[D]</w:t>
      </w:r>
      <w:r w:rsidRPr="00F618D8">
        <w:rPr>
          <w:rFonts w:ascii="Arial" w:hAnsi="Arial" w:cs="Arial"/>
        </w:rPr>
        <w:t>/DD must have a guardianship if they want a family member or friend to assist with one’s IEP when the student turns 18</w:t>
      </w:r>
      <w:r w:rsidR="00AA1F92" w:rsidRPr="00F618D8">
        <w:rPr>
          <w:rFonts w:ascii="Arial" w:hAnsi="Arial" w:cs="Arial"/>
        </w:rPr>
        <w:t xml:space="preserve">. </w:t>
      </w:r>
      <w:r w:rsidRPr="00F618D8">
        <w:rPr>
          <w:rFonts w:ascii="Arial" w:hAnsi="Arial" w:cs="Arial"/>
        </w:rPr>
        <w:t>School districts are terribly misinformed about guardianship or use this approach to limit families’ involvement in IEPs.”</w:t>
      </w:r>
    </w:p>
    <w:p w14:paraId="3B4B37AC" w14:textId="77777777" w:rsidR="0070792D" w:rsidRPr="00F618D8" w:rsidRDefault="006D57CE" w:rsidP="00610EEF">
      <w:pPr>
        <w:pStyle w:val="ListParagraph"/>
        <w:rPr>
          <w:rFonts w:ascii="Arial" w:hAnsi="Arial" w:cs="Arial"/>
        </w:rPr>
      </w:pPr>
      <w:r w:rsidRPr="00F618D8">
        <w:rPr>
          <w:rFonts w:ascii="Arial" w:hAnsi="Arial" w:cs="Arial"/>
        </w:rPr>
        <w:t>A guardian in Missouri responded: “The educators do not support alternatives to guardianship.”</w:t>
      </w:r>
      <w:r w:rsidR="0070792D" w:rsidRPr="00F618D8">
        <w:rPr>
          <w:rFonts w:ascii="Arial" w:hAnsi="Arial" w:cs="Arial"/>
        </w:rPr>
        <w:t xml:space="preserve"> </w:t>
      </w:r>
    </w:p>
    <w:p w14:paraId="4FA39674" w14:textId="77777777" w:rsidR="006D57CE" w:rsidRPr="00F618D8" w:rsidRDefault="006D57CE" w:rsidP="00610EEF">
      <w:pPr>
        <w:pStyle w:val="ListParagraph"/>
        <w:rPr>
          <w:rFonts w:ascii="Arial" w:hAnsi="Arial" w:cs="Arial"/>
        </w:rPr>
      </w:pPr>
      <w:r w:rsidRPr="00F618D8">
        <w:rPr>
          <w:rFonts w:ascii="Arial" w:hAnsi="Arial" w:cs="Arial"/>
        </w:rPr>
        <w:t>A lawyer in Indiana said: “There is no information available from the school</w:t>
      </w:r>
      <w:r w:rsidR="00AA1F92" w:rsidRPr="00F618D8">
        <w:rPr>
          <w:rFonts w:ascii="Arial" w:hAnsi="Arial" w:cs="Arial"/>
        </w:rPr>
        <w:t xml:space="preserve">. </w:t>
      </w:r>
      <w:r w:rsidRPr="00F618D8">
        <w:rPr>
          <w:rFonts w:ascii="Arial" w:hAnsi="Arial" w:cs="Arial"/>
        </w:rPr>
        <w:t xml:space="preserve">Our Protection </w:t>
      </w:r>
      <w:r w:rsidR="00182C54" w:rsidRPr="00F618D8">
        <w:rPr>
          <w:rFonts w:ascii="Arial" w:hAnsi="Arial" w:cs="Arial"/>
        </w:rPr>
        <w:t>and</w:t>
      </w:r>
      <w:r w:rsidRPr="00F618D8">
        <w:rPr>
          <w:rFonts w:ascii="Arial" w:hAnsi="Arial" w:cs="Arial"/>
        </w:rPr>
        <w:t xml:space="preserve"> Advocacy organization has a website and will do information presentations.” </w:t>
      </w:r>
    </w:p>
    <w:p w14:paraId="51CFB93B" w14:textId="77777777" w:rsidR="00915C9C" w:rsidRPr="00F618D8" w:rsidRDefault="0070792D" w:rsidP="00610EEF">
      <w:pPr>
        <w:pStyle w:val="Heading2"/>
        <w:rPr>
          <w:rFonts w:ascii="Arial" w:hAnsi="Arial" w:cs="Arial"/>
        </w:rPr>
      </w:pPr>
      <w:bookmarkStart w:id="49" w:name="_Toc10290957"/>
      <w:r w:rsidRPr="00F618D8">
        <w:rPr>
          <w:rFonts w:ascii="Arial" w:eastAsia="Arial" w:hAnsi="Arial" w:cs="Arial"/>
        </w:rPr>
        <w:t>Th</w:t>
      </w:r>
      <w:r w:rsidR="00915C9C" w:rsidRPr="00F618D8">
        <w:rPr>
          <w:rFonts w:ascii="Arial" w:hAnsi="Arial" w:cs="Arial"/>
        </w:rPr>
        <w:t>e Impact</w:t>
      </w:r>
      <w:r w:rsidR="006D57CE" w:rsidRPr="00F618D8">
        <w:rPr>
          <w:rFonts w:ascii="Arial" w:hAnsi="Arial" w:cs="Arial"/>
        </w:rPr>
        <w:t xml:space="preserve"> </w:t>
      </w:r>
      <w:r w:rsidR="0001092A" w:rsidRPr="00F618D8">
        <w:rPr>
          <w:rFonts w:ascii="Arial" w:hAnsi="Arial" w:cs="Arial"/>
        </w:rPr>
        <w:t>of the Pipeline and</w:t>
      </w:r>
      <w:r w:rsidR="00303A2F" w:rsidRPr="00F618D8">
        <w:rPr>
          <w:rFonts w:ascii="Arial" w:hAnsi="Arial" w:cs="Arial"/>
        </w:rPr>
        <w:t xml:space="preserve"> </w:t>
      </w:r>
      <w:r w:rsidR="006D57CE" w:rsidRPr="00F618D8">
        <w:rPr>
          <w:rFonts w:ascii="Arial" w:hAnsi="Arial" w:cs="Arial"/>
        </w:rPr>
        <w:t>U.S. Policy Implications</w:t>
      </w:r>
      <w:bookmarkEnd w:id="49"/>
    </w:p>
    <w:p w14:paraId="2901E527" w14:textId="77777777" w:rsidR="00CC4D96" w:rsidRPr="00F618D8" w:rsidRDefault="00622713" w:rsidP="00610EEF">
      <w:pPr>
        <w:pStyle w:val="ParaNoIndent"/>
        <w:rPr>
          <w:rFonts w:ascii="Arial" w:eastAsia="Times New Roman" w:hAnsi="Arial"/>
        </w:rPr>
      </w:pPr>
      <w:r w:rsidRPr="00F618D8">
        <w:rPr>
          <w:rFonts w:ascii="Arial" w:hAnsi="Arial"/>
        </w:rPr>
        <w:t xml:space="preserve">Youth with ID/DD are ultimately disempowered by </w:t>
      </w:r>
      <w:r w:rsidR="006D57CE" w:rsidRPr="00F618D8">
        <w:rPr>
          <w:rFonts w:ascii="Arial" w:hAnsi="Arial"/>
        </w:rPr>
        <w:t>schools actively encouraging guardianship to the exclusion of less-restrictive alternatives</w:t>
      </w:r>
      <w:r w:rsidRPr="00F618D8">
        <w:rPr>
          <w:rFonts w:ascii="Arial" w:hAnsi="Arial"/>
        </w:rPr>
        <w:t>, and</w:t>
      </w:r>
      <w:r w:rsidR="006D57CE" w:rsidRPr="00F618D8">
        <w:rPr>
          <w:rFonts w:ascii="Arial" w:hAnsi="Arial"/>
        </w:rPr>
        <w:t xml:space="preserve"> not providing families and students in special education with sufficient information </w:t>
      </w:r>
      <w:r w:rsidRPr="00F618D8">
        <w:rPr>
          <w:rFonts w:ascii="Arial" w:hAnsi="Arial"/>
        </w:rPr>
        <w:t xml:space="preserve">about </w:t>
      </w:r>
      <w:r w:rsidR="006D57CE" w:rsidRPr="00F618D8">
        <w:rPr>
          <w:rFonts w:ascii="Arial" w:hAnsi="Arial"/>
        </w:rPr>
        <w:t xml:space="preserve">the </w:t>
      </w:r>
      <w:r w:rsidR="00F55722" w:rsidRPr="00F618D8">
        <w:rPr>
          <w:rFonts w:ascii="Arial" w:hAnsi="Arial"/>
        </w:rPr>
        <w:t xml:space="preserve">availability of a </w:t>
      </w:r>
      <w:r w:rsidR="006D57CE" w:rsidRPr="00F618D8">
        <w:rPr>
          <w:rFonts w:ascii="Arial" w:hAnsi="Arial"/>
        </w:rPr>
        <w:t>full continuum of decision-making supports</w:t>
      </w:r>
      <w:r w:rsidR="00AA1F92" w:rsidRPr="00F618D8">
        <w:rPr>
          <w:rFonts w:ascii="Arial" w:hAnsi="Arial"/>
        </w:rPr>
        <w:t xml:space="preserve">. </w:t>
      </w:r>
      <w:r w:rsidR="00931ACE" w:rsidRPr="00F618D8">
        <w:rPr>
          <w:rFonts w:ascii="Arial" w:hAnsi="Arial"/>
        </w:rPr>
        <w:t>R</w:t>
      </w:r>
      <w:r w:rsidR="00CC4D96" w:rsidRPr="00F618D8">
        <w:rPr>
          <w:rFonts w:ascii="Arial" w:hAnsi="Arial"/>
        </w:rPr>
        <w:t xml:space="preserve">esearch has found </w:t>
      </w:r>
      <w:r w:rsidR="00931ACE" w:rsidRPr="00F618D8">
        <w:rPr>
          <w:rFonts w:ascii="Arial" w:hAnsi="Arial"/>
        </w:rPr>
        <w:t xml:space="preserve">reduced self-determination </w:t>
      </w:r>
      <w:r w:rsidR="00CC4D96" w:rsidRPr="00F618D8">
        <w:rPr>
          <w:rFonts w:ascii="Arial" w:hAnsi="Arial"/>
        </w:rPr>
        <w:t>can lead to diminished quality of life outcomes and reduced community integration and participation</w:t>
      </w:r>
      <w:r w:rsidR="0070792D" w:rsidRPr="00F618D8">
        <w:rPr>
          <w:rFonts w:ascii="Arial" w:hAnsi="Arial"/>
        </w:rPr>
        <w:t>.</w:t>
      </w:r>
      <w:r w:rsidR="0070792D" w:rsidRPr="00F618D8">
        <w:rPr>
          <w:rStyle w:val="EndnoteReference"/>
          <w:rFonts w:ascii="Arial" w:hAnsi="Arial"/>
          <w:szCs w:val="24"/>
        </w:rPr>
        <w:endnoteReference w:id="48"/>
      </w:r>
      <w:r w:rsidR="00CC4D96" w:rsidRPr="00F618D8">
        <w:rPr>
          <w:rFonts w:ascii="Arial" w:hAnsi="Arial"/>
          <w:spacing w:val="-1"/>
        </w:rPr>
        <w:t xml:space="preserve"> </w:t>
      </w:r>
      <w:bookmarkStart w:id="50" w:name="_Hlk5197381"/>
      <w:r w:rsidR="00CC4D96" w:rsidRPr="00F618D8">
        <w:rPr>
          <w:rFonts w:ascii="Arial" w:eastAsia="Times New Roman" w:hAnsi="Arial"/>
        </w:rPr>
        <w:t>For young adults with ID/DD, guardianship may be an obstacle to the development of self-determination skills neces</w:t>
      </w:r>
      <w:r w:rsidR="0070792D" w:rsidRPr="00F618D8">
        <w:rPr>
          <w:rFonts w:ascii="Arial" w:eastAsia="Times New Roman" w:hAnsi="Arial"/>
        </w:rPr>
        <w:t xml:space="preserve">sary for life after high school, </w:t>
      </w:r>
      <w:r w:rsidR="00FA322A" w:rsidRPr="00F618D8">
        <w:rPr>
          <w:rFonts w:ascii="Arial" w:eastAsia="Times New Roman" w:hAnsi="Arial"/>
        </w:rPr>
        <w:t>such as critical thinking, self-advocacy, and knowledge of one’s own skills, interests, strengths, and weakne</w:t>
      </w:r>
      <w:r w:rsidR="0070792D" w:rsidRPr="00F618D8">
        <w:rPr>
          <w:rFonts w:ascii="Arial" w:eastAsia="Times New Roman" w:hAnsi="Arial"/>
        </w:rPr>
        <w:t>sses.</w:t>
      </w:r>
      <w:bookmarkEnd w:id="50"/>
      <w:r w:rsidR="0070792D" w:rsidRPr="00F618D8">
        <w:rPr>
          <w:rStyle w:val="EndnoteReference"/>
          <w:rFonts w:ascii="Arial" w:eastAsia="Times New Roman" w:hAnsi="Arial"/>
          <w:szCs w:val="24"/>
        </w:rPr>
        <w:endnoteReference w:id="49"/>
      </w:r>
      <w:r w:rsidR="0070792D" w:rsidRPr="00F618D8">
        <w:rPr>
          <w:rFonts w:ascii="Arial" w:eastAsia="Times New Roman" w:hAnsi="Arial"/>
        </w:rPr>
        <w:t xml:space="preserve">  </w:t>
      </w:r>
      <w:r w:rsidR="006D57CE" w:rsidRPr="00F618D8">
        <w:rPr>
          <w:rFonts w:ascii="Arial" w:eastAsia="Times New Roman" w:hAnsi="Arial"/>
        </w:rPr>
        <w:t xml:space="preserve">Studies have found that students </w:t>
      </w:r>
      <w:r w:rsidR="006D57CE" w:rsidRPr="00F618D8">
        <w:rPr>
          <w:rFonts w:ascii="Arial" w:eastAsia="MS PGothic" w:hAnsi="Arial"/>
          <w:kern w:val="24"/>
        </w:rPr>
        <w:t xml:space="preserve">who have self-determination skills are </w:t>
      </w:r>
      <w:r w:rsidR="006D57CE" w:rsidRPr="00F618D8">
        <w:rPr>
          <w:rFonts w:ascii="Arial" w:eastAsia="MS PGothic" w:hAnsi="Arial"/>
          <w:bCs/>
          <w:kern w:val="24"/>
        </w:rPr>
        <w:t>more likely to successfully make the transition to adulthood</w:t>
      </w:r>
      <w:r w:rsidR="006D57CE" w:rsidRPr="00F618D8">
        <w:rPr>
          <w:rFonts w:ascii="Arial" w:eastAsia="MS PGothic" w:hAnsi="Arial"/>
          <w:kern w:val="24"/>
        </w:rPr>
        <w:t>, including improved education, employment, and independent living outcomes.</w:t>
      </w:r>
      <w:r w:rsidR="006D57CE" w:rsidRPr="00F618D8">
        <w:rPr>
          <w:rFonts w:ascii="Arial" w:eastAsia="MS PGothic" w:hAnsi="Arial"/>
          <w:kern w:val="24"/>
          <w:vertAlign w:val="superscript"/>
        </w:rPr>
        <w:endnoteReference w:id="50"/>
      </w:r>
      <w:r w:rsidR="006D57CE" w:rsidRPr="00F618D8">
        <w:rPr>
          <w:rFonts w:ascii="Arial" w:eastAsia="MS PGothic" w:hAnsi="Arial"/>
          <w:kern w:val="24"/>
        </w:rPr>
        <w:t xml:space="preserve"> </w:t>
      </w:r>
      <w:r w:rsidR="00CC4D96" w:rsidRPr="00F618D8">
        <w:rPr>
          <w:rFonts w:ascii="Arial" w:eastAsia="Times New Roman" w:hAnsi="Arial"/>
        </w:rPr>
        <w:t xml:space="preserve">Studies </w:t>
      </w:r>
      <w:r w:rsidR="004E2A25" w:rsidRPr="00F618D8">
        <w:rPr>
          <w:rFonts w:ascii="Arial" w:eastAsia="Times New Roman" w:hAnsi="Arial"/>
        </w:rPr>
        <w:t xml:space="preserve">also </w:t>
      </w:r>
      <w:r w:rsidR="00CC4D96" w:rsidRPr="00F618D8">
        <w:rPr>
          <w:rFonts w:ascii="Arial" w:eastAsia="Times New Roman" w:hAnsi="Arial"/>
        </w:rPr>
        <w:t xml:space="preserve">have found that the appointment of a guardian for a young adult with ID/DD did not </w:t>
      </w:r>
      <w:r w:rsidR="00CC4D96" w:rsidRPr="00F618D8">
        <w:rPr>
          <w:rFonts w:ascii="Arial" w:eastAsia="Times New Roman" w:hAnsi="Arial"/>
        </w:rPr>
        <w:lastRenderedPageBreak/>
        <w:t>necessarily resolve the areas of concern prompting it and, in some cases, the young adult under guardianship would have done just as well, if</w:t>
      </w:r>
      <w:r w:rsidR="0070792D" w:rsidRPr="00F618D8">
        <w:rPr>
          <w:rFonts w:ascii="Arial" w:eastAsia="Times New Roman" w:hAnsi="Arial"/>
        </w:rPr>
        <w:t xml:space="preserve"> not better, without a guardian.</w:t>
      </w:r>
      <w:r w:rsidR="0070792D" w:rsidRPr="00F618D8">
        <w:rPr>
          <w:rStyle w:val="EndnoteReference"/>
          <w:rFonts w:ascii="Arial" w:eastAsia="Times New Roman" w:hAnsi="Arial"/>
          <w:szCs w:val="24"/>
        </w:rPr>
        <w:endnoteReference w:id="51"/>
      </w:r>
      <w:r w:rsidR="0070792D" w:rsidRPr="00F618D8">
        <w:rPr>
          <w:rFonts w:ascii="Arial" w:eastAsia="Times New Roman" w:hAnsi="Arial"/>
        </w:rPr>
        <w:t xml:space="preserve"> The guardianship often appeared to have benefited the guardian, rather than the person under guardianship.</w:t>
      </w:r>
      <w:r w:rsidR="0070792D" w:rsidRPr="00F618D8">
        <w:rPr>
          <w:rFonts w:ascii="Arial" w:eastAsia="Times New Roman" w:hAnsi="Arial"/>
          <w:vertAlign w:val="superscript"/>
        </w:rPr>
        <w:endnoteReference w:id="52"/>
      </w:r>
    </w:p>
    <w:p w14:paraId="48C0BF0B" w14:textId="77777777" w:rsidR="001A27F6" w:rsidRPr="00F618D8" w:rsidRDefault="006D57CE" w:rsidP="00610EEF">
      <w:pPr>
        <w:pStyle w:val="ParaNoIndent"/>
        <w:rPr>
          <w:rFonts w:ascii="Arial" w:hAnsi="Arial"/>
        </w:rPr>
      </w:pPr>
      <w:r w:rsidRPr="00F618D8">
        <w:rPr>
          <w:rFonts w:ascii="Arial" w:hAnsi="Arial"/>
        </w:rPr>
        <w:t>The U.S. policy impl</w:t>
      </w:r>
      <w:r w:rsidR="001A27F6" w:rsidRPr="00F618D8">
        <w:rPr>
          <w:rFonts w:ascii="Arial" w:hAnsi="Arial"/>
        </w:rPr>
        <w:t>ications of the school-to-</w:t>
      </w:r>
      <w:r w:rsidRPr="00F618D8">
        <w:rPr>
          <w:rFonts w:ascii="Arial" w:hAnsi="Arial"/>
        </w:rPr>
        <w:t>guardianship pipeline are also troubling</w:t>
      </w:r>
      <w:r w:rsidR="00AA1F92" w:rsidRPr="00F618D8">
        <w:rPr>
          <w:rFonts w:ascii="Arial" w:hAnsi="Arial"/>
        </w:rPr>
        <w:t xml:space="preserve">. </w:t>
      </w:r>
      <w:r w:rsidRPr="00F618D8">
        <w:rPr>
          <w:rFonts w:ascii="Arial" w:hAnsi="Arial"/>
        </w:rPr>
        <w:t xml:space="preserve">There are strong arguments to be made that it runs contrary to </w:t>
      </w:r>
      <w:r w:rsidR="0070792D" w:rsidRPr="00F618D8">
        <w:rPr>
          <w:rFonts w:ascii="Arial" w:hAnsi="Arial"/>
        </w:rPr>
        <w:t>important civil rights laws impacting people with ID/DD</w:t>
      </w:r>
      <w:r w:rsidR="00AA1F92" w:rsidRPr="00F618D8">
        <w:rPr>
          <w:rFonts w:ascii="Arial" w:hAnsi="Arial"/>
        </w:rPr>
        <w:t xml:space="preserve">. </w:t>
      </w:r>
      <w:r w:rsidR="00CD6D96" w:rsidRPr="00F618D8">
        <w:rPr>
          <w:rFonts w:ascii="Arial" w:hAnsi="Arial"/>
        </w:rPr>
        <w:t>As the 2018 NCD report found, g</w:t>
      </w:r>
      <w:r w:rsidR="001A27F6" w:rsidRPr="00F618D8">
        <w:rPr>
          <w:rFonts w:ascii="Arial" w:hAnsi="Arial"/>
        </w:rPr>
        <w:t>uardianship must be seen as subject to the Americans with Disabilities Act</w:t>
      </w:r>
      <w:r w:rsidR="00734D81" w:rsidRPr="00F618D8">
        <w:rPr>
          <w:rFonts w:ascii="Arial" w:hAnsi="Arial"/>
        </w:rPr>
        <w:t xml:space="preserve"> (ADA)</w:t>
      </w:r>
      <w:r w:rsidR="001A27F6" w:rsidRPr="00F618D8">
        <w:rPr>
          <w:rFonts w:ascii="Arial" w:hAnsi="Arial"/>
        </w:rPr>
        <w:t>,</w:t>
      </w:r>
      <w:r w:rsidR="001A27F6" w:rsidRPr="00F618D8">
        <w:rPr>
          <w:rStyle w:val="EndnoteReference"/>
          <w:rFonts w:ascii="Arial" w:hAnsi="Arial"/>
          <w:szCs w:val="24"/>
        </w:rPr>
        <w:endnoteReference w:id="53"/>
      </w:r>
      <w:r w:rsidR="001A27F6" w:rsidRPr="00F618D8">
        <w:rPr>
          <w:rFonts w:ascii="Arial" w:hAnsi="Arial"/>
        </w:rPr>
        <w:t xml:space="preserve"> which has been interpreted by</w:t>
      </w:r>
      <w:r w:rsidR="00734D81" w:rsidRPr="00F618D8">
        <w:rPr>
          <w:rFonts w:ascii="Arial" w:hAnsi="Arial"/>
        </w:rPr>
        <w:t xml:space="preserve"> the</w:t>
      </w:r>
      <w:r w:rsidR="001A27F6" w:rsidRPr="00F618D8">
        <w:rPr>
          <w:rFonts w:ascii="Arial" w:hAnsi="Arial"/>
        </w:rPr>
        <w:t xml:space="preserve"> U.S. Supreme Court in the 1999 </w:t>
      </w:r>
      <w:r w:rsidR="001A27F6" w:rsidRPr="00F618D8">
        <w:rPr>
          <w:rFonts w:ascii="Arial" w:hAnsi="Arial"/>
          <w:i/>
        </w:rPr>
        <w:t xml:space="preserve">Olmstead </w:t>
      </w:r>
      <w:r w:rsidR="001A27F6" w:rsidRPr="00F618D8">
        <w:rPr>
          <w:rFonts w:ascii="Arial" w:hAnsi="Arial"/>
        </w:rPr>
        <w:t>decision</w:t>
      </w:r>
      <w:r w:rsidR="001A27F6" w:rsidRPr="00F618D8">
        <w:rPr>
          <w:rFonts w:ascii="Arial" w:hAnsi="Arial"/>
          <w:spacing w:val="-3"/>
          <w:vertAlign w:val="superscript"/>
        </w:rPr>
        <w:endnoteReference w:id="54"/>
      </w:r>
      <w:r w:rsidR="001A27F6" w:rsidRPr="00F618D8">
        <w:rPr>
          <w:rFonts w:ascii="Arial" w:hAnsi="Arial"/>
          <w:spacing w:val="-3"/>
        </w:rPr>
        <w:t xml:space="preserve"> </w:t>
      </w:r>
      <w:r w:rsidR="001A27F6" w:rsidRPr="00F618D8">
        <w:rPr>
          <w:rFonts w:ascii="Arial" w:hAnsi="Arial"/>
        </w:rPr>
        <w:t>to give rise to an obligation to provide services to people in the least restrictive environment that will meet their needs</w:t>
      </w:r>
      <w:r w:rsidR="00AA1F92" w:rsidRPr="00F618D8">
        <w:rPr>
          <w:rFonts w:ascii="Arial" w:hAnsi="Arial"/>
        </w:rPr>
        <w:t xml:space="preserve">. </w:t>
      </w:r>
      <w:bookmarkStart w:id="51" w:name="_Hlk5197468"/>
      <w:bookmarkStart w:id="52" w:name="_Hlk5197508"/>
      <w:r w:rsidR="001A27F6" w:rsidRPr="00F618D8">
        <w:rPr>
          <w:rFonts w:ascii="Arial" w:hAnsi="Arial"/>
        </w:rPr>
        <w:t xml:space="preserve">If state’s educational systems </w:t>
      </w:r>
      <w:bookmarkEnd w:id="51"/>
      <w:r w:rsidR="001A27F6" w:rsidRPr="00F618D8">
        <w:rPr>
          <w:rFonts w:ascii="Arial" w:hAnsi="Arial"/>
        </w:rPr>
        <w:t>are promoting guardianship without appropriate consideration of less restrictive alternatives, including supported decision-making, they are arguably violating the ADA</w:t>
      </w:r>
      <w:r w:rsidR="001A27F6" w:rsidRPr="00F618D8">
        <w:rPr>
          <w:rFonts w:ascii="Arial" w:hAnsi="Arial"/>
          <w:vertAlign w:val="superscript"/>
        </w:rPr>
        <w:endnoteReference w:id="55"/>
      </w:r>
      <w:r w:rsidR="001A27F6" w:rsidRPr="00F618D8">
        <w:rPr>
          <w:rFonts w:ascii="Arial" w:hAnsi="Arial"/>
        </w:rPr>
        <w:t xml:space="preserve"> and promoting outcomes that run contrary to the </w:t>
      </w:r>
      <w:r w:rsidR="001A27F6" w:rsidRPr="00F618D8">
        <w:rPr>
          <w:rFonts w:ascii="Arial" w:hAnsi="Arial"/>
          <w:i/>
        </w:rPr>
        <w:t xml:space="preserve">Olmstead </w:t>
      </w:r>
      <w:r w:rsidR="001A27F6" w:rsidRPr="00F618D8">
        <w:rPr>
          <w:rFonts w:ascii="Arial" w:hAnsi="Arial"/>
        </w:rPr>
        <w:t>community integration mandate</w:t>
      </w:r>
      <w:bookmarkEnd w:id="52"/>
      <w:r w:rsidR="00AA1F92" w:rsidRPr="00F618D8">
        <w:rPr>
          <w:rFonts w:ascii="Arial" w:hAnsi="Arial"/>
        </w:rPr>
        <w:t xml:space="preserve">. </w:t>
      </w:r>
      <w:r w:rsidR="001A27F6" w:rsidRPr="00F618D8">
        <w:rPr>
          <w:rFonts w:ascii="Arial" w:hAnsi="Arial"/>
        </w:rPr>
        <w:t xml:space="preserve">As one </w:t>
      </w:r>
      <w:r w:rsidR="009F790B" w:rsidRPr="00F618D8">
        <w:rPr>
          <w:rFonts w:ascii="Arial" w:hAnsi="Arial"/>
        </w:rPr>
        <w:t xml:space="preserve">interviewee </w:t>
      </w:r>
      <w:r w:rsidR="001A27F6" w:rsidRPr="00F618D8">
        <w:rPr>
          <w:rFonts w:ascii="Arial" w:hAnsi="Arial"/>
        </w:rPr>
        <w:t>stated: “By definition, if you are not the person making decisions, your ability to be a real member of the community [is] smaller</w:t>
      </w:r>
      <w:r w:rsidR="00AA1F92" w:rsidRPr="00F618D8">
        <w:rPr>
          <w:rFonts w:ascii="Arial" w:hAnsi="Arial"/>
        </w:rPr>
        <w:t xml:space="preserve">.” </w:t>
      </w:r>
    </w:p>
    <w:p w14:paraId="256DD37A" w14:textId="77777777" w:rsidR="0070792D" w:rsidRPr="00F618D8" w:rsidRDefault="00CD6D96" w:rsidP="00610EEF">
      <w:pPr>
        <w:pStyle w:val="ParaNoIndent"/>
        <w:rPr>
          <w:rFonts w:ascii="Arial" w:hAnsi="Arial"/>
        </w:rPr>
      </w:pPr>
      <w:r w:rsidRPr="00F618D8">
        <w:rPr>
          <w:rFonts w:ascii="Arial" w:hAnsi="Arial"/>
        </w:rPr>
        <w:t>In addition, w</w:t>
      </w:r>
      <w:r w:rsidR="0070792D" w:rsidRPr="00F618D8">
        <w:rPr>
          <w:rFonts w:ascii="Arial" w:hAnsi="Arial"/>
        </w:rPr>
        <w:t>hile there may be “traces of guardianship”</w:t>
      </w:r>
      <w:r w:rsidR="0070792D" w:rsidRPr="00F618D8">
        <w:rPr>
          <w:rFonts w:ascii="Arial" w:hAnsi="Arial"/>
          <w:vertAlign w:val="superscript"/>
        </w:rPr>
        <w:endnoteReference w:id="56"/>
      </w:r>
      <w:r w:rsidR="0070792D" w:rsidRPr="00F618D8">
        <w:rPr>
          <w:rFonts w:ascii="Arial" w:hAnsi="Arial"/>
        </w:rPr>
        <w:t xml:space="preserve"> found within it, the IDEA also </w:t>
      </w:r>
      <w:r w:rsidR="006D57CE" w:rsidRPr="00F618D8">
        <w:rPr>
          <w:rFonts w:ascii="Arial" w:hAnsi="Arial"/>
        </w:rPr>
        <w:t>mandates individualized transition planning for qualified students with disabilities to increase the likelihood of post-school employment and/or education.</w:t>
      </w:r>
      <w:r w:rsidR="006D57CE" w:rsidRPr="00F618D8">
        <w:rPr>
          <w:rFonts w:ascii="Arial" w:hAnsi="Arial"/>
          <w:vertAlign w:val="superscript"/>
        </w:rPr>
        <w:endnoteReference w:id="57"/>
      </w:r>
      <w:r w:rsidR="006D57CE" w:rsidRPr="00F618D8">
        <w:rPr>
          <w:rFonts w:ascii="Arial" w:hAnsi="Arial"/>
        </w:rPr>
        <w:t xml:space="preserve"> Transition planning outcomes should be tailored to students and their individual preferences, needs, and strengths, so they should contribute actively to the decision-making and planning process.</w:t>
      </w:r>
      <w:r w:rsidR="006D57CE" w:rsidRPr="00F618D8">
        <w:rPr>
          <w:rFonts w:ascii="Arial" w:hAnsi="Arial"/>
          <w:vertAlign w:val="superscript"/>
        </w:rPr>
        <w:endnoteReference w:id="58"/>
      </w:r>
      <w:r w:rsidR="006D57CE" w:rsidRPr="00F618D8">
        <w:rPr>
          <w:rFonts w:ascii="Arial" w:hAnsi="Arial"/>
        </w:rPr>
        <w:t xml:space="preserve"> With that in mind, </w:t>
      </w:r>
      <w:r w:rsidR="009F790B" w:rsidRPr="00F618D8">
        <w:rPr>
          <w:rFonts w:ascii="Arial" w:hAnsi="Arial"/>
        </w:rPr>
        <w:t xml:space="preserve">some scholars have suggested that </w:t>
      </w:r>
      <w:bookmarkStart w:id="53" w:name="_Hlk5197683"/>
      <w:r w:rsidR="006D57CE" w:rsidRPr="00F618D8">
        <w:rPr>
          <w:rFonts w:ascii="Arial" w:hAnsi="Arial"/>
        </w:rPr>
        <w:t>“[t]he goals of transition planning, which focus on autonomy and independence, appear to be in direct conflict with the goal of guardianship, which is to facilitate the individual’s dependence on another person’s authority to make all or some of their decisions.”</w:t>
      </w:r>
      <w:bookmarkEnd w:id="53"/>
      <w:r w:rsidR="006D57CE" w:rsidRPr="00F618D8">
        <w:rPr>
          <w:rFonts w:ascii="Arial" w:hAnsi="Arial"/>
          <w:vertAlign w:val="superscript"/>
        </w:rPr>
        <w:endnoteReference w:id="59"/>
      </w:r>
      <w:r w:rsidR="006D57CE" w:rsidRPr="00F618D8">
        <w:rPr>
          <w:rFonts w:ascii="Arial" w:hAnsi="Arial"/>
        </w:rPr>
        <w:t xml:space="preserve"> As one team of researchers </w:t>
      </w:r>
      <w:r w:rsidR="004D11AA" w:rsidRPr="00F618D8">
        <w:rPr>
          <w:rFonts w:ascii="Arial" w:hAnsi="Arial"/>
        </w:rPr>
        <w:t xml:space="preserve">observed, </w:t>
      </w:r>
      <w:r w:rsidR="006D57CE" w:rsidRPr="00F618D8">
        <w:rPr>
          <w:rFonts w:ascii="Arial" w:hAnsi="Arial"/>
        </w:rPr>
        <w:t>guardianship can work against the goals of transition planning, because it has broad implications regarding the loss of fundamental rights and personal liberty.</w:t>
      </w:r>
      <w:r w:rsidR="006D57CE" w:rsidRPr="00F618D8">
        <w:rPr>
          <w:rFonts w:ascii="Arial" w:hAnsi="Arial"/>
          <w:vertAlign w:val="superscript"/>
        </w:rPr>
        <w:endnoteReference w:id="60"/>
      </w:r>
      <w:r w:rsidR="0070792D" w:rsidRPr="00F618D8">
        <w:rPr>
          <w:rFonts w:ascii="Arial" w:hAnsi="Arial"/>
        </w:rPr>
        <w:t xml:space="preserve"> </w:t>
      </w:r>
    </w:p>
    <w:p w14:paraId="0156B7EE" w14:textId="77777777" w:rsidR="0070792D" w:rsidRPr="00F618D8" w:rsidRDefault="00CD6D96" w:rsidP="00610EEF">
      <w:pPr>
        <w:pStyle w:val="ParaNoIndent"/>
        <w:rPr>
          <w:rFonts w:ascii="Arial" w:hAnsi="Arial"/>
        </w:rPr>
      </w:pPr>
      <w:r w:rsidRPr="00F618D8">
        <w:rPr>
          <w:rFonts w:ascii="Arial" w:hAnsi="Arial"/>
        </w:rPr>
        <w:t>Moreover, t</w:t>
      </w:r>
      <w:r w:rsidR="0070792D" w:rsidRPr="00F618D8">
        <w:rPr>
          <w:rFonts w:ascii="Arial" w:hAnsi="Arial"/>
        </w:rPr>
        <w:t xml:space="preserve">he purpose of the federal Developmental Disabilities Assistance and Bill of Rights Act is to “assure that individuals with developmental disabilities and their families </w:t>
      </w:r>
      <w:r w:rsidR="0070792D" w:rsidRPr="00F618D8">
        <w:rPr>
          <w:rFonts w:ascii="Arial" w:hAnsi="Arial"/>
        </w:rPr>
        <w:lastRenderedPageBreak/>
        <w:t>participate in the design of and have access to needed community services, individualized supports, and other forms of assistance that promote self-determination, independence, productivity, and integration and inclusion in all facets of community life.”</w:t>
      </w:r>
      <w:r w:rsidR="0070792D" w:rsidRPr="00F618D8">
        <w:rPr>
          <w:rStyle w:val="EndnoteReference"/>
          <w:rFonts w:ascii="Arial" w:hAnsi="Arial"/>
          <w:szCs w:val="24"/>
        </w:rPr>
        <w:endnoteReference w:id="61"/>
      </w:r>
      <w:r w:rsidR="0070792D" w:rsidRPr="00F618D8">
        <w:rPr>
          <w:rFonts w:ascii="Arial" w:hAnsi="Arial"/>
        </w:rPr>
        <w:t xml:space="preserve"> These goals are likely more readily achievable through alternatives that hold the promise of increasing self-determination, such as supported decision-making, rather than substitute decision-making</w:t>
      </w:r>
      <w:r w:rsidR="00AA1F92" w:rsidRPr="00F618D8">
        <w:rPr>
          <w:rFonts w:ascii="Arial" w:hAnsi="Arial"/>
        </w:rPr>
        <w:t xml:space="preserve">. </w:t>
      </w:r>
      <w:r w:rsidR="001A27F6" w:rsidRPr="00F618D8">
        <w:rPr>
          <w:rFonts w:ascii="Arial" w:hAnsi="Arial"/>
        </w:rPr>
        <w:t>As one prior NCD interviewee stated: “[Guardianship is] never going to allow the person [subject to it] to really become integrated to</w:t>
      </w:r>
      <w:r w:rsidR="00DE2B4C" w:rsidRPr="00F618D8">
        <w:rPr>
          <w:rFonts w:ascii="Arial" w:hAnsi="Arial"/>
        </w:rPr>
        <w:t xml:space="preserve"> [the]</w:t>
      </w:r>
      <w:r w:rsidR="001A27F6" w:rsidRPr="00F618D8">
        <w:rPr>
          <w:rFonts w:ascii="Arial" w:hAnsi="Arial"/>
        </w:rPr>
        <w:t xml:space="preserve"> community because [others are] going to have to be always checking” with the guardian, not the person.</w:t>
      </w:r>
    </w:p>
    <w:p w14:paraId="76DAD94F" w14:textId="11F8B801" w:rsidR="00CD6D96" w:rsidRPr="00F618D8" w:rsidRDefault="00CD6D96" w:rsidP="00610EEF">
      <w:pPr>
        <w:pStyle w:val="ParaNoIndent"/>
        <w:rPr>
          <w:rFonts w:ascii="Arial" w:hAnsi="Arial"/>
        </w:rPr>
      </w:pPr>
      <w:r w:rsidRPr="00F618D8">
        <w:rPr>
          <w:rFonts w:ascii="Arial" w:hAnsi="Arial"/>
        </w:rPr>
        <w:t>Finally, o</w:t>
      </w:r>
      <w:r w:rsidR="006D57CE" w:rsidRPr="00F618D8">
        <w:rPr>
          <w:rFonts w:ascii="Arial" w:hAnsi="Arial"/>
        </w:rPr>
        <w:t>ne of the goals of the Rehabilitation Act</w:t>
      </w:r>
      <w:r w:rsidRPr="00F618D8">
        <w:rPr>
          <w:rFonts w:ascii="Arial" w:hAnsi="Arial"/>
        </w:rPr>
        <w:t xml:space="preserve"> of 1973</w:t>
      </w:r>
      <w:r w:rsidRPr="00F618D8">
        <w:rPr>
          <w:rStyle w:val="EndnoteReference"/>
          <w:rFonts w:ascii="Arial" w:hAnsi="Arial"/>
          <w:szCs w:val="24"/>
        </w:rPr>
        <w:endnoteReference w:id="62"/>
      </w:r>
      <w:r w:rsidR="006D57CE" w:rsidRPr="00F618D8">
        <w:rPr>
          <w:rFonts w:ascii="Arial" w:hAnsi="Arial"/>
        </w:rPr>
        <w:t xml:space="preserve"> is to promote and support employment for people with disabilities, including ID/DD</w:t>
      </w:r>
      <w:r w:rsidR="00AA1F92" w:rsidRPr="00F618D8">
        <w:rPr>
          <w:rFonts w:ascii="Arial" w:hAnsi="Arial"/>
        </w:rPr>
        <w:t xml:space="preserve">. </w:t>
      </w:r>
      <w:r w:rsidRPr="00F618D8">
        <w:rPr>
          <w:rFonts w:ascii="Arial" w:hAnsi="Arial"/>
        </w:rPr>
        <w:t>Its regulations have long recognized the importance of intervening early in the lives of transition-age youth with disabilities by mandating that state vocational rehabilitation programs coordinate with special education transition teams “as early as possible.”</w:t>
      </w:r>
      <w:r w:rsidRPr="00F618D8">
        <w:rPr>
          <w:rStyle w:val="EndnoteReference"/>
          <w:rFonts w:ascii="Arial" w:hAnsi="Arial"/>
          <w:szCs w:val="24"/>
        </w:rPr>
        <w:endnoteReference w:id="63"/>
      </w:r>
      <w:r w:rsidRPr="00F618D8">
        <w:rPr>
          <w:rFonts w:ascii="Arial" w:hAnsi="Arial"/>
        </w:rPr>
        <w:t xml:space="preserve"> The Workforce Innovation and Opportunity Act (WIOA)</w:t>
      </w:r>
      <w:r w:rsidRPr="00F618D8">
        <w:rPr>
          <w:rStyle w:val="EndnoteReference"/>
          <w:rFonts w:ascii="Arial" w:hAnsi="Arial"/>
          <w:szCs w:val="24"/>
        </w:rPr>
        <w:endnoteReference w:id="64"/>
      </w:r>
      <w:r w:rsidRPr="00F618D8">
        <w:rPr>
          <w:rFonts w:ascii="Arial" w:hAnsi="Arial"/>
        </w:rPr>
        <w:t xml:space="preserve"> further augmented these requirements by mandating vocational  programs to “provide pre-employment transition services to assist students with disabilities make the transition from secondary school to postsecondary education programs and competitive integrated implement”</w:t>
      </w:r>
      <w:r w:rsidRPr="00F618D8">
        <w:rPr>
          <w:rStyle w:val="EndnoteReference"/>
          <w:rFonts w:ascii="Arial" w:hAnsi="Arial"/>
          <w:szCs w:val="24"/>
        </w:rPr>
        <w:t xml:space="preserve"> </w:t>
      </w:r>
      <w:r w:rsidRPr="00F618D8">
        <w:rPr>
          <w:rStyle w:val="EndnoteReference"/>
          <w:rFonts w:ascii="Arial" w:hAnsi="Arial"/>
          <w:szCs w:val="24"/>
        </w:rPr>
        <w:endnoteReference w:id="65"/>
      </w:r>
      <w:r w:rsidRPr="00F618D8">
        <w:rPr>
          <w:rFonts w:ascii="Arial" w:hAnsi="Arial"/>
        </w:rPr>
        <w:t xml:space="preserve"> In addition, Section 511 of WIOA was designed to make it less likely that </w:t>
      </w:r>
      <w:bookmarkStart w:id="54" w:name="_Hlk5199250"/>
      <w:r w:rsidRPr="00F618D8">
        <w:rPr>
          <w:rFonts w:ascii="Arial" w:hAnsi="Arial"/>
        </w:rPr>
        <w:t xml:space="preserve">youth </w:t>
      </w:r>
      <w:r w:rsidR="005924B9" w:rsidRPr="00F618D8">
        <w:rPr>
          <w:rFonts w:ascii="Arial" w:hAnsi="Arial"/>
        </w:rPr>
        <w:t xml:space="preserve">who have </w:t>
      </w:r>
      <w:r w:rsidRPr="00F618D8">
        <w:rPr>
          <w:rFonts w:ascii="Arial" w:hAnsi="Arial"/>
        </w:rPr>
        <w:t xml:space="preserve">a disability </w:t>
      </w:r>
      <w:bookmarkEnd w:id="54"/>
      <w:r w:rsidR="005924B9" w:rsidRPr="00F618D8">
        <w:rPr>
          <w:rFonts w:ascii="Arial" w:hAnsi="Arial"/>
        </w:rPr>
        <w:t xml:space="preserve">and are </w:t>
      </w:r>
      <w:r w:rsidRPr="00F618D8">
        <w:rPr>
          <w:rFonts w:ascii="Arial" w:hAnsi="Arial"/>
        </w:rPr>
        <w:t xml:space="preserve">age 24 or under </w:t>
      </w:r>
      <w:r w:rsidR="005924B9" w:rsidRPr="00F618D8">
        <w:rPr>
          <w:rFonts w:ascii="Arial" w:hAnsi="Arial"/>
        </w:rPr>
        <w:t>are</w:t>
      </w:r>
      <w:r w:rsidRPr="00F618D8">
        <w:rPr>
          <w:rFonts w:ascii="Arial" w:hAnsi="Arial"/>
        </w:rPr>
        <w:t xml:space="preserve"> inappropriately routed to segregated, subminimum wage employment without</w:t>
      </w:r>
      <w:r w:rsidR="005924B9" w:rsidRPr="00F618D8">
        <w:rPr>
          <w:rFonts w:ascii="Arial" w:hAnsi="Arial"/>
        </w:rPr>
        <w:t xml:space="preserve"> first </w:t>
      </w:r>
      <w:r w:rsidRPr="00F618D8">
        <w:rPr>
          <w:rFonts w:ascii="Arial" w:hAnsi="Arial"/>
        </w:rPr>
        <w:t>exploring all the alternatives for meaningful work and post-secondary education and tra</w:t>
      </w:r>
      <w:r w:rsidR="005924B9" w:rsidRPr="00F618D8">
        <w:rPr>
          <w:rFonts w:ascii="Arial" w:hAnsi="Arial"/>
        </w:rPr>
        <w:t>ining</w:t>
      </w:r>
      <w:r w:rsidR="00AA1F92" w:rsidRPr="00F618D8">
        <w:rPr>
          <w:rFonts w:ascii="Arial" w:hAnsi="Arial"/>
        </w:rPr>
        <w:t xml:space="preserve">. </w:t>
      </w:r>
      <w:r w:rsidR="005924B9" w:rsidRPr="00F618D8">
        <w:rPr>
          <w:rFonts w:ascii="Arial" w:hAnsi="Arial"/>
        </w:rPr>
        <w:t xml:space="preserve">Research has found </w:t>
      </w:r>
      <w:r w:rsidRPr="00F618D8">
        <w:rPr>
          <w:rFonts w:ascii="Arial" w:hAnsi="Arial"/>
        </w:rPr>
        <w:t xml:space="preserve">young adults with disabilities who are supported have greater self-determination </w:t>
      </w:r>
      <w:r w:rsidR="005924B9" w:rsidRPr="00F618D8">
        <w:rPr>
          <w:rFonts w:ascii="Arial" w:hAnsi="Arial"/>
        </w:rPr>
        <w:t>in their lives</w:t>
      </w:r>
      <w:r w:rsidR="007D01EE" w:rsidRPr="00F618D8">
        <w:rPr>
          <w:rFonts w:ascii="Arial" w:hAnsi="Arial"/>
        </w:rPr>
        <w:t>,</w:t>
      </w:r>
      <w:r w:rsidR="005924B9" w:rsidRPr="00F618D8">
        <w:rPr>
          <w:rFonts w:ascii="Arial" w:hAnsi="Arial"/>
        </w:rPr>
        <w:t xml:space="preserve"> </w:t>
      </w:r>
      <w:r w:rsidRPr="00F618D8">
        <w:rPr>
          <w:rFonts w:ascii="Arial" w:hAnsi="Arial"/>
        </w:rPr>
        <w:t>are more likely to be better employed,</w:t>
      </w:r>
      <w:r w:rsidRPr="00F618D8">
        <w:rPr>
          <w:rStyle w:val="EndnoteReference"/>
          <w:rFonts w:ascii="Arial" w:hAnsi="Arial"/>
          <w:szCs w:val="24"/>
        </w:rPr>
        <w:endnoteReference w:id="66"/>
      </w:r>
      <w:r w:rsidRPr="00F618D8">
        <w:rPr>
          <w:rFonts w:ascii="Arial" w:hAnsi="Arial"/>
        </w:rPr>
        <w:t xml:space="preserve"> and </w:t>
      </w:r>
      <w:bookmarkStart w:id="55" w:name="_Hlk5199304"/>
      <w:r w:rsidRPr="00F618D8">
        <w:rPr>
          <w:rFonts w:ascii="Arial" w:hAnsi="Arial"/>
        </w:rPr>
        <w:t xml:space="preserve">National Core Indicator data indicates people with ID/DD </w:t>
      </w:r>
      <w:r w:rsidR="001C08CB" w:rsidRPr="00F618D8">
        <w:rPr>
          <w:rFonts w:ascii="Arial" w:hAnsi="Arial"/>
        </w:rPr>
        <w:t xml:space="preserve">who receive </w:t>
      </w:r>
      <w:r w:rsidRPr="00F618D8">
        <w:rPr>
          <w:rFonts w:ascii="Arial" w:hAnsi="Arial"/>
        </w:rPr>
        <w:t>publicly funded services who are not under guardianship are more likely to be employed in an integrated job</w:t>
      </w:r>
      <w:bookmarkEnd w:id="55"/>
      <w:r w:rsidRPr="00F618D8">
        <w:rPr>
          <w:rStyle w:val="EndnoteReference"/>
          <w:rFonts w:ascii="Arial" w:hAnsi="Arial"/>
          <w:szCs w:val="24"/>
        </w:rPr>
        <w:endnoteReference w:id="67"/>
      </w:r>
      <w:r w:rsidR="00BD788E" w:rsidRPr="00F618D8">
        <w:rPr>
          <w:rFonts w:ascii="Arial" w:hAnsi="Arial"/>
        </w:rPr>
        <w:t xml:space="preserve"> and those who are in guardianship are significantly less likely to have employment as a goal in their service plans.</w:t>
      </w:r>
      <w:r w:rsidR="00BD788E" w:rsidRPr="00F618D8">
        <w:rPr>
          <w:rStyle w:val="EndnoteReference"/>
          <w:rFonts w:ascii="Arial" w:hAnsi="Arial"/>
          <w:szCs w:val="24"/>
        </w:rPr>
        <w:endnoteReference w:id="68"/>
      </w:r>
      <w:r w:rsidR="00BD788E" w:rsidRPr="00F618D8">
        <w:rPr>
          <w:rFonts w:ascii="Arial" w:hAnsi="Arial"/>
        </w:rPr>
        <w:t xml:space="preserve"> </w:t>
      </w:r>
      <w:r w:rsidRPr="00F618D8">
        <w:rPr>
          <w:rFonts w:ascii="Arial" w:hAnsi="Arial"/>
        </w:rPr>
        <w:t xml:space="preserve"> Both of these findings suggests the Rehabilitation Act’s and WIOA’s goals may be better achieved by requiring schools and transition teams to ensure awareness of decision-making support options that do not remove the legal rights of young adults with disabilities</w:t>
      </w:r>
      <w:r w:rsidR="00AA1F92" w:rsidRPr="00F618D8">
        <w:rPr>
          <w:rFonts w:ascii="Arial" w:hAnsi="Arial"/>
        </w:rPr>
        <w:t xml:space="preserve">. </w:t>
      </w:r>
      <w:r w:rsidRPr="00F618D8">
        <w:rPr>
          <w:rFonts w:ascii="Arial" w:hAnsi="Arial"/>
        </w:rPr>
        <w:t xml:space="preserve"> </w:t>
      </w:r>
    </w:p>
    <w:p w14:paraId="44CFA037" w14:textId="04819883" w:rsidR="005924B9" w:rsidRPr="00F618D8" w:rsidRDefault="006D57CE" w:rsidP="00610EEF">
      <w:pPr>
        <w:pStyle w:val="ParaNoIndent"/>
        <w:rPr>
          <w:rFonts w:ascii="Arial" w:eastAsia="Times New Roman" w:hAnsi="Arial"/>
        </w:rPr>
      </w:pPr>
      <w:r w:rsidRPr="00F618D8">
        <w:rPr>
          <w:rFonts w:ascii="Arial" w:hAnsi="Arial"/>
        </w:rPr>
        <w:lastRenderedPageBreak/>
        <w:t xml:space="preserve">It is </w:t>
      </w:r>
      <w:r w:rsidR="005924B9" w:rsidRPr="00F618D8">
        <w:rPr>
          <w:rFonts w:ascii="Arial" w:hAnsi="Arial"/>
        </w:rPr>
        <w:t xml:space="preserve">therefore </w:t>
      </w:r>
      <w:r w:rsidRPr="00F618D8">
        <w:rPr>
          <w:rFonts w:ascii="Arial" w:hAnsi="Arial"/>
        </w:rPr>
        <w:t xml:space="preserve">critical that the school-to-guardianship pipeline be dismantled so that students with disabilities and their families receive the information they need to make thoughtful and informed choices when it comes to guardianship </w:t>
      </w:r>
      <w:r w:rsidR="00CD6D96" w:rsidRPr="00F618D8">
        <w:rPr>
          <w:rFonts w:ascii="Arial" w:hAnsi="Arial"/>
        </w:rPr>
        <w:t>and alternatives</w:t>
      </w:r>
      <w:r w:rsidR="00AA1F92" w:rsidRPr="00F618D8">
        <w:rPr>
          <w:rFonts w:ascii="Arial" w:hAnsi="Arial"/>
        </w:rPr>
        <w:t xml:space="preserve">. </w:t>
      </w:r>
      <w:r w:rsidR="00CD6D96" w:rsidRPr="00F618D8">
        <w:rPr>
          <w:rFonts w:ascii="Arial" w:hAnsi="Arial"/>
        </w:rPr>
        <w:t>As one former educator noted</w:t>
      </w:r>
      <w:r w:rsidR="001C08CB" w:rsidRPr="00F618D8">
        <w:rPr>
          <w:rFonts w:ascii="Arial" w:hAnsi="Arial"/>
        </w:rPr>
        <w:t xml:space="preserve">, </w:t>
      </w:r>
      <w:r w:rsidR="00CD6D96" w:rsidRPr="00F618D8">
        <w:rPr>
          <w:rFonts w:ascii="Arial" w:hAnsi="Arial"/>
        </w:rPr>
        <w:t>too often, “students are not informed, parents are uninformed, and educators are uninformed</w:t>
      </w:r>
      <w:r w:rsidR="001C08CB" w:rsidRPr="00F618D8">
        <w:rPr>
          <w:rFonts w:ascii="Arial" w:hAnsi="Arial"/>
        </w:rPr>
        <w:t xml:space="preserve"> </w:t>
      </w:r>
      <w:r w:rsidR="00CD6D96" w:rsidRPr="00F618D8">
        <w:rPr>
          <w:rFonts w:ascii="Arial" w:hAnsi="Arial"/>
        </w:rPr>
        <w:t>. . . It’s a triple whammy</w:t>
      </w:r>
      <w:r w:rsidR="00AA1F92" w:rsidRPr="00F618D8">
        <w:rPr>
          <w:rFonts w:ascii="Arial" w:hAnsi="Arial"/>
        </w:rPr>
        <w:t xml:space="preserve">.” </w:t>
      </w:r>
      <w:r w:rsidR="005924B9" w:rsidRPr="00F618D8">
        <w:rPr>
          <w:rFonts w:ascii="Arial" w:hAnsi="Arial"/>
        </w:rPr>
        <w:t>Fortunately, e</w:t>
      </w:r>
      <w:r w:rsidR="00CD6D96" w:rsidRPr="00F618D8">
        <w:rPr>
          <w:rFonts w:ascii="Arial" w:hAnsi="Arial"/>
        </w:rPr>
        <w:t xml:space="preserve">fforts to address this information gap have been undertaken by </w:t>
      </w:r>
      <w:r w:rsidRPr="00F618D8">
        <w:rPr>
          <w:rFonts w:ascii="Arial" w:hAnsi="Arial"/>
        </w:rPr>
        <w:t>th</w:t>
      </w:r>
      <w:r w:rsidR="00CD6D96" w:rsidRPr="00F618D8">
        <w:rPr>
          <w:rFonts w:ascii="Arial" w:hAnsi="Arial"/>
        </w:rPr>
        <w:t>e U.S. Department of Education Office of Special Education and Rehabilitative Services (OSERS)</w:t>
      </w:r>
      <w:r w:rsidR="00AA1F92" w:rsidRPr="00F618D8">
        <w:rPr>
          <w:rFonts w:ascii="Arial" w:hAnsi="Arial"/>
        </w:rPr>
        <w:t xml:space="preserve">. </w:t>
      </w:r>
      <w:bookmarkStart w:id="56" w:name="_Hlk5199391"/>
      <w:r w:rsidR="00CD6D96" w:rsidRPr="00F618D8">
        <w:rPr>
          <w:rFonts w:ascii="Arial" w:hAnsi="Arial"/>
        </w:rPr>
        <w:t>In January 2017, OSERS issued its</w:t>
      </w:r>
      <w:r w:rsidRPr="00F618D8">
        <w:rPr>
          <w:rFonts w:ascii="Arial" w:hAnsi="Arial"/>
        </w:rPr>
        <w:t xml:space="preserve"> “Transition Guide to Postsecondary</w:t>
      </w:r>
      <w:r w:rsidRPr="00F618D8">
        <w:rPr>
          <w:rFonts w:ascii="Arial" w:eastAsia="Times New Roman" w:hAnsi="Arial"/>
        </w:rPr>
        <w:t xml:space="preserve"> Education and Employment for Students and Youth with Disabilities,</w:t>
      </w:r>
      <w:r w:rsidR="00CD6D96" w:rsidRPr="00F618D8">
        <w:rPr>
          <w:rFonts w:ascii="Arial" w:eastAsia="Times New Roman" w:hAnsi="Arial"/>
        </w:rPr>
        <w:t>”</w:t>
      </w:r>
      <w:r w:rsidRPr="00F618D8">
        <w:rPr>
          <w:rFonts w:ascii="Arial" w:eastAsia="Times New Roman" w:hAnsi="Arial"/>
        </w:rPr>
        <w:t xml:space="preserve"> </w:t>
      </w:r>
      <w:bookmarkEnd w:id="56"/>
      <w:r w:rsidR="001C08CB" w:rsidRPr="00F618D8">
        <w:rPr>
          <w:rFonts w:ascii="Arial" w:eastAsia="Times New Roman" w:hAnsi="Arial"/>
        </w:rPr>
        <w:t xml:space="preserve">report </w:t>
      </w:r>
      <w:r w:rsidRPr="00F618D8">
        <w:rPr>
          <w:rFonts w:ascii="Arial" w:eastAsia="Times New Roman" w:hAnsi="Arial"/>
        </w:rPr>
        <w:t xml:space="preserve">which recognized the serious implications of guardianship and encouraged schools to recognize </w:t>
      </w:r>
      <w:r w:rsidR="00CD6D96" w:rsidRPr="00F618D8">
        <w:rPr>
          <w:rFonts w:ascii="Arial" w:eastAsia="Times New Roman" w:hAnsi="Arial"/>
        </w:rPr>
        <w:t xml:space="preserve">and promote </w:t>
      </w:r>
      <w:r w:rsidRPr="00F618D8">
        <w:rPr>
          <w:rFonts w:ascii="Arial" w:eastAsia="Times New Roman" w:hAnsi="Arial"/>
        </w:rPr>
        <w:t xml:space="preserve">supported decision-making </w:t>
      </w:r>
      <w:r w:rsidR="00CD6D96" w:rsidRPr="00F618D8">
        <w:rPr>
          <w:rFonts w:ascii="Arial" w:eastAsia="Times New Roman" w:hAnsi="Arial"/>
        </w:rPr>
        <w:t>and self-determination by students before, during, and after the age of majority</w:t>
      </w:r>
      <w:r w:rsidR="00AA1F92" w:rsidRPr="00F618D8">
        <w:rPr>
          <w:rFonts w:ascii="Arial" w:eastAsia="Times New Roman" w:hAnsi="Arial"/>
        </w:rPr>
        <w:t xml:space="preserve">. </w:t>
      </w:r>
      <w:r w:rsidR="00CD6D96" w:rsidRPr="00F618D8">
        <w:rPr>
          <w:rFonts w:ascii="Arial" w:eastAsia="Times New Roman" w:hAnsi="Arial"/>
        </w:rPr>
        <w:t xml:space="preserve">It also recognized other alternatives to guardianship in the educational context, including educational </w:t>
      </w:r>
      <w:r w:rsidR="001C08CB" w:rsidRPr="00F618D8">
        <w:rPr>
          <w:rFonts w:ascii="Arial" w:eastAsia="Times New Roman" w:hAnsi="Arial"/>
        </w:rPr>
        <w:t>p</w:t>
      </w:r>
      <w:r w:rsidR="00CD6D96" w:rsidRPr="00F618D8">
        <w:rPr>
          <w:rFonts w:ascii="Arial" w:eastAsia="Times New Roman" w:hAnsi="Arial"/>
        </w:rPr>
        <w:t xml:space="preserve">owers of </w:t>
      </w:r>
      <w:r w:rsidR="00956156" w:rsidRPr="00F618D8">
        <w:rPr>
          <w:rFonts w:ascii="Arial" w:eastAsia="Times New Roman" w:hAnsi="Arial"/>
        </w:rPr>
        <w:t>attorney</w:t>
      </w:r>
      <w:r w:rsidRPr="00F618D8">
        <w:rPr>
          <w:rFonts w:ascii="Arial" w:eastAsia="Times New Roman" w:hAnsi="Arial"/>
        </w:rPr>
        <w:t>.</w:t>
      </w:r>
      <w:r w:rsidR="00CD6D96" w:rsidRPr="00F618D8">
        <w:rPr>
          <w:rStyle w:val="EndnoteReference"/>
          <w:rFonts w:ascii="Arial" w:eastAsia="Times New Roman" w:hAnsi="Arial"/>
          <w:szCs w:val="24"/>
        </w:rPr>
        <w:t xml:space="preserve"> </w:t>
      </w:r>
      <w:r w:rsidR="00CD6D96" w:rsidRPr="00F618D8">
        <w:rPr>
          <w:rStyle w:val="EndnoteReference"/>
          <w:rFonts w:ascii="Arial" w:eastAsia="Times New Roman" w:hAnsi="Arial"/>
          <w:szCs w:val="24"/>
        </w:rPr>
        <w:endnoteReference w:id="69"/>
      </w:r>
      <w:r w:rsidR="00CD6D96" w:rsidRPr="00F618D8">
        <w:rPr>
          <w:rFonts w:ascii="Arial" w:eastAsia="Times New Roman" w:hAnsi="Arial"/>
        </w:rPr>
        <w:t xml:space="preserve"> OSERS archived and then updated and reissued this </w:t>
      </w:r>
      <w:r w:rsidR="001C08CB" w:rsidRPr="00F618D8">
        <w:rPr>
          <w:rFonts w:ascii="Arial" w:eastAsia="Times New Roman" w:hAnsi="Arial"/>
        </w:rPr>
        <w:t>g</w:t>
      </w:r>
      <w:r w:rsidR="00CD6D96" w:rsidRPr="00F618D8">
        <w:rPr>
          <w:rFonts w:ascii="Arial" w:eastAsia="Times New Roman" w:hAnsi="Arial"/>
        </w:rPr>
        <w:t>uide, retaining these important elements of its guidance.</w:t>
      </w:r>
      <w:r w:rsidR="00CD6D96" w:rsidRPr="00F618D8">
        <w:rPr>
          <w:rStyle w:val="EndnoteReference"/>
          <w:rFonts w:ascii="Arial" w:eastAsia="Times New Roman" w:hAnsi="Arial"/>
          <w:szCs w:val="24"/>
        </w:rPr>
        <w:endnoteReference w:id="70"/>
      </w:r>
    </w:p>
    <w:p w14:paraId="41FA1542" w14:textId="77777777" w:rsidR="005924B9" w:rsidRPr="00F618D8" w:rsidRDefault="00CD6D96" w:rsidP="00610EEF">
      <w:pPr>
        <w:pStyle w:val="ParaNoIndent"/>
        <w:rPr>
          <w:rFonts w:ascii="Arial" w:hAnsi="Arial"/>
        </w:rPr>
      </w:pPr>
      <w:r w:rsidRPr="00F618D8">
        <w:rPr>
          <w:rFonts w:ascii="Arial" w:hAnsi="Arial"/>
        </w:rPr>
        <w:t xml:space="preserve">However, based on the information received from respondents as part of this project, more is clearly needed to ensure that </w:t>
      </w:r>
      <w:r w:rsidR="00E2761F" w:rsidRPr="00F618D8">
        <w:rPr>
          <w:rFonts w:ascii="Arial" w:hAnsi="Arial"/>
        </w:rPr>
        <w:t xml:space="preserve">teachers, schools, and school districts </w:t>
      </w:r>
      <w:r w:rsidRPr="00F618D8">
        <w:rPr>
          <w:rFonts w:ascii="Arial" w:hAnsi="Arial"/>
        </w:rPr>
        <w:t>are complying with this guidance</w:t>
      </w:r>
      <w:r w:rsidR="00AA1F92" w:rsidRPr="00F618D8">
        <w:rPr>
          <w:rFonts w:ascii="Arial" w:hAnsi="Arial"/>
        </w:rPr>
        <w:t xml:space="preserve">. </w:t>
      </w:r>
      <w:r w:rsidR="005924B9" w:rsidRPr="00F618D8">
        <w:rPr>
          <w:rFonts w:ascii="Arial" w:hAnsi="Arial"/>
        </w:rPr>
        <w:t xml:space="preserve">This should include: </w:t>
      </w:r>
    </w:p>
    <w:p w14:paraId="320E4C89" w14:textId="77777777" w:rsidR="00E2761F" w:rsidRPr="00F618D8" w:rsidRDefault="005924B9" w:rsidP="00610EEF">
      <w:pPr>
        <w:pStyle w:val="ListParagraph"/>
        <w:rPr>
          <w:rFonts w:ascii="Arial" w:hAnsi="Arial" w:cs="Arial"/>
        </w:rPr>
      </w:pPr>
      <w:r w:rsidRPr="00F618D8">
        <w:rPr>
          <w:rFonts w:ascii="Arial" w:hAnsi="Arial" w:cs="Arial"/>
        </w:rPr>
        <w:t xml:space="preserve">Revision of </w:t>
      </w:r>
      <w:r w:rsidR="00CD6D96" w:rsidRPr="00F618D8">
        <w:rPr>
          <w:rFonts w:ascii="Arial" w:hAnsi="Arial" w:cs="Arial"/>
        </w:rPr>
        <w:t xml:space="preserve">all teacher education and certification programs and vocational rehabilitation agencies </w:t>
      </w:r>
      <w:r w:rsidRPr="00F618D8">
        <w:rPr>
          <w:rFonts w:ascii="Arial" w:hAnsi="Arial" w:cs="Arial"/>
        </w:rPr>
        <w:t xml:space="preserve">to include training on </w:t>
      </w:r>
      <w:r w:rsidR="00CD6D96" w:rsidRPr="00F618D8">
        <w:rPr>
          <w:rFonts w:ascii="Arial" w:hAnsi="Arial" w:cs="Arial"/>
        </w:rPr>
        <w:t>the full range of decision-making options for students who have reached the age of majority</w:t>
      </w:r>
      <w:r w:rsidR="00AA1F92" w:rsidRPr="00F618D8">
        <w:rPr>
          <w:rFonts w:ascii="Arial" w:hAnsi="Arial" w:cs="Arial"/>
        </w:rPr>
        <w:t xml:space="preserve">. </w:t>
      </w:r>
      <w:r w:rsidR="00CD6D96" w:rsidRPr="00F618D8">
        <w:rPr>
          <w:rFonts w:ascii="Arial" w:hAnsi="Arial" w:cs="Arial"/>
        </w:rPr>
        <w:t>As one former educator said: “Being a first</w:t>
      </w:r>
      <w:r w:rsidR="004F3D6C" w:rsidRPr="00F618D8">
        <w:rPr>
          <w:rFonts w:ascii="Arial" w:hAnsi="Arial" w:cs="Arial"/>
        </w:rPr>
        <w:t>-</w:t>
      </w:r>
      <w:r w:rsidR="00CD6D96" w:rsidRPr="00F618D8">
        <w:rPr>
          <w:rFonts w:ascii="Arial" w:hAnsi="Arial" w:cs="Arial"/>
        </w:rPr>
        <w:t>year teacher shouldn’t be the first time that I [am] learning about age of majority and guardianship [and alternatives]</w:t>
      </w:r>
      <w:r w:rsidR="002B7E5B" w:rsidRPr="00F618D8">
        <w:rPr>
          <w:rFonts w:ascii="Arial" w:hAnsi="Arial" w:cs="Arial"/>
        </w:rPr>
        <w:t xml:space="preserve"> </w:t>
      </w:r>
      <w:r w:rsidR="00CD6D96" w:rsidRPr="00F618D8">
        <w:rPr>
          <w:rFonts w:ascii="Arial" w:hAnsi="Arial" w:cs="Arial"/>
        </w:rPr>
        <w:t xml:space="preserve">. . . [I]f the </w:t>
      </w:r>
      <w:r w:rsidR="004F3D6C" w:rsidRPr="00F618D8">
        <w:rPr>
          <w:rFonts w:ascii="Arial" w:hAnsi="Arial" w:cs="Arial"/>
        </w:rPr>
        <w:t>d</w:t>
      </w:r>
      <w:r w:rsidR="00CD6D96" w:rsidRPr="00F618D8">
        <w:rPr>
          <w:rFonts w:ascii="Arial" w:hAnsi="Arial" w:cs="Arial"/>
        </w:rPr>
        <w:t>istrict itself is unaware or has varying views of student’s abilities to lead independent lives, then you are at the mercy of the vision of the school</w:t>
      </w:r>
      <w:r w:rsidR="00AA1F92" w:rsidRPr="00F618D8">
        <w:rPr>
          <w:rFonts w:ascii="Arial" w:hAnsi="Arial" w:cs="Arial"/>
        </w:rPr>
        <w:t xml:space="preserve">. </w:t>
      </w:r>
      <w:r w:rsidR="00CD6D96" w:rsidRPr="00F618D8">
        <w:rPr>
          <w:rFonts w:ascii="Arial" w:hAnsi="Arial" w:cs="Arial"/>
        </w:rPr>
        <w:t>The universities [are in] a powerful position to prime the teachers</w:t>
      </w:r>
      <w:r w:rsidR="00AA1F92" w:rsidRPr="00F618D8">
        <w:rPr>
          <w:rFonts w:ascii="Arial" w:hAnsi="Arial" w:cs="Arial"/>
        </w:rPr>
        <w:t xml:space="preserve">.” </w:t>
      </w:r>
    </w:p>
    <w:p w14:paraId="699AE927" w14:textId="77777777" w:rsidR="00CD6D96" w:rsidRPr="00F618D8" w:rsidRDefault="0097520A" w:rsidP="00610EEF">
      <w:pPr>
        <w:pStyle w:val="ListParagraph"/>
        <w:rPr>
          <w:rFonts w:ascii="Arial" w:hAnsi="Arial" w:cs="Arial"/>
        </w:rPr>
      </w:pPr>
      <w:r w:rsidRPr="00F618D8">
        <w:rPr>
          <w:rFonts w:ascii="Arial" w:hAnsi="Arial" w:cs="Arial"/>
        </w:rPr>
        <w:t xml:space="preserve">Training </w:t>
      </w:r>
      <w:r w:rsidR="005924B9" w:rsidRPr="00F618D8">
        <w:rPr>
          <w:rFonts w:ascii="Arial" w:hAnsi="Arial" w:cs="Arial"/>
        </w:rPr>
        <w:t xml:space="preserve">parents </w:t>
      </w:r>
      <w:r w:rsidRPr="00F618D8">
        <w:rPr>
          <w:rFonts w:ascii="Arial" w:hAnsi="Arial" w:cs="Arial"/>
        </w:rPr>
        <w:t xml:space="preserve">for </w:t>
      </w:r>
      <w:r w:rsidR="006D57CE" w:rsidRPr="00F618D8">
        <w:rPr>
          <w:rFonts w:ascii="Arial" w:hAnsi="Arial" w:cs="Arial"/>
        </w:rPr>
        <w:t>school-to-adult transition and alternatives to guardianship</w:t>
      </w:r>
      <w:r w:rsidR="00AA1F92" w:rsidRPr="00F618D8">
        <w:rPr>
          <w:rFonts w:ascii="Arial" w:hAnsi="Arial" w:cs="Arial"/>
        </w:rPr>
        <w:t xml:space="preserve">. </w:t>
      </w:r>
      <w:r w:rsidR="00CD6D96" w:rsidRPr="00F618D8">
        <w:rPr>
          <w:rFonts w:ascii="Arial" w:hAnsi="Arial" w:cs="Arial"/>
        </w:rPr>
        <w:t xml:space="preserve">As one parent said: “When it comes to guardianship and alternatives, you don’t know what you don’t know.” </w:t>
      </w:r>
    </w:p>
    <w:p w14:paraId="76EF5EA6" w14:textId="77777777" w:rsidR="00E2761F" w:rsidRPr="00F618D8" w:rsidRDefault="005924B9" w:rsidP="00610EEF">
      <w:pPr>
        <w:pStyle w:val="ListParagraph"/>
        <w:rPr>
          <w:rFonts w:ascii="Arial" w:hAnsi="Arial" w:cs="Arial"/>
        </w:rPr>
      </w:pPr>
      <w:r w:rsidRPr="00F618D8">
        <w:rPr>
          <w:rFonts w:ascii="Arial" w:hAnsi="Arial" w:cs="Arial"/>
        </w:rPr>
        <w:t xml:space="preserve">Promotion of </w:t>
      </w:r>
      <w:r w:rsidR="00E2761F" w:rsidRPr="00F618D8">
        <w:rPr>
          <w:rFonts w:ascii="Arial" w:hAnsi="Arial" w:cs="Arial"/>
        </w:rPr>
        <w:t>self-advocacy and self-determination at an early age for students in special education</w:t>
      </w:r>
      <w:r w:rsidR="00AA1F92" w:rsidRPr="00F618D8">
        <w:rPr>
          <w:rFonts w:ascii="Arial" w:hAnsi="Arial" w:cs="Arial"/>
        </w:rPr>
        <w:t xml:space="preserve">. </w:t>
      </w:r>
      <w:r w:rsidR="00E2761F" w:rsidRPr="00F618D8">
        <w:rPr>
          <w:rFonts w:ascii="Arial" w:hAnsi="Arial" w:cs="Arial"/>
        </w:rPr>
        <w:t xml:space="preserve">As one former educator said: “[Schools have] the power to promote </w:t>
      </w:r>
      <w:r w:rsidR="00E2761F" w:rsidRPr="00F618D8">
        <w:rPr>
          <w:rFonts w:ascii="Arial" w:hAnsi="Arial" w:cs="Arial"/>
        </w:rPr>
        <w:lastRenderedPageBreak/>
        <w:t>self-determination as early as possible and that can be done by empowering the students to lead the [IEP and other] meetings</w:t>
      </w:r>
      <w:r w:rsidR="00E5740A" w:rsidRPr="00F618D8">
        <w:rPr>
          <w:rFonts w:ascii="Arial" w:hAnsi="Arial" w:cs="Arial"/>
        </w:rPr>
        <w:t xml:space="preserve"> </w:t>
      </w:r>
      <w:r w:rsidR="00E2761F" w:rsidRPr="00F618D8">
        <w:rPr>
          <w:rFonts w:ascii="Arial" w:hAnsi="Arial" w:cs="Arial"/>
        </w:rPr>
        <w:t>. . . It puts them in a position of leadership . . . and empowers them t</w:t>
      </w:r>
      <w:r w:rsidR="00DA736B" w:rsidRPr="00F618D8">
        <w:rPr>
          <w:rFonts w:ascii="Arial" w:hAnsi="Arial" w:cs="Arial"/>
        </w:rPr>
        <w:t>o take</w:t>
      </w:r>
      <w:r w:rsidR="007C33B5" w:rsidRPr="00F618D8">
        <w:rPr>
          <w:rFonts w:ascii="Arial" w:hAnsi="Arial" w:cs="Arial"/>
        </w:rPr>
        <w:t xml:space="preserve"> </w:t>
      </w:r>
      <w:r w:rsidR="00E2761F" w:rsidRPr="00F618D8">
        <w:rPr>
          <w:rFonts w:ascii="Arial" w:hAnsi="Arial" w:cs="Arial"/>
        </w:rPr>
        <w:t>an active role</w:t>
      </w:r>
      <w:r w:rsidR="00AA1F92" w:rsidRPr="00F618D8">
        <w:rPr>
          <w:rFonts w:ascii="Arial" w:hAnsi="Arial" w:cs="Arial"/>
        </w:rPr>
        <w:t xml:space="preserve">. </w:t>
      </w:r>
      <w:r w:rsidR="00E2761F" w:rsidRPr="00F618D8">
        <w:rPr>
          <w:rFonts w:ascii="Arial" w:hAnsi="Arial" w:cs="Arial"/>
        </w:rPr>
        <w:t>If the student has been passive throughout their entire education, maybe not even attending the meeting, how would the team even know if the student could make a choice . . . if they are not even empowered in participating and attending the [very] meeting that is planning their education?</w:t>
      </w:r>
    </w:p>
    <w:p w14:paraId="4F88884B" w14:textId="77777777" w:rsidR="006D57CE" w:rsidRPr="00F618D8" w:rsidRDefault="006D57CE">
      <w:pPr>
        <w:rPr>
          <w:rFonts w:ascii="Arial" w:hAnsi="Arial" w:cs="Arial"/>
          <w:b/>
          <w:sz w:val="36"/>
          <w:szCs w:val="36"/>
        </w:rPr>
      </w:pPr>
      <w:r w:rsidRPr="00F618D8">
        <w:rPr>
          <w:rFonts w:ascii="Arial" w:hAnsi="Arial" w:cs="Arial"/>
          <w:b/>
          <w:sz w:val="36"/>
          <w:szCs w:val="36"/>
        </w:rPr>
        <w:br w:type="page"/>
      </w:r>
    </w:p>
    <w:p w14:paraId="43E17352" w14:textId="77777777" w:rsidR="00D82611" w:rsidRPr="00F618D8" w:rsidRDefault="00FA4E16" w:rsidP="00610EEF">
      <w:pPr>
        <w:pStyle w:val="Heading1"/>
        <w:rPr>
          <w:rFonts w:ascii="Arial" w:hAnsi="Arial" w:cs="Arial"/>
        </w:rPr>
      </w:pPr>
      <w:bookmarkStart w:id="57" w:name="_Toc10290958"/>
      <w:r w:rsidRPr="00F618D8">
        <w:rPr>
          <w:rFonts w:ascii="Arial" w:hAnsi="Arial" w:cs="Arial"/>
        </w:rPr>
        <w:lastRenderedPageBreak/>
        <w:t xml:space="preserve">Chapter </w:t>
      </w:r>
      <w:r w:rsidR="003E6732" w:rsidRPr="00F618D8">
        <w:rPr>
          <w:rFonts w:ascii="Arial" w:hAnsi="Arial" w:cs="Arial"/>
        </w:rPr>
        <w:t>3</w:t>
      </w:r>
      <w:r w:rsidRPr="00F618D8">
        <w:rPr>
          <w:rFonts w:ascii="Arial" w:hAnsi="Arial" w:cs="Arial"/>
        </w:rPr>
        <w:t xml:space="preserve">: Unequal Treatment </w:t>
      </w:r>
      <w:r w:rsidR="00F335F6" w:rsidRPr="00F618D8">
        <w:rPr>
          <w:rFonts w:ascii="Arial" w:hAnsi="Arial" w:cs="Arial"/>
        </w:rPr>
        <w:t xml:space="preserve">of People with ID/DD </w:t>
      </w:r>
      <w:r w:rsidRPr="00F618D8">
        <w:rPr>
          <w:rFonts w:ascii="Arial" w:hAnsi="Arial" w:cs="Arial"/>
        </w:rPr>
        <w:t xml:space="preserve">Under </w:t>
      </w:r>
      <w:r w:rsidR="002823F7" w:rsidRPr="00F618D8">
        <w:rPr>
          <w:rFonts w:ascii="Arial" w:hAnsi="Arial" w:cs="Arial"/>
        </w:rPr>
        <w:t xml:space="preserve">State </w:t>
      </w:r>
      <w:r w:rsidR="00F335F6" w:rsidRPr="00F618D8">
        <w:rPr>
          <w:rFonts w:ascii="Arial" w:hAnsi="Arial" w:cs="Arial"/>
        </w:rPr>
        <w:t xml:space="preserve">Guardianship </w:t>
      </w:r>
      <w:r w:rsidRPr="00F618D8">
        <w:rPr>
          <w:rFonts w:ascii="Arial" w:hAnsi="Arial" w:cs="Arial"/>
        </w:rPr>
        <w:t>Law</w:t>
      </w:r>
      <w:bookmarkEnd w:id="57"/>
    </w:p>
    <w:p w14:paraId="3AEFA250" w14:textId="77777777" w:rsidR="00915C9C" w:rsidRPr="00F618D8" w:rsidRDefault="00303A2F" w:rsidP="00610EEF">
      <w:pPr>
        <w:pStyle w:val="Heading2"/>
        <w:rPr>
          <w:rFonts w:ascii="Arial" w:hAnsi="Arial" w:cs="Arial"/>
        </w:rPr>
      </w:pPr>
      <w:bookmarkStart w:id="58" w:name="_Toc10290959"/>
      <w:r w:rsidRPr="00F618D8">
        <w:rPr>
          <w:rFonts w:ascii="Arial" w:hAnsi="Arial" w:cs="Arial"/>
        </w:rPr>
        <w:t xml:space="preserve">ID/DD-Specific </w:t>
      </w:r>
      <w:r w:rsidR="002D104D" w:rsidRPr="00F618D8">
        <w:rPr>
          <w:rFonts w:ascii="Arial" w:hAnsi="Arial" w:cs="Arial"/>
        </w:rPr>
        <w:t>State Guardianship</w:t>
      </w:r>
      <w:r w:rsidR="005924B9" w:rsidRPr="00F618D8">
        <w:rPr>
          <w:rFonts w:ascii="Arial" w:hAnsi="Arial" w:cs="Arial"/>
        </w:rPr>
        <w:t xml:space="preserve"> Laws</w:t>
      </w:r>
      <w:bookmarkEnd w:id="58"/>
    </w:p>
    <w:p w14:paraId="1632B733" w14:textId="77777777" w:rsidR="00D24F20" w:rsidRPr="00F618D8" w:rsidRDefault="00D24F20" w:rsidP="00610EEF">
      <w:pPr>
        <w:pStyle w:val="ParaNoIndent"/>
        <w:rPr>
          <w:rFonts w:ascii="Arial" w:hAnsi="Arial"/>
        </w:rPr>
      </w:pPr>
      <w:r w:rsidRPr="00F618D8">
        <w:rPr>
          <w:rFonts w:ascii="Arial" w:hAnsi="Arial"/>
        </w:rPr>
        <w:t>Most states have a single guardianship law that covers people across disability</w:t>
      </w:r>
      <w:r w:rsidR="00F7414E" w:rsidRPr="00F618D8">
        <w:rPr>
          <w:rFonts w:ascii="Arial" w:hAnsi="Arial"/>
        </w:rPr>
        <w:t xml:space="preserve"> categories</w:t>
      </w:r>
      <w:r w:rsidRPr="00F618D8">
        <w:rPr>
          <w:rFonts w:ascii="Arial" w:hAnsi="Arial"/>
        </w:rPr>
        <w:t>, including older people with progressive cognitive decline, people with mental-health disabilities, and people with ID/DD</w:t>
      </w:r>
      <w:r w:rsidR="00AA1F92" w:rsidRPr="00F618D8">
        <w:rPr>
          <w:rFonts w:ascii="Arial" w:hAnsi="Arial"/>
        </w:rPr>
        <w:t xml:space="preserve">. </w:t>
      </w:r>
      <w:r w:rsidRPr="00F618D8">
        <w:rPr>
          <w:rFonts w:ascii="Arial" w:hAnsi="Arial"/>
        </w:rPr>
        <w:t xml:space="preserve">However, as recognized in the 2018 NCD report, </w:t>
      </w:r>
      <w:r w:rsidR="00303A2F" w:rsidRPr="00F618D8">
        <w:rPr>
          <w:rFonts w:ascii="Arial" w:hAnsi="Arial"/>
        </w:rPr>
        <w:t xml:space="preserve">there are </w:t>
      </w:r>
      <w:r w:rsidRPr="00F618D8">
        <w:rPr>
          <w:rFonts w:ascii="Arial" w:hAnsi="Arial"/>
        </w:rPr>
        <w:t xml:space="preserve">states </w:t>
      </w:r>
      <w:r w:rsidR="00303A2F" w:rsidRPr="00F618D8">
        <w:rPr>
          <w:rFonts w:ascii="Arial" w:hAnsi="Arial"/>
        </w:rPr>
        <w:t xml:space="preserve">that have </w:t>
      </w:r>
      <w:r w:rsidRPr="00F618D8">
        <w:rPr>
          <w:rFonts w:ascii="Arial" w:hAnsi="Arial"/>
        </w:rPr>
        <w:t>different statutory procedures, standards, and processes for appointing guardians for people with ID/DD</w:t>
      </w:r>
      <w:r w:rsidR="006E02DA" w:rsidRPr="00F618D8">
        <w:rPr>
          <w:rFonts w:ascii="Arial" w:hAnsi="Arial"/>
        </w:rPr>
        <w:t xml:space="preserve">, </w:t>
      </w:r>
      <w:r w:rsidR="00303A2F" w:rsidRPr="00F618D8">
        <w:rPr>
          <w:rFonts w:ascii="Arial" w:hAnsi="Arial"/>
        </w:rPr>
        <w:t xml:space="preserve">as </w:t>
      </w:r>
      <w:r w:rsidR="006E02DA" w:rsidRPr="00F618D8">
        <w:rPr>
          <w:rFonts w:ascii="Arial" w:hAnsi="Arial"/>
        </w:rPr>
        <w:t>compared to</w:t>
      </w:r>
      <w:r w:rsidRPr="00F618D8">
        <w:rPr>
          <w:rFonts w:ascii="Arial" w:hAnsi="Arial"/>
        </w:rPr>
        <w:t xml:space="preserve"> other populations that may need </w:t>
      </w:r>
      <w:r w:rsidR="006E02DA" w:rsidRPr="00F618D8">
        <w:rPr>
          <w:rFonts w:ascii="Arial" w:hAnsi="Arial"/>
        </w:rPr>
        <w:t>guardians</w:t>
      </w:r>
      <w:r w:rsidR="00AA1F92" w:rsidRPr="00F618D8">
        <w:rPr>
          <w:rFonts w:ascii="Arial" w:hAnsi="Arial"/>
        </w:rPr>
        <w:t xml:space="preserve">. </w:t>
      </w:r>
      <w:r w:rsidR="00DA736B" w:rsidRPr="00F618D8">
        <w:rPr>
          <w:rFonts w:ascii="Arial" w:hAnsi="Arial"/>
        </w:rPr>
        <w:t xml:space="preserve">A list </w:t>
      </w:r>
      <w:r w:rsidRPr="00F618D8">
        <w:rPr>
          <w:rFonts w:ascii="Arial" w:hAnsi="Arial"/>
        </w:rPr>
        <w:t>of these states and the main way</w:t>
      </w:r>
      <w:r w:rsidR="00303A2F" w:rsidRPr="00F618D8">
        <w:rPr>
          <w:rFonts w:ascii="Arial" w:hAnsi="Arial"/>
        </w:rPr>
        <w:t>s</w:t>
      </w:r>
      <w:r w:rsidRPr="00F618D8">
        <w:rPr>
          <w:rFonts w:ascii="Arial" w:hAnsi="Arial"/>
        </w:rPr>
        <w:t xml:space="preserve"> statutory distinctions apply to people with ID/DD is available in Appendix A of this report</w:t>
      </w:r>
      <w:r w:rsidR="00AA1F92" w:rsidRPr="00F618D8">
        <w:rPr>
          <w:rFonts w:ascii="Arial" w:hAnsi="Arial"/>
        </w:rPr>
        <w:t xml:space="preserve">. </w:t>
      </w:r>
    </w:p>
    <w:p w14:paraId="32AAD4BA" w14:textId="77777777" w:rsidR="005924B9" w:rsidRPr="00F618D8" w:rsidRDefault="00D24F20" w:rsidP="00610EEF">
      <w:pPr>
        <w:pStyle w:val="ParaNoIndent"/>
        <w:rPr>
          <w:rFonts w:ascii="Arial" w:hAnsi="Arial"/>
        </w:rPr>
      </w:pPr>
      <w:r w:rsidRPr="00F618D8">
        <w:rPr>
          <w:rFonts w:ascii="Arial" w:hAnsi="Arial"/>
        </w:rPr>
        <w:t>Existing scholarship has mainly focused on the ID/DD distinctions in five states</w:t>
      </w:r>
      <w:r w:rsidR="00AF7C4F" w:rsidRPr="00F618D8">
        <w:rPr>
          <w:rFonts w:ascii="Arial" w:hAnsi="Arial"/>
        </w:rPr>
        <w:t>—</w:t>
      </w:r>
      <w:bookmarkStart w:id="59" w:name="_Hlk5200083"/>
      <w:r w:rsidRPr="00F618D8">
        <w:rPr>
          <w:rFonts w:ascii="Arial" w:hAnsi="Arial"/>
        </w:rPr>
        <w:t>California, Connecticut, Idaho, Michigan, and New York</w:t>
      </w:r>
      <w:r w:rsidR="00AF7C4F" w:rsidRPr="00F618D8">
        <w:rPr>
          <w:rFonts w:ascii="Arial" w:hAnsi="Arial"/>
        </w:rPr>
        <w:t>—</w:t>
      </w:r>
      <w:r w:rsidRPr="00F618D8">
        <w:rPr>
          <w:rFonts w:ascii="Arial" w:hAnsi="Arial"/>
        </w:rPr>
        <w:t xml:space="preserve">which have separate guardianship statutes for people </w:t>
      </w:r>
      <w:r w:rsidR="00303A2F" w:rsidRPr="00F618D8">
        <w:rPr>
          <w:rFonts w:ascii="Arial" w:hAnsi="Arial"/>
        </w:rPr>
        <w:t xml:space="preserve">with ID/DD </w:t>
      </w:r>
      <w:r w:rsidRPr="00F618D8">
        <w:rPr>
          <w:rFonts w:ascii="Arial" w:hAnsi="Arial"/>
        </w:rPr>
        <w:t xml:space="preserve">versus those </w:t>
      </w:r>
      <w:r w:rsidR="006E02DA" w:rsidRPr="00F618D8">
        <w:rPr>
          <w:rFonts w:ascii="Arial" w:hAnsi="Arial"/>
        </w:rPr>
        <w:t>with other types of disabilities</w:t>
      </w:r>
      <w:bookmarkEnd w:id="59"/>
      <w:r w:rsidRPr="00F618D8">
        <w:rPr>
          <w:rFonts w:ascii="Arial" w:hAnsi="Arial"/>
        </w:rPr>
        <w:t>.</w:t>
      </w:r>
      <w:r w:rsidRPr="00F618D8">
        <w:rPr>
          <w:rFonts w:ascii="Arial" w:hAnsi="Arial"/>
          <w:vertAlign w:val="superscript"/>
        </w:rPr>
        <w:endnoteReference w:id="71"/>
      </w:r>
      <w:r w:rsidRPr="00F618D8">
        <w:rPr>
          <w:rFonts w:ascii="Arial" w:hAnsi="Arial"/>
        </w:rPr>
        <w:t xml:space="preserve"> On paper, New York’s statute is one of the most</w:t>
      </w:r>
      <w:r w:rsidR="0028771A" w:rsidRPr="00F618D8">
        <w:rPr>
          <w:rFonts w:ascii="Arial" w:hAnsi="Arial"/>
        </w:rPr>
        <w:t xml:space="preserve"> striking</w:t>
      </w:r>
      <w:r w:rsidR="00AA1F92" w:rsidRPr="00F618D8">
        <w:rPr>
          <w:rFonts w:ascii="Arial" w:hAnsi="Arial"/>
        </w:rPr>
        <w:t xml:space="preserve">. </w:t>
      </w:r>
      <w:r w:rsidRPr="00F618D8">
        <w:rPr>
          <w:rFonts w:ascii="Arial" w:eastAsia="Times New Roman" w:hAnsi="Arial"/>
        </w:rPr>
        <w:t>New York maintains two separate systems of guardianship for people with disabilities</w:t>
      </w:r>
      <w:r w:rsidR="00AF7C4F" w:rsidRPr="00F618D8">
        <w:rPr>
          <w:rFonts w:ascii="Arial" w:hAnsi="Arial"/>
        </w:rPr>
        <w:t>—</w:t>
      </w:r>
      <w:r w:rsidRPr="00F618D8">
        <w:rPr>
          <w:rFonts w:ascii="Arial" w:eastAsia="Times New Roman" w:hAnsi="Arial"/>
        </w:rPr>
        <w:t>i.e., Article 17-A of the Surrogate Court’s Procedure Act for people with developm</w:t>
      </w:r>
      <w:r w:rsidR="006D57CE" w:rsidRPr="00F618D8">
        <w:rPr>
          <w:rFonts w:ascii="Arial" w:eastAsia="Times New Roman" w:hAnsi="Arial"/>
        </w:rPr>
        <w:t xml:space="preserve">ental disabilities and Article </w:t>
      </w:r>
      <w:r w:rsidRPr="00F618D8">
        <w:rPr>
          <w:rFonts w:ascii="Arial" w:eastAsia="Times New Roman" w:hAnsi="Arial"/>
        </w:rPr>
        <w:t>8</w:t>
      </w:r>
      <w:r w:rsidR="006D57CE" w:rsidRPr="00F618D8">
        <w:rPr>
          <w:rFonts w:ascii="Arial" w:eastAsia="Times New Roman" w:hAnsi="Arial"/>
        </w:rPr>
        <w:t>1</w:t>
      </w:r>
      <w:r w:rsidRPr="00F618D8">
        <w:rPr>
          <w:rFonts w:ascii="Arial" w:eastAsia="Times New Roman" w:hAnsi="Arial"/>
        </w:rPr>
        <w:t xml:space="preserve"> of the Mental Health Hygiene Law for all other people. Under the former, the basis for appointing a guardian is driven by diagnosis, rather than functionality. It also has less rigorous procedural requirements than Article 18 of the Mental Health Hygiene Law</w:t>
      </w:r>
      <w:r w:rsidR="00AF7C4F" w:rsidRPr="00F618D8">
        <w:rPr>
          <w:rFonts w:ascii="Arial" w:hAnsi="Arial"/>
        </w:rPr>
        <w:t>—</w:t>
      </w:r>
      <w:r w:rsidRPr="00F618D8">
        <w:rPr>
          <w:rFonts w:ascii="Arial" w:eastAsia="Times New Roman" w:hAnsi="Arial"/>
        </w:rPr>
        <w:t>e.g., a hearing on the guardianship petition is not required; the person with a disability does not have to be present; the guardianship cannot be limited; and guardians’ decisions are based on a “</w:t>
      </w:r>
      <w:r w:rsidR="001017B7" w:rsidRPr="00F618D8">
        <w:rPr>
          <w:rFonts w:ascii="Arial" w:eastAsia="Times New Roman" w:hAnsi="Arial"/>
        </w:rPr>
        <w:t>B</w:t>
      </w:r>
      <w:r w:rsidRPr="00F618D8">
        <w:rPr>
          <w:rFonts w:ascii="Arial" w:eastAsia="Times New Roman" w:hAnsi="Arial"/>
        </w:rPr>
        <w:t xml:space="preserve">est </w:t>
      </w:r>
      <w:r w:rsidR="001017B7" w:rsidRPr="00F618D8">
        <w:rPr>
          <w:rFonts w:ascii="Arial" w:eastAsia="Times New Roman" w:hAnsi="Arial"/>
        </w:rPr>
        <w:t>I</w:t>
      </w:r>
      <w:r w:rsidRPr="00F618D8">
        <w:rPr>
          <w:rFonts w:ascii="Arial" w:eastAsia="Times New Roman" w:hAnsi="Arial"/>
        </w:rPr>
        <w:t xml:space="preserve">nterest,” rather than a </w:t>
      </w:r>
      <w:r w:rsidR="001017B7" w:rsidRPr="00F618D8">
        <w:rPr>
          <w:rFonts w:ascii="Arial" w:eastAsia="Times New Roman" w:hAnsi="Arial"/>
        </w:rPr>
        <w:t>S</w:t>
      </w:r>
      <w:r w:rsidRPr="00F618D8">
        <w:rPr>
          <w:rFonts w:ascii="Arial" w:eastAsia="Times New Roman" w:hAnsi="Arial"/>
        </w:rPr>
        <w:t xml:space="preserve">ubstituted </w:t>
      </w:r>
      <w:r w:rsidR="001017B7" w:rsidRPr="00F618D8">
        <w:rPr>
          <w:rFonts w:ascii="Arial" w:eastAsia="Times New Roman" w:hAnsi="Arial"/>
        </w:rPr>
        <w:t>J</w:t>
      </w:r>
      <w:r w:rsidRPr="00F618D8">
        <w:rPr>
          <w:rFonts w:ascii="Arial" w:eastAsia="Times New Roman" w:hAnsi="Arial"/>
        </w:rPr>
        <w:t>udgment, standard</w:t>
      </w:r>
      <w:r w:rsidR="00AA1F92" w:rsidRPr="00F618D8">
        <w:rPr>
          <w:rFonts w:ascii="Arial" w:eastAsia="Times New Roman" w:hAnsi="Arial"/>
        </w:rPr>
        <w:t xml:space="preserve">. </w:t>
      </w:r>
      <w:r w:rsidR="00303A2F" w:rsidRPr="00F618D8">
        <w:rPr>
          <w:rFonts w:ascii="Arial" w:hAnsi="Arial"/>
        </w:rPr>
        <w:t>Additionally, unlike many other statutes, New York’s statute allows a guardian appointed under it to make “any and all health care decisions” for the person with ID/DD</w:t>
      </w:r>
      <w:r w:rsidR="00AA1F92" w:rsidRPr="00F618D8">
        <w:rPr>
          <w:rFonts w:ascii="Arial" w:hAnsi="Arial"/>
        </w:rPr>
        <w:t xml:space="preserve">. </w:t>
      </w:r>
    </w:p>
    <w:p w14:paraId="5EAFBC0F" w14:textId="055F37A5" w:rsidR="00D24F20" w:rsidRPr="00F618D8" w:rsidRDefault="00D24F20" w:rsidP="00610EEF">
      <w:pPr>
        <w:pStyle w:val="ParaNoIndent"/>
        <w:rPr>
          <w:rFonts w:ascii="Arial" w:hAnsi="Arial"/>
        </w:rPr>
      </w:pPr>
      <w:r w:rsidRPr="00F618D8">
        <w:rPr>
          <w:rFonts w:ascii="Arial" w:hAnsi="Arial"/>
        </w:rPr>
        <w:t xml:space="preserve">On the other side of the spectrum is Michigan, which has a guardianship statute for people with developmental disabilities that </w:t>
      </w:r>
      <w:r w:rsidR="00303A2F" w:rsidRPr="00F618D8">
        <w:rPr>
          <w:rFonts w:ascii="Arial" w:hAnsi="Arial"/>
        </w:rPr>
        <w:t>generally</w:t>
      </w:r>
      <w:r w:rsidRPr="00F618D8">
        <w:rPr>
          <w:rFonts w:ascii="Arial" w:hAnsi="Arial"/>
        </w:rPr>
        <w:t xml:space="preserve"> provides </w:t>
      </w:r>
      <w:r w:rsidR="00303A2F" w:rsidRPr="00F618D8">
        <w:rPr>
          <w:rFonts w:ascii="Arial" w:hAnsi="Arial"/>
        </w:rPr>
        <w:t xml:space="preserve">them with </w:t>
      </w:r>
      <w:r w:rsidRPr="00F618D8">
        <w:rPr>
          <w:rFonts w:ascii="Arial" w:hAnsi="Arial"/>
        </w:rPr>
        <w:t>more statutory safeguards</w:t>
      </w:r>
      <w:r w:rsidR="00303A2F" w:rsidRPr="00F618D8">
        <w:rPr>
          <w:rFonts w:ascii="Arial" w:hAnsi="Arial"/>
        </w:rPr>
        <w:t xml:space="preserve"> than people without such disabilities</w:t>
      </w:r>
      <w:r w:rsidR="00AA1F92" w:rsidRPr="00F618D8">
        <w:rPr>
          <w:rFonts w:ascii="Arial" w:hAnsi="Arial"/>
        </w:rPr>
        <w:t xml:space="preserve">. </w:t>
      </w:r>
      <w:r w:rsidR="00303A2F" w:rsidRPr="00F618D8">
        <w:rPr>
          <w:rFonts w:ascii="Arial" w:hAnsi="Arial"/>
        </w:rPr>
        <w:t xml:space="preserve">For example, the Michigan developmental-disability-specific guardianship statute requires that guardianships be </w:t>
      </w:r>
      <w:r w:rsidR="00303A2F" w:rsidRPr="00F618D8">
        <w:rPr>
          <w:rFonts w:ascii="Arial" w:hAnsi="Arial"/>
        </w:rPr>
        <w:lastRenderedPageBreak/>
        <w:t>limited in scope to only that which is necessary because of the person’s actual mental and adaptive limitations</w:t>
      </w:r>
      <w:r w:rsidR="005924B9" w:rsidRPr="00F618D8">
        <w:rPr>
          <w:rFonts w:ascii="Arial" w:hAnsi="Arial"/>
        </w:rPr>
        <w:t xml:space="preserve">. </w:t>
      </w:r>
      <w:r w:rsidR="00314214" w:rsidRPr="00F618D8">
        <w:rPr>
          <w:rFonts w:ascii="Arial" w:hAnsi="Arial"/>
        </w:rPr>
        <w:t>Partial guardianship</w:t>
      </w:r>
      <w:r w:rsidR="00AF7C4F" w:rsidRPr="00F618D8">
        <w:rPr>
          <w:rFonts w:ascii="Arial" w:hAnsi="Arial"/>
        </w:rPr>
        <w:t>s</w:t>
      </w:r>
      <w:r w:rsidR="0028771A" w:rsidRPr="00F618D8">
        <w:rPr>
          <w:rFonts w:ascii="Arial" w:hAnsi="Arial"/>
        </w:rPr>
        <w:t xml:space="preserve"> </w:t>
      </w:r>
      <w:r w:rsidR="00314214" w:rsidRPr="00F618D8">
        <w:rPr>
          <w:rFonts w:ascii="Arial" w:hAnsi="Arial"/>
        </w:rPr>
        <w:t xml:space="preserve">are preferred, but not required, and </w:t>
      </w:r>
      <w:r w:rsidR="00303A2F" w:rsidRPr="00F618D8">
        <w:rPr>
          <w:rFonts w:ascii="Arial" w:hAnsi="Arial"/>
        </w:rPr>
        <w:t xml:space="preserve">terminate after no more than </w:t>
      </w:r>
      <w:r w:rsidR="00AF7C4F" w:rsidRPr="00F618D8">
        <w:rPr>
          <w:rFonts w:ascii="Arial" w:hAnsi="Arial"/>
        </w:rPr>
        <w:t>five</w:t>
      </w:r>
      <w:r w:rsidR="00303A2F" w:rsidRPr="00F618D8">
        <w:rPr>
          <w:rFonts w:ascii="Arial" w:hAnsi="Arial"/>
        </w:rPr>
        <w:t xml:space="preserve"> years.</w:t>
      </w:r>
      <w:r w:rsidR="00303A2F" w:rsidRPr="00F618D8">
        <w:rPr>
          <w:rStyle w:val="EndnoteReference"/>
          <w:rFonts w:ascii="Arial" w:eastAsia="Arial" w:hAnsi="Arial"/>
          <w:szCs w:val="24"/>
        </w:rPr>
        <w:endnoteReference w:id="72"/>
      </w:r>
    </w:p>
    <w:p w14:paraId="16CE7926" w14:textId="77777777" w:rsidR="00D24F20" w:rsidRPr="00F618D8" w:rsidRDefault="00D24F20" w:rsidP="00610EEF">
      <w:pPr>
        <w:pStyle w:val="ParaNoIndent"/>
        <w:rPr>
          <w:rFonts w:ascii="Arial" w:hAnsi="Arial"/>
        </w:rPr>
      </w:pPr>
      <w:r w:rsidRPr="00F618D8">
        <w:rPr>
          <w:rFonts w:ascii="Arial" w:hAnsi="Arial"/>
        </w:rPr>
        <w:t xml:space="preserve">Apart from those states </w:t>
      </w:r>
      <w:r w:rsidR="005924B9" w:rsidRPr="00F618D8">
        <w:rPr>
          <w:rFonts w:ascii="Arial" w:hAnsi="Arial"/>
        </w:rPr>
        <w:t xml:space="preserve">with </w:t>
      </w:r>
      <w:r w:rsidRPr="00F618D8">
        <w:rPr>
          <w:rFonts w:ascii="Arial" w:hAnsi="Arial"/>
        </w:rPr>
        <w:t xml:space="preserve">entirely separate guardianship </w:t>
      </w:r>
      <w:r w:rsidR="005924B9" w:rsidRPr="00F618D8">
        <w:rPr>
          <w:rFonts w:ascii="Arial" w:hAnsi="Arial"/>
        </w:rPr>
        <w:t xml:space="preserve">laws </w:t>
      </w:r>
      <w:r w:rsidRPr="00F618D8">
        <w:rPr>
          <w:rFonts w:ascii="Arial" w:hAnsi="Arial"/>
        </w:rPr>
        <w:t xml:space="preserve">depending on a person’s diagnosis, there are other states that make other kinds </w:t>
      </w:r>
      <w:r w:rsidR="00303A2F" w:rsidRPr="00F618D8">
        <w:rPr>
          <w:rFonts w:ascii="Arial" w:hAnsi="Arial"/>
        </w:rPr>
        <w:t>of distinctions for people with ID/DD</w:t>
      </w:r>
      <w:r w:rsidRPr="00F618D8">
        <w:rPr>
          <w:rFonts w:ascii="Arial" w:hAnsi="Arial"/>
        </w:rPr>
        <w:t>, as indicated in Appendix A</w:t>
      </w:r>
      <w:r w:rsidR="00AA1F92" w:rsidRPr="00F618D8">
        <w:rPr>
          <w:rFonts w:ascii="Arial" w:hAnsi="Arial"/>
        </w:rPr>
        <w:t xml:space="preserve">. </w:t>
      </w:r>
      <w:r w:rsidRPr="00F618D8">
        <w:rPr>
          <w:rFonts w:ascii="Arial" w:hAnsi="Arial"/>
        </w:rPr>
        <w:t>For example, some allow for a governmental agency or representative to be appointed guardian of a person with ID/DD (e.g</w:t>
      </w:r>
      <w:r w:rsidRPr="00F618D8">
        <w:rPr>
          <w:rFonts w:ascii="Arial" w:hAnsi="Arial"/>
          <w:i/>
        </w:rPr>
        <w:t xml:space="preserve">., </w:t>
      </w:r>
      <w:r w:rsidRPr="00F618D8">
        <w:rPr>
          <w:rFonts w:ascii="Arial" w:hAnsi="Arial"/>
        </w:rPr>
        <w:t xml:space="preserve">Hawaii, Minnesota, and South Dakota), or </w:t>
      </w:r>
      <w:r w:rsidR="00303A2F" w:rsidRPr="00F618D8">
        <w:rPr>
          <w:rFonts w:ascii="Arial" w:hAnsi="Arial"/>
        </w:rPr>
        <w:t>others</w:t>
      </w:r>
      <w:r w:rsidR="00757C12" w:rsidRPr="00F618D8">
        <w:rPr>
          <w:rFonts w:ascii="Arial" w:hAnsi="Arial"/>
        </w:rPr>
        <w:t xml:space="preserve"> </w:t>
      </w:r>
      <w:r w:rsidRPr="00F618D8">
        <w:rPr>
          <w:rFonts w:ascii="Arial" w:hAnsi="Arial"/>
        </w:rPr>
        <w:t>require additional court determinations (e.g.,</w:t>
      </w:r>
      <w:r w:rsidRPr="00F618D8">
        <w:rPr>
          <w:rFonts w:ascii="Arial" w:hAnsi="Arial"/>
          <w:i/>
        </w:rPr>
        <w:t xml:space="preserve"> </w:t>
      </w:r>
      <w:r w:rsidRPr="00F618D8">
        <w:rPr>
          <w:rFonts w:ascii="Arial" w:hAnsi="Arial"/>
        </w:rPr>
        <w:t>Iowa, with respect to voting rights)</w:t>
      </w:r>
      <w:r w:rsidR="00303A2F" w:rsidRPr="00F618D8">
        <w:rPr>
          <w:rFonts w:ascii="Arial" w:hAnsi="Arial"/>
        </w:rPr>
        <w:t xml:space="preserve"> or clarify that an</w:t>
      </w:r>
      <w:r w:rsidR="00DA736B" w:rsidRPr="00F618D8">
        <w:rPr>
          <w:rFonts w:ascii="Arial" w:hAnsi="Arial"/>
        </w:rPr>
        <w:t xml:space="preserve"> </w:t>
      </w:r>
      <w:r w:rsidRPr="00F618D8">
        <w:rPr>
          <w:rFonts w:ascii="Arial" w:hAnsi="Arial"/>
        </w:rPr>
        <w:t>ID/DD diagnosis alone should not govern the scope of a guardianship (e.g., Arizona)</w:t>
      </w:r>
      <w:r w:rsidR="00AA1F92" w:rsidRPr="00F618D8">
        <w:rPr>
          <w:rFonts w:ascii="Arial" w:hAnsi="Arial"/>
        </w:rPr>
        <w:t xml:space="preserve">. </w:t>
      </w:r>
      <w:r w:rsidRPr="00F618D8">
        <w:rPr>
          <w:rFonts w:ascii="Arial" w:hAnsi="Arial"/>
        </w:rPr>
        <w:t xml:space="preserve">As discussed in the 2018 NCD Report, some states have so-called </w:t>
      </w:r>
      <w:r w:rsidR="00987E73" w:rsidRPr="00F618D8">
        <w:rPr>
          <w:rFonts w:ascii="Arial" w:hAnsi="Arial"/>
        </w:rPr>
        <w:t>“</w:t>
      </w:r>
      <w:r w:rsidRPr="00F618D8">
        <w:rPr>
          <w:rFonts w:ascii="Arial" w:hAnsi="Arial"/>
        </w:rPr>
        <w:t>alternatives to guardianship</w:t>
      </w:r>
      <w:r w:rsidR="00987E73" w:rsidRPr="00F618D8">
        <w:rPr>
          <w:rFonts w:ascii="Arial" w:hAnsi="Arial"/>
        </w:rPr>
        <w:t>”</w:t>
      </w:r>
      <w:r w:rsidRPr="00F618D8">
        <w:rPr>
          <w:rFonts w:ascii="Arial" w:hAnsi="Arial"/>
        </w:rPr>
        <w:t xml:space="preserve"> that </w:t>
      </w:r>
      <w:r w:rsidR="00987E73" w:rsidRPr="00F618D8">
        <w:rPr>
          <w:rFonts w:ascii="Arial" w:hAnsi="Arial"/>
        </w:rPr>
        <w:t>are essentially still guardianship</w:t>
      </w:r>
      <w:r w:rsidR="00010404" w:rsidRPr="00F618D8">
        <w:rPr>
          <w:rFonts w:ascii="Arial" w:hAnsi="Arial"/>
        </w:rPr>
        <w:t>s</w:t>
      </w:r>
      <w:r w:rsidR="00AA1F92" w:rsidRPr="00F618D8">
        <w:rPr>
          <w:rFonts w:ascii="Arial" w:hAnsi="Arial"/>
        </w:rPr>
        <w:t xml:space="preserve">. </w:t>
      </w:r>
      <w:r w:rsidRPr="00F618D8">
        <w:rPr>
          <w:rFonts w:ascii="Arial" w:hAnsi="Arial"/>
        </w:rPr>
        <w:t xml:space="preserve">For example, Florida has a legal process for “guardian advocates” that </w:t>
      </w:r>
      <w:r w:rsidR="00303A2F" w:rsidRPr="00F618D8">
        <w:rPr>
          <w:rFonts w:ascii="Arial" w:hAnsi="Arial"/>
        </w:rPr>
        <w:t xml:space="preserve">is referred to in its statute as a less-restrictive alternative to guardianship and </w:t>
      </w:r>
      <w:r w:rsidRPr="00F618D8">
        <w:rPr>
          <w:rFonts w:ascii="Arial" w:hAnsi="Arial"/>
        </w:rPr>
        <w:t xml:space="preserve">is only available to people with particular developmental disabilities. Rather than requiring Florida’s standard determination of incapacity by an “examining committee” of experts, the judge </w:t>
      </w:r>
      <w:r w:rsidR="003F2938" w:rsidRPr="00F618D8">
        <w:rPr>
          <w:rFonts w:ascii="Arial" w:hAnsi="Arial"/>
        </w:rPr>
        <w:t xml:space="preserve">(who may not have any expertise with </w:t>
      </w:r>
      <w:r w:rsidR="008B7106" w:rsidRPr="00F618D8">
        <w:rPr>
          <w:rFonts w:ascii="Arial" w:hAnsi="Arial"/>
        </w:rPr>
        <w:t xml:space="preserve">disability) </w:t>
      </w:r>
      <w:r w:rsidRPr="00F618D8">
        <w:rPr>
          <w:rFonts w:ascii="Arial" w:hAnsi="Arial"/>
        </w:rPr>
        <w:t xml:space="preserve">may use educational evaluations, </w:t>
      </w:r>
      <w:r w:rsidR="00AF7C4F" w:rsidRPr="00F618D8">
        <w:rPr>
          <w:rFonts w:ascii="Arial" w:hAnsi="Arial"/>
        </w:rPr>
        <w:t>IEPs</w:t>
      </w:r>
      <w:r w:rsidRPr="00F618D8">
        <w:rPr>
          <w:rFonts w:ascii="Arial" w:hAnsi="Arial"/>
        </w:rPr>
        <w:t xml:space="preserve">, and other support plans to determine whether the person </w:t>
      </w:r>
      <w:r w:rsidR="009F790B" w:rsidRPr="00F618D8">
        <w:rPr>
          <w:rFonts w:ascii="Arial" w:hAnsi="Arial"/>
        </w:rPr>
        <w:t xml:space="preserve">has the capacity to retain at least one right, but </w:t>
      </w:r>
      <w:r w:rsidRPr="00F618D8">
        <w:rPr>
          <w:rFonts w:ascii="Arial" w:hAnsi="Arial"/>
        </w:rPr>
        <w:t>“needs” a guardian advoca</w:t>
      </w:r>
      <w:r w:rsidR="009F790B" w:rsidRPr="00F618D8">
        <w:rPr>
          <w:rFonts w:ascii="Arial" w:hAnsi="Arial"/>
        </w:rPr>
        <w:t>te appointed to exercise other</w:t>
      </w:r>
      <w:r w:rsidRPr="00F618D8">
        <w:rPr>
          <w:rFonts w:ascii="Arial" w:hAnsi="Arial"/>
        </w:rPr>
        <w:t xml:space="preserve"> rights. If so, that guardian advocate will essentially have the duties and responsibilities as a guardian under Florida law without the person having the same due process safeguards</w:t>
      </w:r>
      <w:r w:rsidR="009F790B" w:rsidRPr="00F618D8">
        <w:rPr>
          <w:rFonts w:ascii="Arial" w:hAnsi="Arial"/>
        </w:rPr>
        <w:t xml:space="preserve">. </w:t>
      </w:r>
      <w:r w:rsidRPr="00F618D8">
        <w:rPr>
          <w:rFonts w:ascii="Arial" w:hAnsi="Arial"/>
          <w:vertAlign w:val="superscript"/>
        </w:rPr>
        <w:endnoteReference w:id="73"/>
      </w:r>
      <w:r w:rsidRPr="00F618D8">
        <w:rPr>
          <w:rFonts w:ascii="Arial" w:hAnsi="Arial"/>
        </w:rPr>
        <w:t xml:space="preserve"> </w:t>
      </w:r>
    </w:p>
    <w:p w14:paraId="0A0A5749" w14:textId="77777777" w:rsidR="00303A2F" w:rsidRPr="00F618D8" w:rsidRDefault="00D24F20" w:rsidP="00610EEF">
      <w:pPr>
        <w:pStyle w:val="ParaNoIndent"/>
        <w:rPr>
          <w:rFonts w:ascii="Arial" w:hAnsi="Arial"/>
        </w:rPr>
      </w:pPr>
      <w:r w:rsidRPr="00F618D8">
        <w:rPr>
          <w:rFonts w:ascii="Arial" w:hAnsi="Arial"/>
        </w:rPr>
        <w:t xml:space="preserve">Another example of the way in which some states </w:t>
      </w:r>
      <w:r w:rsidR="006E4C2E" w:rsidRPr="00F618D8">
        <w:rPr>
          <w:rFonts w:ascii="Arial" w:hAnsi="Arial"/>
        </w:rPr>
        <w:t>relax</w:t>
      </w:r>
      <w:r w:rsidRPr="00F618D8">
        <w:rPr>
          <w:rFonts w:ascii="Arial" w:hAnsi="Arial"/>
        </w:rPr>
        <w:t xml:space="preserve"> due process protections for people with ID/DD</w:t>
      </w:r>
      <w:r w:rsidR="0054549D" w:rsidRPr="00F618D8">
        <w:rPr>
          <w:rFonts w:ascii="Arial" w:hAnsi="Arial"/>
        </w:rPr>
        <w:t>—</w:t>
      </w:r>
      <w:r w:rsidRPr="00F618D8">
        <w:rPr>
          <w:rFonts w:ascii="Arial" w:hAnsi="Arial"/>
        </w:rPr>
        <w:t>both expressly and indirectly</w:t>
      </w:r>
      <w:r w:rsidR="0054549D" w:rsidRPr="00F618D8">
        <w:rPr>
          <w:rFonts w:ascii="Arial" w:hAnsi="Arial"/>
        </w:rPr>
        <w:t>—</w:t>
      </w:r>
      <w:r w:rsidRPr="00F618D8">
        <w:rPr>
          <w:rFonts w:ascii="Arial" w:hAnsi="Arial"/>
        </w:rPr>
        <w:t>can be seen in Utah</w:t>
      </w:r>
      <w:r w:rsidR="00AA1F92" w:rsidRPr="00F618D8">
        <w:rPr>
          <w:rFonts w:ascii="Arial" w:hAnsi="Arial"/>
        </w:rPr>
        <w:t xml:space="preserve">. </w:t>
      </w:r>
      <w:r w:rsidRPr="00F618D8">
        <w:rPr>
          <w:rFonts w:ascii="Arial" w:hAnsi="Arial"/>
        </w:rPr>
        <w:t>Utah</w:t>
      </w:r>
      <w:r w:rsidR="00303A2F" w:rsidRPr="00F618D8">
        <w:rPr>
          <w:rFonts w:ascii="Arial" w:hAnsi="Arial"/>
        </w:rPr>
        <w:t>’s</w:t>
      </w:r>
      <w:r w:rsidRPr="00F618D8">
        <w:rPr>
          <w:rFonts w:ascii="Arial" w:hAnsi="Arial"/>
        </w:rPr>
        <w:t xml:space="preserve"> </w:t>
      </w:r>
      <w:r w:rsidR="00303A2F" w:rsidRPr="00F618D8">
        <w:rPr>
          <w:rFonts w:ascii="Arial" w:hAnsi="Arial"/>
        </w:rPr>
        <w:t xml:space="preserve">law does not require a court visitor to investigate the appropriateness of appointing a guardian, if the person involved has </w:t>
      </w:r>
      <w:r w:rsidRPr="00F618D8">
        <w:rPr>
          <w:rFonts w:ascii="Arial" w:hAnsi="Arial"/>
        </w:rPr>
        <w:t>an intellectual disability or an intelligence quotient score under 25</w:t>
      </w:r>
      <w:r w:rsidR="004918B6" w:rsidRPr="00F618D8">
        <w:rPr>
          <w:rFonts w:ascii="Arial" w:hAnsi="Arial"/>
        </w:rPr>
        <w:t>—</w:t>
      </w:r>
      <w:r w:rsidR="00303A2F" w:rsidRPr="00F618D8">
        <w:rPr>
          <w:rFonts w:ascii="Arial" w:hAnsi="Arial"/>
        </w:rPr>
        <w:t xml:space="preserve">which, on its face, </w:t>
      </w:r>
      <w:r w:rsidR="009F790B" w:rsidRPr="00F618D8">
        <w:rPr>
          <w:rFonts w:ascii="Arial" w:hAnsi="Arial"/>
        </w:rPr>
        <w:t>would appear to discriminate</w:t>
      </w:r>
      <w:r w:rsidR="00303A2F" w:rsidRPr="00F618D8">
        <w:rPr>
          <w:rFonts w:ascii="Arial" w:hAnsi="Arial"/>
        </w:rPr>
        <w:t xml:space="preserve"> against people with certain ID/DDs</w:t>
      </w:r>
      <w:r w:rsidR="00AA1F92" w:rsidRPr="00F618D8">
        <w:rPr>
          <w:rFonts w:ascii="Arial" w:hAnsi="Arial"/>
        </w:rPr>
        <w:t xml:space="preserve">. </w:t>
      </w:r>
      <w:r w:rsidR="00207123" w:rsidRPr="00F618D8">
        <w:rPr>
          <w:rFonts w:ascii="Arial" w:hAnsi="Arial"/>
        </w:rPr>
        <w:t>Additionally,</w:t>
      </w:r>
      <w:r w:rsidR="00303A2F" w:rsidRPr="00F618D8">
        <w:rPr>
          <w:rFonts w:ascii="Arial" w:hAnsi="Arial"/>
        </w:rPr>
        <w:t xml:space="preserve"> </w:t>
      </w:r>
      <w:r w:rsidRPr="00F618D8">
        <w:rPr>
          <w:rFonts w:ascii="Arial" w:hAnsi="Arial"/>
        </w:rPr>
        <w:t>in 2016, the Utah legislature passed a law</w:t>
      </w:r>
      <w:r w:rsidR="00303A2F" w:rsidRPr="00F618D8">
        <w:rPr>
          <w:rFonts w:ascii="Arial" w:hAnsi="Arial"/>
        </w:rPr>
        <w:t xml:space="preserve"> that created an exception to a person’s right to counsel when facing a guardianship petition</w:t>
      </w:r>
      <w:r w:rsidR="00AA1F92" w:rsidRPr="00F618D8">
        <w:rPr>
          <w:rFonts w:ascii="Arial" w:hAnsi="Arial"/>
        </w:rPr>
        <w:t xml:space="preserve">. </w:t>
      </w:r>
      <w:r w:rsidR="005924B9" w:rsidRPr="00F618D8">
        <w:rPr>
          <w:rFonts w:ascii="Arial" w:hAnsi="Arial"/>
        </w:rPr>
        <w:t>W</w:t>
      </w:r>
      <w:r w:rsidR="00303A2F" w:rsidRPr="00F618D8">
        <w:rPr>
          <w:rFonts w:ascii="Arial" w:hAnsi="Arial"/>
        </w:rPr>
        <w:t xml:space="preserve">hile not specifically referencing people with ID/DD, </w:t>
      </w:r>
      <w:r w:rsidR="005924B9" w:rsidRPr="00F618D8">
        <w:rPr>
          <w:rFonts w:ascii="Arial" w:hAnsi="Arial"/>
        </w:rPr>
        <w:t>this law change</w:t>
      </w:r>
      <w:r w:rsidR="009F790B" w:rsidRPr="00F618D8">
        <w:rPr>
          <w:rFonts w:ascii="Arial" w:hAnsi="Arial"/>
        </w:rPr>
        <w:t xml:space="preserve"> ma</w:t>
      </w:r>
      <w:r w:rsidR="005924B9" w:rsidRPr="00F618D8">
        <w:rPr>
          <w:rFonts w:ascii="Arial" w:hAnsi="Arial"/>
        </w:rPr>
        <w:t>de</w:t>
      </w:r>
      <w:r w:rsidR="009F790B" w:rsidRPr="00F618D8">
        <w:rPr>
          <w:rFonts w:ascii="Arial" w:hAnsi="Arial"/>
        </w:rPr>
        <w:t xml:space="preserve"> it easier for their parents to </w:t>
      </w:r>
      <w:r w:rsidR="005924B9" w:rsidRPr="00F618D8">
        <w:rPr>
          <w:rFonts w:ascii="Arial" w:hAnsi="Arial"/>
        </w:rPr>
        <w:t xml:space="preserve">obtain </w:t>
      </w:r>
      <w:r w:rsidR="009F790B" w:rsidRPr="00F618D8">
        <w:rPr>
          <w:rFonts w:ascii="Arial" w:hAnsi="Arial"/>
        </w:rPr>
        <w:t>guardianship over them</w:t>
      </w:r>
      <w:r w:rsidR="00303A2F" w:rsidRPr="00F618D8">
        <w:rPr>
          <w:rFonts w:ascii="Arial" w:hAnsi="Arial"/>
        </w:rPr>
        <w:t xml:space="preserve"> and further bolster</w:t>
      </w:r>
      <w:r w:rsidR="005924B9" w:rsidRPr="00F618D8">
        <w:rPr>
          <w:rFonts w:ascii="Arial" w:hAnsi="Arial"/>
        </w:rPr>
        <w:t>ed</w:t>
      </w:r>
      <w:r w:rsidR="00303A2F" w:rsidRPr="00F618D8">
        <w:rPr>
          <w:rFonts w:ascii="Arial" w:hAnsi="Arial"/>
        </w:rPr>
        <w:t xml:space="preserve"> the school-to-</w:t>
      </w:r>
      <w:r w:rsidR="00303A2F" w:rsidRPr="00F618D8">
        <w:rPr>
          <w:rFonts w:ascii="Arial" w:hAnsi="Arial"/>
        </w:rPr>
        <w:lastRenderedPageBreak/>
        <w:t>guardianship pipeline</w:t>
      </w:r>
      <w:r w:rsidR="00AA1F92" w:rsidRPr="00F618D8">
        <w:rPr>
          <w:rFonts w:ascii="Arial" w:hAnsi="Arial"/>
        </w:rPr>
        <w:t xml:space="preserve">. </w:t>
      </w:r>
      <w:r w:rsidR="009F790B" w:rsidRPr="00F618D8">
        <w:rPr>
          <w:rFonts w:ascii="Arial" w:hAnsi="Arial"/>
        </w:rPr>
        <w:t>The law was focused on the approximately 300 cases per year where parents seek guardianship over their adult children with disabilities in Utah state courts.</w:t>
      </w:r>
      <w:r w:rsidR="009F790B" w:rsidRPr="00F618D8">
        <w:rPr>
          <w:rStyle w:val="EndnoteReference"/>
          <w:rFonts w:ascii="Arial" w:eastAsia="Arial" w:hAnsi="Arial"/>
          <w:szCs w:val="24"/>
        </w:rPr>
        <w:t xml:space="preserve"> </w:t>
      </w:r>
      <w:r w:rsidR="009F790B" w:rsidRPr="00F618D8">
        <w:rPr>
          <w:rStyle w:val="EndnoteReference"/>
          <w:rFonts w:ascii="Arial" w:eastAsia="Arial" w:hAnsi="Arial"/>
          <w:szCs w:val="24"/>
        </w:rPr>
        <w:endnoteReference w:id="74"/>
      </w:r>
      <w:r w:rsidR="009F790B" w:rsidRPr="00F618D8">
        <w:rPr>
          <w:rFonts w:ascii="Arial" w:hAnsi="Arial"/>
        </w:rPr>
        <w:t xml:space="preserve"> It</w:t>
      </w:r>
      <w:r w:rsidR="00303A2F" w:rsidRPr="00F618D8">
        <w:rPr>
          <w:rFonts w:ascii="Arial" w:hAnsi="Arial"/>
        </w:rPr>
        <w:t xml:space="preserve"> </w:t>
      </w:r>
      <w:r w:rsidRPr="00F618D8">
        <w:rPr>
          <w:rFonts w:ascii="Arial" w:hAnsi="Arial"/>
        </w:rPr>
        <w:t>eliminated the requirement that adults with disabilities have their own attorney when their parents petition the courts to be their legal guardians, their assets are less than $20,000, they appear in court with the petitioner, and they are “given the opportunity to communicate, to the extent possible, the person’s acceptance of the appointment of petitioner</w:t>
      </w:r>
      <w:r w:rsidR="00AA1F92" w:rsidRPr="00F618D8">
        <w:rPr>
          <w:rFonts w:ascii="Arial" w:hAnsi="Arial"/>
        </w:rPr>
        <w:t xml:space="preserve">.” </w:t>
      </w:r>
      <w:r w:rsidR="009F790B" w:rsidRPr="00F618D8">
        <w:rPr>
          <w:rFonts w:ascii="Arial" w:hAnsi="Arial"/>
        </w:rPr>
        <w:t>In July 2017, d</w:t>
      </w:r>
      <w:r w:rsidR="00303A2F" w:rsidRPr="00F618D8">
        <w:rPr>
          <w:rFonts w:ascii="Arial" w:hAnsi="Arial"/>
        </w:rPr>
        <w:t>isa</w:t>
      </w:r>
      <w:r w:rsidR="009F790B" w:rsidRPr="00F618D8">
        <w:rPr>
          <w:rFonts w:ascii="Arial" w:hAnsi="Arial"/>
        </w:rPr>
        <w:t xml:space="preserve">bility rights advocates filed </w:t>
      </w:r>
      <w:r w:rsidR="00303A2F" w:rsidRPr="00F618D8">
        <w:rPr>
          <w:rFonts w:ascii="Arial" w:hAnsi="Arial"/>
        </w:rPr>
        <w:t xml:space="preserve">legal action </w:t>
      </w:r>
      <w:r w:rsidR="009F790B" w:rsidRPr="00F618D8">
        <w:rPr>
          <w:rFonts w:ascii="Arial" w:hAnsi="Arial"/>
        </w:rPr>
        <w:t xml:space="preserve">in federal court </w:t>
      </w:r>
      <w:r w:rsidR="00303A2F" w:rsidRPr="00F618D8">
        <w:rPr>
          <w:rFonts w:ascii="Arial" w:hAnsi="Arial"/>
        </w:rPr>
        <w:t>challenging the law on discrimination grounds</w:t>
      </w:r>
      <w:r w:rsidR="009F790B" w:rsidRPr="00F618D8">
        <w:rPr>
          <w:rFonts w:ascii="Arial" w:hAnsi="Arial"/>
        </w:rPr>
        <w:t>.</w:t>
      </w:r>
      <w:r w:rsidR="00303A2F" w:rsidRPr="00F618D8">
        <w:rPr>
          <w:rFonts w:ascii="Arial" w:hAnsi="Arial"/>
          <w:vertAlign w:val="superscript"/>
        </w:rPr>
        <w:t xml:space="preserve"> </w:t>
      </w:r>
      <w:r w:rsidR="00303A2F" w:rsidRPr="00F618D8">
        <w:rPr>
          <w:rFonts w:ascii="Arial" w:hAnsi="Arial"/>
          <w:vertAlign w:val="superscript"/>
        </w:rPr>
        <w:endnoteReference w:id="75"/>
      </w:r>
      <w:r w:rsidR="00303A2F" w:rsidRPr="00F618D8">
        <w:rPr>
          <w:rFonts w:ascii="Arial" w:hAnsi="Arial"/>
        </w:rPr>
        <w:t xml:space="preserve"> </w:t>
      </w:r>
      <w:r w:rsidR="009F790B" w:rsidRPr="00F618D8">
        <w:rPr>
          <w:rFonts w:ascii="Arial" w:hAnsi="Arial"/>
        </w:rPr>
        <w:t>In May 2018, the Utah Legislature amended this law to limit the applicability of the exception to the right to legal counsel and to require that, when it does apply, a court visitor, such as a social worker, be appointed to investigate and report to the court.</w:t>
      </w:r>
      <w:r w:rsidR="00303A2F" w:rsidRPr="00F618D8">
        <w:rPr>
          <w:rFonts w:ascii="Arial" w:hAnsi="Arial"/>
          <w:vertAlign w:val="superscript"/>
        </w:rPr>
        <w:endnoteReference w:id="76"/>
      </w:r>
      <w:r w:rsidR="00303A2F" w:rsidRPr="00F618D8">
        <w:rPr>
          <w:rFonts w:ascii="Arial" w:hAnsi="Arial"/>
        </w:rPr>
        <w:t xml:space="preserve"> </w:t>
      </w:r>
      <w:r w:rsidR="009F790B" w:rsidRPr="00F618D8">
        <w:rPr>
          <w:rFonts w:ascii="Arial" w:hAnsi="Arial"/>
        </w:rPr>
        <w:t>In November 2018, the federal court lawsuit was settled</w:t>
      </w:r>
      <w:r w:rsidR="00AA1F92" w:rsidRPr="00F618D8">
        <w:rPr>
          <w:rFonts w:ascii="Arial" w:hAnsi="Arial"/>
        </w:rPr>
        <w:t xml:space="preserve">. </w:t>
      </w:r>
      <w:r w:rsidR="009F790B" w:rsidRPr="00F618D8">
        <w:rPr>
          <w:rFonts w:ascii="Arial" w:hAnsi="Arial"/>
        </w:rPr>
        <w:t>As part of the settlement, the Utah Administrative Office of the Courts and the Utah Judicial Council agreed to strengthen legal protections for adults with disabilities in guardianship proceedings by ensuring judges are informed about the importance and availability of legal representation in such proceedings, first explore less restrictive alternatives, and consider full guardianship as a last resort.</w:t>
      </w:r>
      <w:r w:rsidR="009F790B" w:rsidRPr="00F618D8">
        <w:rPr>
          <w:rStyle w:val="EndnoteReference"/>
          <w:rFonts w:ascii="Arial" w:eastAsia="Arial" w:hAnsi="Arial"/>
          <w:szCs w:val="24"/>
        </w:rPr>
        <w:endnoteReference w:id="77"/>
      </w:r>
      <w:r w:rsidR="009F790B" w:rsidRPr="00F618D8">
        <w:rPr>
          <w:rFonts w:ascii="Arial" w:hAnsi="Arial"/>
        </w:rPr>
        <w:t xml:space="preserve"> However, Utah’s exception to the requirement of legal counsel in cases where parents are seeking guardianship over their adult children remains “on the books”, albeit  in a modified form</w:t>
      </w:r>
      <w:r w:rsidR="00AA1F92" w:rsidRPr="00F618D8">
        <w:rPr>
          <w:rFonts w:ascii="Arial" w:hAnsi="Arial"/>
        </w:rPr>
        <w:t xml:space="preserve">. </w:t>
      </w:r>
    </w:p>
    <w:p w14:paraId="49C35300" w14:textId="77777777" w:rsidR="00C949BC" w:rsidRPr="00F618D8" w:rsidRDefault="00651E14" w:rsidP="00610EEF">
      <w:pPr>
        <w:pStyle w:val="Heading2"/>
        <w:rPr>
          <w:rFonts w:ascii="Arial" w:hAnsi="Arial" w:cs="Arial"/>
        </w:rPr>
      </w:pPr>
      <w:bookmarkStart w:id="60" w:name="_Toc10290960"/>
      <w:r w:rsidRPr="00F618D8">
        <w:rPr>
          <w:rFonts w:ascii="Arial" w:hAnsi="Arial" w:cs="Arial"/>
        </w:rPr>
        <w:t xml:space="preserve">The Impact </w:t>
      </w:r>
      <w:r w:rsidR="00303A2F" w:rsidRPr="00F618D8">
        <w:rPr>
          <w:rFonts w:ascii="Arial" w:hAnsi="Arial" w:cs="Arial"/>
        </w:rPr>
        <w:t xml:space="preserve">for ID/DD Guardianship Statutes </w:t>
      </w:r>
      <w:r w:rsidR="00D24F20" w:rsidRPr="00F618D8">
        <w:rPr>
          <w:rFonts w:ascii="Arial" w:hAnsi="Arial" w:cs="Arial"/>
        </w:rPr>
        <w:t>on People with I</w:t>
      </w:r>
      <w:r w:rsidR="005E4752" w:rsidRPr="00F618D8">
        <w:rPr>
          <w:rFonts w:ascii="Arial" w:hAnsi="Arial" w:cs="Arial"/>
        </w:rPr>
        <w:t>D</w:t>
      </w:r>
      <w:r w:rsidR="00D24F20" w:rsidRPr="00F618D8">
        <w:rPr>
          <w:rFonts w:ascii="Arial" w:hAnsi="Arial" w:cs="Arial"/>
        </w:rPr>
        <w:t>/DD and U.S. Policy</w:t>
      </w:r>
      <w:bookmarkEnd w:id="60"/>
    </w:p>
    <w:p w14:paraId="65540BC7" w14:textId="77777777" w:rsidR="00D24F20" w:rsidRPr="00F618D8" w:rsidRDefault="00D24F20" w:rsidP="00610EEF">
      <w:pPr>
        <w:pStyle w:val="ParaNoIndent"/>
        <w:rPr>
          <w:rFonts w:ascii="Arial" w:eastAsia="Times New Roman" w:hAnsi="Arial"/>
        </w:rPr>
      </w:pPr>
      <w:bookmarkStart w:id="61" w:name="_Toc809859"/>
      <w:r w:rsidRPr="00F618D8">
        <w:rPr>
          <w:rFonts w:ascii="Arial" w:hAnsi="Arial"/>
        </w:rPr>
        <w:t xml:space="preserve">Stakeholders in the </w:t>
      </w:r>
      <w:r w:rsidR="005E4752" w:rsidRPr="00F618D8">
        <w:rPr>
          <w:rFonts w:ascii="Arial" w:hAnsi="Arial"/>
        </w:rPr>
        <w:t xml:space="preserve">affected </w:t>
      </w:r>
      <w:r w:rsidRPr="00F618D8">
        <w:rPr>
          <w:rFonts w:ascii="Arial" w:hAnsi="Arial"/>
        </w:rPr>
        <w:t>states express varying knowledge and opinions of the impact different statutes ha</w:t>
      </w:r>
      <w:r w:rsidR="005E4752" w:rsidRPr="00F618D8">
        <w:rPr>
          <w:rFonts w:ascii="Arial" w:hAnsi="Arial"/>
        </w:rPr>
        <w:t>ve</w:t>
      </w:r>
      <w:r w:rsidRPr="00F618D8">
        <w:rPr>
          <w:rFonts w:ascii="Arial" w:hAnsi="Arial"/>
        </w:rPr>
        <w:t xml:space="preserve"> on people with ID/DD</w:t>
      </w:r>
      <w:r w:rsidR="00AA1F92" w:rsidRPr="00F618D8">
        <w:rPr>
          <w:rFonts w:ascii="Arial" w:hAnsi="Arial"/>
        </w:rPr>
        <w:t xml:space="preserve">. </w:t>
      </w:r>
      <w:r w:rsidR="00303A2F" w:rsidRPr="00F618D8">
        <w:rPr>
          <w:rFonts w:ascii="Arial" w:hAnsi="Arial"/>
        </w:rPr>
        <w:t>O</w:t>
      </w:r>
      <w:r w:rsidR="00303A2F" w:rsidRPr="00F618D8">
        <w:rPr>
          <w:rFonts w:ascii="Arial" w:eastAsia="Times New Roman" w:hAnsi="Arial"/>
        </w:rPr>
        <w:t>ne family member in Michigan</w:t>
      </w:r>
      <w:r w:rsidR="00303A2F" w:rsidRPr="00F618D8">
        <w:rPr>
          <w:rFonts w:ascii="Arial" w:eastAsia="Calibri" w:hAnsi="Arial"/>
        </w:rPr>
        <w:t>, who serves as co-plenary guardian for her two sons with ID/DD, felt that the separate ID/DD law was a “good thing,” because she saw “the problems with guardianship</w:t>
      </w:r>
      <w:r w:rsidR="005924B9" w:rsidRPr="00F618D8">
        <w:rPr>
          <w:rFonts w:ascii="Arial" w:eastAsia="Calibri" w:hAnsi="Arial"/>
        </w:rPr>
        <w:t xml:space="preserve"> [as]</w:t>
      </w:r>
      <w:r w:rsidR="00303A2F" w:rsidRPr="00F618D8">
        <w:rPr>
          <w:rFonts w:ascii="Arial" w:eastAsia="Calibri" w:hAnsi="Arial"/>
        </w:rPr>
        <w:t xml:space="preserve"> varying a great deal for people who are elderly and people with </w:t>
      </w:r>
      <w:r w:rsidR="005924B9" w:rsidRPr="00F618D8">
        <w:rPr>
          <w:rFonts w:ascii="Arial" w:eastAsia="Calibri" w:hAnsi="Arial"/>
        </w:rPr>
        <w:t>[ID/</w:t>
      </w:r>
      <w:r w:rsidR="00303A2F" w:rsidRPr="00F618D8">
        <w:rPr>
          <w:rFonts w:ascii="Arial" w:eastAsia="Calibri" w:hAnsi="Arial"/>
        </w:rPr>
        <w:t>DD</w:t>
      </w:r>
      <w:r w:rsidR="005924B9" w:rsidRPr="00F618D8">
        <w:rPr>
          <w:rFonts w:ascii="Arial" w:eastAsia="Calibri" w:hAnsi="Arial"/>
        </w:rPr>
        <w:t>]</w:t>
      </w:r>
      <w:r w:rsidR="00303A2F" w:rsidRPr="00F618D8">
        <w:rPr>
          <w:rFonts w:ascii="Arial" w:eastAsia="Calibri" w:hAnsi="Arial"/>
        </w:rPr>
        <w:t xml:space="preserve">,” since the former are more likely </w:t>
      </w:r>
      <w:r w:rsidR="00DA736B" w:rsidRPr="00F618D8">
        <w:rPr>
          <w:rFonts w:ascii="Arial" w:eastAsia="Calibri" w:hAnsi="Arial"/>
        </w:rPr>
        <w:t xml:space="preserve">to </w:t>
      </w:r>
      <w:r w:rsidR="00303A2F" w:rsidRPr="00F618D8">
        <w:rPr>
          <w:rFonts w:ascii="Arial" w:eastAsia="Calibri" w:hAnsi="Arial"/>
        </w:rPr>
        <w:t>have accumulated savings and property that can be exploited</w:t>
      </w:r>
      <w:r w:rsidR="00AA1F92" w:rsidRPr="00F618D8">
        <w:rPr>
          <w:rFonts w:ascii="Arial" w:eastAsia="Calibri" w:hAnsi="Arial"/>
        </w:rPr>
        <w:t xml:space="preserve">. </w:t>
      </w:r>
      <w:r w:rsidR="00303A2F" w:rsidRPr="00F618D8">
        <w:rPr>
          <w:rFonts w:ascii="Arial" w:eastAsia="Calibri" w:hAnsi="Arial"/>
        </w:rPr>
        <w:t xml:space="preserve">Other Michigan stakeholders reported that the </w:t>
      </w:r>
      <w:r w:rsidR="00303A2F" w:rsidRPr="00F618D8">
        <w:rPr>
          <w:rFonts w:ascii="Arial" w:hAnsi="Arial"/>
        </w:rPr>
        <w:t>supposedly bolstered procedural safeguards of the ID/DD guardianship law were not playing out in practice</w:t>
      </w:r>
      <w:r w:rsidR="00AA1F92" w:rsidRPr="00F618D8">
        <w:rPr>
          <w:rFonts w:ascii="Arial" w:hAnsi="Arial"/>
        </w:rPr>
        <w:t xml:space="preserve">. </w:t>
      </w:r>
      <w:r w:rsidR="00303A2F" w:rsidRPr="00F618D8">
        <w:rPr>
          <w:rFonts w:ascii="Arial" w:hAnsi="Arial"/>
        </w:rPr>
        <w:t>For example, t</w:t>
      </w:r>
      <w:r w:rsidRPr="00F618D8">
        <w:rPr>
          <w:rFonts w:ascii="Arial" w:eastAsia="Times New Roman" w:hAnsi="Arial"/>
        </w:rPr>
        <w:t xml:space="preserve">he statute was designed to promote partial guardianships over plenary guardianships, </w:t>
      </w:r>
      <w:r w:rsidRPr="00F618D8">
        <w:rPr>
          <w:rFonts w:ascii="Arial" w:eastAsia="Times New Roman" w:hAnsi="Arial"/>
        </w:rPr>
        <w:lastRenderedPageBreak/>
        <w:t xml:space="preserve">with partial guardianships automatically expiring after </w:t>
      </w:r>
      <w:r w:rsidR="005E4752" w:rsidRPr="00F618D8">
        <w:rPr>
          <w:rFonts w:ascii="Arial" w:eastAsia="Times New Roman" w:hAnsi="Arial"/>
        </w:rPr>
        <w:t>five</w:t>
      </w:r>
      <w:r w:rsidR="00E44482" w:rsidRPr="00F618D8">
        <w:rPr>
          <w:rFonts w:ascii="Arial" w:eastAsia="Times New Roman" w:hAnsi="Arial"/>
        </w:rPr>
        <w:t xml:space="preserve"> </w:t>
      </w:r>
      <w:r w:rsidRPr="00F618D8">
        <w:rPr>
          <w:rFonts w:ascii="Arial" w:eastAsia="Times New Roman" w:hAnsi="Arial"/>
        </w:rPr>
        <w:t>years</w:t>
      </w:r>
      <w:r w:rsidR="00AA1F92" w:rsidRPr="00F618D8">
        <w:rPr>
          <w:rFonts w:ascii="Arial" w:eastAsia="Times New Roman" w:hAnsi="Arial"/>
        </w:rPr>
        <w:t xml:space="preserve">. </w:t>
      </w:r>
      <w:r w:rsidRPr="00F618D8">
        <w:rPr>
          <w:rFonts w:ascii="Arial" w:eastAsia="Times New Roman" w:hAnsi="Arial"/>
        </w:rPr>
        <w:t>However, in some Michigan counties, stakeholders report</w:t>
      </w:r>
      <w:r w:rsidR="00303A2F" w:rsidRPr="00F618D8">
        <w:rPr>
          <w:rFonts w:ascii="Arial" w:eastAsia="Times New Roman" w:hAnsi="Arial"/>
        </w:rPr>
        <w:t>ed</w:t>
      </w:r>
      <w:r w:rsidRPr="00F618D8">
        <w:rPr>
          <w:rFonts w:ascii="Arial" w:eastAsia="Times New Roman" w:hAnsi="Arial"/>
        </w:rPr>
        <w:t xml:space="preserve"> that partial guardianships for people with ID/DD are never ordered</w:t>
      </w:r>
      <w:r w:rsidR="00303A2F" w:rsidRPr="00F618D8">
        <w:rPr>
          <w:rFonts w:ascii="Arial" w:eastAsia="Times New Roman" w:hAnsi="Arial"/>
        </w:rPr>
        <w:t>, while in other counties, so-called pa</w:t>
      </w:r>
      <w:r w:rsidRPr="00F618D8">
        <w:rPr>
          <w:rFonts w:ascii="Arial" w:eastAsia="Times New Roman" w:hAnsi="Arial"/>
        </w:rPr>
        <w:t>rtial guardianships are so broad as to be, for all intents and purposes, plenary</w:t>
      </w:r>
      <w:r w:rsidR="00AA1F92" w:rsidRPr="00F618D8">
        <w:rPr>
          <w:rFonts w:ascii="Arial" w:eastAsia="Times New Roman" w:hAnsi="Arial"/>
        </w:rPr>
        <w:t xml:space="preserve">. </w:t>
      </w:r>
      <w:r w:rsidRPr="00F618D8">
        <w:rPr>
          <w:rFonts w:ascii="Arial" w:eastAsia="Times New Roman" w:hAnsi="Arial"/>
        </w:rPr>
        <w:t>One advocate described partial guardianship only preserving, for example, a person’s right to choose their own clothing</w:t>
      </w:r>
      <w:r w:rsidR="00AA1F92" w:rsidRPr="00F618D8">
        <w:rPr>
          <w:rFonts w:ascii="Arial" w:eastAsia="Times New Roman" w:hAnsi="Arial"/>
        </w:rPr>
        <w:t xml:space="preserve">. </w:t>
      </w:r>
      <w:r w:rsidR="00303A2F" w:rsidRPr="00F618D8">
        <w:rPr>
          <w:rFonts w:ascii="Arial" w:eastAsia="Times New Roman" w:hAnsi="Arial"/>
        </w:rPr>
        <w:t xml:space="preserve">This would seem to suggest that </w:t>
      </w:r>
      <w:bookmarkStart w:id="62" w:name="_Hlk5200172"/>
      <w:r w:rsidR="00253A3D" w:rsidRPr="00F618D8">
        <w:rPr>
          <w:rFonts w:ascii="Arial" w:eastAsia="Times New Roman" w:hAnsi="Arial"/>
        </w:rPr>
        <w:t xml:space="preserve">the manner in which </w:t>
      </w:r>
      <w:r w:rsidR="00303A2F" w:rsidRPr="00F618D8">
        <w:rPr>
          <w:rFonts w:ascii="Arial" w:eastAsia="Times New Roman" w:hAnsi="Arial"/>
        </w:rPr>
        <w:t>guardianship plays out for people with ID/DD has little to do with how the actual law is written</w:t>
      </w:r>
      <w:r w:rsidR="00AA1F92" w:rsidRPr="00F618D8">
        <w:rPr>
          <w:rFonts w:ascii="Arial" w:eastAsia="Times New Roman" w:hAnsi="Arial"/>
        </w:rPr>
        <w:t>.</w:t>
      </w:r>
      <w:bookmarkEnd w:id="61"/>
      <w:r w:rsidR="00AA1F92" w:rsidRPr="00F618D8">
        <w:rPr>
          <w:rFonts w:ascii="Arial" w:eastAsia="Times New Roman" w:hAnsi="Arial"/>
        </w:rPr>
        <w:t xml:space="preserve"> </w:t>
      </w:r>
    </w:p>
    <w:bookmarkEnd w:id="62"/>
    <w:p w14:paraId="20F954B9" w14:textId="77777777" w:rsidR="00303A2F" w:rsidRPr="00F618D8" w:rsidRDefault="00303A2F" w:rsidP="00610EEF">
      <w:pPr>
        <w:pStyle w:val="ParaNoIndent"/>
        <w:rPr>
          <w:rFonts w:ascii="Arial" w:eastAsia="Times New Roman" w:hAnsi="Arial"/>
        </w:rPr>
      </w:pPr>
      <w:r w:rsidRPr="00F618D8">
        <w:rPr>
          <w:rFonts w:ascii="Arial" w:hAnsi="Arial"/>
        </w:rPr>
        <w:t xml:space="preserve">On the other hand, stakeholders in New York who commented on the different nature of the state’s ID/DD guardianship statute raised serious concerns about its </w:t>
      </w:r>
      <w:r w:rsidR="00D24F20" w:rsidRPr="00F618D8">
        <w:rPr>
          <w:rFonts w:ascii="Arial" w:hAnsi="Arial"/>
        </w:rPr>
        <w:t>dispar</w:t>
      </w:r>
      <w:r w:rsidRPr="00F618D8">
        <w:rPr>
          <w:rFonts w:ascii="Arial" w:hAnsi="Arial"/>
        </w:rPr>
        <w:t>ate impact, with one arguing that people with ID/DD deserved “equal protections under the law,” and the other lauding a challenge to it on constitutional grounds</w:t>
      </w:r>
      <w:r w:rsidR="00AA1F92" w:rsidRPr="00F618D8">
        <w:rPr>
          <w:rFonts w:ascii="Arial" w:hAnsi="Arial"/>
        </w:rPr>
        <w:t xml:space="preserve">. </w:t>
      </w:r>
      <w:r w:rsidRPr="00F618D8">
        <w:rPr>
          <w:rFonts w:ascii="Arial" w:hAnsi="Arial"/>
        </w:rPr>
        <w:t>These concerns were forcefully brought to the fore in a 2015 report of the Mental Health Law Committee and the Disability Law Committee of the New York City Bar Association, which unequivocally concluded that the separate New York guardianship law “</w:t>
      </w:r>
      <w:r w:rsidRPr="00F618D8">
        <w:rPr>
          <w:rFonts w:ascii="Arial" w:eastAsia="Times New Roman" w:hAnsi="Arial"/>
        </w:rPr>
        <w:t>discriminates against persons with intellectual and developmental disabilities, denies procedural and substantive due process to those for whom guardianship is sought, and over whom guardianship is imposed, fails to honor or promote autonomy, self-determination and dignity, and fails to protect persons under guardianship from abuse, neglect and exploitation.”</w:t>
      </w:r>
      <w:r w:rsidRPr="00F618D8">
        <w:rPr>
          <w:rFonts w:ascii="Arial" w:eastAsia="Times New Roman" w:hAnsi="Arial"/>
          <w:vertAlign w:val="superscript"/>
        </w:rPr>
        <w:endnoteReference w:id="78"/>
      </w:r>
      <w:r w:rsidRPr="00F618D8">
        <w:rPr>
          <w:rFonts w:ascii="Arial" w:eastAsia="Times New Roman" w:hAnsi="Arial"/>
        </w:rPr>
        <w:t xml:space="preserve"> </w:t>
      </w:r>
      <w:bookmarkStart w:id="63" w:name="_Hlk5200369"/>
      <w:r w:rsidRPr="00F618D8">
        <w:rPr>
          <w:rFonts w:ascii="Arial" w:eastAsia="Times New Roman" w:hAnsi="Arial"/>
        </w:rPr>
        <w:t xml:space="preserve">The New York Olmstead Cabinet made similar conclusions and recommended guardianship reform on the basis of the Americans with Disabilities Act, finding that “[c]ommunity integration includes the ability of people with disabilities to make their own choices to the maximum extent possible,” and that guardianship “should, consistent with </w:t>
      </w:r>
      <w:r w:rsidRPr="00F618D8">
        <w:rPr>
          <w:rFonts w:ascii="Arial" w:eastAsia="Times New Roman" w:hAnsi="Arial"/>
          <w:i/>
        </w:rPr>
        <w:t>Olmstead</w:t>
      </w:r>
      <w:r w:rsidRPr="00F618D8">
        <w:rPr>
          <w:rFonts w:ascii="Arial" w:eastAsia="Times New Roman" w:hAnsi="Arial"/>
        </w:rPr>
        <w:t xml:space="preserve"> only be imposed if necessary and in the least restrictive matter.”</w:t>
      </w:r>
      <w:r w:rsidRPr="00F618D8">
        <w:rPr>
          <w:rFonts w:ascii="Arial" w:eastAsia="Times New Roman" w:hAnsi="Arial"/>
          <w:vertAlign w:val="superscript"/>
        </w:rPr>
        <w:endnoteReference w:id="79"/>
      </w:r>
    </w:p>
    <w:bookmarkEnd w:id="63"/>
    <w:p w14:paraId="1833F568" w14:textId="77777777" w:rsidR="00303A2F" w:rsidRPr="00F618D8" w:rsidRDefault="00303A2F" w:rsidP="00610EEF">
      <w:pPr>
        <w:pStyle w:val="ParaNoIndent"/>
        <w:rPr>
          <w:rFonts w:ascii="Arial" w:hAnsi="Arial"/>
        </w:rPr>
      </w:pPr>
      <w:r w:rsidRPr="00F618D8">
        <w:rPr>
          <w:rFonts w:ascii="Arial" w:hAnsi="Arial"/>
        </w:rPr>
        <w:t xml:space="preserve">Separate statutory guardianship schemes also may raise questions that are relevant to NCD’s </w:t>
      </w:r>
      <w:r w:rsidR="005924B9" w:rsidRPr="00F618D8">
        <w:rPr>
          <w:rFonts w:ascii="Arial" w:hAnsi="Arial"/>
        </w:rPr>
        <w:t>upcoming</w:t>
      </w:r>
      <w:r w:rsidRPr="00F618D8">
        <w:rPr>
          <w:rFonts w:ascii="Arial" w:hAnsi="Arial"/>
        </w:rPr>
        <w:t xml:space="preserve"> report series on bioethics and disabilities. </w:t>
      </w:r>
      <w:bookmarkStart w:id="64" w:name="_Hlk5200581"/>
      <w:r w:rsidRPr="00F618D8">
        <w:rPr>
          <w:rFonts w:ascii="Arial" w:hAnsi="Arial"/>
        </w:rPr>
        <w:t>One of the more pertinent questions with respect to bioethics is whether the separate guardianship schemes for people with I</w:t>
      </w:r>
      <w:r w:rsidR="00805D57" w:rsidRPr="00F618D8">
        <w:rPr>
          <w:rFonts w:ascii="Arial" w:hAnsi="Arial"/>
        </w:rPr>
        <w:t>D</w:t>
      </w:r>
      <w:r w:rsidRPr="00F618D8">
        <w:rPr>
          <w:rFonts w:ascii="Arial" w:hAnsi="Arial"/>
        </w:rPr>
        <w:t xml:space="preserve">/DD will protect the right of people with ID/DD </w:t>
      </w:r>
      <w:r w:rsidR="00DA736B" w:rsidRPr="00F618D8">
        <w:rPr>
          <w:rFonts w:ascii="Arial" w:hAnsi="Arial"/>
        </w:rPr>
        <w:t xml:space="preserve">to </w:t>
      </w:r>
      <w:r w:rsidRPr="00F618D8">
        <w:rPr>
          <w:rFonts w:ascii="Arial" w:hAnsi="Arial"/>
        </w:rPr>
        <w:t xml:space="preserve">make important decisions about their health to the same extent as people covered by non-disability specific guardianship statutes. </w:t>
      </w:r>
      <w:bookmarkEnd w:id="64"/>
      <w:r w:rsidRPr="00F618D8">
        <w:rPr>
          <w:rFonts w:ascii="Arial" w:hAnsi="Arial"/>
        </w:rPr>
        <w:t xml:space="preserve">Many modern guardianship statutes prohibit the guardian </w:t>
      </w:r>
      <w:r w:rsidRPr="00F618D8">
        <w:rPr>
          <w:rFonts w:ascii="Arial" w:hAnsi="Arial"/>
        </w:rPr>
        <w:lastRenderedPageBreak/>
        <w:t>from consenting on behalf of the person under guardianship to certain drastic medical procedures, such as removal of an organ or commitment of the person to a nursing facility or institution.</w:t>
      </w:r>
      <w:r w:rsidRPr="00F618D8">
        <w:rPr>
          <w:rStyle w:val="EndnoteReference"/>
          <w:rFonts w:ascii="Arial" w:eastAsia="Arial" w:hAnsi="Arial"/>
          <w:szCs w:val="24"/>
        </w:rPr>
        <w:endnoteReference w:id="80"/>
      </w:r>
      <w:r w:rsidRPr="00F618D8">
        <w:rPr>
          <w:rFonts w:ascii="Arial" w:hAnsi="Arial"/>
        </w:rPr>
        <w:t xml:space="preserve"> However, only some of the ID/DD</w:t>
      </w:r>
      <w:r w:rsidR="00805D57" w:rsidRPr="00F618D8">
        <w:rPr>
          <w:rFonts w:ascii="Arial" w:hAnsi="Arial"/>
        </w:rPr>
        <w:t>-</w:t>
      </w:r>
      <w:r w:rsidRPr="00F618D8">
        <w:rPr>
          <w:rFonts w:ascii="Arial" w:hAnsi="Arial"/>
        </w:rPr>
        <w:t>specific statutes prohibit guardians appointed under the subsection from making health care decisions that could permanently alter the health of the person under guardianship. For example, as noted in Appendix A, Connecticut’s I</w:t>
      </w:r>
      <w:r w:rsidR="00805D57" w:rsidRPr="00F618D8">
        <w:rPr>
          <w:rFonts w:ascii="Arial" w:hAnsi="Arial"/>
        </w:rPr>
        <w:t>D</w:t>
      </w:r>
      <w:r w:rsidRPr="00F618D8">
        <w:rPr>
          <w:rFonts w:ascii="Arial" w:hAnsi="Arial"/>
        </w:rPr>
        <w:t xml:space="preserve">/DD-specific statute prohibits both plenary and limited guardians from “removing a bodily organ,” except in accordance with statutory procedures to save the person’s life or protect the person’s physical or mental health. New York’s statute, by contrast, allows the guardian to make “any and all health care decisions” for the person with a disability </w:t>
      </w:r>
      <w:r w:rsidR="00C600E6" w:rsidRPr="00F618D8">
        <w:rPr>
          <w:rFonts w:ascii="Arial" w:hAnsi="Arial"/>
        </w:rPr>
        <w:t>if</w:t>
      </w:r>
      <w:r w:rsidRPr="00F618D8">
        <w:rPr>
          <w:rFonts w:ascii="Arial" w:hAnsi="Arial"/>
        </w:rPr>
        <w:t xml:space="preserve"> it is in the person’s best interests, which would include an organ transplantation or removal</w:t>
      </w:r>
      <w:bookmarkStart w:id="65" w:name="_Hlk5201295"/>
      <w:r w:rsidRPr="00F618D8">
        <w:rPr>
          <w:rFonts w:ascii="Arial" w:hAnsi="Arial"/>
        </w:rPr>
        <w:t xml:space="preserve">. New York’s highly permissive statute would appear to raise significant concerns as to whether the bodily integrity of persons under guardianship under its provisions is truly respected. </w:t>
      </w:r>
    </w:p>
    <w:bookmarkEnd w:id="65"/>
    <w:p w14:paraId="1C5A531A" w14:textId="3CEF0C1C" w:rsidR="00303A2F" w:rsidRPr="00F618D8" w:rsidRDefault="00C600E6" w:rsidP="00610EEF">
      <w:pPr>
        <w:pStyle w:val="ParaNoIndent"/>
        <w:rPr>
          <w:rFonts w:ascii="Arial" w:eastAsia="Arial" w:hAnsi="Arial"/>
        </w:rPr>
      </w:pPr>
      <w:r w:rsidRPr="00F618D8">
        <w:rPr>
          <w:rFonts w:ascii="Arial" w:hAnsi="Arial"/>
        </w:rPr>
        <w:t>Whether</w:t>
      </w:r>
      <w:r w:rsidR="00303A2F" w:rsidRPr="00F618D8">
        <w:rPr>
          <w:rFonts w:ascii="Arial" w:hAnsi="Arial"/>
        </w:rPr>
        <w:t xml:space="preserve"> or not a state’s disability-specific guardianship statute does, in fact, make it easier to obtain guardianship over a person with ID/DD, the fact that some state law has different guardianship standards that apply to this </w:t>
      </w:r>
      <w:bookmarkStart w:id="66" w:name="_Hlk5201330"/>
      <w:r w:rsidR="00303A2F" w:rsidRPr="00F618D8">
        <w:rPr>
          <w:rFonts w:ascii="Arial" w:hAnsi="Arial"/>
        </w:rPr>
        <w:t>population is concerning, since it is still link</w:t>
      </w:r>
      <w:r w:rsidRPr="00F618D8">
        <w:rPr>
          <w:rFonts w:ascii="Arial" w:hAnsi="Arial"/>
        </w:rPr>
        <w:t>s</w:t>
      </w:r>
      <w:r w:rsidR="00303A2F" w:rsidRPr="00F618D8">
        <w:rPr>
          <w:rFonts w:ascii="Arial" w:hAnsi="Arial"/>
        </w:rPr>
        <w:t xml:space="preserve"> the removal and transfer of rights to a person’s diagnosis</w:t>
      </w:r>
      <w:r w:rsidR="00AA1F92" w:rsidRPr="00F618D8">
        <w:rPr>
          <w:rFonts w:ascii="Arial" w:hAnsi="Arial"/>
        </w:rPr>
        <w:t>.</w:t>
      </w:r>
      <w:r w:rsidR="00303A2F" w:rsidRPr="00F618D8">
        <w:rPr>
          <w:rFonts w:ascii="Arial" w:hAnsi="Arial"/>
        </w:rPr>
        <w:t xml:space="preserve"> </w:t>
      </w:r>
      <w:bookmarkStart w:id="67" w:name="_Hlk5201383"/>
      <w:r w:rsidR="00303A2F" w:rsidRPr="00F618D8">
        <w:rPr>
          <w:rFonts w:ascii="Arial" w:hAnsi="Arial"/>
        </w:rPr>
        <w:t>If, as a nation, we are to move away f</w:t>
      </w:r>
      <w:r w:rsidR="001017B7" w:rsidRPr="00F618D8">
        <w:rPr>
          <w:rFonts w:ascii="Arial" w:hAnsi="Arial"/>
        </w:rPr>
        <w:t>rom</w:t>
      </w:r>
      <w:r w:rsidR="00303A2F" w:rsidRPr="00F618D8">
        <w:rPr>
          <w:rFonts w:ascii="Arial" w:hAnsi="Arial"/>
        </w:rPr>
        <w:t xml:space="preserve"> a diagnosis and medically driven system for guardianship toward the functionally driven approach that recognizes less-restrictive options for all people with disabilities, we need to encourage a more uniform state approach, as endorsed by the Uniform Guardianship, Conservatorship &amp; Other Protective Arrangements Act</w:t>
      </w:r>
      <w:r w:rsidR="001017B7" w:rsidRPr="00F618D8">
        <w:rPr>
          <w:rStyle w:val="EndnoteReference"/>
          <w:rFonts w:ascii="Arial" w:eastAsia="Times New Roman" w:hAnsi="Arial"/>
          <w:szCs w:val="24"/>
        </w:rPr>
        <w:endnoteReference w:id="81"/>
      </w:r>
      <w:r w:rsidR="00303A2F" w:rsidRPr="00F618D8">
        <w:rPr>
          <w:rFonts w:ascii="Arial" w:hAnsi="Arial"/>
        </w:rPr>
        <w:t xml:space="preserve"> and the 2018 NCD Report.</w:t>
      </w:r>
      <w:r w:rsidR="001017B7" w:rsidRPr="00F618D8">
        <w:rPr>
          <w:rStyle w:val="EndnoteReference"/>
          <w:rFonts w:ascii="Arial" w:eastAsia="Times New Roman" w:hAnsi="Arial"/>
          <w:szCs w:val="24"/>
        </w:rPr>
        <w:endnoteReference w:id="82"/>
      </w:r>
    </w:p>
    <w:bookmarkEnd w:id="66"/>
    <w:bookmarkEnd w:id="67"/>
    <w:p w14:paraId="5032C863" w14:textId="77777777" w:rsidR="0070792D" w:rsidRPr="00F618D8" w:rsidRDefault="0070792D" w:rsidP="00A95CE2">
      <w:pPr>
        <w:spacing w:after="0" w:line="240" w:lineRule="auto"/>
        <w:jc w:val="center"/>
        <w:rPr>
          <w:rFonts w:ascii="Arial" w:hAnsi="Arial" w:cs="Arial"/>
          <w:b/>
          <w:sz w:val="36"/>
          <w:szCs w:val="36"/>
        </w:rPr>
        <w:sectPr w:rsidR="0070792D" w:rsidRPr="00F618D8" w:rsidSect="00927CD8">
          <w:endnotePr>
            <w:numFmt w:val="decimal"/>
          </w:endnotePr>
          <w:pgSz w:w="12240" w:h="15840"/>
          <w:pgMar w:top="1440" w:right="1440" w:bottom="1440" w:left="1440" w:header="720" w:footer="720" w:gutter="0"/>
          <w:cols w:space="720"/>
          <w:docGrid w:linePitch="360"/>
        </w:sectPr>
      </w:pPr>
    </w:p>
    <w:p w14:paraId="7C5EA7C3" w14:textId="77777777" w:rsidR="001B3DDE" w:rsidRPr="00F618D8" w:rsidRDefault="001B3DDE">
      <w:pPr>
        <w:rPr>
          <w:rFonts w:ascii="Arial" w:eastAsia="Cambria" w:hAnsi="Arial" w:cs="Arial"/>
          <w:b/>
          <w:sz w:val="36"/>
          <w:szCs w:val="28"/>
        </w:rPr>
      </w:pPr>
      <w:r w:rsidRPr="00F618D8">
        <w:rPr>
          <w:rFonts w:ascii="Arial" w:hAnsi="Arial" w:cs="Arial"/>
        </w:rPr>
        <w:lastRenderedPageBreak/>
        <w:br w:type="page"/>
      </w:r>
    </w:p>
    <w:p w14:paraId="473E63CB" w14:textId="6279F952" w:rsidR="00A95CE2" w:rsidRPr="00F618D8" w:rsidRDefault="00A95CE2" w:rsidP="00610EEF">
      <w:pPr>
        <w:pStyle w:val="Heading1"/>
        <w:rPr>
          <w:rFonts w:ascii="Arial" w:hAnsi="Arial" w:cs="Arial"/>
        </w:rPr>
      </w:pPr>
      <w:bookmarkStart w:id="68" w:name="_Toc10290961"/>
      <w:r w:rsidRPr="00F618D8">
        <w:rPr>
          <w:rFonts w:ascii="Arial" w:hAnsi="Arial" w:cs="Arial"/>
        </w:rPr>
        <w:lastRenderedPageBreak/>
        <w:t>Chapter 4: U.S. Trends in Guardianship/Alternatives and People with ID/DD</w:t>
      </w:r>
      <w:bookmarkEnd w:id="68"/>
    </w:p>
    <w:p w14:paraId="057A0312" w14:textId="77777777" w:rsidR="00A95CE2" w:rsidRPr="00F618D8" w:rsidRDefault="00A95CE2" w:rsidP="00610EEF">
      <w:pPr>
        <w:pStyle w:val="Heading2"/>
        <w:rPr>
          <w:rFonts w:ascii="Arial" w:hAnsi="Arial" w:cs="Arial"/>
        </w:rPr>
      </w:pPr>
      <w:bookmarkStart w:id="69" w:name="_Toc10290962"/>
      <w:r w:rsidRPr="00F618D8">
        <w:rPr>
          <w:rFonts w:ascii="Arial" w:hAnsi="Arial" w:cs="Arial"/>
        </w:rPr>
        <w:t>The Guardianship Data Problem</w:t>
      </w:r>
      <w:bookmarkEnd w:id="69"/>
    </w:p>
    <w:p w14:paraId="34D47AEB" w14:textId="51CAD29A" w:rsidR="00A95CE2" w:rsidRPr="00F618D8" w:rsidRDefault="00A95CE2" w:rsidP="00610EEF">
      <w:pPr>
        <w:pStyle w:val="ParaNoIndent"/>
        <w:rPr>
          <w:rFonts w:ascii="Arial" w:hAnsi="Arial"/>
        </w:rPr>
      </w:pPr>
      <w:bookmarkStart w:id="70" w:name="_Hlk5201633"/>
      <w:r w:rsidRPr="00F618D8">
        <w:rPr>
          <w:rFonts w:ascii="Arial" w:hAnsi="Arial"/>
        </w:rPr>
        <w:t xml:space="preserve">The 2018 NCD Report </w:t>
      </w:r>
      <w:bookmarkEnd w:id="70"/>
      <w:r w:rsidRPr="00F618D8">
        <w:rPr>
          <w:rFonts w:ascii="Arial" w:hAnsi="Arial"/>
        </w:rPr>
        <w:t>recognized that national and state data on guardianship itself</w:t>
      </w:r>
      <w:r w:rsidR="00331328" w:rsidRPr="00F618D8">
        <w:rPr>
          <w:rFonts w:ascii="Arial" w:hAnsi="Arial"/>
        </w:rPr>
        <w:t>—</w:t>
      </w:r>
      <w:r w:rsidRPr="00F618D8">
        <w:rPr>
          <w:rFonts w:ascii="Arial" w:hAnsi="Arial"/>
        </w:rPr>
        <w:t>let alone the demographics and type of disabilities of people subject to it</w:t>
      </w:r>
      <w:r w:rsidR="00331328" w:rsidRPr="00F618D8">
        <w:rPr>
          <w:rFonts w:ascii="Arial" w:hAnsi="Arial"/>
        </w:rPr>
        <w:t>—</w:t>
      </w:r>
      <w:r w:rsidRPr="00F618D8">
        <w:rPr>
          <w:rFonts w:ascii="Arial" w:hAnsi="Arial"/>
        </w:rPr>
        <w:t>are scant to non-existent</w:t>
      </w:r>
      <w:r w:rsidR="00AA1F92" w:rsidRPr="00F618D8">
        <w:rPr>
          <w:rFonts w:ascii="Arial" w:hAnsi="Arial"/>
        </w:rPr>
        <w:t xml:space="preserve">. </w:t>
      </w:r>
      <w:r w:rsidRPr="00F618D8">
        <w:rPr>
          <w:rFonts w:ascii="Arial" w:eastAsia="Arial" w:hAnsi="Arial"/>
        </w:rPr>
        <w:t>Even identifying the number of active cases or their status is not possible in many states.</w:t>
      </w:r>
      <w:r w:rsidRPr="00F618D8">
        <w:rPr>
          <w:rFonts w:ascii="Arial" w:eastAsia="Times New Roman" w:hAnsi="Arial"/>
          <w:vertAlign w:val="superscript"/>
        </w:rPr>
        <w:endnoteReference w:id="83"/>
      </w:r>
      <w:r w:rsidRPr="00F618D8">
        <w:rPr>
          <w:rFonts w:ascii="Arial" w:eastAsia="Times New Roman" w:hAnsi="Arial"/>
        </w:rPr>
        <w:t xml:space="preserve"> </w:t>
      </w:r>
      <w:r w:rsidRPr="00F618D8">
        <w:rPr>
          <w:rFonts w:ascii="Arial" w:eastAsia="Arial" w:hAnsi="Arial"/>
        </w:rPr>
        <w:t>Record keeping is frequently inconsistent or dated, and most states do not have centralized data collection or tracking systems. The 2018 NCD</w:t>
      </w:r>
      <w:r w:rsidR="008B09FD" w:rsidRPr="00F618D8">
        <w:rPr>
          <w:rFonts w:ascii="Arial" w:eastAsia="Arial" w:hAnsi="Arial"/>
        </w:rPr>
        <w:t xml:space="preserve"> </w:t>
      </w:r>
      <w:r w:rsidR="002542D3" w:rsidRPr="00F618D8">
        <w:rPr>
          <w:rFonts w:ascii="Arial" w:eastAsia="Arial" w:hAnsi="Arial"/>
        </w:rPr>
        <w:t>R</w:t>
      </w:r>
      <w:r w:rsidR="008B09FD" w:rsidRPr="00F618D8">
        <w:rPr>
          <w:rFonts w:ascii="Arial" w:eastAsia="Arial" w:hAnsi="Arial"/>
        </w:rPr>
        <w:t xml:space="preserve">eport </w:t>
      </w:r>
      <w:r w:rsidRPr="00F618D8">
        <w:rPr>
          <w:rFonts w:ascii="Arial" w:hAnsi="Arial"/>
        </w:rPr>
        <w:t>recommended that Congress and the Administration develop initiatives to produce effective and comprehensive data on guardianship. As on</w:t>
      </w:r>
      <w:r w:rsidR="008B09FD" w:rsidRPr="00F618D8">
        <w:rPr>
          <w:rFonts w:ascii="Arial" w:hAnsi="Arial"/>
        </w:rPr>
        <w:t>e</w:t>
      </w:r>
      <w:r w:rsidRPr="00F618D8">
        <w:rPr>
          <w:rFonts w:ascii="Arial" w:hAnsi="Arial"/>
        </w:rPr>
        <w:t xml:space="preserve"> scholar said: </w:t>
      </w:r>
      <w:bookmarkStart w:id="71" w:name="_Hlk5201823"/>
      <w:r w:rsidRPr="00F618D8">
        <w:rPr>
          <w:rFonts w:ascii="Arial" w:hAnsi="Arial"/>
        </w:rPr>
        <w:t>“The starting point of any major reform is an accurate picture of the policy in need of reform; in this case, that means at a minimum that states are able to count the number of incoming and outgoing adult guardianship in the state courts.”</w:t>
      </w:r>
      <w:bookmarkEnd w:id="71"/>
      <w:r w:rsidR="00B21AC3" w:rsidRPr="00F618D8">
        <w:rPr>
          <w:rFonts w:ascii="Arial" w:eastAsia="Calibri" w:hAnsi="Arial"/>
          <w:vertAlign w:val="superscript"/>
        </w:rPr>
        <w:t xml:space="preserve"> </w:t>
      </w:r>
      <w:r w:rsidR="00B21AC3" w:rsidRPr="00F618D8">
        <w:rPr>
          <w:rFonts w:ascii="Arial" w:eastAsia="Calibri" w:hAnsi="Arial"/>
          <w:vertAlign w:val="superscript"/>
        </w:rPr>
        <w:endnoteReference w:id="84"/>
      </w:r>
      <w:r w:rsidRPr="00F618D8">
        <w:rPr>
          <w:rFonts w:ascii="Arial" w:hAnsi="Arial"/>
        </w:rPr>
        <w:t xml:space="preserve"> In short, we collect data on issues that are important to us</w:t>
      </w:r>
      <w:r w:rsidR="00AA1F92" w:rsidRPr="00F618D8">
        <w:rPr>
          <w:rFonts w:ascii="Arial" w:hAnsi="Arial"/>
        </w:rPr>
        <w:t xml:space="preserve">. </w:t>
      </w:r>
      <w:r w:rsidR="005924B9" w:rsidRPr="00F618D8">
        <w:rPr>
          <w:rFonts w:ascii="Arial" w:hAnsi="Arial"/>
        </w:rPr>
        <w:t>G</w:t>
      </w:r>
      <w:r w:rsidRPr="00F618D8">
        <w:rPr>
          <w:rFonts w:ascii="Arial" w:hAnsi="Arial"/>
        </w:rPr>
        <w:t>uardianship should be one of those issues, given its impact on the civil rights of people with disabilities</w:t>
      </w:r>
      <w:r w:rsidR="003E281C" w:rsidRPr="00F618D8">
        <w:rPr>
          <w:rFonts w:ascii="Arial" w:hAnsi="Arial"/>
        </w:rPr>
        <w:t xml:space="preserve"> and the </w:t>
      </w:r>
      <w:r w:rsidR="006E5D6D" w:rsidRPr="00F618D8">
        <w:rPr>
          <w:rFonts w:ascii="Arial" w:hAnsi="Arial"/>
        </w:rPr>
        <w:t>potential impact o</w:t>
      </w:r>
      <w:r w:rsidR="00B21AC3" w:rsidRPr="00F618D8">
        <w:rPr>
          <w:rFonts w:ascii="Arial" w:hAnsi="Arial"/>
        </w:rPr>
        <w:t xml:space="preserve">n </w:t>
      </w:r>
      <w:r w:rsidR="006E5D6D" w:rsidRPr="00F618D8">
        <w:rPr>
          <w:rFonts w:ascii="Arial" w:hAnsi="Arial"/>
        </w:rPr>
        <w:t>their ability to live</w:t>
      </w:r>
      <w:r w:rsidR="005924B9" w:rsidRPr="00F618D8">
        <w:rPr>
          <w:rFonts w:ascii="Arial" w:hAnsi="Arial"/>
        </w:rPr>
        <w:t>, work, and participate</w:t>
      </w:r>
      <w:r w:rsidR="006E5D6D" w:rsidRPr="00F618D8">
        <w:rPr>
          <w:rFonts w:ascii="Arial" w:hAnsi="Arial"/>
        </w:rPr>
        <w:t xml:space="preserve"> in the communit</w:t>
      </w:r>
      <w:r w:rsidR="005924B9" w:rsidRPr="00F618D8">
        <w:rPr>
          <w:rFonts w:ascii="Arial" w:hAnsi="Arial"/>
        </w:rPr>
        <w:t>y</w:t>
      </w:r>
      <w:r w:rsidR="00AA1F92" w:rsidRPr="00F618D8">
        <w:rPr>
          <w:rFonts w:ascii="Arial" w:hAnsi="Arial"/>
        </w:rPr>
        <w:t xml:space="preserve">. </w:t>
      </w:r>
      <w:r w:rsidRPr="00F618D8">
        <w:rPr>
          <w:rFonts w:ascii="Arial" w:hAnsi="Arial"/>
        </w:rPr>
        <w:t xml:space="preserve"> </w:t>
      </w:r>
    </w:p>
    <w:p w14:paraId="567C57BF" w14:textId="491075FE" w:rsidR="002542D3" w:rsidRPr="00F618D8" w:rsidRDefault="002542D3" w:rsidP="00610EEF">
      <w:pPr>
        <w:pStyle w:val="ParaNoIndent"/>
        <w:rPr>
          <w:rFonts w:ascii="Arial" w:hAnsi="Arial"/>
        </w:rPr>
      </w:pPr>
      <w:bookmarkStart w:id="72" w:name="_Hlk5201927"/>
      <w:r w:rsidRPr="00F618D8">
        <w:rPr>
          <w:rFonts w:ascii="Arial" w:hAnsi="Arial"/>
        </w:rPr>
        <w:t>This project adopted a two-pronged approach to identify data-supported trends in guardianship and alternatives specific to people with ID/DD</w:t>
      </w:r>
      <w:r w:rsidR="00AA1F92" w:rsidRPr="00F618D8">
        <w:rPr>
          <w:rFonts w:ascii="Arial" w:hAnsi="Arial"/>
        </w:rPr>
        <w:t xml:space="preserve">. </w:t>
      </w:r>
      <w:r w:rsidRPr="00F618D8">
        <w:rPr>
          <w:rFonts w:ascii="Arial" w:hAnsi="Arial"/>
        </w:rPr>
        <w:t xml:space="preserve">First, it </w:t>
      </w:r>
      <w:r w:rsidR="00BD788E" w:rsidRPr="00F618D8">
        <w:rPr>
          <w:rFonts w:ascii="Arial" w:hAnsi="Arial"/>
        </w:rPr>
        <w:t>turned to</w:t>
      </w:r>
      <w:r w:rsidRPr="00F618D8">
        <w:rPr>
          <w:rFonts w:ascii="Arial" w:hAnsi="Arial"/>
        </w:rPr>
        <w:t xml:space="preserve"> National Core Indicator</w:t>
      </w:r>
      <w:r w:rsidR="00C302F8" w:rsidRPr="00F618D8">
        <w:rPr>
          <w:rFonts w:ascii="Arial" w:hAnsi="Arial"/>
        </w:rPr>
        <w:t xml:space="preserve"> (NCI)</w:t>
      </w:r>
      <w:r w:rsidRPr="00F618D8">
        <w:rPr>
          <w:rFonts w:ascii="Arial" w:hAnsi="Arial"/>
        </w:rPr>
        <w:t xml:space="preserve"> data</w:t>
      </w:r>
      <w:r w:rsidR="00BD788E" w:rsidRPr="00F618D8">
        <w:rPr>
          <w:rFonts w:ascii="Arial" w:hAnsi="Arial"/>
        </w:rPr>
        <w:t xml:space="preserve"> </w:t>
      </w:r>
      <w:r w:rsidR="00810C4A" w:rsidRPr="00F618D8">
        <w:rPr>
          <w:rFonts w:ascii="Arial" w:hAnsi="Arial"/>
        </w:rPr>
        <w:t xml:space="preserve">publicly </w:t>
      </w:r>
      <w:r w:rsidR="00BD788E" w:rsidRPr="00F618D8">
        <w:rPr>
          <w:rFonts w:ascii="Arial" w:hAnsi="Arial"/>
        </w:rPr>
        <w:t>available through the National Association of State Directors of Developmental Disabilities Services (</w:t>
      </w:r>
      <w:r w:rsidR="00810C4A" w:rsidRPr="00F618D8">
        <w:rPr>
          <w:rFonts w:ascii="Arial" w:hAnsi="Arial"/>
        </w:rPr>
        <w:t>NASDDDS</w:t>
      </w:r>
      <w:r w:rsidR="00BD788E" w:rsidRPr="00F618D8">
        <w:rPr>
          <w:rFonts w:ascii="Arial" w:hAnsi="Arial"/>
        </w:rPr>
        <w:t>) and the Human Services Research Institute (HSRI)</w:t>
      </w:r>
      <w:r w:rsidR="00C302F8" w:rsidRPr="00F618D8">
        <w:rPr>
          <w:rFonts w:ascii="Arial" w:hAnsi="Arial"/>
        </w:rPr>
        <w:t xml:space="preserve"> NCI initiative</w:t>
      </w:r>
      <w:r w:rsidR="00AA1F92" w:rsidRPr="00F618D8">
        <w:rPr>
          <w:rFonts w:ascii="Arial" w:hAnsi="Arial"/>
        </w:rPr>
        <w:t xml:space="preserve">. </w:t>
      </w:r>
      <w:r w:rsidRPr="00F618D8">
        <w:rPr>
          <w:rFonts w:ascii="Arial" w:hAnsi="Arial"/>
        </w:rPr>
        <w:t xml:space="preserve">This data is the result of surveys across the nation of people with ID/DD who receive publicly funded services through the state and includes information about guardianship and life outcome measures. The results of that </w:t>
      </w:r>
      <w:r w:rsidR="00810C4A" w:rsidRPr="00F618D8">
        <w:rPr>
          <w:rFonts w:ascii="Arial" w:hAnsi="Arial"/>
        </w:rPr>
        <w:t xml:space="preserve">NCD’s </w:t>
      </w:r>
      <w:r w:rsidR="00BD788E" w:rsidRPr="00F618D8">
        <w:rPr>
          <w:rFonts w:ascii="Arial" w:hAnsi="Arial"/>
        </w:rPr>
        <w:t>examination</w:t>
      </w:r>
      <w:r w:rsidRPr="00F618D8">
        <w:rPr>
          <w:rFonts w:ascii="Arial" w:hAnsi="Arial"/>
        </w:rPr>
        <w:t xml:space="preserve"> are summarized in this chapter</w:t>
      </w:r>
      <w:r w:rsidR="00810C4A" w:rsidRPr="00F618D8">
        <w:rPr>
          <w:rFonts w:ascii="Arial" w:hAnsi="Arial"/>
        </w:rPr>
        <w:t xml:space="preserve"> and Appendix B and C</w:t>
      </w:r>
      <w:r w:rsidR="00AA1F92" w:rsidRPr="00F618D8">
        <w:rPr>
          <w:rFonts w:ascii="Arial" w:hAnsi="Arial"/>
        </w:rPr>
        <w:t xml:space="preserve">. </w:t>
      </w:r>
      <w:r w:rsidRPr="00F618D8">
        <w:rPr>
          <w:rFonts w:ascii="Arial" w:hAnsi="Arial"/>
        </w:rPr>
        <w:t>Second, this project conducted a “deep dive” analysis of guardianship’s impact on people with ID/DD within the District of Columbia, the nation’s capital, including identifying and analyzing ID/DD specific data points that are not yet publicly available in other jurisdictions. The results of that analysis are summarized in Chapter 5.</w:t>
      </w:r>
    </w:p>
    <w:p w14:paraId="7B3F1413" w14:textId="178B790D" w:rsidR="00A95CE2" w:rsidRPr="00F618D8" w:rsidRDefault="00BD788E" w:rsidP="00610EEF">
      <w:pPr>
        <w:pStyle w:val="Heading2"/>
        <w:rPr>
          <w:rFonts w:ascii="Arial" w:hAnsi="Arial" w:cs="Arial"/>
        </w:rPr>
      </w:pPr>
      <w:bookmarkStart w:id="73" w:name="_Toc10290963"/>
      <w:bookmarkEnd w:id="72"/>
      <w:r w:rsidRPr="00F618D8">
        <w:rPr>
          <w:rFonts w:ascii="Arial" w:hAnsi="Arial" w:cs="Arial"/>
        </w:rPr>
        <w:lastRenderedPageBreak/>
        <w:t xml:space="preserve">Review </w:t>
      </w:r>
      <w:r w:rsidR="00A95CE2" w:rsidRPr="00F618D8">
        <w:rPr>
          <w:rFonts w:ascii="Arial" w:hAnsi="Arial" w:cs="Arial"/>
        </w:rPr>
        <w:t>of National NCI Data</w:t>
      </w:r>
      <w:bookmarkEnd w:id="73"/>
      <w:r w:rsidR="00A95CE2" w:rsidRPr="00F618D8">
        <w:rPr>
          <w:rFonts w:ascii="Arial" w:hAnsi="Arial" w:cs="Arial"/>
        </w:rPr>
        <w:t xml:space="preserve"> </w:t>
      </w:r>
    </w:p>
    <w:p w14:paraId="3DF20700" w14:textId="7B30F4A7" w:rsidR="002542D3" w:rsidRPr="00F618D8" w:rsidRDefault="002542D3" w:rsidP="00610EEF">
      <w:pPr>
        <w:pStyle w:val="ParaNoIndent"/>
        <w:rPr>
          <w:rFonts w:ascii="Arial" w:eastAsia="Arial" w:hAnsi="Arial"/>
        </w:rPr>
      </w:pPr>
      <w:r w:rsidRPr="00F618D8">
        <w:rPr>
          <w:rFonts w:ascii="Arial" w:hAnsi="Arial"/>
        </w:rPr>
        <w:t>National Core Indicators (NCI) (</w:t>
      </w:r>
      <w:hyperlink r:id="rId13" w:tooltip="https://www.nationalcoreindicators.org/" w:history="1">
        <w:r w:rsidRPr="00F618D8">
          <w:rPr>
            <w:rStyle w:val="Hyperlink"/>
          </w:rPr>
          <w:t>https://www.nationalcoreindicators.org/</w:t>
        </w:r>
      </w:hyperlink>
      <w:r w:rsidRPr="00F618D8">
        <w:rPr>
          <w:rFonts w:ascii="Arial" w:hAnsi="Arial"/>
        </w:rPr>
        <w:t>) are standard measures to assess the outcomes of services provided by public developmental disabilities agencies to adults with ID/DD. Indicators address key areas of concern including employment, rights, service planning, community inclusion, choice</w:t>
      </w:r>
      <w:r w:rsidR="00E5647B" w:rsidRPr="00F618D8">
        <w:rPr>
          <w:rFonts w:ascii="Arial" w:hAnsi="Arial"/>
        </w:rPr>
        <w:t>,</w:t>
      </w:r>
      <w:r w:rsidRPr="00F618D8">
        <w:rPr>
          <w:rFonts w:ascii="Arial" w:hAnsi="Arial"/>
        </w:rPr>
        <w:t xml:space="preserve"> and health and safety. </w:t>
      </w:r>
      <w:r w:rsidR="00810C4A" w:rsidRPr="00F618D8">
        <w:rPr>
          <w:rFonts w:ascii="Arial" w:hAnsi="Arial"/>
        </w:rPr>
        <w:t>Using the NCI website developed by HSRI and NASDDS, u</w:t>
      </w:r>
      <w:r w:rsidRPr="00F618D8">
        <w:rPr>
          <w:rFonts w:ascii="Arial" w:hAnsi="Arial"/>
        </w:rPr>
        <w:t>sers can generate charts</w:t>
      </w:r>
      <w:r w:rsidR="00810C4A" w:rsidRPr="00F618D8">
        <w:rPr>
          <w:rFonts w:ascii="Arial" w:hAnsi="Arial"/>
        </w:rPr>
        <w:t xml:space="preserve"> </w:t>
      </w:r>
      <w:r w:rsidRPr="00F618D8">
        <w:rPr>
          <w:rFonts w:ascii="Arial" w:hAnsi="Arial"/>
        </w:rPr>
        <w:t>related to specific outcome measures</w:t>
      </w:r>
      <w:r w:rsidR="00810C4A" w:rsidRPr="00F618D8">
        <w:rPr>
          <w:rFonts w:ascii="Arial" w:hAnsi="Arial"/>
        </w:rPr>
        <w:t xml:space="preserve"> with NCI data from the years 20</w:t>
      </w:r>
      <w:r w:rsidR="00094BA6" w:rsidRPr="00F618D8">
        <w:rPr>
          <w:rFonts w:ascii="Arial" w:hAnsi="Arial"/>
        </w:rPr>
        <w:t>0</w:t>
      </w:r>
      <w:r w:rsidR="00810C4A" w:rsidRPr="00F618D8">
        <w:rPr>
          <w:rFonts w:ascii="Arial" w:hAnsi="Arial"/>
        </w:rPr>
        <w:t>8</w:t>
      </w:r>
      <w:r w:rsidR="005C4A6C" w:rsidRPr="00F618D8">
        <w:rPr>
          <w:rFonts w:ascii="Arial" w:hAnsi="Arial"/>
        </w:rPr>
        <w:t>-</w:t>
      </w:r>
      <w:r w:rsidR="00810C4A" w:rsidRPr="00F618D8">
        <w:rPr>
          <w:rFonts w:ascii="Arial" w:hAnsi="Arial"/>
        </w:rPr>
        <w:t>-</w:t>
      </w:r>
      <w:r w:rsidR="00094BA6" w:rsidRPr="00F618D8">
        <w:rPr>
          <w:rFonts w:ascii="Arial" w:hAnsi="Arial"/>
        </w:rPr>
        <w:t>0</w:t>
      </w:r>
      <w:r w:rsidR="00810C4A" w:rsidRPr="00F618D8">
        <w:rPr>
          <w:rFonts w:ascii="Arial" w:hAnsi="Arial"/>
        </w:rPr>
        <w:t>9 through 2015-</w:t>
      </w:r>
      <w:r w:rsidR="00A14F11" w:rsidRPr="00F618D8">
        <w:rPr>
          <w:rFonts w:ascii="Arial" w:hAnsi="Arial"/>
        </w:rPr>
        <w:t>16.</w:t>
      </w:r>
      <w:r w:rsidR="001570CD" w:rsidRPr="00F618D8">
        <w:rPr>
          <w:rFonts w:ascii="Arial" w:hAnsi="Arial"/>
        </w:rPr>
        <w:t xml:space="preserve"> </w:t>
      </w:r>
      <w:r w:rsidRPr="00F618D8">
        <w:rPr>
          <w:rFonts w:ascii="Arial" w:hAnsi="Arial"/>
        </w:rPr>
        <w:t xml:space="preserve">Most importantly for the purpose of this report, </w:t>
      </w:r>
      <w:r w:rsidR="00810C4A" w:rsidRPr="00F618D8">
        <w:rPr>
          <w:rFonts w:ascii="Arial" w:hAnsi="Arial"/>
        </w:rPr>
        <w:t>the</w:t>
      </w:r>
      <w:r w:rsidR="00BD788E" w:rsidRPr="00F618D8">
        <w:rPr>
          <w:rFonts w:ascii="Arial" w:hAnsi="Arial"/>
        </w:rPr>
        <w:t xml:space="preserve"> NCI Chart Generator </w:t>
      </w:r>
      <w:r w:rsidRPr="00F618D8">
        <w:rPr>
          <w:rFonts w:ascii="Arial" w:hAnsi="Arial"/>
        </w:rPr>
        <w:t>can filter</w:t>
      </w:r>
      <w:r w:rsidR="00BD788E" w:rsidRPr="00F618D8">
        <w:rPr>
          <w:rFonts w:ascii="Arial" w:hAnsi="Arial"/>
        </w:rPr>
        <w:t xml:space="preserve"> data </w:t>
      </w:r>
      <w:r w:rsidRPr="00F618D8">
        <w:rPr>
          <w:rFonts w:ascii="Arial" w:hAnsi="Arial"/>
        </w:rPr>
        <w:t>by whether the person has a legal guardian</w:t>
      </w:r>
      <w:r w:rsidR="00A278E2" w:rsidRPr="00F618D8">
        <w:rPr>
          <w:rFonts w:ascii="Arial" w:hAnsi="Arial"/>
        </w:rPr>
        <w:t xml:space="preserve"> or not</w:t>
      </w:r>
      <w:r w:rsidR="00810C4A" w:rsidRPr="00F618D8">
        <w:rPr>
          <w:rFonts w:ascii="Arial" w:hAnsi="Arial"/>
        </w:rPr>
        <w:t>.</w:t>
      </w:r>
      <w:r w:rsidR="0036552E" w:rsidRPr="00F618D8">
        <w:rPr>
          <w:rFonts w:ascii="Arial" w:hAnsi="Arial"/>
        </w:rPr>
        <w:t xml:space="preserve"> Users can also filter results </w:t>
      </w:r>
      <w:r w:rsidRPr="00F618D8">
        <w:rPr>
          <w:rFonts w:ascii="Arial" w:hAnsi="Arial"/>
        </w:rPr>
        <w:t>by race, ethnicity, gender, age, and type of residence, among other key demographics</w:t>
      </w:r>
      <w:r w:rsidR="00AA1F92" w:rsidRPr="00F618D8">
        <w:rPr>
          <w:rFonts w:ascii="Arial" w:hAnsi="Arial"/>
        </w:rPr>
        <w:t xml:space="preserve">. </w:t>
      </w:r>
      <w:r w:rsidRPr="00F618D8">
        <w:rPr>
          <w:rFonts w:ascii="Arial" w:hAnsi="Arial"/>
        </w:rPr>
        <w:t xml:space="preserve">While </w:t>
      </w:r>
      <w:r w:rsidRPr="00F618D8">
        <w:rPr>
          <w:rFonts w:ascii="Arial" w:eastAsia="Arial" w:hAnsi="Arial"/>
        </w:rPr>
        <w:t xml:space="preserve">not comprehensive of all persons with ID/DD in the United States, the NCI data is one of the only sources of nationwide data on people with ID/DD and guardianship. </w:t>
      </w:r>
    </w:p>
    <w:p w14:paraId="09036CA3" w14:textId="0D242436" w:rsidR="002542D3" w:rsidRPr="00F618D8" w:rsidRDefault="002542D3" w:rsidP="00610EEF">
      <w:pPr>
        <w:pStyle w:val="ParaNoIndent"/>
        <w:rPr>
          <w:rFonts w:ascii="Arial" w:hAnsi="Arial"/>
        </w:rPr>
      </w:pPr>
      <w:bookmarkStart w:id="74" w:name="_Hlk5264501"/>
      <w:r w:rsidRPr="00F618D8">
        <w:rPr>
          <w:rFonts w:ascii="Arial" w:hAnsi="Arial"/>
        </w:rPr>
        <w:t xml:space="preserve">NCD </w:t>
      </w:r>
      <w:r w:rsidR="00BD788E" w:rsidRPr="00F618D8">
        <w:rPr>
          <w:rFonts w:ascii="Arial" w:hAnsi="Arial"/>
        </w:rPr>
        <w:t xml:space="preserve">used the NCI Chart </w:t>
      </w:r>
      <w:r w:rsidR="00810C4A" w:rsidRPr="00F618D8">
        <w:rPr>
          <w:rFonts w:ascii="Arial" w:hAnsi="Arial"/>
        </w:rPr>
        <w:t xml:space="preserve">Generator </w:t>
      </w:r>
      <w:r w:rsidR="00BD788E" w:rsidRPr="00F618D8">
        <w:rPr>
          <w:rFonts w:ascii="Arial" w:hAnsi="Arial"/>
        </w:rPr>
        <w:t xml:space="preserve">to </w:t>
      </w:r>
      <w:r w:rsidR="00810C4A" w:rsidRPr="00F618D8">
        <w:rPr>
          <w:rFonts w:ascii="Arial" w:hAnsi="Arial"/>
        </w:rPr>
        <w:t>review</w:t>
      </w:r>
      <w:r w:rsidR="00BD788E" w:rsidRPr="00F618D8">
        <w:rPr>
          <w:rFonts w:ascii="Arial" w:hAnsi="Arial"/>
        </w:rPr>
        <w:t xml:space="preserve"> relevant data from 2008</w:t>
      </w:r>
      <w:r w:rsidR="00810C4A" w:rsidRPr="00F618D8">
        <w:rPr>
          <w:rFonts w:ascii="Arial" w:hAnsi="Arial"/>
        </w:rPr>
        <w:t>-09</w:t>
      </w:r>
      <w:r w:rsidR="00BD788E" w:rsidRPr="00F618D8">
        <w:rPr>
          <w:rFonts w:ascii="Arial" w:hAnsi="Arial"/>
        </w:rPr>
        <w:t xml:space="preserve"> to </w:t>
      </w:r>
      <w:r w:rsidR="00810C4A" w:rsidRPr="00F618D8">
        <w:rPr>
          <w:rFonts w:ascii="Arial" w:hAnsi="Arial"/>
        </w:rPr>
        <w:t>2015-</w:t>
      </w:r>
      <w:r w:rsidR="00BD788E" w:rsidRPr="00F618D8">
        <w:rPr>
          <w:rFonts w:ascii="Arial" w:hAnsi="Arial"/>
        </w:rPr>
        <w:t xml:space="preserve">16.  </w:t>
      </w:r>
      <w:r w:rsidR="00094BA6" w:rsidRPr="00F618D8">
        <w:rPr>
          <w:rFonts w:ascii="Arial" w:hAnsi="Arial"/>
        </w:rPr>
        <w:t xml:space="preserve">We </w:t>
      </w:r>
      <w:r w:rsidR="00BD788E" w:rsidRPr="00F618D8">
        <w:rPr>
          <w:rFonts w:ascii="Arial" w:hAnsi="Arial"/>
        </w:rPr>
        <w:t>also reviewed the NCI In</w:t>
      </w:r>
      <w:r w:rsidR="00810C4A" w:rsidRPr="00F618D8">
        <w:rPr>
          <w:rFonts w:ascii="Arial" w:hAnsi="Arial"/>
        </w:rPr>
        <w:t>-</w:t>
      </w:r>
      <w:r w:rsidR="00BD788E" w:rsidRPr="00F618D8">
        <w:rPr>
          <w:rFonts w:ascii="Arial" w:hAnsi="Arial"/>
        </w:rPr>
        <w:t>Person Survey National Reports for 2016-17 and 2017-18</w:t>
      </w:r>
      <w:r w:rsidR="00810C4A" w:rsidRPr="00F618D8">
        <w:rPr>
          <w:rFonts w:ascii="Arial" w:hAnsi="Arial"/>
        </w:rPr>
        <w:t xml:space="preserve">, which were published by HSRI and NASDDDS in May 2018 and March 2019, respectively, and </w:t>
      </w:r>
      <w:r w:rsidR="00BD788E" w:rsidRPr="00F618D8">
        <w:rPr>
          <w:rFonts w:ascii="Arial" w:hAnsi="Arial"/>
        </w:rPr>
        <w:t>include</w:t>
      </w:r>
      <w:r w:rsidR="005C4A6C" w:rsidRPr="00F618D8">
        <w:rPr>
          <w:rFonts w:ascii="Arial" w:hAnsi="Arial"/>
        </w:rPr>
        <w:t>d</w:t>
      </w:r>
      <w:r w:rsidR="00BD788E" w:rsidRPr="00F618D8">
        <w:rPr>
          <w:rFonts w:ascii="Arial" w:hAnsi="Arial"/>
        </w:rPr>
        <w:t xml:space="preserve"> </w:t>
      </w:r>
      <w:r w:rsidR="00810C4A" w:rsidRPr="00F618D8">
        <w:rPr>
          <w:rFonts w:ascii="Arial" w:hAnsi="Arial"/>
        </w:rPr>
        <w:t xml:space="preserve">NCI </w:t>
      </w:r>
      <w:r w:rsidR="00BD788E" w:rsidRPr="00F618D8">
        <w:rPr>
          <w:rFonts w:ascii="Arial" w:hAnsi="Arial"/>
        </w:rPr>
        <w:t>data points that are not available for filtering through the NCI Chart Generator.</w:t>
      </w:r>
      <w:r w:rsidR="00AA1F92" w:rsidRPr="00F618D8">
        <w:rPr>
          <w:rFonts w:ascii="Arial" w:hAnsi="Arial"/>
        </w:rPr>
        <w:t xml:space="preserve"> </w:t>
      </w:r>
      <w:r w:rsidRPr="00F618D8">
        <w:rPr>
          <w:rFonts w:ascii="Arial" w:hAnsi="Arial"/>
        </w:rPr>
        <w:t xml:space="preserve">NCD’s </w:t>
      </w:r>
      <w:r w:rsidR="00810C4A" w:rsidRPr="00F618D8">
        <w:rPr>
          <w:rFonts w:ascii="Arial" w:hAnsi="Arial"/>
        </w:rPr>
        <w:t>review</w:t>
      </w:r>
      <w:r w:rsidRPr="00F618D8">
        <w:rPr>
          <w:rFonts w:ascii="Arial" w:hAnsi="Arial"/>
        </w:rPr>
        <w:t xml:space="preserve"> of </w:t>
      </w:r>
      <w:r w:rsidR="00810C4A" w:rsidRPr="00F618D8">
        <w:rPr>
          <w:rFonts w:ascii="Arial" w:hAnsi="Arial"/>
        </w:rPr>
        <w:t>this</w:t>
      </w:r>
      <w:r w:rsidRPr="00F618D8">
        <w:rPr>
          <w:rFonts w:ascii="Arial" w:hAnsi="Arial"/>
        </w:rPr>
        <w:t xml:space="preserve"> data by state is set forth in Appendix B as a table, </w:t>
      </w:r>
      <w:bookmarkEnd w:id="74"/>
      <w:r w:rsidRPr="00F618D8">
        <w:rPr>
          <w:rFonts w:ascii="Arial" w:hAnsi="Arial"/>
        </w:rPr>
        <w:t>which includes the percentage of people with ID/DD in guardianship (limited, full</w:t>
      </w:r>
      <w:r w:rsidR="00BD788E" w:rsidRPr="00F618D8">
        <w:rPr>
          <w:rFonts w:ascii="Arial" w:hAnsi="Arial"/>
        </w:rPr>
        <w:t>,</w:t>
      </w:r>
      <w:r w:rsidRPr="00F618D8">
        <w:rPr>
          <w:rFonts w:ascii="Arial" w:hAnsi="Arial"/>
        </w:rPr>
        <w:t xml:space="preserve"> or the scope of which </w:t>
      </w:r>
      <w:r w:rsidR="00814247" w:rsidRPr="00F618D8">
        <w:rPr>
          <w:rFonts w:ascii="Arial" w:hAnsi="Arial"/>
        </w:rPr>
        <w:t xml:space="preserve">was </w:t>
      </w:r>
      <w:r w:rsidRPr="00F618D8">
        <w:rPr>
          <w:rFonts w:ascii="Arial" w:hAnsi="Arial"/>
        </w:rPr>
        <w:t xml:space="preserve">undetermined) </w:t>
      </w:r>
      <w:r w:rsidR="00C302F8" w:rsidRPr="00F618D8">
        <w:rPr>
          <w:rFonts w:ascii="Arial" w:hAnsi="Arial"/>
        </w:rPr>
        <w:t xml:space="preserve">and the NCI Average </w:t>
      </w:r>
      <w:r w:rsidRPr="00F618D8">
        <w:rPr>
          <w:rFonts w:ascii="Arial" w:hAnsi="Arial"/>
        </w:rPr>
        <w:t>by year from 2008</w:t>
      </w:r>
      <w:r w:rsidR="00BD788E" w:rsidRPr="00F618D8">
        <w:rPr>
          <w:rFonts w:ascii="Arial" w:hAnsi="Arial"/>
        </w:rPr>
        <w:t xml:space="preserve"> to </w:t>
      </w:r>
      <w:r w:rsidR="00A14F11" w:rsidRPr="00F618D8">
        <w:rPr>
          <w:rFonts w:ascii="Arial" w:hAnsi="Arial"/>
        </w:rPr>
        <w:t>2018.</w:t>
      </w:r>
      <w:r w:rsidR="00AA1F92" w:rsidRPr="00F618D8">
        <w:rPr>
          <w:rFonts w:ascii="Arial" w:hAnsi="Arial"/>
        </w:rPr>
        <w:t xml:space="preserve"> </w:t>
      </w:r>
      <w:r w:rsidRPr="00F618D8">
        <w:rPr>
          <w:rFonts w:ascii="Arial" w:hAnsi="Arial"/>
        </w:rPr>
        <w:t>While the District of Columbia</w:t>
      </w:r>
      <w:r w:rsidR="00C302F8" w:rsidRPr="00F618D8">
        <w:rPr>
          <w:rFonts w:ascii="Arial" w:hAnsi="Arial"/>
        </w:rPr>
        <w:t xml:space="preserve"> and all U.S. states except Iowa, Montana, North Dakota, and West Virginia</w:t>
      </w:r>
      <w:r w:rsidRPr="00F618D8">
        <w:rPr>
          <w:rFonts w:ascii="Arial" w:hAnsi="Arial"/>
        </w:rPr>
        <w:t xml:space="preserve"> have participated in the NCI initiative, </w:t>
      </w:r>
      <w:r w:rsidR="00C302F8" w:rsidRPr="00F618D8">
        <w:rPr>
          <w:rFonts w:ascii="Arial" w:hAnsi="Arial"/>
        </w:rPr>
        <w:t>Alaska, Idaho, and Nebraska did not have</w:t>
      </w:r>
      <w:r w:rsidRPr="00F618D8">
        <w:rPr>
          <w:rFonts w:ascii="Arial" w:hAnsi="Arial"/>
        </w:rPr>
        <w:t xml:space="preserve"> guardianship-specific data </w:t>
      </w:r>
      <w:r w:rsidR="00C302F8" w:rsidRPr="00F618D8">
        <w:rPr>
          <w:rFonts w:ascii="Arial" w:hAnsi="Arial"/>
        </w:rPr>
        <w:t xml:space="preserve">available through </w:t>
      </w:r>
      <w:r w:rsidRPr="00F618D8">
        <w:rPr>
          <w:rFonts w:ascii="Arial" w:hAnsi="Arial"/>
        </w:rPr>
        <w:t>the NCI Chart Generator</w:t>
      </w:r>
      <w:r w:rsidR="00C302F8" w:rsidRPr="00F618D8">
        <w:rPr>
          <w:rFonts w:ascii="Arial" w:hAnsi="Arial"/>
        </w:rPr>
        <w:t>.</w:t>
      </w:r>
      <w:r w:rsidR="00AA1F92" w:rsidRPr="00F618D8">
        <w:rPr>
          <w:rFonts w:ascii="Arial" w:hAnsi="Arial"/>
        </w:rPr>
        <w:t xml:space="preserve"> </w:t>
      </w:r>
      <w:r w:rsidR="00BD788E" w:rsidRPr="00F618D8">
        <w:rPr>
          <w:rFonts w:ascii="Arial" w:hAnsi="Arial"/>
        </w:rPr>
        <w:t xml:space="preserve">Relevant information relating to the state percentage of guardianships was available for Idaho </w:t>
      </w:r>
      <w:r w:rsidR="00810C4A" w:rsidRPr="00F618D8">
        <w:rPr>
          <w:rFonts w:ascii="Arial" w:hAnsi="Arial"/>
        </w:rPr>
        <w:t>i</w:t>
      </w:r>
      <w:r w:rsidR="00BD788E" w:rsidRPr="00F618D8">
        <w:rPr>
          <w:rFonts w:ascii="Arial" w:hAnsi="Arial"/>
        </w:rPr>
        <w:t>n the 2016-17 NCI In</w:t>
      </w:r>
      <w:r w:rsidR="00810C4A" w:rsidRPr="00F618D8">
        <w:rPr>
          <w:rFonts w:ascii="Arial" w:hAnsi="Arial"/>
        </w:rPr>
        <w:t>-</w:t>
      </w:r>
      <w:r w:rsidR="00BD788E" w:rsidRPr="00F618D8">
        <w:rPr>
          <w:rFonts w:ascii="Arial" w:hAnsi="Arial"/>
        </w:rPr>
        <w:t>Person Survey National Report</w:t>
      </w:r>
      <w:r w:rsidR="00810C4A" w:rsidRPr="00F618D8">
        <w:rPr>
          <w:rFonts w:ascii="Arial" w:hAnsi="Arial"/>
        </w:rPr>
        <w:t xml:space="preserve"> and for Nebraska in the 2016-17 and 2017-18 NCI In-Person Survey National Reports</w:t>
      </w:r>
      <w:r w:rsidR="00A14F11" w:rsidRPr="00F618D8">
        <w:rPr>
          <w:rFonts w:ascii="Arial" w:hAnsi="Arial"/>
        </w:rPr>
        <w:t>.</w:t>
      </w:r>
    </w:p>
    <w:p w14:paraId="636B5053" w14:textId="3E90B69D" w:rsidR="002542D3" w:rsidRPr="00F618D8" w:rsidRDefault="00810C4A" w:rsidP="00610EEF">
      <w:pPr>
        <w:pStyle w:val="ParaNoIndent"/>
        <w:rPr>
          <w:rFonts w:ascii="Arial" w:hAnsi="Arial"/>
        </w:rPr>
      </w:pPr>
      <w:r w:rsidRPr="00F618D8">
        <w:rPr>
          <w:rFonts w:ascii="Arial" w:hAnsi="Arial"/>
        </w:rPr>
        <w:t xml:space="preserve">As reflected in Appendix </w:t>
      </w:r>
      <w:r w:rsidR="00A14F11" w:rsidRPr="00F618D8">
        <w:rPr>
          <w:rFonts w:ascii="Arial" w:hAnsi="Arial"/>
        </w:rPr>
        <w:t>B, trending</w:t>
      </w:r>
      <w:r w:rsidR="0004451D" w:rsidRPr="00F618D8">
        <w:rPr>
          <w:rFonts w:ascii="Arial" w:hAnsi="Arial"/>
        </w:rPr>
        <w:t xml:space="preserve"> of </w:t>
      </w:r>
      <w:r w:rsidR="002542D3" w:rsidRPr="00F618D8">
        <w:rPr>
          <w:rFonts w:ascii="Arial" w:hAnsi="Arial"/>
        </w:rPr>
        <w:t xml:space="preserve">NCI </w:t>
      </w:r>
      <w:r w:rsidR="00A14F11" w:rsidRPr="00F618D8">
        <w:rPr>
          <w:rFonts w:ascii="Arial" w:hAnsi="Arial"/>
        </w:rPr>
        <w:t>data sheds</w:t>
      </w:r>
      <w:r w:rsidR="002542D3" w:rsidRPr="00F618D8">
        <w:rPr>
          <w:rFonts w:ascii="Arial" w:hAnsi="Arial"/>
        </w:rPr>
        <w:t xml:space="preserve"> light on the prevalence of guardianship across participating states:</w:t>
      </w:r>
    </w:p>
    <w:p w14:paraId="26F57950" w14:textId="20C9EDFB" w:rsidR="002542D3" w:rsidRPr="00F618D8" w:rsidRDefault="002542D3" w:rsidP="00610EEF">
      <w:pPr>
        <w:pStyle w:val="ListParagraph"/>
        <w:rPr>
          <w:rFonts w:ascii="Arial" w:hAnsi="Arial" w:cs="Arial"/>
        </w:rPr>
      </w:pPr>
      <w:bookmarkStart w:id="75" w:name="_Hlk5264602"/>
      <w:bookmarkStart w:id="76" w:name="_Toc809863"/>
      <w:r w:rsidRPr="00F618D8">
        <w:rPr>
          <w:rFonts w:ascii="Arial" w:hAnsi="Arial" w:cs="Arial"/>
        </w:rPr>
        <w:t>The reported percentage of people with ID/DD in guardianship</w:t>
      </w:r>
      <w:r w:rsidR="00BD788E" w:rsidRPr="00F618D8">
        <w:rPr>
          <w:rFonts w:ascii="Arial" w:hAnsi="Arial" w:cs="Arial"/>
        </w:rPr>
        <w:t xml:space="preserve"> (full, limited, or of undetermined scope)</w:t>
      </w:r>
      <w:r w:rsidRPr="00F618D8">
        <w:rPr>
          <w:rFonts w:ascii="Arial" w:hAnsi="Arial" w:cs="Arial"/>
        </w:rPr>
        <w:t xml:space="preserve"> varies widely between states</w:t>
      </w:r>
      <w:r w:rsidR="00AA1F92" w:rsidRPr="00F618D8">
        <w:rPr>
          <w:rFonts w:ascii="Arial" w:hAnsi="Arial" w:cs="Arial"/>
        </w:rPr>
        <w:t xml:space="preserve">. </w:t>
      </w:r>
      <w:r w:rsidRPr="00F618D8">
        <w:rPr>
          <w:rFonts w:ascii="Arial" w:hAnsi="Arial" w:cs="Arial"/>
        </w:rPr>
        <w:t>In 201</w:t>
      </w:r>
      <w:r w:rsidR="00BD788E" w:rsidRPr="00F618D8">
        <w:rPr>
          <w:rFonts w:ascii="Arial" w:hAnsi="Arial" w:cs="Arial"/>
        </w:rPr>
        <w:t>7</w:t>
      </w:r>
      <w:r w:rsidRPr="00F618D8">
        <w:rPr>
          <w:rFonts w:ascii="Arial" w:hAnsi="Arial" w:cs="Arial"/>
        </w:rPr>
        <w:t>-1</w:t>
      </w:r>
      <w:r w:rsidR="00BD788E" w:rsidRPr="00F618D8">
        <w:rPr>
          <w:rFonts w:ascii="Arial" w:hAnsi="Arial" w:cs="Arial"/>
        </w:rPr>
        <w:t>8</w:t>
      </w:r>
      <w:r w:rsidRPr="00F618D8">
        <w:rPr>
          <w:rFonts w:ascii="Arial" w:hAnsi="Arial" w:cs="Arial"/>
        </w:rPr>
        <w:t xml:space="preserve">, the highest were </w:t>
      </w:r>
      <w:r w:rsidR="00BD788E" w:rsidRPr="00F618D8">
        <w:rPr>
          <w:rFonts w:ascii="Arial" w:hAnsi="Arial" w:cs="Arial"/>
        </w:rPr>
        <w:lastRenderedPageBreak/>
        <w:t xml:space="preserve">Nebraska (89 percent), </w:t>
      </w:r>
      <w:r w:rsidRPr="00F618D8">
        <w:rPr>
          <w:rFonts w:ascii="Arial" w:hAnsi="Arial" w:cs="Arial"/>
        </w:rPr>
        <w:t>Connecticut (8</w:t>
      </w:r>
      <w:r w:rsidR="00BD788E" w:rsidRPr="00F618D8">
        <w:rPr>
          <w:rFonts w:ascii="Arial" w:hAnsi="Arial" w:cs="Arial"/>
        </w:rPr>
        <w:t>4</w:t>
      </w:r>
      <w:r w:rsidR="00814247" w:rsidRPr="00F618D8">
        <w:rPr>
          <w:rFonts w:ascii="Arial" w:hAnsi="Arial" w:cs="Arial"/>
        </w:rPr>
        <w:t xml:space="preserve"> percent</w:t>
      </w:r>
      <w:r w:rsidRPr="00F618D8">
        <w:rPr>
          <w:rFonts w:ascii="Arial" w:hAnsi="Arial" w:cs="Arial"/>
        </w:rPr>
        <w:t>), Missouri (8</w:t>
      </w:r>
      <w:r w:rsidR="00BD788E" w:rsidRPr="00F618D8">
        <w:rPr>
          <w:rFonts w:ascii="Arial" w:hAnsi="Arial" w:cs="Arial"/>
        </w:rPr>
        <w:t>2</w:t>
      </w:r>
      <w:r w:rsidR="00814247" w:rsidRPr="00F618D8">
        <w:rPr>
          <w:rFonts w:ascii="Arial" w:hAnsi="Arial" w:cs="Arial"/>
        </w:rPr>
        <w:t xml:space="preserve"> percent</w:t>
      </w:r>
      <w:r w:rsidRPr="00F618D8">
        <w:rPr>
          <w:rFonts w:ascii="Arial" w:hAnsi="Arial" w:cs="Arial"/>
        </w:rPr>
        <w:t xml:space="preserve">), </w:t>
      </w:r>
      <w:r w:rsidR="00BD788E" w:rsidRPr="00F618D8">
        <w:rPr>
          <w:rFonts w:ascii="Arial" w:hAnsi="Arial" w:cs="Arial"/>
        </w:rPr>
        <w:t xml:space="preserve">Michigan (81 percent), and North Carolina (75 percent) </w:t>
      </w:r>
      <w:r w:rsidRPr="00F618D8">
        <w:rPr>
          <w:rFonts w:ascii="Arial" w:hAnsi="Arial" w:cs="Arial"/>
        </w:rPr>
        <w:t xml:space="preserve">, and the lowest were </w:t>
      </w:r>
      <w:r w:rsidR="00BD788E" w:rsidRPr="00F618D8">
        <w:rPr>
          <w:rFonts w:ascii="Arial" w:hAnsi="Arial" w:cs="Arial"/>
        </w:rPr>
        <w:t xml:space="preserve">Delaware </w:t>
      </w:r>
      <w:r w:rsidRPr="00F618D8">
        <w:rPr>
          <w:rFonts w:ascii="Arial" w:hAnsi="Arial" w:cs="Arial"/>
        </w:rPr>
        <w:t>(</w:t>
      </w:r>
      <w:r w:rsidR="00BD788E" w:rsidRPr="00F618D8">
        <w:rPr>
          <w:rFonts w:ascii="Arial" w:hAnsi="Arial" w:cs="Arial"/>
        </w:rPr>
        <w:t>5</w:t>
      </w:r>
      <w:r w:rsidR="00814247" w:rsidRPr="00F618D8">
        <w:rPr>
          <w:rFonts w:ascii="Arial" w:hAnsi="Arial" w:cs="Arial"/>
        </w:rPr>
        <w:t xml:space="preserve"> percent</w:t>
      </w:r>
      <w:r w:rsidRPr="00F618D8">
        <w:rPr>
          <w:rFonts w:ascii="Arial" w:hAnsi="Arial" w:cs="Arial"/>
        </w:rPr>
        <w:t xml:space="preserve">), </w:t>
      </w:r>
      <w:r w:rsidR="00BD788E" w:rsidRPr="00F618D8">
        <w:rPr>
          <w:rFonts w:ascii="Arial" w:hAnsi="Arial" w:cs="Arial"/>
        </w:rPr>
        <w:t xml:space="preserve">South Carolina (9 percent), </w:t>
      </w:r>
      <w:r w:rsidRPr="00F618D8">
        <w:rPr>
          <w:rFonts w:ascii="Arial" w:hAnsi="Arial" w:cs="Arial"/>
        </w:rPr>
        <w:t>Georgia (16</w:t>
      </w:r>
      <w:r w:rsidR="00814247" w:rsidRPr="00F618D8">
        <w:rPr>
          <w:rFonts w:ascii="Arial" w:hAnsi="Arial" w:cs="Arial"/>
        </w:rPr>
        <w:t xml:space="preserve"> percent</w:t>
      </w:r>
      <w:r w:rsidRPr="00F618D8">
        <w:rPr>
          <w:rFonts w:ascii="Arial" w:hAnsi="Arial" w:cs="Arial"/>
        </w:rPr>
        <w:t xml:space="preserve">), </w:t>
      </w:r>
      <w:r w:rsidR="00BD788E" w:rsidRPr="00F618D8">
        <w:rPr>
          <w:rFonts w:ascii="Arial" w:hAnsi="Arial" w:cs="Arial"/>
        </w:rPr>
        <w:t xml:space="preserve">Louisiana (16 percent), and </w:t>
      </w:r>
      <w:r w:rsidRPr="00F618D8">
        <w:rPr>
          <w:rFonts w:ascii="Arial" w:hAnsi="Arial" w:cs="Arial"/>
        </w:rPr>
        <w:t>Pennsylvania (18</w:t>
      </w:r>
      <w:r w:rsidR="00814247" w:rsidRPr="00F618D8">
        <w:rPr>
          <w:rFonts w:ascii="Arial" w:hAnsi="Arial" w:cs="Arial"/>
        </w:rPr>
        <w:t xml:space="preserve"> percent</w:t>
      </w:r>
      <w:r w:rsidRPr="00F618D8">
        <w:rPr>
          <w:rFonts w:ascii="Arial" w:hAnsi="Arial" w:cs="Arial"/>
        </w:rPr>
        <w:t>)</w:t>
      </w:r>
      <w:r w:rsidR="00AA1F92" w:rsidRPr="00F618D8">
        <w:rPr>
          <w:rFonts w:ascii="Arial" w:hAnsi="Arial" w:cs="Arial"/>
        </w:rPr>
        <w:t>.</w:t>
      </w:r>
      <w:bookmarkEnd w:id="75"/>
      <w:r w:rsidR="00AA1F92" w:rsidRPr="00F618D8">
        <w:rPr>
          <w:rFonts w:ascii="Arial" w:hAnsi="Arial" w:cs="Arial"/>
        </w:rPr>
        <w:t xml:space="preserve"> </w:t>
      </w:r>
      <w:r w:rsidRPr="00F618D8">
        <w:rPr>
          <w:rFonts w:ascii="Arial" w:hAnsi="Arial" w:cs="Arial"/>
        </w:rPr>
        <w:t>In 201</w:t>
      </w:r>
      <w:r w:rsidR="00BD788E" w:rsidRPr="00F618D8">
        <w:rPr>
          <w:rFonts w:ascii="Arial" w:hAnsi="Arial" w:cs="Arial"/>
        </w:rPr>
        <w:t>7</w:t>
      </w:r>
      <w:r w:rsidRPr="00F618D8">
        <w:rPr>
          <w:rFonts w:ascii="Arial" w:hAnsi="Arial" w:cs="Arial"/>
        </w:rPr>
        <w:t>-1</w:t>
      </w:r>
      <w:r w:rsidR="00BD788E" w:rsidRPr="00F618D8">
        <w:rPr>
          <w:rFonts w:ascii="Arial" w:hAnsi="Arial" w:cs="Arial"/>
        </w:rPr>
        <w:t>8</w:t>
      </w:r>
      <w:r w:rsidRPr="00F618D8">
        <w:rPr>
          <w:rFonts w:ascii="Arial" w:hAnsi="Arial" w:cs="Arial"/>
        </w:rPr>
        <w:t>, most people with ID/DD surveyed in 2</w:t>
      </w:r>
      <w:r w:rsidR="00BD788E" w:rsidRPr="00F618D8">
        <w:rPr>
          <w:rFonts w:ascii="Arial" w:hAnsi="Arial" w:cs="Arial"/>
        </w:rPr>
        <w:t>0</w:t>
      </w:r>
      <w:r w:rsidRPr="00F618D8">
        <w:rPr>
          <w:rFonts w:ascii="Arial" w:hAnsi="Arial" w:cs="Arial"/>
        </w:rPr>
        <w:t xml:space="preserve"> of the </w:t>
      </w:r>
      <w:r w:rsidR="00BD788E" w:rsidRPr="00F618D8">
        <w:rPr>
          <w:rFonts w:ascii="Arial" w:hAnsi="Arial" w:cs="Arial"/>
        </w:rPr>
        <w:t>3</w:t>
      </w:r>
      <w:r w:rsidR="00810C4A" w:rsidRPr="00F618D8">
        <w:rPr>
          <w:rFonts w:ascii="Arial" w:hAnsi="Arial" w:cs="Arial"/>
        </w:rPr>
        <w:t>6</w:t>
      </w:r>
      <w:r w:rsidR="00BD788E" w:rsidRPr="00F618D8">
        <w:rPr>
          <w:rFonts w:ascii="Arial" w:hAnsi="Arial" w:cs="Arial"/>
        </w:rPr>
        <w:t xml:space="preserve"> </w:t>
      </w:r>
      <w:r w:rsidRPr="00F618D8">
        <w:rPr>
          <w:rFonts w:ascii="Arial" w:hAnsi="Arial" w:cs="Arial"/>
        </w:rPr>
        <w:t xml:space="preserve">participating </w:t>
      </w:r>
      <w:r w:rsidR="00810C4A" w:rsidRPr="00F618D8">
        <w:rPr>
          <w:rFonts w:ascii="Arial" w:hAnsi="Arial" w:cs="Arial"/>
        </w:rPr>
        <w:t xml:space="preserve">jurisdictions included in the 2017-18 NCI In-Person Survey National Report that year </w:t>
      </w:r>
      <w:r w:rsidRPr="00F618D8">
        <w:rPr>
          <w:rFonts w:ascii="Arial" w:hAnsi="Arial" w:cs="Arial"/>
        </w:rPr>
        <w:t>had guardians</w:t>
      </w:r>
      <w:bookmarkStart w:id="77" w:name="_Hlk529316955"/>
      <w:r w:rsidRPr="00F618D8">
        <w:rPr>
          <w:rFonts w:ascii="Arial" w:hAnsi="Arial" w:cs="Arial"/>
        </w:rPr>
        <w:t>.</w:t>
      </w:r>
      <w:bookmarkEnd w:id="76"/>
      <w:r w:rsidRPr="00F618D8">
        <w:rPr>
          <w:rFonts w:ascii="Arial" w:hAnsi="Arial" w:cs="Arial"/>
        </w:rPr>
        <w:t xml:space="preserve"> </w:t>
      </w:r>
    </w:p>
    <w:p w14:paraId="323BC0E3" w14:textId="11DD3DA9" w:rsidR="002542D3" w:rsidRPr="00F618D8" w:rsidRDefault="002542D3" w:rsidP="00610EEF">
      <w:pPr>
        <w:pStyle w:val="ListParagraph"/>
        <w:rPr>
          <w:rFonts w:ascii="Arial" w:hAnsi="Arial" w:cs="Arial"/>
        </w:rPr>
      </w:pPr>
      <w:r w:rsidRPr="00F618D8">
        <w:rPr>
          <w:rFonts w:ascii="Arial" w:hAnsi="Arial" w:cs="Arial"/>
        </w:rPr>
        <w:t xml:space="preserve">The overall </w:t>
      </w:r>
      <w:r w:rsidR="00BD788E" w:rsidRPr="00F618D8">
        <w:rPr>
          <w:rFonts w:ascii="Arial" w:hAnsi="Arial" w:cs="Arial"/>
        </w:rPr>
        <w:t>average of state percentages of</w:t>
      </w:r>
      <w:r w:rsidRPr="00F618D8">
        <w:rPr>
          <w:rFonts w:ascii="Arial" w:hAnsi="Arial" w:cs="Arial"/>
        </w:rPr>
        <w:t xml:space="preserve"> people with ID/DD in </w:t>
      </w:r>
      <w:r w:rsidR="00BD788E" w:rsidRPr="00F618D8">
        <w:rPr>
          <w:rFonts w:ascii="Arial" w:hAnsi="Arial" w:cs="Arial"/>
        </w:rPr>
        <w:t xml:space="preserve">some form of </w:t>
      </w:r>
      <w:r w:rsidRPr="00F618D8">
        <w:rPr>
          <w:rFonts w:ascii="Arial" w:hAnsi="Arial" w:cs="Arial"/>
        </w:rPr>
        <w:t xml:space="preserve">guardianship has </w:t>
      </w:r>
      <w:r w:rsidR="00BD788E" w:rsidRPr="00F618D8">
        <w:rPr>
          <w:rFonts w:ascii="Arial" w:hAnsi="Arial" w:cs="Arial"/>
        </w:rPr>
        <w:t xml:space="preserve">ranged between 45 and 55 percent </w:t>
      </w:r>
      <w:r w:rsidR="00810C4A" w:rsidRPr="00F618D8">
        <w:rPr>
          <w:rFonts w:ascii="Arial" w:hAnsi="Arial" w:cs="Arial"/>
        </w:rPr>
        <w:t xml:space="preserve">annually </w:t>
      </w:r>
      <w:r w:rsidR="00BD788E" w:rsidRPr="00F618D8">
        <w:rPr>
          <w:rFonts w:ascii="Arial" w:hAnsi="Arial" w:cs="Arial"/>
        </w:rPr>
        <w:t>across the ten years of NCI data reviewed.</w:t>
      </w:r>
      <w:r w:rsidR="001570CD" w:rsidRPr="00F618D8">
        <w:rPr>
          <w:rFonts w:ascii="Arial" w:hAnsi="Arial" w:cs="Arial"/>
        </w:rPr>
        <w:t xml:space="preserve"> </w:t>
      </w:r>
      <w:bookmarkEnd w:id="77"/>
      <w:r w:rsidR="00810C4A" w:rsidRPr="00F618D8">
        <w:rPr>
          <w:rFonts w:ascii="Arial" w:hAnsi="Arial" w:cs="Arial"/>
        </w:rPr>
        <w:t xml:space="preserve">The NCI Averages of cases of guardianship across participating states ranged between 43 and 53 percent annually during that ten year time period.  </w:t>
      </w:r>
      <w:r w:rsidRPr="00F618D8">
        <w:rPr>
          <w:rFonts w:ascii="Arial" w:hAnsi="Arial" w:cs="Arial"/>
        </w:rPr>
        <w:t>Of the 1</w:t>
      </w:r>
      <w:r w:rsidR="00BD788E" w:rsidRPr="00F618D8">
        <w:rPr>
          <w:rFonts w:ascii="Arial" w:hAnsi="Arial" w:cs="Arial"/>
        </w:rPr>
        <w:t>7</w:t>
      </w:r>
      <w:r w:rsidRPr="00F618D8">
        <w:rPr>
          <w:rFonts w:ascii="Arial" w:hAnsi="Arial" w:cs="Arial"/>
        </w:rPr>
        <w:t xml:space="preserve"> states that have NCI data available from both the 2008-09 and 201</w:t>
      </w:r>
      <w:r w:rsidR="00BD788E" w:rsidRPr="00F618D8">
        <w:rPr>
          <w:rFonts w:ascii="Arial" w:hAnsi="Arial" w:cs="Arial"/>
        </w:rPr>
        <w:t>7</w:t>
      </w:r>
      <w:r w:rsidRPr="00F618D8">
        <w:rPr>
          <w:rFonts w:ascii="Arial" w:hAnsi="Arial" w:cs="Arial"/>
        </w:rPr>
        <w:t>-1</w:t>
      </w:r>
      <w:r w:rsidR="00BD788E" w:rsidRPr="00F618D8">
        <w:rPr>
          <w:rFonts w:ascii="Arial" w:hAnsi="Arial" w:cs="Arial"/>
        </w:rPr>
        <w:t>8</w:t>
      </w:r>
      <w:r w:rsidRPr="00F618D8">
        <w:rPr>
          <w:rFonts w:ascii="Arial" w:hAnsi="Arial" w:cs="Arial"/>
        </w:rPr>
        <w:t xml:space="preserve"> reporting periods, most</w:t>
      </w:r>
      <w:r w:rsidR="00BD788E" w:rsidRPr="00F618D8">
        <w:rPr>
          <w:rFonts w:ascii="Arial" w:hAnsi="Arial" w:cs="Arial"/>
        </w:rPr>
        <w:t xml:space="preserve"> had </w:t>
      </w:r>
      <w:r w:rsidR="00810C4A" w:rsidRPr="00F618D8">
        <w:rPr>
          <w:rFonts w:ascii="Arial" w:hAnsi="Arial" w:cs="Arial"/>
        </w:rPr>
        <w:t xml:space="preserve">guardianship percentage </w:t>
      </w:r>
      <w:r w:rsidR="00BD788E" w:rsidRPr="00F618D8">
        <w:rPr>
          <w:rFonts w:ascii="Arial" w:hAnsi="Arial" w:cs="Arial"/>
        </w:rPr>
        <w:t>increases, some of which were relatively small – i.e., Alabama (1 percent), South Carolina (2 percent), Ohio (6 percent), Pennsylvania (6 percent) – and others that were more significant – i.e., New York (10 percent), Wyoming (11 percent), Arkansas (12 percent), North Carolina (12 percent), Connecticut (14 percent), and Indiana (19 percent).</w:t>
      </w:r>
      <w:r w:rsidR="0036552E" w:rsidRPr="00F618D8">
        <w:rPr>
          <w:rFonts w:ascii="Arial" w:hAnsi="Arial" w:cs="Arial"/>
        </w:rPr>
        <w:t xml:space="preserve"> </w:t>
      </w:r>
      <w:r w:rsidR="00BD788E" w:rsidRPr="00F618D8">
        <w:rPr>
          <w:rFonts w:ascii="Arial" w:hAnsi="Arial" w:cs="Arial"/>
        </w:rPr>
        <w:t>Three states – Louisiana, Missouri, and Oklahoma – had no change in the percentage of people with ID/DD in guardianships in 20</w:t>
      </w:r>
      <w:r w:rsidR="00810C4A" w:rsidRPr="00F618D8">
        <w:rPr>
          <w:rFonts w:ascii="Arial" w:hAnsi="Arial" w:cs="Arial"/>
        </w:rPr>
        <w:t xml:space="preserve">08-09 </w:t>
      </w:r>
      <w:r w:rsidR="00BD788E" w:rsidRPr="00F618D8">
        <w:rPr>
          <w:rFonts w:ascii="Arial" w:hAnsi="Arial" w:cs="Arial"/>
        </w:rPr>
        <w:t>compared to the percentage in 20</w:t>
      </w:r>
      <w:r w:rsidR="00810C4A" w:rsidRPr="00F618D8">
        <w:rPr>
          <w:rFonts w:ascii="Arial" w:hAnsi="Arial" w:cs="Arial"/>
        </w:rPr>
        <w:t>17</w:t>
      </w:r>
      <w:r w:rsidR="00BD788E" w:rsidRPr="00F618D8">
        <w:rPr>
          <w:rFonts w:ascii="Arial" w:hAnsi="Arial" w:cs="Arial"/>
        </w:rPr>
        <w:t>-</w:t>
      </w:r>
      <w:r w:rsidR="00810C4A" w:rsidRPr="00F618D8">
        <w:rPr>
          <w:rFonts w:ascii="Arial" w:hAnsi="Arial" w:cs="Arial"/>
        </w:rPr>
        <w:t>18</w:t>
      </w:r>
      <w:r w:rsidR="00BD788E" w:rsidRPr="00F618D8">
        <w:rPr>
          <w:rFonts w:ascii="Arial" w:hAnsi="Arial" w:cs="Arial"/>
        </w:rPr>
        <w:t xml:space="preserve">.  Five states had decreases in the percentage of people with ID/DD in guardianship, four of which were relatively modest – i.e., Massachusetts (minus 2 percent), Georgia (minus 5 percent), Kentucky (minus 8 percent) and Illinois (minus 8 percent).  </w:t>
      </w:r>
      <w:r w:rsidR="00810C4A" w:rsidRPr="00F618D8">
        <w:rPr>
          <w:rFonts w:ascii="Arial" w:hAnsi="Arial" w:cs="Arial"/>
        </w:rPr>
        <w:t>Based solely on those t</w:t>
      </w:r>
      <w:r w:rsidR="00BD788E" w:rsidRPr="00F618D8">
        <w:rPr>
          <w:rFonts w:ascii="Arial" w:hAnsi="Arial" w:cs="Arial"/>
        </w:rPr>
        <w:t xml:space="preserve">wo-years-worth of NCI data, Delaware had the most significant decrease – minus 24 percent.  </w:t>
      </w:r>
    </w:p>
    <w:p w14:paraId="3963A19A" w14:textId="22332486" w:rsidR="002542D3" w:rsidRPr="00F618D8" w:rsidRDefault="002542D3" w:rsidP="00610EEF">
      <w:pPr>
        <w:pStyle w:val="ListParagraph"/>
        <w:rPr>
          <w:rFonts w:ascii="Arial" w:hAnsi="Arial" w:cs="Arial"/>
        </w:rPr>
      </w:pPr>
      <w:bookmarkStart w:id="78" w:name="_Toc809864"/>
      <w:r w:rsidRPr="00F618D8">
        <w:rPr>
          <w:rFonts w:ascii="Arial" w:hAnsi="Arial" w:cs="Arial"/>
        </w:rPr>
        <w:t>Based on the individual states’ average, whe</w:t>
      </w:r>
      <w:r w:rsidR="00810C4A" w:rsidRPr="00F618D8">
        <w:rPr>
          <w:rFonts w:ascii="Arial" w:hAnsi="Arial" w:cs="Arial"/>
        </w:rPr>
        <w:t>n</w:t>
      </w:r>
      <w:r w:rsidRPr="00F618D8">
        <w:rPr>
          <w:rFonts w:ascii="Arial" w:hAnsi="Arial" w:cs="Arial"/>
        </w:rPr>
        <w:t xml:space="preserve"> a person is in guardianship, most are full guardianships. Only California and the District of Columbia </w:t>
      </w:r>
      <w:r w:rsidR="00BD788E" w:rsidRPr="00F618D8">
        <w:rPr>
          <w:rFonts w:ascii="Arial" w:hAnsi="Arial" w:cs="Arial"/>
        </w:rPr>
        <w:t xml:space="preserve">regularly </w:t>
      </w:r>
      <w:r w:rsidRPr="00F618D8">
        <w:rPr>
          <w:rFonts w:ascii="Arial" w:hAnsi="Arial" w:cs="Arial"/>
        </w:rPr>
        <w:t>had more limited guardianships than full guardianships.</w:t>
      </w:r>
      <w:bookmarkEnd w:id="78"/>
      <w:r w:rsidR="00BD788E" w:rsidRPr="00F618D8">
        <w:rPr>
          <w:rFonts w:ascii="Arial" w:hAnsi="Arial" w:cs="Arial"/>
        </w:rPr>
        <w:t xml:space="preserve">  However, that trend changed for the District of Columbia in </w:t>
      </w:r>
      <w:r w:rsidR="00810C4A" w:rsidRPr="00F618D8">
        <w:rPr>
          <w:rFonts w:ascii="Arial" w:hAnsi="Arial" w:cs="Arial"/>
        </w:rPr>
        <w:t xml:space="preserve">the years </w:t>
      </w:r>
      <w:r w:rsidR="00BD788E" w:rsidRPr="00F618D8">
        <w:rPr>
          <w:rFonts w:ascii="Arial" w:hAnsi="Arial" w:cs="Arial"/>
        </w:rPr>
        <w:t>2016-17 and 2017-18, when the percentage of full guardianships became slightly higher than limited ones.</w:t>
      </w:r>
      <w:r w:rsidRPr="00F618D8">
        <w:rPr>
          <w:rFonts w:ascii="Arial" w:hAnsi="Arial" w:cs="Arial"/>
        </w:rPr>
        <w:t xml:space="preserve"> </w:t>
      </w:r>
    </w:p>
    <w:p w14:paraId="3E3B6251" w14:textId="1B05DC1A" w:rsidR="002542D3" w:rsidRPr="00F618D8" w:rsidRDefault="00BD788E" w:rsidP="00610EEF">
      <w:pPr>
        <w:pStyle w:val="ListParagraph"/>
        <w:rPr>
          <w:rFonts w:ascii="Arial" w:hAnsi="Arial" w:cs="Arial"/>
        </w:rPr>
      </w:pPr>
      <w:bookmarkStart w:id="79" w:name="_Toc809865"/>
      <w:r w:rsidRPr="00F618D8">
        <w:rPr>
          <w:rFonts w:ascii="Arial" w:hAnsi="Arial" w:cs="Arial"/>
        </w:rPr>
        <w:t>In terms of the</w:t>
      </w:r>
      <w:r w:rsidR="002542D3" w:rsidRPr="00F618D8">
        <w:rPr>
          <w:rFonts w:ascii="Arial" w:hAnsi="Arial" w:cs="Arial"/>
        </w:rPr>
        <w:t xml:space="preserve"> five states that apply entirely separate guardianship statutes to people with ID/DD, </w:t>
      </w:r>
      <w:r w:rsidR="001570CD" w:rsidRPr="00F618D8">
        <w:rPr>
          <w:rFonts w:ascii="Arial" w:hAnsi="Arial" w:cs="Arial"/>
        </w:rPr>
        <w:t>t</w:t>
      </w:r>
      <w:r w:rsidR="002542D3" w:rsidRPr="00F618D8">
        <w:rPr>
          <w:rFonts w:ascii="Arial" w:hAnsi="Arial" w:cs="Arial"/>
        </w:rPr>
        <w:t xml:space="preserve">wo were well under the overall state average </w:t>
      </w:r>
      <w:r w:rsidRPr="00F618D8">
        <w:rPr>
          <w:rFonts w:ascii="Arial" w:hAnsi="Arial" w:cs="Arial"/>
        </w:rPr>
        <w:t xml:space="preserve">percentage </w:t>
      </w:r>
      <w:r w:rsidR="002542D3" w:rsidRPr="00F618D8">
        <w:rPr>
          <w:rFonts w:ascii="Arial" w:hAnsi="Arial" w:cs="Arial"/>
        </w:rPr>
        <w:t>of 49</w:t>
      </w:r>
      <w:r w:rsidR="00A043EC" w:rsidRPr="00F618D8">
        <w:rPr>
          <w:rFonts w:ascii="Arial" w:hAnsi="Arial" w:cs="Arial"/>
        </w:rPr>
        <w:t xml:space="preserve"> percent—</w:t>
      </w:r>
      <w:r w:rsidR="002542D3" w:rsidRPr="00F618D8">
        <w:rPr>
          <w:rFonts w:ascii="Arial" w:hAnsi="Arial" w:cs="Arial"/>
        </w:rPr>
        <w:t xml:space="preserve">namely California (overall annual </w:t>
      </w:r>
      <w:r w:rsidRPr="00F618D8">
        <w:rPr>
          <w:rFonts w:ascii="Arial" w:hAnsi="Arial" w:cs="Arial"/>
        </w:rPr>
        <w:t>average</w:t>
      </w:r>
      <w:r w:rsidR="002542D3" w:rsidRPr="00F618D8">
        <w:rPr>
          <w:rFonts w:ascii="Arial" w:hAnsi="Arial" w:cs="Arial"/>
        </w:rPr>
        <w:t xml:space="preserve"> of 2</w:t>
      </w:r>
      <w:r w:rsidRPr="00F618D8">
        <w:rPr>
          <w:rFonts w:ascii="Arial" w:hAnsi="Arial" w:cs="Arial"/>
        </w:rPr>
        <w:t>3</w:t>
      </w:r>
      <w:r w:rsidR="00A043EC" w:rsidRPr="00F618D8">
        <w:rPr>
          <w:rFonts w:ascii="Arial" w:hAnsi="Arial" w:cs="Arial"/>
        </w:rPr>
        <w:t xml:space="preserve"> percent</w:t>
      </w:r>
      <w:r w:rsidR="002542D3" w:rsidRPr="00F618D8">
        <w:rPr>
          <w:rFonts w:ascii="Arial" w:hAnsi="Arial" w:cs="Arial"/>
        </w:rPr>
        <w:t xml:space="preserve">) and New York (overall </w:t>
      </w:r>
      <w:r w:rsidR="002542D3" w:rsidRPr="00F618D8">
        <w:rPr>
          <w:rFonts w:ascii="Arial" w:hAnsi="Arial" w:cs="Arial"/>
        </w:rPr>
        <w:lastRenderedPageBreak/>
        <w:t xml:space="preserve">annual </w:t>
      </w:r>
      <w:r w:rsidRPr="00F618D8">
        <w:rPr>
          <w:rFonts w:ascii="Arial" w:hAnsi="Arial" w:cs="Arial"/>
        </w:rPr>
        <w:t xml:space="preserve">average </w:t>
      </w:r>
      <w:r w:rsidR="002542D3" w:rsidRPr="00F618D8">
        <w:rPr>
          <w:rFonts w:ascii="Arial" w:hAnsi="Arial" w:cs="Arial"/>
        </w:rPr>
        <w:t>of 3</w:t>
      </w:r>
      <w:r w:rsidRPr="00F618D8">
        <w:rPr>
          <w:rFonts w:ascii="Arial" w:hAnsi="Arial" w:cs="Arial"/>
        </w:rPr>
        <w:t>4</w:t>
      </w:r>
      <w:r w:rsidR="00A043EC" w:rsidRPr="00F618D8">
        <w:rPr>
          <w:rFonts w:ascii="Arial" w:hAnsi="Arial" w:cs="Arial"/>
        </w:rPr>
        <w:t xml:space="preserve"> percent</w:t>
      </w:r>
      <w:r w:rsidR="002542D3" w:rsidRPr="00F618D8">
        <w:rPr>
          <w:rFonts w:ascii="Arial" w:hAnsi="Arial" w:cs="Arial"/>
        </w:rPr>
        <w:t>)</w:t>
      </w:r>
      <w:r w:rsidR="00AA1F92" w:rsidRPr="00F618D8">
        <w:rPr>
          <w:rFonts w:ascii="Arial" w:hAnsi="Arial" w:cs="Arial"/>
        </w:rPr>
        <w:t xml:space="preserve">. </w:t>
      </w:r>
      <w:r w:rsidR="002542D3" w:rsidRPr="00F618D8">
        <w:rPr>
          <w:rFonts w:ascii="Arial" w:hAnsi="Arial" w:cs="Arial"/>
        </w:rPr>
        <w:t xml:space="preserve">The other </w:t>
      </w:r>
      <w:r w:rsidRPr="00F618D8">
        <w:rPr>
          <w:rFonts w:ascii="Arial" w:hAnsi="Arial" w:cs="Arial"/>
        </w:rPr>
        <w:t>three</w:t>
      </w:r>
      <w:r w:rsidR="00A043EC" w:rsidRPr="00F618D8">
        <w:rPr>
          <w:rFonts w:ascii="Arial" w:hAnsi="Arial" w:cs="Arial"/>
        </w:rPr>
        <w:t>—</w:t>
      </w:r>
      <w:r w:rsidR="002542D3" w:rsidRPr="00F618D8">
        <w:rPr>
          <w:rFonts w:ascii="Arial" w:hAnsi="Arial" w:cs="Arial"/>
        </w:rPr>
        <w:t>namely</w:t>
      </w:r>
      <w:r w:rsidRPr="00F618D8">
        <w:rPr>
          <w:rFonts w:ascii="Arial" w:hAnsi="Arial" w:cs="Arial"/>
        </w:rPr>
        <w:t xml:space="preserve"> Idaho (overall annual average of 58 percent)</w:t>
      </w:r>
      <w:r w:rsidR="002542D3" w:rsidRPr="00F618D8">
        <w:rPr>
          <w:rFonts w:ascii="Arial" w:hAnsi="Arial" w:cs="Arial"/>
        </w:rPr>
        <w:t xml:space="preserve"> Michigan (overall annual </w:t>
      </w:r>
      <w:r w:rsidRPr="00F618D8">
        <w:rPr>
          <w:rFonts w:ascii="Arial" w:hAnsi="Arial" w:cs="Arial"/>
        </w:rPr>
        <w:t>average</w:t>
      </w:r>
      <w:r w:rsidR="002542D3" w:rsidRPr="00F618D8">
        <w:rPr>
          <w:rFonts w:ascii="Arial" w:hAnsi="Arial" w:cs="Arial"/>
        </w:rPr>
        <w:t xml:space="preserve"> of 7</w:t>
      </w:r>
      <w:r w:rsidRPr="00F618D8">
        <w:rPr>
          <w:rFonts w:ascii="Arial" w:hAnsi="Arial" w:cs="Arial"/>
        </w:rPr>
        <w:t>6</w:t>
      </w:r>
      <w:r w:rsidR="00A043EC" w:rsidRPr="00F618D8">
        <w:rPr>
          <w:rFonts w:ascii="Arial" w:hAnsi="Arial" w:cs="Arial"/>
        </w:rPr>
        <w:t xml:space="preserve"> percent</w:t>
      </w:r>
      <w:r w:rsidR="002542D3" w:rsidRPr="00F618D8">
        <w:rPr>
          <w:rFonts w:ascii="Arial" w:hAnsi="Arial" w:cs="Arial"/>
        </w:rPr>
        <w:t xml:space="preserve">) and Connecticut (overall annual mean of </w:t>
      </w:r>
      <w:r w:rsidRPr="00F618D8">
        <w:rPr>
          <w:rFonts w:ascii="Arial" w:hAnsi="Arial" w:cs="Arial"/>
        </w:rPr>
        <w:t>80</w:t>
      </w:r>
      <w:r w:rsidR="00A043EC" w:rsidRPr="00F618D8">
        <w:rPr>
          <w:rFonts w:ascii="Arial" w:hAnsi="Arial" w:cs="Arial"/>
        </w:rPr>
        <w:t xml:space="preserve"> percent</w:t>
      </w:r>
      <w:r w:rsidR="002542D3" w:rsidRPr="00F618D8">
        <w:rPr>
          <w:rFonts w:ascii="Arial" w:hAnsi="Arial" w:cs="Arial"/>
        </w:rPr>
        <w:t>) were well above that overall state average</w:t>
      </w:r>
      <w:r w:rsidR="00AA1F92" w:rsidRPr="00F618D8">
        <w:rPr>
          <w:rFonts w:ascii="Arial" w:hAnsi="Arial" w:cs="Arial"/>
        </w:rPr>
        <w:t xml:space="preserve">. </w:t>
      </w:r>
      <w:r w:rsidR="002542D3" w:rsidRPr="00F618D8">
        <w:rPr>
          <w:rFonts w:ascii="Arial" w:hAnsi="Arial" w:cs="Arial"/>
        </w:rPr>
        <w:t>This suggests that whether a person with ID/DD is under guardianship may have very little to do with the type of guardianship law that is applied to them</w:t>
      </w:r>
      <w:r w:rsidR="00AA1F92" w:rsidRPr="00F618D8">
        <w:rPr>
          <w:rFonts w:ascii="Arial" w:hAnsi="Arial" w:cs="Arial"/>
        </w:rPr>
        <w:t>.</w:t>
      </w:r>
      <w:bookmarkEnd w:id="79"/>
      <w:r w:rsidR="00AA1F92" w:rsidRPr="00F618D8">
        <w:rPr>
          <w:rFonts w:ascii="Arial" w:hAnsi="Arial" w:cs="Arial"/>
        </w:rPr>
        <w:t xml:space="preserve"> </w:t>
      </w:r>
      <w:r w:rsidR="002542D3" w:rsidRPr="00F618D8">
        <w:rPr>
          <w:rFonts w:ascii="Arial" w:hAnsi="Arial" w:cs="Arial"/>
        </w:rPr>
        <w:t xml:space="preserve"> </w:t>
      </w:r>
    </w:p>
    <w:p w14:paraId="7C340C0B" w14:textId="5CB07912" w:rsidR="00BD788E" w:rsidRPr="00F618D8" w:rsidRDefault="002542D3" w:rsidP="00610EEF">
      <w:pPr>
        <w:pStyle w:val="ParaNoIndent"/>
        <w:rPr>
          <w:rFonts w:ascii="Arial" w:hAnsi="Arial"/>
        </w:rPr>
      </w:pPr>
      <w:bookmarkStart w:id="80" w:name="_Toc809866"/>
      <w:r w:rsidRPr="00F618D8">
        <w:rPr>
          <w:rFonts w:ascii="Arial" w:hAnsi="Arial"/>
        </w:rPr>
        <w:t xml:space="preserve">Appendix C </w:t>
      </w:r>
      <w:r w:rsidR="00810C4A" w:rsidRPr="00F618D8">
        <w:rPr>
          <w:rFonts w:ascii="Arial" w:hAnsi="Arial"/>
        </w:rPr>
        <w:t xml:space="preserve">tabulates </w:t>
      </w:r>
      <w:r w:rsidRPr="00F618D8">
        <w:rPr>
          <w:rFonts w:ascii="Arial" w:hAnsi="Arial"/>
        </w:rPr>
        <w:t>additional NCI guardianship data by gender</w:t>
      </w:r>
      <w:r w:rsidR="00BD788E" w:rsidRPr="00F618D8">
        <w:rPr>
          <w:rFonts w:ascii="Arial" w:hAnsi="Arial"/>
        </w:rPr>
        <w:t xml:space="preserve"> and</w:t>
      </w:r>
      <w:r w:rsidRPr="00F618D8">
        <w:rPr>
          <w:rFonts w:ascii="Arial" w:hAnsi="Arial"/>
        </w:rPr>
        <w:t xml:space="preserve"> race/ethnicit</w:t>
      </w:r>
      <w:r w:rsidR="00BD788E" w:rsidRPr="00F618D8">
        <w:rPr>
          <w:rFonts w:ascii="Arial" w:hAnsi="Arial"/>
        </w:rPr>
        <w:t xml:space="preserve">y and was developed </w:t>
      </w:r>
      <w:r w:rsidR="00810C4A" w:rsidRPr="00F618D8">
        <w:rPr>
          <w:rFonts w:ascii="Arial" w:hAnsi="Arial"/>
        </w:rPr>
        <w:t xml:space="preserve">by NCD </w:t>
      </w:r>
      <w:r w:rsidR="00BD788E" w:rsidRPr="00F618D8">
        <w:rPr>
          <w:rFonts w:ascii="Arial" w:hAnsi="Arial"/>
        </w:rPr>
        <w:t xml:space="preserve">through the use of the NCI Chart Generator, which is currently limited to data from 2008-09 through 2015-16. </w:t>
      </w:r>
      <w:r w:rsidR="0036552E" w:rsidRPr="00F618D8">
        <w:rPr>
          <w:rFonts w:ascii="Arial" w:hAnsi="Arial"/>
        </w:rPr>
        <w:t xml:space="preserve">NCD’s review of that data indicates that </w:t>
      </w:r>
      <w:r w:rsidR="00BD788E" w:rsidRPr="00F618D8">
        <w:rPr>
          <w:rFonts w:ascii="Arial" w:hAnsi="Arial"/>
        </w:rPr>
        <w:t xml:space="preserve">here is no significant difference between the percentage of male and female participants who have guardians (annual average 48 percent versus 49 percent), but the percentage of people with ID/DD who have guardians was highly variable by race and ethnicity.  </w:t>
      </w:r>
    </w:p>
    <w:p w14:paraId="7F6E4B2C" w14:textId="66769160" w:rsidR="00BD788E" w:rsidRPr="00F618D8" w:rsidRDefault="00094BA6" w:rsidP="00610EEF">
      <w:pPr>
        <w:pStyle w:val="ParaNoIndent"/>
        <w:rPr>
          <w:rFonts w:ascii="Arial" w:hAnsi="Arial"/>
        </w:rPr>
      </w:pPr>
      <w:r w:rsidRPr="00F618D8">
        <w:rPr>
          <w:rFonts w:ascii="Arial" w:hAnsi="Arial"/>
        </w:rPr>
        <w:t xml:space="preserve">After this report was nearly completed in </w:t>
      </w:r>
      <w:r w:rsidR="00BD788E" w:rsidRPr="00F618D8">
        <w:rPr>
          <w:rFonts w:ascii="Arial" w:hAnsi="Arial"/>
        </w:rPr>
        <w:t xml:space="preserve">April 2019, </w:t>
      </w:r>
      <w:r w:rsidR="00810C4A" w:rsidRPr="00F618D8">
        <w:rPr>
          <w:rFonts w:ascii="Arial" w:hAnsi="Arial"/>
        </w:rPr>
        <w:t>NASDDDS</w:t>
      </w:r>
      <w:r w:rsidR="00BD788E" w:rsidRPr="00F618D8">
        <w:rPr>
          <w:rFonts w:ascii="Arial" w:hAnsi="Arial"/>
        </w:rPr>
        <w:t xml:space="preserve"> and HSRI, in partnership with the University of Missouri, Kansas City, released a report, “What Do NCI Data Reveal About the Guardianship Status of People with IDD?” (“</w:t>
      </w:r>
      <w:r w:rsidR="00810C4A" w:rsidRPr="00F618D8">
        <w:rPr>
          <w:rFonts w:ascii="Arial" w:hAnsi="Arial"/>
        </w:rPr>
        <w:t>NASDDDS</w:t>
      </w:r>
      <w:r w:rsidR="00BD788E" w:rsidRPr="00F618D8">
        <w:rPr>
          <w:rFonts w:ascii="Arial" w:hAnsi="Arial"/>
        </w:rPr>
        <w:t>/HSRI/UMKC Report”).</w:t>
      </w:r>
      <w:r w:rsidR="00810C4A" w:rsidRPr="00F618D8">
        <w:rPr>
          <w:rStyle w:val="EndnoteReference"/>
          <w:rFonts w:ascii="Arial" w:hAnsi="Arial"/>
          <w:szCs w:val="24"/>
        </w:rPr>
        <w:endnoteReference w:id="85"/>
      </w:r>
      <w:r w:rsidR="0036552E" w:rsidRPr="00F618D8">
        <w:rPr>
          <w:rFonts w:ascii="Arial" w:hAnsi="Arial"/>
        </w:rPr>
        <w:t xml:space="preserve"> </w:t>
      </w:r>
      <w:r w:rsidR="00810C4A" w:rsidRPr="00F618D8">
        <w:rPr>
          <w:rFonts w:ascii="Arial" w:hAnsi="Arial"/>
        </w:rPr>
        <w:t>This report</w:t>
      </w:r>
      <w:r w:rsidR="00BD788E" w:rsidRPr="00F618D8">
        <w:rPr>
          <w:rFonts w:ascii="Arial" w:hAnsi="Arial"/>
        </w:rPr>
        <w:t xml:space="preserve"> included an analysis of new data from the NCI 2017-18 In-Person Survey National Report, which was published in March 2019 and includes data not currently available through the public NCI Chart Generator</w:t>
      </w:r>
      <w:r w:rsidR="0004451D" w:rsidRPr="00F618D8">
        <w:rPr>
          <w:rFonts w:ascii="Arial" w:hAnsi="Arial"/>
        </w:rPr>
        <w:t>, and raised resulting policy questions, as well as promising practices</w:t>
      </w:r>
      <w:r w:rsidR="00BD788E" w:rsidRPr="00F618D8">
        <w:rPr>
          <w:rFonts w:ascii="Arial" w:hAnsi="Arial"/>
        </w:rPr>
        <w:t xml:space="preserve">. Among other findings, the </w:t>
      </w:r>
      <w:r w:rsidR="00810C4A" w:rsidRPr="00F618D8">
        <w:rPr>
          <w:rFonts w:ascii="Arial" w:hAnsi="Arial"/>
        </w:rPr>
        <w:t xml:space="preserve">NASDDDS/HSRI/UMKC </w:t>
      </w:r>
      <w:r w:rsidR="00BD788E" w:rsidRPr="00F618D8">
        <w:rPr>
          <w:rFonts w:ascii="Arial" w:hAnsi="Arial"/>
        </w:rPr>
        <w:t xml:space="preserve">report analyzed the demographics of people with ID/DD surveyed, based on their guardianship status. </w:t>
      </w:r>
      <w:r w:rsidR="00810C4A" w:rsidRPr="00F618D8">
        <w:rPr>
          <w:rFonts w:ascii="Arial" w:hAnsi="Arial"/>
        </w:rPr>
        <w:t>F</w:t>
      </w:r>
      <w:r w:rsidR="00BD788E" w:rsidRPr="00F618D8">
        <w:rPr>
          <w:rFonts w:ascii="Arial" w:hAnsi="Arial"/>
        </w:rPr>
        <w:t xml:space="preserve">indings </w:t>
      </w:r>
      <w:r w:rsidR="00810C4A" w:rsidRPr="00F618D8">
        <w:rPr>
          <w:rFonts w:ascii="Arial" w:hAnsi="Arial"/>
        </w:rPr>
        <w:t xml:space="preserve">trended by race </w:t>
      </w:r>
      <w:r w:rsidR="00BD788E" w:rsidRPr="00F618D8">
        <w:rPr>
          <w:rFonts w:ascii="Arial" w:hAnsi="Arial"/>
        </w:rPr>
        <w:t xml:space="preserve">included:  </w:t>
      </w:r>
    </w:p>
    <w:p w14:paraId="4546C49B" w14:textId="77777777" w:rsidR="00BD788E" w:rsidRPr="00F618D8" w:rsidRDefault="00BD788E" w:rsidP="00610EEF">
      <w:pPr>
        <w:pStyle w:val="ListParagraph"/>
        <w:rPr>
          <w:rFonts w:ascii="Arial" w:hAnsi="Arial" w:cs="Arial"/>
        </w:rPr>
      </w:pPr>
      <w:r w:rsidRPr="00F618D8">
        <w:rPr>
          <w:rFonts w:ascii="Arial" w:hAnsi="Arial" w:cs="Arial"/>
        </w:rPr>
        <w:t>People with ID/DD surveyed who are White were significantly more likely to be in guardianship (46.4%) than people who were Black (34.2%) or Hispanic (26.3%)</w:t>
      </w:r>
      <w:r w:rsidR="00AA1F92" w:rsidRPr="00F618D8">
        <w:rPr>
          <w:rFonts w:ascii="Arial" w:hAnsi="Arial" w:cs="Arial"/>
        </w:rPr>
        <w:t xml:space="preserve">. </w:t>
      </w:r>
    </w:p>
    <w:p w14:paraId="46F13E42" w14:textId="77777777" w:rsidR="00BD788E" w:rsidRPr="00F618D8" w:rsidRDefault="00BD788E" w:rsidP="00610EEF">
      <w:pPr>
        <w:pStyle w:val="ListParagraph"/>
        <w:rPr>
          <w:rFonts w:ascii="Arial" w:hAnsi="Arial" w:cs="Arial"/>
        </w:rPr>
      </w:pPr>
      <w:r w:rsidRPr="00F618D8">
        <w:rPr>
          <w:rFonts w:ascii="Arial" w:hAnsi="Arial" w:cs="Arial"/>
        </w:rPr>
        <w:t>People with ID/DD surveyed who are Black and have a guardian were significantly more likely to have a public guardian or public administrator as a guardian (18.4%) than people who are White (11.2%) or Hispanic (4.3%).</w:t>
      </w:r>
    </w:p>
    <w:p w14:paraId="2FEE3C8D" w14:textId="77777777" w:rsidR="00BD788E" w:rsidRPr="00F618D8" w:rsidRDefault="00BD788E" w:rsidP="00610EEF">
      <w:pPr>
        <w:pStyle w:val="ListParagraph"/>
        <w:rPr>
          <w:rFonts w:ascii="Arial" w:hAnsi="Arial" w:cs="Arial"/>
        </w:rPr>
      </w:pPr>
      <w:r w:rsidRPr="00F618D8">
        <w:rPr>
          <w:rFonts w:ascii="Arial" w:hAnsi="Arial" w:cs="Arial"/>
        </w:rPr>
        <w:t>People with ID/DD surveyed who are Hispanic were significantly more likely to have a family member as guardian (91.1%) than people who are Black (71.6% or White (81.6%).</w:t>
      </w:r>
      <w:r w:rsidRPr="00F618D8">
        <w:rPr>
          <w:rStyle w:val="EndnoteReference"/>
          <w:rFonts w:ascii="Arial" w:hAnsi="Arial" w:cs="Arial"/>
          <w:vertAlign w:val="baseline"/>
        </w:rPr>
        <w:endnoteReference w:id="86"/>
      </w:r>
      <w:r w:rsidRPr="00F618D8">
        <w:rPr>
          <w:rFonts w:ascii="Arial" w:hAnsi="Arial" w:cs="Arial"/>
        </w:rPr>
        <w:t xml:space="preserve"> </w:t>
      </w:r>
    </w:p>
    <w:p w14:paraId="4539F994" w14:textId="2E1FB74F" w:rsidR="002542D3" w:rsidRPr="00F618D8" w:rsidRDefault="002542D3" w:rsidP="00610EEF">
      <w:pPr>
        <w:pStyle w:val="ParaNoIndent"/>
        <w:rPr>
          <w:rFonts w:ascii="Arial" w:hAnsi="Arial"/>
        </w:rPr>
      </w:pPr>
      <w:bookmarkStart w:id="81" w:name="_Toc809867"/>
      <w:bookmarkEnd w:id="80"/>
      <w:r w:rsidRPr="00F618D8">
        <w:rPr>
          <w:rFonts w:ascii="Arial" w:hAnsi="Arial"/>
        </w:rPr>
        <w:lastRenderedPageBreak/>
        <w:t>Appendix C also has additional NCI guardianship data by age</w:t>
      </w:r>
      <w:r w:rsidR="00AA1F92" w:rsidRPr="00F618D8">
        <w:rPr>
          <w:rFonts w:ascii="Arial" w:hAnsi="Arial"/>
        </w:rPr>
        <w:t xml:space="preserve">. </w:t>
      </w:r>
      <w:r w:rsidRPr="00F618D8">
        <w:rPr>
          <w:rFonts w:ascii="Arial" w:hAnsi="Arial"/>
        </w:rPr>
        <w:t>For example, from 2008-</w:t>
      </w:r>
      <w:r w:rsidR="00484247" w:rsidRPr="00F618D8">
        <w:rPr>
          <w:rFonts w:ascii="Arial" w:hAnsi="Arial"/>
        </w:rPr>
        <w:t>16</w:t>
      </w:r>
      <w:r w:rsidRPr="00F618D8">
        <w:rPr>
          <w:rFonts w:ascii="Arial" w:hAnsi="Arial"/>
        </w:rPr>
        <w:t>, roughly 50</w:t>
      </w:r>
      <w:r w:rsidR="003C6546" w:rsidRPr="00F618D8">
        <w:rPr>
          <w:rFonts w:ascii="Arial" w:hAnsi="Arial"/>
        </w:rPr>
        <w:t xml:space="preserve"> percent</w:t>
      </w:r>
      <w:r w:rsidRPr="00F618D8">
        <w:rPr>
          <w:rFonts w:ascii="Arial" w:hAnsi="Arial"/>
        </w:rPr>
        <w:t xml:space="preserve"> of people with ID/DD between ages 18-74 ha</w:t>
      </w:r>
      <w:r w:rsidR="003C6546" w:rsidRPr="00F618D8">
        <w:rPr>
          <w:rFonts w:ascii="Arial" w:hAnsi="Arial"/>
        </w:rPr>
        <w:t>d</w:t>
      </w:r>
      <w:r w:rsidRPr="00F618D8">
        <w:rPr>
          <w:rFonts w:ascii="Arial" w:hAnsi="Arial"/>
        </w:rPr>
        <w:t xml:space="preserve"> guardians, and this did not vary much between 18</w:t>
      </w:r>
      <w:r w:rsidR="009B745E" w:rsidRPr="00F618D8">
        <w:rPr>
          <w:rFonts w:ascii="Arial" w:hAnsi="Arial"/>
        </w:rPr>
        <w:t>-</w:t>
      </w:r>
      <w:r w:rsidRPr="00F618D8">
        <w:rPr>
          <w:rFonts w:ascii="Arial" w:hAnsi="Arial"/>
        </w:rPr>
        <w:t xml:space="preserve"> to 34-year-olds (50</w:t>
      </w:r>
      <w:r w:rsidR="003C6546" w:rsidRPr="00F618D8">
        <w:rPr>
          <w:rFonts w:ascii="Arial" w:hAnsi="Arial"/>
        </w:rPr>
        <w:t xml:space="preserve"> percent</w:t>
      </w:r>
      <w:r w:rsidRPr="00F618D8">
        <w:rPr>
          <w:rFonts w:ascii="Arial" w:hAnsi="Arial"/>
        </w:rPr>
        <w:t>), 35</w:t>
      </w:r>
      <w:r w:rsidR="009B745E" w:rsidRPr="00F618D8">
        <w:rPr>
          <w:rFonts w:ascii="Arial" w:hAnsi="Arial"/>
        </w:rPr>
        <w:t>-</w:t>
      </w:r>
      <w:r w:rsidRPr="00F618D8">
        <w:rPr>
          <w:rFonts w:ascii="Arial" w:hAnsi="Arial"/>
        </w:rPr>
        <w:t xml:space="preserve"> to 54-year-olds (48</w:t>
      </w:r>
      <w:r w:rsidR="003C6546" w:rsidRPr="00F618D8">
        <w:rPr>
          <w:rFonts w:ascii="Arial" w:hAnsi="Arial"/>
        </w:rPr>
        <w:t xml:space="preserve"> percent</w:t>
      </w:r>
      <w:r w:rsidRPr="00F618D8">
        <w:rPr>
          <w:rFonts w:ascii="Arial" w:hAnsi="Arial"/>
        </w:rPr>
        <w:t>), and 55</w:t>
      </w:r>
      <w:r w:rsidR="009B745E" w:rsidRPr="00F618D8">
        <w:rPr>
          <w:rFonts w:ascii="Arial" w:hAnsi="Arial"/>
        </w:rPr>
        <w:t>-</w:t>
      </w:r>
      <w:r w:rsidRPr="00F618D8">
        <w:rPr>
          <w:rFonts w:ascii="Arial" w:hAnsi="Arial"/>
        </w:rPr>
        <w:t xml:space="preserve"> to 74-year-olds (48</w:t>
      </w:r>
      <w:r w:rsidR="003C6546" w:rsidRPr="00F618D8">
        <w:rPr>
          <w:rFonts w:ascii="Arial" w:hAnsi="Arial"/>
        </w:rPr>
        <w:t xml:space="preserve"> percent</w:t>
      </w:r>
      <w:r w:rsidRPr="00F618D8">
        <w:rPr>
          <w:rFonts w:ascii="Arial" w:hAnsi="Arial"/>
        </w:rPr>
        <w:t>)</w:t>
      </w:r>
      <w:r w:rsidR="00AA1F92" w:rsidRPr="00F618D8">
        <w:rPr>
          <w:rFonts w:ascii="Arial" w:hAnsi="Arial"/>
        </w:rPr>
        <w:t xml:space="preserve">. </w:t>
      </w:r>
      <w:r w:rsidRPr="00F618D8">
        <w:rPr>
          <w:rFonts w:ascii="Arial" w:hAnsi="Arial"/>
        </w:rPr>
        <w:t>Based on the annual average, people with ID/DD who are 75 years or older were more likely not to have a guardian (71</w:t>
      </w:r>
      <w:r w:rsidR="003C6546" w:rsidRPr="00F618D8">
        <w:rPr>
          <w:rFonts w:ascii="Arial" w:hAnsi="Arial"/>
        </w:rPr>
        <w:t xml:space="preserve"> percent</w:t>
      </w:r>
      <w:r w:rsidRPr="00F618D8">
        <w:rPr>
          <w:rFonts w:ascii="Arial" w:hAnsi="Arial"/>
        </w:rPr>
        <w:t xml:space="preserve">). </w:t>
      </w:r>
      <w:r w:rsidR="00BD788E" w:rsidRPr="00F618D8">
        <w:rPr>
          <w:rFonts w:ascii="Arial" w:hAnsi="Arial"/>
        </w:rPr>
        <w:t>For its</w:t>
      </w:r>
      <w:r w:rsidRPr="00F618D8">
        <w:rPr>
          <w:rFonts w:ascii="Arial" w:hAnsi="Arial"/>
        </w:rPr>
        <w:t xml:space="preserve"> 2015-16</w:t>
      </w:r>
      <w:r w:rsidR="00BD788E" w:rsidRPr="00F618D8">
        <w:rPr>
          <w:rFonts w:ascii="Arial" w:hAnsi="Arial"/>
        </w:rPr>
        <w:t xml:space="preserve"> data collection</w:t>
      </w:r>
      <w:r w:rsidRPr="00F618D8">
        <w:rPr>
          <w:rFonts w:ascii="Arial" w:hAnsi="Arial"/>
        </w:rPr>
        <w:t xml:space="preserve">, </w:t>
      </w:r>
      <w:r w:rsidR="00BD788E" w:rsidRPr="00F618D8">
        <w:rPr>
          <w:rFonts w:ascii="Arial" w:hAnsi="Arial"/>
        </w:rPr>
        <w:t xml:space="preserve">the </w:t>
      </w:r>
      <w:r w:rsidRPr="00F618D8">
        <w:rPr>
          <w:rFonts w:ascii="Arial" w:hAnsi="Arial"/>
        </w:rPr>
        <w:t xml:space="preserve">NCI </w:t>
      </w:r>
      <w:r w:rsidR="00BD788E" w:rsidRPr="00F618D8">
        <w:rPr>
          <w:rFonts w:ascii="Arial" w:hAnsi="Arial"/>
        </w:rPr>
        <w:t xml:space="preserve">initiative </w:t>
      </w:r>
      <w:r w:rsidRPr="00F618D8">
        <w:rPr>
          <w:rFonts w:ascii="Arial" w:hAnsi="Arial"/>
        </w:rPr>
        <w:t>broke down the 18</w:t>
      </w:r>
      <w:r w:rsidR="009B745E" w:rsidRPr="00F618D8">
        <w:rPr>
          <w:rFonts w:ascii="Arial" w:hAnsi="Arial"/>
        </w:rPr>
        <w:t>-</w:t>
      </w:r>
      <w:r w:rsidRPr="00F618D8">
        <w:rPr>
          <w:rFonts w:ascii="Arial" w:hAnsi="Arial"/>
        </w:rPr>
        <w:t xml:space="preserve"> to 34-year-old category into two subcategories</w:t>
      </w:r>
      <w:r w:rsidR="00BD788E" w:rsidRPr="00F618D8">
        <w:rPr>
          <w:rFonts w:ascii="Arial" w:hAnsi="Arial"/>
        </w:rPr>
        <w:t xml:space="preserve"> </w:t>
      </w:r>
      <w:r w:rsidR="003C6546" w:rsidRPr="00F618D8">
        <w:rPr>
          <w:rFonts w:ascii="Arial" w:hAnsi="Arial"/>
        </w:rPr>
        <w:t>—</w:t>
      </w:r>
      <w:r w:rsidRPr="00F618D8">
        <w:rPr>
          <w:rFonts w:ascii="Arial" w:hAnsi="Arial"/>
        </w:rPr>
        <w:t>18</w:t>
      </w:r>
      <w:r w:rsidR="009B745E" w:rsidRPr="00F618D8">
        <w:rPr>
          <w:rFonts w:ascii="Arial" w:hAnsi="Arial"/>
        </w:rPr>
        <w:t>-</w:t>
      </w:r>
      <w:r w:rsidRPr="00F618D8">
        <w:rPr>
          <w:rFonts w:ascii="Arial" w:hAnsi="Arial"/>
        </w:rPr>
        <w:t xml:space="preserve"> to 22-year-olds a</w:t>
      </w:r>
      <w:r w:rsidR="003C6546" w:rsidRPr="00F618D8">
        <w:rPr>
          <w:rFonts w:ascii="Arial" w:hAnsi="Arial"/>
        </w:rPr>
        <w:t>n</w:t>
      </w:r>
      <w:r w:rsidRPr="00F618D8">
        <w:rPr>
          <w:rFonts w:ascii="Arial" w:hAnsi="Arial"/>
        </w:rPr>
        <w:t>d 23</w:t>
      </w:r>
      <w:r w:rsidR="009B745E" w:rsidRPr="00F618D8">
        <w:rPr>
          <w:rFonts w:ascii="Arial" w:hAnsi="Arial"/>
        </w:rPr>
        <w:t>-</w:t>
      </w:r>
      <w:r w:rsidRPr="00F618D8">
        <w:rPr>
          <w:rFonts w:ascii="Arial" w:hAnsi="Arial"/>
        </w:rPr>
        <w:t xml:space="preserve"> to 34-year-olds. </w:t>
      </w:r>
      <w:bookmarkStart w:id="82" w:name="_Hlk5266226"/>
      <w:r w:rsidRPr="00F618D8">
        <w:rPr>
          <w:rFonts w:ascii="Arial" w:hAnsi="Arial"/>
        </w:rPr>
        <w:t>Based on the 2015-16 NCI Average, 18</w:t>
      </w:r>
      <w:r w:rsidR="0022037D" w:rsidRPr="00F618D8">
        <w:rPr>
          <w:rFonts w:ascii="Arial" w:hAnsi="Arial"/>
        </w:rPr>
        <w:t>-</w:t>
      </w:r>
      <w:r w:rsidRPr="00F618D8">
        <w:rPr>
          <w:rFonts w:ascii="Arial" w:hAnsi="Arial"/>
        </w:rPr>
        <w:t xml:space="preserve"> to 22-year-olds were the most likely of all the age groups that year to be in guardianship (58</w:t>
      </w:r>
      <w:r w:rsidR="003C6546" w:rsidRPr="00F618D8">
        <w:rPr>
          <w:rFonts w:ascii="Arial" w:hAnsi="Arial"/>
        </w:rPr>
        <w:t xml:space="preserve"> percent</w:t>
      </w:r>
      <w:r w:rsidRPr="00F618D8">
        <w:rPr>
          <w:rFonts w:ascii="Arial" w:hAnsi="Arial"/>
        </w:rPr>
        <w:t>)</w:t>
      </w:r>
      <w:bookmarkEnd w:id="82"/>
      <w:r w:rsidR="00AA1F92" w:rsidRPr="00F618D8">
        <w:rPr>
          <w:rFonts w:ascii="Arial" w:hAnsi="Arial"/>
        </w:rPr>
        <w:t xml:space="preserve">. </w:t>
      </w:r>
      <w:r w:rsidRPr="00F618D8">
        <w:rPr>
          <w:rFonts w:ascii="Arial" w:hAnsi="Arial"/>
        </w:rPr>
        <w:t>In addition, the 2015</w:t>
      </w:r>
      <w:r w:rsidR="00484247" w:rsidRPr="00F618D8">
        <w:rPr>
          <w:rFonts w:ascii="Arial" w:hAnsi="Arial"/>
        </w:rPr>
        <w:t>-16</w:t>
      </w:r>
      <w:r w:rsidRPr="00F618D8">
        <w:rPr>
          <w:rFonts w:ascii="Arial" w:hAnsi="Arial"/>
        </w:rPr>
        <w:t xml:space="preserve"> NCI </w:t>
      </w:r>
      <w:r w:rsidR="003C6546" w:rsidRPr="00F618D8">
        <w:rPr>
          <w:rFonts w:ascii="Arial" w:hAnsi="Arial"/>
        </w:rPr>
        <w:t>a</w:t>
      </w:r>
      <w:r w:rsidRPr="00F618D8">
        <w:rPr>
          <w:rFonts w:ascii="Arial" w:hAnsi="Arial"/>
        </w:rPr>
        <w:t>verage percentage of people with ID/DD 75 years or older without guardianship (52</w:t>
      </w:r>
      <w:r w:rsidR="003C6546" w:rsidRPr="00F618D8">
        <w:rPr>
          <w:rFonts w:ascii="Arial" w:hAnsi="Arial"/>
        </w:rPr>
        <w:t xml:space="preserve"> percent</w:t>
      </w:r>
      <w:r w:rsidRPr="00F618D8">
        <w:rPr>
          <w:rFonts w:ascii="Arial" w:hAnsi="Arial"/>
        </w:rPr>
        <w:t>) was notably lower than the 2008</w:t>
      </w:r>
      <w:r w:rsidR="00484247" w:rsidRPr="00F618D8">
        <w:rPr>
          <w:rFonts w:ascii="Arial" w:hAnsi="Arial"/>
        </w:rPr>
        <w:t>-</w:t>
      </w:r>
      <w:r w:rsidRPr="00F618D8">
        <w:rPr>
          <w:rFonts w:ascii="Arial" w:hAnsi="Arial"/>
        </w:rPr>
        <w:t>15 NCI average (71</w:t>
      </w:r>
      <w:r w:rsidR="003C6546" w:rsidRPr="00F618D8">
        <w:rPr>
          <w:rFonts w:ascii="Arial" w:hAnsi="Arial"/>
        </w:rPr>
        <w:t xml:space="preserve"> percent</w:t>
      </w:r>
      <w:r w:rsidRPr="00F618D8">
        <w:rPr>
          <w:rFonts w:ascii="Arial" w:hAnsi="Arial"/>
        </w:rPr>
        <w:t>).</w:t>
      </w:r>
      <w:bookmarkEnd w:id="81"/>
    </w:p>
    <w:p w14:paraId="16D12889" w14:textId="1BD5FBC5" w:rsidR="00A95CE2" w:rsidRPr="00F618D8" w:rsidRDefault="002542D3" w:rsidP="00610EEF">
      <w:pPr>
        <w:pStyle w:val="ParaNoIndent"/>
        <w:rPr>
          <w:rFonts w:ascii="Arial" w:hAnsi="Arial"/>
        </w:rPr>
      </w:pPr>
      <w:bookmarkStart w:id="83" w:name="_Hlk5266296"/>
      <w:r w:rsidRPr="00F618D8">
        <w:rPr>
          <w:rFonts w:ascii="Arial" w:hAnsi="Arial"/>
        </w:rPr>
        <w:t xml:space="preserve">NCI data, however, does not </w:t>
      </w:r>
      <w:r w:rsidR="00BD788E" w:rsidRPr="00F618D8">
        <w:rPr>
          <w:rFonts w:ascii="Arial" w:hAnsi="Arial"/>
        </w:rPr>
        <w:t>necessarily</w:t>
      </w:r>
      <w:r w:rsidRPr="00F618D8">
        <w:rPr>
          <w:rFonts w:ascii="Arial" w:hAnsi="Arial"/>
        </w:rPr>
        <w:t xml:space="preserve"> provide a complete picture of guardianship</w:t>
      </w:r>
      <w:bookmarkEnd w:id="83"/>
      <w:r w:rsidRPr="00F618D8">
        <w:rPr>
          <w:rFonts w:ascii="Arial" w:hAnsi="Arial"/>
        </w:rPr>
        <w:t xml:space="preserve"> for people with ID/DD in </w:t>
      </w:r>
      <w:r w:rsidR="00810C4A" w:rsidRPr="00F618D8">
        <w:rPr>
          <w:rFonts w:ascii="Arial" w:hAnsi="Arial"/>
        </w:rPr>
        <w:t xml:space="preserve">all </w:t>
      </w:r>
      <w:r w:rsidRPr="00F618D8">
        <w:rPr>
          <w:rFonts w:ascii="Arial" w:hAnsi="Arial"/>
        </w:rPr>
        <w:t>the participating states. For example, based solely on NCI data, Missouri has consistently been the state with one of the highest percentage of people with ID/DD under guardianships (ranging from 80</w:t>
      </w:r>
      <w:r w:rsidR="00484247" w:rsidRPr="00F618D8">
        <w:rPr>
          <w:rFonts w:ascii="Arial" w:hAnsi="Arial"/>
        </w:rPr>
        <w:t xml:space="preserve"> percent</w:t>
      </w:r>
      <w:r w:rsidRPr="00F618D8">
        <w:rPr>
          <w:rFonts w:ascii="Arial" w:hAnsi="Arial"/>
        </w:rPr>
        <w:t xml:space="preserve"> in 2015-16</w:t>
      </w:r>
      <w:r w:rsidR="00BD788E" w:rsidRPr="00F618D8">
        <w:rPr>
          <w:rFonts w:ascii="Arial" w:hAnsi="Arial"/>
        </w:rPr>
        <w:t xml:space="preserve"> and 2016-17</w:t>
      </w:r>
      <w:r w:rsidRPr="00F618D8">
        <w:rPr>
          <w:rFonts w:ascii="Arial" w:hAnsi="Arial"/>
        </w:rPr>
        <w:t xml:space="preserve"> to 87</w:t>
      </w:r>
      <w:r w:rsidR="00484247" w:rsidRPr="00F618D8">
        <w:rPr>
          <w:rFonts w:ascii="Arial" w:hAnsi="Arial"/>
        </w:rPr>
        <w:t xml:space="preserve"> percent</w:t>
      </w:r>
      <w:r w:rsidRPr="00F618D8">
        <w:rPr>
          <w:rFonts w:ascii="Arial" w:hAnsi="Arial"/>
        </w:rPr>
        <w:t xml:space="preserve"> in 2009-10 and 2013-14)</w:t>
      </w:r>
      <w:r w:rsidR="00AA1F92" w:rsidRPr="00F618D8">
        <w:rPr>
          <w:rFonts w:ascii="Arial" w:hAnsi="Arial"/>
        </w:rPr>
        <w:t xml:space="preserve">. </w:t>
      </w:r>
      <w:r w:rsidRPr="00F618D8">
        <w:rPr>
          <w:rFonts w:ascii="Arial" w:hAnsi="Arial"/>
        </w:rPr>
        <w:t xml:space="preserve">However, </w:t>
      </w:r>
      <w:bookmarkStart w:id="84" w:name="_Hlk5266306"/>
      <w:r w:rsidRPr="00F618D8">
        <w:rPr>
          <w:rFonts w:ascii="Arial" w:hAnsi="Arial"/>
        </w:rPr>
        <w:t>each state participating in the NCI initiative decides what population of people with ID/DD it surveys, and most do not survey all people with ID/DD in the state</w:t>
      </w:r>
      <w:r w:rsidR="00AA1F92" w:rsidRPr="00F618D8">
        <w:rPr>
          <w:rFonts w:ascii="Arial" w:hAnsi="Arial"/>
        </w:rPr>
        <w:t xml:space="preserve">. </w:t>
      </w:r>
      <w:bookmarkEnd w:id="84"/>
      <w:r w:rsidRPr="00F618D8">
        <w:rPr>
          <w:rFonts w:ascii="Arial" w:hAnsi="Arial"/>
        </w:rPr>
        <w:t>According to stakeholder interviews, Missouri conducted NCI surveys of people with ID/DD receiving Individualized Supported Living and Residential Services</w:t>
      </w:r>
      <w:r w:rsidR="00AA1F92" w:rsidRPr="00F618D8">
        <w:rPr>
          <w:rFonts w:ascii="Arial" w:hAnsi="Arial"/>
        </w:rPr>
        <w:t xml:space="preserve">. </w:t>
      </w:r>
      <w:r w:rsidRPr="00F618D8">
        <w:rPr>
          <w:rFonts w:ascii="Arial" w:hAnsi="Arial"/>
        </w:rPr>
        <w:t>Therefore, if some people with ID/DD in Missouri receive different services (such as individual supports, self-direction services, or employment services) or no services, they would not be included as part of the NCI data set</w:t>
      </w:r>
      <w:r w:rsidR="00AA1F92" w:rsidRPr="00F618D8">
        <w:rPr>
          <w:rFonts w:ascii="Arial" w:hAnsi="Arial"/>
        </w:rPr>
        <w:t xml:space="preserve">. </w:t>
      </w:r>
      <w:r w:rsidRPr="00F618D8">
        <w:rPr>
          <w:rFonts w:ascii="Arial" w:hAnsi="Arial"/>
        </w:rPr>
        <w:t xml:space="preserve">To obtain a clearer picture of guardianship data, in September 2018, the Missouri Department of Mental Health’s Division of Developmental Disabilities conducted an initial data analysis of all its Medicaid HCBS Developmental Disabilities Waivers, </w:t>
      </w:r>
      <w:r w:rsidR="00482FC6" w:rsidRPr="00F618D8">
        <w:rPr>
          <w:rFonts w:ascii="Arial" w:hAnsi="Arial"/>
        </w:rPr>
        <w:t>except for</w:t>
      </w:r>
      <w:r w:rsidRPr="00F618D8">
        <w:rPr>
          <w:rFonts w:ascii="Arial" w:hAnsi="Arial"/>
        </w:rPr>
        <w:t xml:space="preserve"> autism services. It determined that the percentage of people with ID/DD served under these waivers who had guardians and/or conservators was approximately 50</w:t>
      </w:r>
      <w:r w:rsidR="00482FC6" w:rsidRPr="00F618D8">
        <w:rPr>
          <w:rFonts w:ascii="Arial" w:hAnsi="Arial"/>
        </w:rPr>
        <w:t xml:space="preserve"> percent—</w:t>
      </w:r>
      <w:r w:rsidRPr="00F618D8">
        <w:rPr>
          <w:rFonts w:ascii="Arial" w:hAnsi="Arial"/>
        </w:rPr>
        <w:t>which is much lower than indicated by NCI data</w:t>
      </w:r>
      <w:r w:rsidR="00FF4A58" w:rsidRPr="00F618D8">
        <w:rPr>
          <w:rFonts w:ascii="Arial" w:hAnsi="Arial"/>
        </w:rPr>
        <w:t>.</w:t>
      </w:r>
    </w:p>
    <w:p w14:paraId="710CDF91" w14:textId="3245DD8A" w:rsidR="00A95CE2" w:rsidRPr="00F618D8" w:rsidRDefault="00A95CE2" w:rsidP="00610EEF">
      <w:pPr>
        <w:pStyle w:val="ParaNoIndent"/>
        <w:rPr>
          <w:rFonts w:ascii="Arial" w:hAnsi="Arial"/>
        </w:rPr>
      </w:pPr>
      <w:r w:rsidRPr="00F618D8">
        <w:rPr>
          <w:rFonts w:ascii="Arial" w:hAnsi="Arial"/>
        </w:rPr>
        <w:t xml:space="preserve">In </w:t>
      </w:r>
      <w:r w:rsidR="00610EEF" w:rsidRPr="00F618D8">
        <w:rPr>
          <w:rFonts w:ascii="Arial" w:hAnsi="Arial"/>
        </w:rPr>
        <w:t>addition, some</w:t>
      </w:r>
      <w:r w:rsidRPr="00F618D8">
        <w:rPr>
          <w:rFonts w:ascii="Arial" w:hAnsi="Arial"/>
        </w:rPr>
        <w:t xml:space="preserve"> states may have existing NCI data </w:t>
      </w:r>
      <w:r w:rsidR="00BD788E" w:rsidRPr="00F618D8">
        <w:rPr>
          <w:rFonts w:ascii="Arial" w:hAnsi="Arial"/>
        </w:rPr>
        <w:t xml:space="preserve">relevant to guardianship </w:t>
      </w:r>
      <w:r w:rsidRPr="00F618D8">
        <w:rPr>
          <w:rFonts w:ascii="Arial" w:hAnsi="Arial"/>
        </w:rPr>
        <w:t xml:space="preserve">that </w:t>
      </w:r>
      <w:r w:rsidR="00810C4A" w:rsidRPr="00F618D8">
        <w:rPr>
          <w:rFonts w:ascii="Arial" w:hAnsi="Arial"/>
        </w:rPr>
        <w:t xml:space="preserve">is not within the </w:t>
      </w:r>
      <w:r w:rsidR="00BD788E" w:rsidRPr="00F618D8">
        <w:rPr>
          <w:rFonts w:ascii="Arial" w:hAnsi="Arial"/>
        </w:rPr>
        <w:t xml:space="preserve">NCI Chart Generator or the In-Person Survey National Reports.  </w:t>
      </w:r>
      <w:bookmarkStart w:id="85" w:name="_Hlk5266414"/>
      <w:r w:rsidRPr="00F618D8">
        <w:rPr>
          <w:rFonts w:ascii="Arial" w:hAnsi="Arial"/>
        </w:rPr>
        <w:t xml:space="preserve">For example, </w:t>
      </w:r>
      <w:r w:rsidR="005924B9" w:rsidRPr="00F618D8">
        <w:rPr>
          <w:rFonts w:ascii="Arial" w:hAnsi="Arial"/>
        </w:rPr>
        <w:lastRenderedPageBreak/>
        <w:t>Alaska</w:t>
      </w:r>
      <w:r w:rsidR="00BD788E" w:rsidRPr="00F618D8">
        <w:rPr>
          <w:rFonts w:ascii="Arial" w:hAnsi="Arial"/>
        </w:rPr>
        <w:t xml:space="preserve"> </w:t>
      </w:r>
      <w:r w:rsidR="005924B9" w:rsidRPr="00F618D8">
        <w:rPr>
          <w:rFonts w:ascii="Arial" w:hAnsi="Arial"/>
        </w:rPr>
        <w:t xml:space="preserve">was one of the states for which guardianship-specific data </w:t>
      </w:r>
      <w:r w:rsidR="00BD788E" w:rsidRPr="00F618D8">
        <w:rPr>
          <w:rFonts w:ascii="Arial" w:hAnsi="Arial"/>
        </w:rPr>
        <w:t>is not included in either of those resources. However, the 2015-16 Alaska NCI Adult Family Survey Final Report indicates that 100% of the family members with ID/DD are under limited or full guardianship</w:t>
      </w:r>
      <w:r w:rsidR="00C06114" w:rsidRPr="00F618D8">
        <w:rPr>
          <w:rFonts w:ascii="Arial" w:hAnsi="Arial"/>
        </w:rPr>
        <w:t>, and 96% of these individuals are under full guardianship.</w:t>
      </w:r>
      <w:r w:rsidR="00BD788E" w:rsidRPr="00F618D8">
        <w:rPr>
          <w:rStyle w:val="EndnoteReference"/>
          <w:rFonts w:ascii="Arial" w:hAnsi="Arial"/>
          <w:szCs w:val="24"/>
        </w:rPr>
        <w:endnoteReference w:id="87"/>
      </w:r>
      <w:r w:rsidR="00BD788E" w:rsidRPr="00F618D8">
        <w:rPr>
          <w:rFonts w:ascii="Arial" w:hAnsi="Arial"/>
        </w:rPr>
        <w:t xml:space="preserve">  </w:t>
      </w:r>
      <w:bookmarkStart w:id="86" w:name="_Hlk5266463"/>
      <w:bookmarkEnd w:id="85"/>
      <w:r w:rsidR="00810C4A" w:rsidRPr="00F618D8">
        <w:rPr>
          <w:rFonts w:ascii="Arial" w:hAnsi="Arial"/>
        </w:rPr>
        <w:t>Based on stakeholder interviews, t</w:t>
      </w:r>
      <w:r w:rsidRPr="00F618D8">
        <w:rPr>
          <w:rFonts w:ascii="Arial" w:hAnsi="Arial"/>
        </w:rPr>
        <w:t>hat startling statistic</w:t>
      </w:r>
      <w:r w:rsidR="00BD788E" w:rsidRPr="00F618D8">
        <w:rPr>
          <w:rFonts w:ascii="Arial" w:hAnsi="Arial"/>
        </w:rPr>
        <w:t xml:space="preserve"> is far above that of any of the states listed in Appendix B and reportedly</w:t>
      </w:r>
      <w:r w:rsidR="00C06114" w:rsidRPr="00F618D8">
        <w:rPr>
          <w:rFonts w:ascii="Arial" w:hAnsi="Arial"/>
        </w:rPr>
        <w:t xml:space="preserve"> l</w:t>
      </w:r>
      <w:r w:rsidRPr="00F618D8">
        <w:rPr>
          <w:rFonts w:ascii="Arial" w:hAnsi="Arial"/>
        </w:rPr>
        <w:t>ed local advocates to push for legislation</w:t>
      </w:r>
      <w:r w:rsidR="00C06114" w:rsidRPr="00F618D8">
        <w:rPr>
          <w:rFonts w:ascii="Arial" w:hAnsi="Arial"/>
        </w:rPr>
        <w:t xml:space="preserve">, </w:t>
      </w:r>
      <w:r w:rsidR="008E2DCC" w:rsidRPr="00F618D8">
        <w:rPr>
          <w:rFonts w:ascii="Arial" w:hAnsi="Arial"/>
        </w:rPr>
        <w:t>making</w:t>
      </w:r>
      <w:r w:rsidRPr="00F618D8">
        <w:rPr>
          <w:rFonts w:ascii="Arial" w:hAnsi="Arial"/>
        </w:rPr>
        <w:t xml:space="preserve"> Alaska the first state </w:t>
      </w:r>
      <w:r w:rsidR="00810C4A" w:rsidRPr="00F618D8">
        <w:rPr>
          <w:rFonts w:ascii="Arial" w:hAnsi="Arial"/>
        </w:rPr>
        <w:t>to allow</w:t>
      </w:r>
      <w:r w:rsidR="00C06114" w:rsidRPr="00F618D8">
        <w:rPr>
          <w:rFonts w:ascii="Arial" w:hAnsi="Arial"/>
        </w:rPr>
        <w:t xml:space="preserve"> </w:t>
      </w:r>
      <w:r w:rsidRPr="00F618D8">
        <w:rPr>
          <w:rFonts w:ascii="Arial" w:hAnsi="Arial"/>
        </w:rPr>
        <w:t xml:space="preserve">people </w:t>
      </w:r>
      <w:r w:rsidR="008E2DCC" w:rsidRPr="00F618D8">
        <w:rPr>
          <w:rFonts w:ascii="Arial" w:hAnsi="Arial"/>
        </w:rPr>
        <w:t>with guardians</w:t>
      </w:r>
      <w:r w:rsidRPr="00F618D8">
        <w:rPr>
          <w:rFonts w:ascii="Arial" w:hAnsi="Arial"/>
        </w:rPr>
        <w:t xml:space="preserve"> to execute </w:t>
      </w:r>
      <w:r w:rsidR="004276B4" w:rsidRPr="00F618D8">
        <w:rPr>
          <w:rFonts w:ascii="Arial" w:hAnsi="Arial"/>
        </w:rPr>
        <w:t>SDM</w:t>
      </w:r>
      <w:r w:rsidRPr="00F618D8">
        <w:rPr>
          <w:rFonts w:ascii="Arial" w:hAnsi="Arial"/>
        </w:rPr>
        <w:t xml:space="preserve"> Agreements</w:t>
      </w:r>
      <w:r w:rsidR="005924B9" w:rsidRPr="00F618D8">
        <w:rPr>
          <w:rFonts w:ascii="Arial" w:hAnsi="Arial"/>
        </w:rPr>
        <w:t xml:space="preserve"> </w:t>
      </w:r>
      <w:r w:rsidRPr="00F618D8">
        <w:rPr>
          <w:rFonts w:ascii="Arial" w:hAnsi="Arial"/>
        </w:rPr>
        <w:t>with the permission of their guardians</w:t>
      </w:r>
      <w:bookmarkEnd w:id="86"/>
      <w:r w:rsidRPr="00F618D8">
        <w:rPr>
          <w:rFonts w:ascii="Arial" w:hAnsi="Arial"/>
        </w:rPr>
        <w:t>.</w:t>
      </w:r>
      <w:r w:rsidR="002542D3" w:rsidRPr="00F618D8">
        <w:rPr>
          <w:rStyle w:val="EndnoteReference"/>
          <w:rFonts w:ascii="Arial" w:hAnsi="Arial"/>
          <w:szCs w:val="24"/>
        </w:rPr>
        <w:endnoteReference w:id="88"/>
      </w:r>
      <w:r w:rsidR="002542D3" w:rsidRPr="00F618D8">
        <w:rPr>
          <w:rFonts w:ascii="Arial" w:hAnsi="Arial"/>
        </w:rPr>
        <w:t xml:space="preserve"> </w:t>
      </w:r>
      <w:r w:rsidRPr="00F618D8">
        <w:rPr>
          <w:rFonts w:ascii="Arial" w:hAnsi="Arial"/>
        </w:rPr>
        <w:t xml:space="preserve">The </w:t>
      </w:r>
      <w:r w:rsidR="00810C4A" w:rsidRPr="00F618D8">
        <w:rPr>
          <w:rFonts w:ascii="Arial" w:hAnsi="Arial"/>
        </w:rPr>
        <w:t xml:space="preserve">reported </w:t>
      </w:r>
      <w:r w:rsidRPr="00F618D8">
        <w:rPr>
          <w:rFonts w:ascii="Arial" w:hAnsi="Arial"/>
        </w:rPr>
        <w:t>reasoning was that Alaska should not leave such a large percentage of people with ID/DD behind in its reform efforts to recognize and promote decision-making rights</w:t>
      </w:r>
      <w:r w:rsidR="00AA1F92" w:rsidRPr="00F618D8">
        <w:rPr>
          <w:rFonts w:ascii="Arial" w:hAnsi="Arial"/>
        </w:rPr>
        <w:t xml:space="preserve">. </w:t>
      </w:r>
      <w:bookmarkStart w:id="87" w:name="_Hlk5266544"/>
      <w:r w:rsidRPr="00F618D8">
        <w:rPr>
          <w:rFonts w:ascii="Arial" w:hAnsi="Arial"/>
        </w:rPr>
        <w:t xml:space="preserve">In addition, </w:t>
      </w:r>
      <w:r w:rsidR="00636F1D" w:rsidRPr="00F618D8">
        <w:rPr>
          <w:rFonts w:ascii="Arial" w:hAnsi="Arial"/>
        </w:rPr>
        <w:t>SDM</w:t>
      </w:r>
      <w:r w:rsidRPr="00F618D8">
        <w:rPr>
          <w:rFonts w:ascii="Arial" w:hAnsi="Arial"/>
        </w:rPr>
        <w:t xml:space="preserve"> Agreements of this kind may serve as a gateway for people to work with their guardians toward rights restoration</w:t>
      </w:r>
      <w:r w:rsidR="00286BD8" w:rsidRPr="00F618D8">
        <w:rPr>
          <w:rFonts w:ascii="Arial" w:hAnsi="Arial"/>
        </w:rPr>
        <w:t xml:space="preserve"> and greater independen</w:t>
      </w:r>
      <w:r w:rsidR="00E54CFE" w:rsidRPr="00F618D8">
        <w:rPr>
          <w:rFonts w:ascii="Arial" w:hAnsi="Arial"/>
        </w:rPr>
        <w:t>ce</w:t>
      </w:r>
      <w:r w:rsidR="00AA1F92" w:rsidRPr="00F618D8">
        <w:rPr>
          <w:rFonts w:ascii="Arial" w:hAnsi="Arial"/>
        </w:rPr>
        <w:t xml:space="preserve">. </w:t>
      </w:r>
      <w:r w:rsidRPr="00F618D8">
        <w:rPr>
          <w:rFonts w:ascii="Arial" w:hAnsi="Arial"/>
        </w:rPr>
        <w:t xml:space="preserve"> </w:t>
      </w:r>
    </w:p>
    <w:bookmarkEnd w:id="87"/>
    <w:p w14:paraId="15E9A8AD" w14:textId="54F3A6B5" w:rsidR="00BD788E" w:rsidRPr="00F618D8" w:rsidRDefault="005924B9" w:rsidP="00610EEF">
      <w:pPr>
        <w:pStyle w:val="ParaNoIndent"/>
        <w:rPr>
          <w:rFonts w:ascii="Arial" w:hAnsi="Arial"/>
        </w:rPr>
      </w:pPr>
      <w:r w:rsidRPr="00F618D8">
        <w:rPr>
          <w:rFonts w:ascii="Arial" w:hAnsi="Arial"/>
        </w:rPr>
        <w:t>Even wi</w:t>
      </w:r>
      <w:r w:rsidR="00A95CE2" w:rsidRPr="00F618D8">
        <w:rPr>
          <w:rFonts w:ascii="Arial" w:hAnsi="Arial"/>
        </w:rPr>
        <w:t>th the acknowledgment of its limitations, NCI data can provide indicia of the possible impact of guardianship in the lives of people with ID/DD</w:t>
      </w:r>
      <w:r w:rsidR="00AA1F92" w:rsidRPr="00F618D8">
        <w:rPr>
          <w:rFonts w:ascii="Arial" w:hAnsi="Arial"/>
        </w:rPr>
        <w:t xml:space="preserve">. </w:t>
      </w:r>
      <w:r w:rsidR="00BD788E" w:rsidRPr="00F618D8">
        <w:rPr>
          <w:rFonts w:ascii="Arial" w:hAnsi="Arial"/>
        </w:rPr>
        <w:t xml:space="preserve">For example, the </w:t>
      </w:r>
      <w:r w:rsidR="00810C4A" w:rsidRPr="00F618D8">
        <w:rPr>
          <w:rFonts w:ascii="Arial" w:hAnsi="Arial"/>
        </w:rPr>
        <w:t>NASDDDS</w:t>
      </w:r>
      <w:r w:rsidR="00BD788E" w:rsidRPr="00F618D8">
        <w:rPr>
          <w:rFonts w:ascii="Arial" w:hAnsi="Arial"/>
        </w:rPr>
        <w:t>/HSRI/UMKC Report analyzed outcomes for people with ID/DD with and without guardians, based on the most recent 2017-18 NCI data. The report found that NCI respondents without guardians are less likely to live in their own homes or apartments, be included in the community, have their rights respected, have community jobs or service plans with that goal, be supported to communicate with friends, go on dates or marry, and be involved in making choices about their own lives (</w:t>
      </w:r>
      <w:r w:rsidR="00BD788E" w:rsidRPr="00F618D8">
        <w:rPr>
          <w:rFonts w:ascii="Arial" w:hAnsi="Arial"/>
          <w:i/>
        </w:rPr>
        <w:t>e.g.</w:t>
      </w:r>
      <w:r w:rsidR="00BD788E" w:rsidRPr="00F618D8">
        <w:rPr>
          <w:rFonts w:ascii="Arial" w:hAnsi="Arial"/>
        </w:rPr>
        <w:t>, where and with whom to live, who their support staff or case managers are, what their schedule looks like, what to do during their free time or during the day, and what to buy with spending money</w:t>
      </w:r>
      <w:bookmarkStart w:id="88" w:name="_Hlk5266585"/>
      <w:r w:rsidR="00B21AC3" w:rsidRPr="00F618D8">
        <w:rPr>
          <w:rFonts w:ascii="Arial" w:hAnsi="Arial"/>
        </w:rPr>
        <w:t>.</w:t>
      </w:r>
      <w:bookmarkEnd w:id="88"/>
      <w:r w:rsidR="00B21AC3" w:rsidRPr="00F618D8">
        <w:rPr>
          <w:rStyle w:val="EndnoteReference"/>
          <w:rFonts w:ascii="Arial" w:hAnsi="Arial"/>
          <w:szCs w:val="24"/>
        </w:rPr>
        <w:endnoteReference w:id="89"/>
      </w:r>
      <w:r w:rsidR="00B21AC3" w:rsidRPr="00F618D8">
        <w:rPr>
          <w:rFonts w:ascii="Arial" w:hAnsi="Arial"/>
        </w:rPr>
        <w:t xml:space="preserve"> </w:t>
      </w:r>
    </w:p>
    <w:p w14:paraId="005FC4F8" w14:textId="4D4B50C8" w:rsidR="00B21AC3" w:rsidRPr="00F618D8" w:rsidRDefault="005924B9" w:rsidP="00610EEF">
      <w:pPr>
        <w:pStyle w:val="ParaNoIndent"/>
        <w:rPr>
          <w:rFonts w:ascii="Arial" w:hAnsi="Arial"/>
        </w:rPr>
      </w:pPr>
      <w:r w:rsidRPr="00F618D8">
        <w:rPr>
          <w:rFonts w:ascii="Arial" w:hAnsi="Arial"/>
        </w:rPr>
        <w:t>NCI data also can be used to explore whether or not people with ID/DD who have guardians are more or less likely to live in restrictive environments than those who do not</w:t>
      </w:r>
      <w:r w:rsidR="00AA1F92" w:rsidRPr="00F618D8">
        <w:rPr>
          <w:rFonts w:ascii="Arial" w:hAnsi="Arial"/>
        </w:rPr>
        <w:t xml:space="preserve">. </w:t>
      </w:r>
      <w:r w:rsidR="006000A6" w:rsidRPr="00F618D8">
        <w:rPr>
          <w:rFonts w:ascii="Arial" w:hAnsi="Arial"/>
        </w:rPr>
        <w:t>S</w:t>
      </w:r>
      <w:r w:rsidR="00B21AC3" w:rsidRPr="00F618D8">
        <w:rPr>
          <w:rFonts w:ascii="Arial" w:hAnsi="Arial"/>
        </w:rPr>
        <w:t xml:space="preserve">cholars </w:t>
      </w:r>
      <w:r w:rsidR="006000A6" w:rsidRPr="00F618D8">
        <w:rPr>
          <w:rFonts w:ascii="Arial" w:hAnsi="Arial"/>
        </w:rPr>
        <w:t xml:space="preserve">have </w:t>
      </w:r>
      <w:r w:rsidR="00B21AC3" w:rsidRPr="00F618D8">
        <w:rPr>
          <w:rFonts w:ascii="Arial" w:hAnsi="Arial"/>
        </w:rPr>
        <w:t>disagree</w:t>
      </w:r>
      <w:r w:rsidR="006000A6" w:rsidRPr="00F618D8">
        <w:rPr>
          <w:rFonts w:ascii="Arial" w:hAnsi="Arial"/>
        </w:rPr>
        <w:t>d</w:t>
      </w:r>
      <w:r w:rsidR="00B21AC3" w:rsidRPr="00F618D8">
        <w:rPr>
          <w:rFonts w:ascii="Arial" w:hAnsi="Arial"/>
        </w:rPr>
        <w:t xml:space="preserve"> as to whether people with guardians are predisposed or disproportionately subject to institutionalization</w:t>
      </w:r>
      <w:r w:rsidR="00AA1F92" w:rsidRPr="00F618D8">
        <w:rPr>
          <w:rFonts w:ascii="Arial" w:hAnsi="Arial"/>
        </w:rPr>
        <w:t xml:space="preserve">. </w:t>
      </w:r>
      <w:r w:rsidR="00B21AC3" w:rsidRPr="00F618D8">
        <w:rPr>
          <w:rFonts w:ascii="Arial" w:hAnsi="Arial"/>
        </w:rPr>
        <w:t>Some argue that they are,</w:t>
      </w:r>
      <w:r w:rsidR="00B21AC3" w:rsidRPr="00F618D8">
        <w:rPr>
          <w:rFonts w:ascii="Arial" w:hAnsi="Arial"/>
          <w:vertAlign w:val="superscript"/>
        </w:rPr>
        <w:endnoteReference w:id="90"/>
      </w:r>
      <w:r w:rsidR="00B21AC3" w:rsidRPr="00F618D8">
        <w:rPr>
          <w:rFonts w:ascii="Arial" w:hAnsi="Arial"/>
        </w:rPr>
        <w:t xml:space="preserve"> pointing to studies done of residential decisions made by a sample of state public guardianship programs.</w:t>
      </w:r>
      <w:r w:rsidR="00B21AC3" w:rsidRPr="00F618D8">
        <w:rPr>
          <w:rFonts w:ascii="Arial" w:hAnsi="Arial"/>
          <w:vertAlign w:val="superscript"/>
        </w:rPr>
        <w:endnoteReference w:id="91"/>
      </w:r>
      <w:r w:rsidR="00B21AC3" w:rsidRPr="00F618D8">
        <w:rPr>
          <w:rFonts w:ascii="Arial" w:hAnsi="Arial"/>
        </w:rPr>
        <w:t xml:space="preserve"> Others disagree,</w:t>
      </w:r>
      <w:r w:rsidR="00B21AC3" w:rsidRPr="00F618D8">
        <w:rPr>
          <w:rFonts w:ascii="Arial" w:hAnsi="Arial"/>
          <w:vertAlign w:val="superscript"/>
        </w:rPr>
        <w:endnoteReference w:id="92"/>
      </w:r>
      <w:r w:rsidR="00B21AC3" w:rsidRPr="00F618D8">
        <w:rPr>
          <w:rFonts w:ascii="Arial" w:eastAsia="Times New Roman" w:hAnsi="Arial"/>
        </w:rPr>
        <w:t xml:space="preserve"> </w:t>
      </w:r>
      <w:r w:rsidR="00B21AC3" w:rsidRPr="00F618D8">
        <w:rPr>
          <w:rFonts w:ascii="Arial" w:hAnsi="Arial"/>
        </w:rPr>
        <w:t>citing studies indicating that guardianship may delay institutionalization, although ultimately not prevent it</w:t>
      </w:r>
      <w:r w:rsidR="00AA1F92" w:rsidRPr="00F618D8">
        <w:rPr>
          <w:rFonts w:ascii="Arial" w:hAnsi="Arial"/>
        </w:rPr>
        <w:t xml:space="preserve">. </w:t>
      </w:r>
      <w:r w:rsidR="00B21AC3" w:rsidRPr="00F618D8">
        <w:rPr>
          <w:rFonts w:ascii="Arial" w:hAnsi="Arial"/>
        </w:rPr>
        <w:t xml:space="preserve">NCI data </w:t>
      </w:r>
      <w:r w:rsidRPr="00F618D8">
        <w:rPr>
          <w:rFonts w:ascii="Arial" w:hAnsi="Arial"/>
        </w:rPr>
        <w:t xml:space="preserve">indicates that the answer </w:t>
      </w:r>
      <w:r w:rsidRPr="00F618D8">
        <w:rPr>
          <w:rFonts w:ascii="Arial" w:hAnsi="Arial"/>
        </w:rPr>
        <w:lastRenderedPageBreak/>
        <w:t>to this question may be more nuanced for people with ID/DD</w:t>
      </w:r>
      <w:r w:rsidR="00AA1F92" w:rsidRPr="00F618D8">
        <w:rPr>
          <w:rFonts w:ascii="Arial" w:hAnsi="Arial"/>
        </w:rPr>
        <w:t xml:space="preserve">. </w:t>
      </w:r>
      <w:r w:rsidR="00BD788E" w:rsidRPr="00F618D8">
        <w:rPr>
          <w:rFonts w:ascii="Arial" w:hAnsi="Arial"/>
        </w:rPr>
        <w:t>In the</w:t>
      </w:r>
      <w:r w:rsidR="00C06114" w:rsidRPr="00F618D8">
        <w:rPr>
          <w:rFonts w:ascii="Arial" w:hAnsi="Arial"/>
        </w:rPr>
        <w:t xml:space="preserve"> </w:t>
      </w:r>
      <w:r w:rsidR="00810C4A" w:rsidRPr="00F618D8">
        <w:rPr>
          <w:rFonts w:ascii="Arial" w:hAnsi="Arial"/>
        </w:rPr>
        <w:t>NASDDDS</w:t>
      </w:r>
      <w:r w:rsidR="00BD788E" w:rsidRPr="00F618D8">
        <w:rPr>
          <w:rFonts w:ascii="Arial" w:hAnsi="Arial"/>
        </w:rPr>
        <w:t>/HSRI/UMKC Report, the most recent 2017-18 NCI data indicated that NCI respondents in guardianship were significantly more likely to live in group residential facilities and less likely to live in their own home/apartment</w:t>
      </w:r>
      <w:r w:rsidR="00810C4A" w:rsidRPr="00F618D8">
        <w:rPr>
          <w:rFonts w:ascii="Arial" w:hAnsi="Arial"/>
        </w:rPr>
        <w:t>.</w:t>
      </w:r>
      <w:r w:rsidR="00810C4A" w:rsidRPr="00F618D8">
        <w:rPr>
          <w:rStyle w:val="EndnoteReference"/>
          <w:rFonts w:ascii="Arial" w:hAnsi="Arial"/>
          <w:szCs w:val="24"/>
        </w:rPr>
        <w:endnoteReference w:id="93"/>
      </w:r>
      <w:r w:rsidR="00BD788E" w:rsidRPr="00F618D8">
        <w:rPr>
          <w:rFonts w:ascii="Arial" w:hAnsi="Arial"/>
        </w:rPr>
        <w:t xml:space="preserve">  However, that report also found that respondents in guardianship were not more or less likely to live in an ICF/IDD, nursing facility, or other institutional setting than those who were not under guardianship</w:t>
      </w:r>
      <w:r w:rsidR="00810C4A" w:rsidRPr="00F618D8">
        <w:rPr>
          <w:rFonts w:ascii="Arial" w:hAnsi="Arial"/>
        </w:rPr>
        <w:t>.</w:t>
      </w:r>
      <w:r w:rsidR="00810C4A" w:rsidRPr="00F618D8">
        <w:rPr>
          <w:rStyle w:val="EndnoteReference"/>
          <w:rFonts w:ascii="Arial" w:hAnsi="Arial"/>
          <w:szCs w:val="24"/>
        </w:rPr>
        <w:endnoteReference w:id="94"/>
      </w:r>
      <w:r w:rsidR="00BD788E" w:rsidRPr="00F618D8">
        <w:rPr>
          <w:rFonts w:ascii="Arial" w:hAnsi="Arial"/>
        </w:rPr>
        <w:t xml:space="preserve"> -- which is contrary what NCD found </w:t>
      </w:r>
      <w:r w:rsidR="0004451D" w:rsidRPr="00F618D8">
        <w:rPr>
          <w:rFonts w:ascii="Arial" w:hAnsi="Arial"/>
        </w:rPr>
        <w:t>with</w:t>
      </w:r>
      <w:r w:rsidR="00810C4A" w:rsidRPr="00F618D8">
        <w:rPr>
          <w:rFonts w:ascii="Arial" w:hAnsi="Arial"/>
        </w:rPr>
        <w:t xml:space="preserve">in </w:t>
      </w:r>
      <w:r w:rsidR="00C06114" w:rsidRPr="00F618D8">
        <w:rPr>
          <w:rFonts w:ascii="Arial" w:hAnsi="Arial"/>
        </w:rPr>
        <w:t xml:space="preserve"> </w:t>
      </w:r>
      <w:r w:rsidR="00BD788E" w:rsidRPr="00F618D8">
        <w:rPr>
          <w:rFonts w:ascii="Arial" w:hAnsi="Arial"/>
        </w:rPr>
        <w:t>older 2015</w:t>
      </w:r>
      <w:r w:rsidR="00810C4A" w:rsidRPr="00F618D8">
        <w:rPr>
          <w:rFonts w:ascii="Arial" w:hAnsi="Arial"/>
        </w:rPr>
        <w:t>-</w:t>
      </w:r>
      <w:r w:rsidR="00BD788E" w:rsidRPr="00F618D8">
        <w:rPr>
          <w:rFonts w:ascii="Arial" w:hAnsi="Arial"/>
        </w:rPr>
        <w:t xml:space="preserve">16 NCI data (see Table 6 of Appendix C). </w:t>
      </w:r>
      <w:r w:rsidR="00B21AC3" w:rsidRPr="00F618D8">
        <w:rPr>
          <w:rFonts w:ascii="Arial" w:hAnsi="Arial"/>
        </w:rPr>
        <w:t xml:space="preserve">Ultimately, </w:t>
      </w:r>
      <w:bookmarkStart w:id="89" w:name="_Hlk5266684"/>
      <w:r w:rsidR="00B21AC3" w:rsidRPr="00F618D8">
        <w:rPr>
          <w:rFonts w:ascii="Arial" w:hAnsi="Arial"/>
        </w:rPr>
        <w:t>any NCI data correlation between guardianship and institutionalization does not get to the core question of whether it is guardianship itself that led to the person living in a more restrictive residential environment</w:t>
      </w:r>
      <w:r w:rsidR="00AA1F92" w:rsidRPr="00F618D8">
        <w:rPr>
          <w:rFonts w:ascii="Arial" w:hAnsi="Arial"/>
        </w:rPr>
        <w:t xml:space="preserve">. </w:t>
      </w:r>
      <w:bookmarkEnd w:id="89"/>
      <w:r w:rsidR="00B21AC3" w:rsidRPr="00F618D8">
        <w:rPr>
          <w:rFonts w:ascii="Arial" w:hAnsi="Arial"/>
        </w:rPr>
        <w:t>The answer is more complicated than that and</w:t>
      </w:r>
      <w:r w:rsidR="001017B7" w:rsidRPr="00F618D8">
        <w:rPr>
          <w:rFonts w:ascii="Arial" w:hAnsi="Arial"/>
        </w:rPr>
        <w:t xml:space="preserve"> likely</w:t>
      </w:r>
      <w:r w:rsidR="00B21AC3" w:rsidRPr="00F618D8">
        <w:rPr>
          <w:rFonts w:ascii="Arial" w:hAnsi="Arial"/>
        </w:rPr>
        <w:t xml:space="preserve"> </w:t>
      </w:r>
      <w:r w:rsidR="001017B7" w:rsidRPr="00F618D8">
        <w:rPr>
          <w:rFonts w:ascii="Arial" w:hAnsi="Arial"/>
        </w:rPr>
        <w:t>dependent on other factors</w:t>
      </w:r>
      <w:r w:rsidR="00C06114" w:rsidRPr="00F618D8">
        <w:rPr>
          <w:rFonts w:ascii="Arial" w:hAnsi="Arial"/>
        </w:rPr>
        <w:t xml:space="preserve">, </w:t>
      </w:r>
      <w:r w:rsidR="001017B7" w:rsidRPr="00F618D8">
        <w:rPr>
          <w:rFonts w:ascii="Arial" w:hAnsi="Arial"/>
        </w:rPr>
        <w:t>such as</w:t>
      </w:r>
      <w:r w:rsidR="00B21AC3" w:rsidRPr="00F618D8">
        <w:rPr>
          <w:rFonts w:ascii="Arial" w:hAnsi="Arial"/>
        </w:rPr>
        <w:t xml:space="preserve"> whether a state’s service delivery systems or supports appropriately promotes </w:t>
      </w:r>
      <w:r w:rsidRPr="00F618D8">
        <w:rPr>
          <w:rFonts w:ascii="Arial" w:hAnsi="Arial"/>
        </w:rPr>
        <w:t xml:space="preserve">community living for </w:t>
      </w:r>
      <w:r w:rsidR="00B21AC3" w:rsidRPr="00F618D8">
        <w:rPr>
          <w:rFonts w:ascii="Arial" w:hAnsi="Arial"/>
        </w:rPr>
        <w:t xml:space="preserve">people with disabilities. </w:t>
      </w:r>
    </w:p>
    <w:p w14:paraId="751403C8" w14:textId="77777777" w:rsidR="00B72E08" w:rsidRPr="00F618D8" w:rsidRDefault="00B72E08" w:rsidP="00C163C7">
      <w:pPr>
        <w:spacing w:line="240" w:lineRule="auto"/>
        <w:jc w:val="center"/>
        <w:rPr>
          <w:rFonts w:ascii="Arial" w:hAnsi="Arial" w:cs="Arial"/>
          <w:b/>
          <w:sz w:val="36"/>
          <w:szCs w:val="36"/>
        </w:rPr>
        <w:sectPr w:rsidR="00B72E08" w:rsidRPr="00F618D8" w:rsidSect="00927CD8">
          <w:endnotePr>
            <w:numFmt w:val="decimal"/>
          </w:endnotePr>
          <w:pgSz w:w="12240" w:h="15840"/>
          <w:pgMar w:top="1440" w:right="1440" w:bottom="1440" w:left="1440" w:header="720" w:footer="720" w:gutter="0"/>
          <w:cols w:space="720"/>
          <w:docGrid w:linePitch="360"/>
        </w:sectPr>
      </w:pPr>
    </w:p>
    <w:p w14:paraId="2BF99005" w14:textId="77777777" w:rsidR="001B3DDE" w:rsidRPr="00F618D8" w:rsidRDefault="001B3DDE" w:rsidP="00535B24">
      <w:pPr>
        <w:rPr>
          <w:rFonts w:eastAsia="Cambria"/>
          <w:sz w:val="36"/>
          <w:szCs w:val="28"/>
        </w:rPr>
      </w:pPr>
      <w:r w:rsidRPr="00F618D8">
        <w:lastRenderedPageBreak/>
        <w:br w:type="page"/>
      </w:r>
    </w:p>
    <w:p w14:paraId="1BE1F783" w14:textId="0A4C4B83" w:rsidR="002A0689" w:rsidRPr="00F618D8" w:rsidRDefault="00521E4B" w:rsidP="00610EEF">
      <w:pPr>
        <w:pStyle w:val="Heading1"/>
        <w:rPr>
          <w:rFonts w:ascii="Arial" w:hAnsi="Arial" w:cs="Arial"/>
        </w:rPr>
      </w:pPr>
      <w:bookmarkStart w:id="90" w:name="_Toc10290964"/>
      <w:r w:rsidRPr="00F618D8">
        <w:rPr>
          <w:rFonts w:ascii="Arial" w:hAnsi="Arial" w:cs="Arial"/>
        </w:rPr>
        <w:lastRenderedPageBreak/>
        <w:t>Chapter 5</w:t>
      </w:r>
      <w:r w:rsidR="001F3818" w:rsidRPr="00F618D8">
        <w:rPr>
          <w:rFonts w:ascii="Arial" w:hAnsi="Arial" w:cs="Arial"/>
        </w:rPr>
        <w:t xml:space="preserve">: </w:t>
      </w:r>
      <w:r w:rsidR="002A0689" w:rsidRPr="00F618D8">
        <w:rPr>
          <w:rFonts w:ascii="Arial" w:hAnsi="Arial" w:cs="Arial"/>
        </w:rPr>
        <w:t>Guardianship &amp; People with ID/DD:</w:t>
      </w:r>
      <w:bookmarkEnd w:id="90"/>
    </w:p>
    <w:p w14:paraId="46E11503" w14:textId="77777777" w:rsidR="001F3818" w:rsidRPr="00F618D8" w:rsidRDefault="00A95CE2" w:rsidP="00387358">
      <w:pPr>
        <w:pStyle w:val="Heading1"/>
        <w:rPr>
          <w:rFonts w:ascii="Arial" w:hAnsi="Arial" w:cs="Arial"/>
        </w:rPr>
      </w:pPr>
      <w:bookmarkStart w:id="91" w:name="_Toc809869"/>
      <w:bookmarkStart w:id="92" w:name="_Toc10290965"/>
      <w:r w:rsidRPr="00F618D8">
        <w:rPr>
          <w:rFonts w:ascii="Arial" w:hAnsi="Arial" w:cs="Arial"/>
        </w:rPr>
        <w:t>A Story from the Nation’s Capital</w:t>
      </w:r>
      <w:bookmarkEnd w:id="91"/>
      <w:bookmarkEnd w:id="92"/>
    </w:p>
    <w:p w14:paraId="653D0401" w14:textId="77777777" w:rsidR="00C71E9E" w:rsidRPr="00F618D8" w:rsidRDefault="00A95CE2" w:rsidP="00610EEF">
      <w:pPr>
        <w:pStyle w:val="Heading2"/>
        <w:rPr>
          <w:rFonts w:ascii="Arial" w:hAnsi="Arial" w:cs="Arial"/>
        </w:rPr>
      </w:pPr>
      <w:bookmarkStart w:id="93" w:name="_Toc10290966"/>
      <w:r w:rsidRPr="00F618D8">
        <w:rPr>
          <w:rFonts w:ascii="Arial" w:hAnsi="Arial" w:cs="Arial"/>
        </w:rPr>
        <w:t>Introduction</w:t>
      </w:r>
      <w:bookmarkEnd w:id="93"/>
    </w:p>
    <w:p w14:paraId="70CF8150" w14:textId="77777777" w:rsidR="001017B7" w:rsidRPr="00F618D8" w:rsidRDefault="00B72E08" w:rsidP="00610EEF">
      <w:pPr>
        <w:pStyle w:val="ParaNoIndent"/>
        <w:rPr>
          <w:rFonts w:ascii="Arial" w:hAnsi="Arial"/>
        </w:rPr>
      </w:pPr>
      <w:r w:rsidRPr="00F618D8">
        <w:rPr>
          <w:rFonts w:ascii="Arial" w:hAnsi="Arial"/>
        </w:rPr>
        <w:t xml:space="preserve">Who is filing guardianship petitions over people with ID/DD? </w:t>
      </w:r>
      <w:r w:rsidR="00962C10" w:rsidRPr="00F618D8">
        <w:rPr>
          <w:rFonts w:ascii="Arial" w:hAnsi="Arial"/>
        </w:rPr>
        <w:t xml:space="preserve">Are suspicions of a “school-to-guardianship” pipeline for people with ID/DD borne out in actual guardianship data? </w:t>
      </w:r>
      <w:r w:rsidR="005924B9" w:rsidRPr="00F618D8">
        <w:rPr>
          <w:rFonts w:ascii="Arial" w:hAnsi="Arial"/>
        </w:rPr>
        <w:t xml:space="preserve">Do people </w:t>
      </w:r>
      <w:r w:rsidRPr="00F618D8">
        <w:rPr>
          <w:rFonts w:ascii="Arial" w:hAnsi="Arial"/>
        </w:rPr>
        <w:t>with ID/DD in guardianship ever seek to have their rights restor</w:t>
      </w:r>
      <w:r w:rsidR="005924B9" w:rsidRPr="00F618D8">
        <w:rPr>
          <w:rFonts w:ascii="Arial" w:hAnsi="Arial"/>
        </w:rPr>
        <w:t>ed?  Data-supported answers to these and other more granular questions impacting people with ID/DD are not available for the United States as a whole. Therefore, t</w:t>
      </w:r>
      <w:r w:rsidR="009F11B8" w:rsidRPr="00F618D8">
        <w:rPr>
          <w:rFonts w:ascii="Arial" w:hAnsi="Arial"/>
        </w:rPr>
        <w:t xml:space="preserve">his project </w:t>
      </w:r>
      <w:r w:rsidR="005924B9" w:rsidRPr="00F618D8">
        <w:rPr>
          <w:rFonts w:ascii="Arial" w:hAnsi="Arial"/>
        </w:rPr>
        <w:t xml:space="preserve">turned to the local level by undertaking an in-depth examination and analysis of </w:t>
      </w:r>
      <w:r w:rsidRPr="00F618D8">
        <w:rPr>
          <w:rFonts w:ascii="Arial" w:hAnsi="Arial"/>
        </w:rPr>
        <w:t>the experience of</w:t>
      </w:r>
      <w:r w:rsidR="009F11B8" w:rsidRPr="00F618D8">
        <w:rPr>
          <w:rFonts w:ascii="Arial" w:hAnsi="Arial"/>
        </w:rPr>
        <w:t xml:space="preserve"> people with ID/DD who live in Washington, DC. </w:t>
      </w:r>
    </w:p>
    <w:p w14:paraId="63A0C9EE" w14:textId="77777777" w:rsidR="001017B7" w:rsidRPr="00F618D8" w:rsidRDefault="001017B7" w:rsidP="00610EEF">
      <w:pPr>
        <w:pStyle w:val="ParaNoIndent"/>
        <w:rPr>
          <w:rFonts w:ascii="Arial" w:hAnsi="Arial"/>
        </w:rPr>
      </w:pPr>
      <w:r w:rsidRPr="00F618D8">
        <w:rPr>
          <w:rFonts w:ascii="Arial" w:hAnsi="Arial"/>
        </w:rPr>
        <w:t>The District of Columbia</w:t>
      </w:r>
      <w:r w:rsidR="009F11B8" w:rsidRPr="00F618D8">
        <w:rPr>
          <w:rFonts w:ascii="Arial" w:hAnsi="Arial"/>
        </w:rPr>
        <w:t xml:space="preserve"> is a prime place </w:t>
      </w:r>
      <w:r w:rsidR="005924B9" w:rsidRPr="00F618D8">
        <w:rPr>
          <w:rFonts w:ascii="Arial" w:hAnsi="Arial"/>
        </w:rPr>
        <w:t xml:space="preserve">for such an </w:t>
      </w:r>
      <w:r w:rsidR="009F11B8" w:rsidRPr="00F618D8">
        <w:rPr>
          <w:rFonts w:ascii="Arial" w:hAnsi="Arial"/>
        </w:rPr>
        <w:t>examination</w:t>
      </w:r>
      <w:r w:rsidR="00B72E08" w:rsidRPr="00F618D8">
        <w:rPr>
          <w:rFonts w:ascii="Arial" w:hAnsi="Arial"/>
        </w:rPr>
        <w:t>.</w:t>
      </w:r>
      <w:r w:rsidRPr="00F618D8">
        <w:rPr>
          <w:rFonts w:ascii="Arial" w:hAnsi="Arial"/>
        </w:rPr>
        <w:t xml:space="preserve"> The treatment of the decision-making rights of DC citizens with ID/DD has recently been highlighted on the national stage</w:t>
      </w:r>
      <w:r w:rsidR="00AA1F92" w:rsidRPr="00F618D8">
        <w:rPr>
          <w:rFonts w:ascii="Arial" w:hAnsi="Arial"/>
        </w:rPr>
        <w:t xml:space="preserve">. </w:t>
      </w:r>
      <w:r w:rsidRPr="00F618D8">
        <w:rPr>
          <w:rFonts w:ascii="Arial" w:hAnsi="Arial"/>
        </w:rPr>
        <w:t xml:space="preserve">During recent U.S. Supreme Court justice confirmation hearings, repeated references were made to </w:t>
      </w:r>
      <w:r w:rsidR="00DA736B" w:rsidRPr="00F618D8">
        <w:rPr>
          <w:rFonts w:ascii="Arial" w:hAnsi="Arial"/>
        </w:rPr>
        <w:t xml:space="preserve">a </w:t>
      </w:r>
      <w:r w:rsidRPr="00F618D8">
        <w:rPr>
          <w:rFonts w:ascii="Arial" w:hAnsi="Arial"/>
        </w:rPr>
        <w:t xml:space="preserve">2007 U.S. Circuit Court for the District of Columbia decision, </w:t>
      </w:r>
      <w:bookmarkStart w:id="94" w:name="_Hlk5270368"/>
      <w:r w:rsidRPr="00F618D8">
        <w:rPr>
          <w:rFonts w:ascii="Arial" w:hAnsi="Arial"/>
        </w:rPr>
        <w:t>Doe ex rel. Tarlow</w:t>
      </w:r>
      <w:bookmarkEnd w:id="94"/>
      <w:r w:rsidRPr="00F618D8">
        <w:rPr>
          <w:rFonts w:ascii="Arial" w:hAnsi="Arial"/>
        </w:rPr>
        <w:t>.</w:t>
      </w:r>
      <w:r w:rsidRPr="00F618D8">
        <w:rPr>
          <w:rFonts w:ascii="Arial" w:hAnsi="Arial"/>
          <w:vertAlign w:val="superscript"/>
        </w:rPr>
        <w:endnoteReference w:id="95"/>
      </w:r>
      <w:r w:rsidRPr="00F618D8">
        <w:rPr>
          <w:rFonts w:ascii="Arial" w:hAnsi="Arial"/>
        </w:rPr>
        <w:t xml:space="preserve"> This court decision was condemned by </w:t>
      </w:r>
      <w:r w:rsidR="007E41D2" w:rsidRPr="00F618D8">
        <w:rPr>
          <w:rFonts w:ascii="Arial" w:hAnsi="Arial"/>
        </w:rPr>
        <w:t>several</w:t>
      </w:r>
      <w:r w:rsidRPr="00F618D8">
        <w:rPr>
          <w:rFonts w:ascii="Arial" w:hAnsi="Arial"/>
        </w:rPr>
        <w:t xml:space="preserve"> disability rights organizations</w:t>
      </w:r>
      <w:r w:rsidRPr="00F618D8">
        <w:rPr>
          <w:rFonts w:ascii="Arial" w:hAnsi="Arial"/>
          <w:vertAlign w:val="superscript"/>
        </w:rPr>
        <w:endnoteReference w:id="96"/>
      </w:r>
      <w:r w:rsidRPr="00F618D8">
        <w:rPr>
          <w:rFonts w:ascii="Arial" w:hAnsi="Arial"/>
        </w:rPr>
        <w:t xml:space="preserve"> for not respecting the wishes of all of DC’s citizens with ID/DD with respect to their own medical care</w:t>
      </w:r>
      <w:r w:rsidR="00AA1F92" w:rsidRPr="00F618D8">
        <w:rPr>
          <w:rFonts w:ascii="Arial" w:hAnsi="Arial"/>
        </w:rPr>
        <w:t xml:space="preserve">. </w:t>
      </w:r>
      <w:r w:rsidRPr="00F618D8">
        <w:rPr>
          <w:rFonts w:ascii="Arial" w:hAnsi="Arial"/>
        </w:rPr>
        <w:t xml:space="preserve">In addition, this case highlights the way in which </w:t>
      </w:r>
      <w:r w:rsidR="005924B9" w:rsidRPr="00F618D8">
        <w:rPr>
          <w:rFonts w:ascii="Arial" w:hAnsi="Arial"/>
        </w:rPr>
        <w:t>the DC</w:t>
      </w:r>
      <w:r w:rsidRPr="00F618D8">
        <w:rPr>
          <w:rFonts w:ascii="Arial" w:hAnsi="Arial"/>
        </w:rPr>
        <w:t xml:space="preserve"> </w:t>
      </w:r>
      <w:r w:rsidR="005924B9" w:rsidRPr="00F618D8">
        <w:rPr>
          <w:rFonts w:ascii="Arial" w:hAnsi="Arial"/>
        </w:rPr>
        <w:t xml:space="preserve">government </w:t>
      </w:r>
      <w:r w:rsidRPr="00F618D8">
        <w:rPr>
          <w:rFonts w:ascii="Arial" w:hAnsi="Arial"/>
        </w:rPr>
        <w:t xml:space="preserve">used to consent to elective surgeries, including abortions, for certain DC citizens </w:t>
      </w:r>
      <w:r w:rsidR="005924B9" w:rsidRPr="00F618D8">
        <w:rPr>
          <w:rFonts w:ascii="Arial" w:hAnsi="Arial"/>
        </w:rPr>
        <w:t xml:space="preserve">with ID/DD </w:t>
      </w:r>
      <w:r w:rsidRPr="00F618D8">
        <w:rPr>
          <w:rFonts w:ascii="Arial" w:hAnsi="Arial"/>
        </w:rPr>
        <w:t>without attempting to ascertain their wishes</w:t>
      </w:r>
      <w:r w:rsidR="00AA1F92" w:rsidRPr="00F618D8">
        <w:rPr>
          <w:rFonts w:ascii="Arial" w:hAnsi="Arial"/>
        </w:rPr>
        <w:t xml:space="preserve">. </w:t>
      </w:r>
      <w:r w:rsidRPr="00F618D8">
        <w:rPr>
          <w:rFonts w:ascii="Arial" w:hAnsi="Arial"/>
        </w:rPr>
        <w:t xml:space="preserve">Since that time, DC laws and governmental practice impacting the decision-making rights of people with ID/DD </w:t>
      </w:r>
      <w:r w:rsidR="005924B9" w:rsidRPr="00F618D8">
        <w:rPr>
          <w:rFonts w:ascii="Arial" w:hAnsi="Arial"/>
        </w:rPr>
        <w:t>improved i</w:t>
      </w:r>
      <w:r w:rsidRPr="00F618D8">
        <w:rPr>
          <w:rFonts w:ascii="Arial" w:hAnsi="Arial"/>
        </w:rPr>
        <w:t>n significant ways</w:t>
      </w:r>
      <w:r w:rsidR="00AA1F92" w:rsidRPr="00F618D8">
        <w:rPr>
          <w:rFonts w:ascii="Arial" w:hAnsi="Arial"/>
        </w:rPr>
        <w:t xml:space="preserve">. </w:t>
      </w:r>
      <w:r w:rsidR="005924B9" w:rsidRPr="00F618D8">
        <w:rPr>
          <w:rFonts w:ascii="Arial" w:hAnsi="Arial"/>
        </w:rPr>
        <w:t>However</w:t>
      </w:r>
      <w:r w:rsidRPr="00F618D8">
        <w:rPr>
          <w:rFonts w:ascii="Arial" w:hAnsi="Arial"/>
        </w:rPr>
        <w:t xml:space="preserve">, </w:t>
      </w:r>
      <w:r w:rsidR="005924B9" w:rsidRPr="00F618D8">
        <w:rPr>
          <w:rFonts w:ascii="Arial" w:hAnsi="Arial"/>
        </w:rPr>
        <w:t>t</w:t>
      </w:r>
      <w:r w:rsidRPr="00F618D8">
        <w:rPr>
          <w:rFonts w:ascii="Arial" w:hAnsi="Arial"/>
        </w:rPr>
        <w:t>hat concerning history remains in the minds of many local advocates and DC residents with ID/DD</w:t>
      </w:r>
      <w:r w:rsidR="00AA1F92" w:rsidRPr="00F618D8">
        <w:rPr>
          <w:rFonts w:ascii="Arial" w:hAnsi="Arial"/>
        </w:rPr>
        <w:t xml:space="preserve">. </w:t>
      </w:r>
      <w:r w:rsidRPr="00F618D8">
        <w:rPr>
          <w:rFonts w:ascii="Arial" w:hAnsi="Arial"/>
        </w:rPr>
        <w:t>As one DC advocate with ID/DD said with respect to the Doe decision: “Nothing about us without us.”</w:t>
      </w:r>
      <w:r w:rsidRPr="00F618D8">
        <w:rPr>
          <w:rFonts w:ascii="Arial" w:hAnsi="Arial"/>
          <w:vertAlign w:val="superscript"/>
        </w:rPr>
        <w:endnoteReference w:id="97"/>
      </w:r>
      <w:r w:rsidRPr="00F618D8">
        <w:rPr>
          <w:rFonts w:ascii="Arial" w:hAnsi="Arial"/>
        </w:rPr>
        <w:t xml:space="preserve">  </w:t>
      </w:r>
    </w:p>
    <w:p w14:paraId="2A6F90A5" w14:textId="77777777" w:rsidR="009F11B8" w:rsidRPr="00F618D8" w:rsidRDefault="001017B7" w:rsidP="00610EEF">
      <w:pPr>
        <w:pStyle w:val="ParaNoIndent"/>
        <w:rPr>
          <w:rFonts w:ascii="Arial" w:hAnsi="Arial"/>
        </w:rPr>
      </w:pPr>
      <w:bookmarkStart w:id="95" w:name="_Hlk5267484"/>
      <w:r w:rsidRPr="00F618D8">
        <w:rPr>
          <w:rFonts w:ascii="Arial" w:hAnsi="Arial"/>
        </w:rPr>
        <w:t>In addition, from a data gathering standpoint, i</w:t>
      </w:r>
      <w:r w:rsidR="00B72E08" w:rsidRPr="00F618D8">
        <w:rPr>
          <w:rFonts w:ascii="Arial" w:hAnsi="Arial"/>
        </w:rPr>
        <w:t>dentifying</w:t>
      </w:r>
      <w:r w:rsidR="009F11B8" w:rsidRPr="00F618D8">
        <w:rPr>
          <w:rFonts w:ascii="Arial" w:hAnsi="Arial"/>
        </w:rPr>
        <w:t xml:space="preserve"> </w:t>
      </w:r>
      <w:r w:rsidR="00B72E08" w:rsidRPr="00F618D8">
        <w:rPr>
          <w:rFonts w:ascii="Arial" w:hAnsi="Arial"/>
        </w:rPr>
        <w:t xml:space="preserve">and tabulating </w:t>
      </w:r>
      <w:r w:rsidR="009F11B8" w:rsidRPr="00F618D8">
        <w:rPr>
          <w:rFonts w:ascii="Arial" w:hAnsi="Arial"/>
        </w:rPr>
        <w:t xml:space="preserve">guardianship cases </w:t>
      </w:r>
      <w:r w:rsidR="00B72E08" w:rsidRPr="00F618D8">
        <w:rPr>
          <w:rFonts w:ascii="Arial" w:hAnsi="Arial"/>
        </w:rPr>
        <w:t xml:space="preserve">that </w:t>
      </w:r>
      <w:r w:rsidR="009F11B8" w:rsidRPr="00F618D8">
        <w:rPr>
          <w:rFonts w:ascii="Arial" w:hAnsi="Arial"/>
        </w:rPr>
        <w:t xml:space="preserve">specifically involve people with ID/DD, rather than </w:t>
      </w:r>
      <w:r w:rsidR="00B72E08" w:rsidRPr="00F618D8">
        <w:rPr>
          <w:rFonts w:ascii="Arial" w:hAnsi="Arial"/>
        </w:rPr>
        <w:t>other</w:t>
      </w:r>
      <w:r w:rsidR="009F11B8" w:rsidRPr="00F618D8">
        <w:rPr>
          <w:rFonts w:ascii="Arial" w:hAnsi="Arial"/>
        </w:rPr>
        <w:t xml:space="preserve"> disabilities, is easier in DC than in other larger jurisdictions, because DC has only one court branch with authority over guardianship matters</w:t>
      </w:r>
      <w:r w:rsidR="00AA1F92" w:rsidRPr="00F618D8">
        <w:rPr>
          <w:rFonts w:ascii="Arial" w:hAnsi="Arial"/>
        </w:rPr>
        <w:t xml:space="preserve">. </w:t>
      </w:r>
      <w:r w:rsidR="005924B9" w:rsidRPr="00F618D8">
        <w:rPr>
          <w:rFonts w:ascii="Arial" w:hAnsi="Arial"/>
        </w:rPr>
        <w:t xml:space="preserve">DC also </w:t>
      </w:r>
      <w:r w:rsidR="009F11B8" w:rsidRPr="00F618D8">
        <w:rPr>
          <w:rFonts w:ascii="Arial" w:hAnsi="Arial"/>
        </w:rPr>
        <w:t>has a computerized system</w:t>
      </w:r>
      <w:r w:rsidR="005924B9" w:rsidRPr="00F618D8">
        <w:rPr>
          <w:rFonts w:ascii="Arial" w:hAnsi="Arial"/>
        </w:rPr>
        <w:t>,</w:t>
      </w:r>
      <w:r w:rsidR="009F11B8" w:rsidRPr="00F618D8">
        <w:rPr>
          <w:rFonts w:ascii="Arial" w:hAnsi="Arial"/>
        </w:rPr>
        <w:t xml:space="preserve"> with court filings and other information public</w:t>
      </w:r>
      <w:r w:rsidR="00B72E08" w:rsidRPr="00F618D8">
        <w:rPr>
          <w:rFonts w:ascii="Arial" w:hAnsi="Arial"/>
        </w:rPr>
        <w:t>ly available for review</w:t>
      </w:r>
      <w:r w:rsidR="00AA1F92" w:rsidRPr="00F618D8">
        <w:rPr>
          <w:rFonts w:ascii="Arial" w:hAnsi="Arial"/>
        </w:rPr>
        <w:t xml:space="preserve">. </w:t>
      </w:r>
      <w:r w:rsidR="00B72E08" w:rsidRPr="00F618D8">
        <w:rPr>
          <w:rFonts w:ascii="Arial" w:hAnsi="Arial"/>
        </w:rPr>
        <w:t xml:space="preserve">In addition, the DC </w:t>
      </w:r>
      <w:r w:rsidR="00B72E08" w:rsidRPr="00F618D8">
        <w:rPr>
          <w:rFonts w:ascii="Arial" w:hAnsi="Arial"/>
        </w:rPr>
        <w:lastRenderedPageBreak/>
        <w:t>Department on Disabilities</w:t>
      </w:r>
      <w:r w:rsidR="00DA736B" w:rsidRPr="00F618D8">
        <w:rPr>
          <w:rFonts w:ascii="Arial" w:hAnsi="Arial"/>
        </w:rPr>
        <w:t xml:space="preserve"> Services</w:t>
      </w:r>
      <w:r w:rsidR="00B72E08" w:rsidRPr="00F618D8">
        <w:rPr>
          <w:rFonts w:ascii="Arial" w:hAnsi="Arial"/>
        </w:rPr>
        <w:t xml:space="preserve"> is legislatively required to gather information on decision-making supports used by the people with intellectual disabilities</w:t>
      </w:r>
      <w:r w:rsidRPr="00F618D8">
        <w:rPr>
          <w:rStyle w:val="EndnoteReference"/>
          <w:rFonts w:ascii="Arial" w:hAnsi="Arial"/>
          <w:szCs w:val="24"/>
        </w:rPr>
        <w:endnoteReference w:id="98"/>
      </w:r>
      <w:r w:rsidR="00B72E08" w:rsidRPr="00F618D8">
        <w:rPr>
          <w:rFonts w:ascii="Arial" w:hAnsi="Arial"/>
        </w:rPr>
        <w:t xml:space="preserve"> that it serves</w:t>
      </w:r>
      <w:r w:rsidR="00AA1F92" w:rsidRPr="00F618D8">
        <w:rPr>
          <w:rFonts w:ascii="Arial" w:hAnsi="Arial"/>
        </w:rPr>
        <w:t xml:space="preserve">. </w:t>
      </w:r>
      <w:r w:rsidR="00B72E08" w:rsidRPr="00F618D8">
        <w:rPr>
          <w:rFonts w:ascii="Arial" w:hAnsi="Arial"/>
        </w:rPr>
        <w:t xml:space="preserve">DC also </w:t>
      </w:r>
      <w:r w:rsidR="009F11B8" w:rsidRPr="00F618D8">
        <w:rPr>
          <w:rFonts w:ascii="Arial" w:hAnsi="Arial"/>
        </w:rPr>
        <w:t xml:space="preserve">has </w:t>
      </w:r>
      <w:r w:rsidR="00B72E08" w:rsidRPr="00F618D8">
        <w:rPr>
          <w:rFonts w:ascii="Arial" w:hAnsi="Arial"/>
        </w:rPr>
        <w:t xml:space="preserve">recently </w:t>
      </w:r>
      <w:r w:rsidR="009F11B8" w:rsidRPr="00F618D8">
        <w:rPr>
          <w:rFonts w:ascii="Arial" w:hAnsi="Arial"/>
        </w:rPr>
        <w:t xml:space="preserve">undergone promising legislative and policy reform, designed </w:t>
      </w:r>
      <w:r w:rsidR="005924B9" w:rsidRPr="00F618D8">
        <w:rPr>
          <w:rFonts w:ascii="Arial" w:hAnsi="Arial"/>
        </w:rPr>
        <w:t xml:space="preserve">both </w:t>
      </w:r>
      <w:r w:rsidR="009F11B8" w:rsidRPr="00F618D8">
        <w:rPr>
          <w:rFonts w:ascii="Arial" w:hAnsi="Arial"/>
        </w:rPr>
        <w:t xml:space="preserve">to </w:t>
      </w:r>
      <w:r w:rsidR="00B72E08" w:rsidRPr="00F618D8">
        <w:rPr>
          <w:rFonts w:ascii="Arial" w:hAnsi="Arial"/>
        </w:rPr>
        <w:t xml:space="preserve">bolster due process rights for people facing or in guardianship and </w:t>
      </w:r>
      <w:r w:rsidR="005924B9" w:rsidRPr="00F618D8">
        <w:rPr>
          <w:rFonts w:ascii="Arial" w:hAnsi="Arial"/>
        </w:rPr>
        <w:t xml:space="preserve">to </w:t>
      </w:r>
      <w:r w:rsidR="00B72E08" w:rsidRPr="00F618D8">
        <w:rPr>
          <w:rFonts w:ascii="Arial" w:hAnsi="Arial"/>
        </w:rPr>
        <w:t>promote alternatives to guardianship for adults with disabilities in special education and beyond</w:t>
      </w:r>
      <w:r w:rsidR="00AA1F92" w:rsidRPr="00F618D8">
        <w:rPr>
          <w:rFonts w:ascii="Arial" w:hAnsi="Arial"/>
        </w:rPr>
        <w:t xml:space="preserve">. </w:t>
      </w:r>
      <w:r w:rsidR="009F11B8" w:rsidRPr="00F618D8">
        <w:rPr>
          <w:rFonts w:ascii="Arial" w:hAnsi="Arial"/>
        </w:rPr>
        <w:t xml:space="preserve">This presented an opportunity to find </w:t>
      </w:r>
      <w:r w:rsidR="00B72E08" w:rsidRPr="00F618D8">
        <w:rPr>
          <w:rFonts w:ascii="Arial" w:hAnsi="Arial"/>
        </w:rPr>
        <w:t>out</w:t>
      </w:r>
      <w:r w:rsidR="009F11B8" w:rsidRPr="00F618D8">
        <w:rPr>
          <w:rFonts w:ascii="Arial" w:hAnsi="Arial"/>
        </w:rPr>
        <w:t xml:space="preserve"> whether these reforms have yet resulted in meaningful outcomes for </w:t>
      </w:r>
      <w:r w:rsidR="00B72E08" w:rsidRPr="00F618D8">
        <w:rPr>
          <w:rFonts w:ascii="Arial" w:hAnsi="Arial"/>
        </w:rPr>
        <w:t>r</w:t>
      </w:r>
      <w:r w:rsidR="009F11B8" w:rsidRPr="00F618D8">
        <w:rPr>
          <w:rFonts w:ascii="Arial" w:hAnsi="Arial"/>
        </w:rPr>
        <w:t>esidents with ID/DD</w:t>
      </w:r>
      <w:r w:rsidR="00B72E08" w:rsidRPr="00F618D8">
        <w:rPr>
          <w:rFonts w:ascii="Arial" w:hAnsi="Arial"/>
        </w:rPr>
        <w:t xml:space="preserve"> in the nation’s capital</w:t>
      </w:r>
      <w:r w:rsidR="009F11B8" w:rsidRPr="00F618D8">
        <w:rPr>
          <w:rFonts w:ascii="Arial" w:hAnsi="Arial"/>
        </w:rPr>
        <w:t xml:space="preserve">, and, if so, whether DC’s </w:t>
      </w:r>
      <w:r w:rsidR="00B72E08" w:rsidRPr="00F618D8">
        <w:rPr>
          <w:rFonts w:ascii="Arial" w:hAnsi="Arial"/>
        </w:rPr>
        <w:t xml:space="preserve">local </w:t>
      </w:r>
      <w:r w:rsidR="009F11B8" w:rsidRPr="00F618D8">
        <w:rPr>
          <w:rFonts w:ascii="Arial" w:hAnsi="Arial"/>
        </w:rPr>
        <w:t>approach can inform federal-level policy recommendations and serve as a model to other states.</w:t>
      </w:r>
    </w:p>
    <w:p w14:paraId="150CD3F9" w14:textId="77777777" w:rsidR="00A95CE2" w:rsidRPr="00F618D8" w:rsidRDefault="005C2216" w:rsidP="00610EEF">
      <w:pPr>
        <w:pStyle w:val="Heading2"/>
        <w:rPr>
          <w:rFonts w:ascii="Arial" w:hAnsi="Arial" w:cs="Arial"/>
        </w:rPr>
      </w:pPr>
      <w:bookmarkStart w:id="96" w:name="_Hlk531619411"/>
      <w:bookmarkStart w:id="97" w:name="_Toc10290967"/>
      <w:bookmarkEnd w:id="95"/>
      <w:r w:rsidRPr="00F618D8">
        <w:rPr>
          <w:rFonts w:ascii="Arial" w:hAnsi="Arial" w:cs="Arial"/>
        </w:rPr>
        <w:t>Key</w:t>
      </w:r>
      <w:r w:rsidR="001E3D01" w:rsidRPr="00F618D8">
        <w:rPr>
          <w:rFonts w:ascii="Arial" w:hAnsi="Arial" w:cs="Arial"/>
        </w:rPr>
        <w:t xml:space="preserve"> </w:t>
      </w:r>
      <w:r w:rsidR="001F3818" w:rsidRPr="00F618D8">
        <w:rPr>
          <w:rFonts w:ascii="Arial" w:hAnsi="Arial" w:cs="Arial"/>
        </w:rPr>
        <w:t>DC</w:t>
      </w:r>
      <w:r w:rsidR="00A95CE2" w:rsidRPr="00F618D8">
        <w:rPr>
          <w:rFonts w:ascii="Arial" w:hAnsi="Arial" w:cs="Arial"/>
        </w:rPr>
        <w:t xml:space="preserve"> Legislative</w:t>
      </w:r>
      <w:r w:rsidR="00521E4B" w:rsidRPr="00F618D8">
        <w:rPr>
          <w:rFonts w:ascii="Arial" w:hAnsi="Arial" w:cs="Arial"/>
        </w:rPr>
        <w:t xml:space="preserve"> and Policy</w:t>
      </w:r>
      <w:r w:rsidR="00A95CE2" w:rsidRPr="00F618D8">
        <w:rPr>
          <w:rFonts w:ascii="Arial" w:hAnsi="Arial" w:cs="Arial"/>
        </w:rPr>
        <w:t xml:space="preserve"> Reform</w:t>
      </w:r>
      <w:bookmarkEnd w:id="96"/>
      <w:bookmarkEnd w:id="97"/>
    </w:p>
    <w:p w14:paraId="574CC5F9" w14:textId="77777777" w:rsidR="00962C10" w:rsidRPr="00F618D8" w:rsidRDefault="00962C10" w:rsidP="00610EEF">
      <w:pPr>
        <w:pStyle w:val="Heading3"/>
        <w:rPr>
          <w:rFonts w:ascii="Arial" w:hAnsi="Arial" w:cs="Arial"/>
        </w:rPr>
      </w:pPr>
      <w:bookmarkStart w:id="98" w:name="_Toc10290968"/>
      <w:r w:rsidRPr="00F618D8">
        <w:rPr>
          <w:rFonts w:ascii="Arial" w:hAnsi="Arial" w:cs="Arial"/>
        </w:rPr>
        <w:t>Legislative Reforms for Adult Guardianship Proceedings</w:t>
      </w:r>
      <w:bookmarkEnd w:id="98"/>
    </w:p>
    <w:p w14:paraId="25EE3A1F" w14:textId="77777777" w:rsidR="00962C10" w:rsidRPr="00F618D8" w:rsidRDefault="00962C10" w:rsidP="00610EEF">
      <w:pPr>
        <w:pStyle w:val="ParaNoIndent"/>
        <w:rPr>
          <w:rFonts w:ascii="Arial" w:hAnsi="Arial"/>
        </w:rPr>
      </w:pPr>
      <w:bookmarkStart w:id="99" w:name="_Hlk5267741"/>
      <w:r w:rsidRPr="00F618D8">
        <w:rPr>
          <w:rFonts w:ascii="Arial" w:hAnsi="Arial"/>
        </w:rPr>
        <w:t xml:space="preserve">In its guardianship law, DC has </w:t>
      </w:r>
      <w:r w:rsidR="00CD60D3" w:rsidRPr="00F618D8">
        <w:rPr>
          <w:rFonts w:ascii="Arial" w:hAnsi="Arial"/>
        </w:rPr>
        <w:t>several</w:t>
      </w:r>
      <w:r w:rsidRPr="00F618D8">
        <w:rPr>
          <w:rFonts w:ascii="Arial" w:hAnsi="Arial"/>
        </w:rPr>
        <w:t xml:space="preserve"> long-standing safeguards and due</w:t>
      </w:r>
      <w:r w:rsidR="00CD60D3" w:rsidRPr="00F618D8">
        <w:rPr>
          <w:rFonts w:ascii="Arial" w:hAnsi="Arial"/>
        </w:rPr>
        <w:t>-</w:t>
      </w:r>
      <w:r w:rsidRPr="00F618D8">
        <w:rPr>
          <w:rFonts w:ascii="Arial" w:hAnsi="Arial"/>
        </w:rPr>
        <w:t>process protections</w:t>
      </w:r>
      <w:r w:rsidR="00AA1F92" w:rsidRPr="00F618D8">
        <w:rPr>
          <w:rFonts w:ascii="Arial" w:hAnsi="Arial"/>
        </w:rPr>
        <w:t xml:space="preserve">. </w:t>
      </w:r>
      <w:bookmarkEnd w:id="99"/>
      <w:r w:rsidRPr="00F618D8">
        <w:rPr>
          <w:rFonts w:ascii="Arial" w:hAnsi="Arial"/>
        </w:rPr>
        <w:t>For example, people facing or in guardianship have an established right to counsel, both in the initial and post-appointment court proceedings, such as restoration cases.</w:t>
      </w:r>
      <w:r w:rsidRPr="00F618D8">
        <w:rPr>
          <w:rStyle w:val="EndnoteReference"/>
          <w:rFonts w:ascii="Arial" w:hAnsi="Arial"/>
          <w:szCs w:val="24"/>
        </w:rPr>
        <w:endnoteReference w:id="99"/>
      </w:r>
      <w:r w:rsidRPr="00F618D8">
        <w:rPr>
          <w:rFonts w:ascii="Arial" w:hAnsi="Arial"/>
        </w:rPr>
        <w:t xml:space="preserve"> Even if a person is found by the court to be “incapacitated,” a guardian may not be appointed unless it is “necessary as a means for providing continuing care and supervision of the person,” which allows for court consideration of less-restrictive alternatives to guardianship. </w:t>
      </w:r>
      <w:bookmarkStart w:id="100" w:name="_Hlk5267861"/>
      <w:r w:rsidRPr="00F618D8">
        <w:rPr>
          <w:rFonts w:ascii="Arial" w:hAnsi="Arial"/>
        </w:rPr>
        <w:t>The law also states that incapacity must not be inferred from the fact that a person has an intellectual disability.</w:t>
      </w:r>
      <w:bookmarkEnd w:id="100"/>
      <w:r w:rsidRPr="00F618D8">
        <w:rPr>
          <w:rStyle w:val="EndnoteReference"/>
          <w:rFonts w:ascii="Arial" w:hAnsi="Arial"/>
          <w:szCs w:val="24"/>
        </w:rPr>
        <w:endnoteReference w:id="100"/>
      </w:r>
      <w:r w:rsidRPr="00F618D8">
        <w:rPr>
          <w:rFonts w:ascii="Arial" w:hAnsi="Arial"/>
        </w:rPr>
        <w:t xml:space="preserve"> The law </w:t>
      </w:r>
      <w:r w:rsidR="005924B9" w:rsidRPr="00F618D8">
        <w:rPr>
          <w:rFonts w:ascii="Arial" w:hAnsi="Arial"/>
        </w:rPr>
        <w:t xml:space="preserve">further </w:t>
      </w:r>
      <w:r w:rsidRPr="00F618D8">
        <w:rPr>
          <w:rFonts w:ascii="Arial" w:hAnsi="Arial"/>
        </w:rPr>
        <w:t>provides for scope-limited and time-limited guardianships and requires the cou</w:t>
      </w:r>
      <w:r w:rsidR="001017B7" w:rsidRPr="00F618D8">
        <w:rPr>
          <w:rFonts w:ascii="Arial" w:hAnsi="Arial"/>
        </w:rPr>
        <w:t>rt to “exercise [its] authority …</w:t>
      </w:r>
      <w:r w:rsidRPr="00F618D8">
        <w:rPr>
          <w:rFonts w:ascii="Arial" w:hAnsi="Arial"/>
        </w:rPr>
        <w:t xml:space="preserve"> so as to encourage the development of maximum self-reliance and independence of the incapacitated person</w:t>
      </w:r>
      <w:r w:rsidR="005924B9" w:rsidRPr="00F618D8">
        <w:rPr>
          <w:rFonts w:ascii="Arial" w:hAnsi="Arial"/>
        </w:rPr>
        <w:t>.</w:t>
      </w:r>
      <w:r w:rsidRPr="00F618D8">
        <w:rPr>
          <w:rFonts w:ascii="Arial" w:hAnsi="Arial"/>
        </w:rPr>
        <w:t>”</w:t>
      </w:r>
      <w:r w:rsidR="005924B9" w:rsidRPr="00F618D8">
        <w:rPr>
          <w:rStyle w:val="EndnoteReference"/>
          <w:rFonts w:ascii="Arial" w:hAnsi="Arial"/>
          <w:szCs w:val="24"/>
        </w:rPr>
        <w:endnoteReference w:id="101"/>
      </w:r>
      <w:r w:rsidRPr="00F618D8">
        <w:rPr>
          <w:rFonts w:ascii="Arial" w:hAnsi="Arial"/>
        </w:rPr>
        <w:t xml:space="preserve"> </w:t>
      </w:r>
      <w:r w:rsidR="005924B9" w:rsidRPr="00F618D8">
        <w:rPr>
          <w:rFonts w:ascii="Arial" w:hAnsi="Arial"/>
        </w:rPr>
        <w:t>W</w:t>
      </w:r>
      <w:r w:rsidRPr="00F618D8">
        <w:rPr>
          <w:rFonts w:ascii="Arial" w:hAnsi="Arial"/>
        </w:rPr>
        <w:t xml:space="preserve">hen </w:t>
      </w:r>
      <w:r w:rsidR="005924B9" w:rsidRPr="00F618D8">
        <w:rPr>
          <w:rFonts w:ascii="Arial" w:hAnsi="Arial"/>
        </w:rPr>
        <w:t>the court</w:t>
      </w:r>
      <w:r w:rsidRPr="00F618D8">
        <w:rPr>
          <w:rFonts w:ascii="Arial" w:hAnsi="Arial"/>
        </w:rPr>
        <w:t xml:space="preserve"> appoints a guardian, it must be “the type of guardianship that is least restrictive to the incapacitated individual in duration and scope, taking into account the [person’s] current mental and adaptive limitations, the [person’s] ability to improve his or her condition, or other conditions warranting the appointment.”</w:t>
      </w:r>
      <w:bookmarkStart w:id="101" w:name="_Hlk535563749"/>
      <w:r w:rsidRPr="00F618D8">
        <w:rPr>
          <w:rStyle w:val="EndnoteReference"/>
          <w:rFonts w:ascii="Arial" w:hAnsi="Arial"/>
          <w:szCs w:val="24"/>
        </w:rPr>
        <w:endnoteReference w:id="102"/>
      </w:r>
      <w:bookmarkEnd w:id="101"/>
      <w:r w:rsidRPr="00F618D8">
        <w:rPr>
          <w:rFonts w:ascii="Arial" w:hAnsi="Arial"/>
        </w:rPr>
        <w:t xml:space="preserve"> </w:t>
      </w:r>
      <w:bookmarkStart w:id="102" w:name="_Hlk5270200"/>
      <w:bookmarkStart w:id="103" w:name="_Hlk5270438"/>
      <w:r w:rsidRPr="00F618D8">
        <w:rPr>
          <w:rFonts w:ascii="Arial" w:hAnsi="Arial"/>
        </w:rPr>
        <w:t>General and limited guardians are generally required to make deci</w:t>
      </w:r>
      <w:r w:rsidR="001017B7" w:rsidRPr="00F618D8">
        <w:rPr>
          <w:rFonts w:ascii="Arial" w:hAnsi="Arial"/>
        </w:rPr>
        <w:t xml:space="preserve">sions for the person using the </w:t>
      </w:r>
      <w:r w:rsidRPr="00F618D8">
        <w:rPr>
          <w:rFonts w:ascii="Arial" w:hAnsi="Arial"/>
        </w:rPr>
        <w:t>Substitute</w:t>
      </w:r>
      <w:r w:rsidR="001017B7" w:rsidRPr="00F618D8">
        <w:rPr>
          <w:rFonts w:ascii="Arial" w:hAnsi="Arial"/>
        </w:rPr>
        <w:t>d</w:t>
      </w:r>
      <w:r w:rsidRPr="00F618D8">
        <w:rPr>
          <w:rFonts w:ascii="Arial" w:hAnsi="Arial"/>
        </w:rPr>
        <w:t xml:space="preserve"> Judgment</w:t>
      </w:r>
      <w:r w:rsidR="001017B7" w:rsidRPr="00F618D8">
        <w:rPr>
          <w:rFonts w:ascii="Arial" w:hAnsi="Arial"/>
        </w:rPr>
        <w:t xml:space="preserve"> standard</w:t>
      </w:r>
      <w:bookmarkEnd w:id="102"/>
      <w:r w:rsidRPr="00F618D8">
        <w:rPr>
          <w:rStyle w:val="EndnoteReference"/>
          <w:rFonts w:ascii="Arial" w:hAnsi="Arial"/>
          <w:szCs w:val="24"/>
        </w:rPr>
        <w:endnoteReference w:id="103"/>
      </w:r>
      <w:r w:rsidRPr="00F618D8">
        <w:rPr>
          <w:rFonts w:ascii="Arial" w:hAnsi="Arial"/>
        </w:rPr>
        <w:t xml:space="preserve"> and to include the person “in the decision-making process to the maximum extent of the [person’s] ability” and “encourage the [person] to act on his or her own behalf whenever he or she is able to do so, and to develop or regain capacity to make decisions in those </w:t>
      </w:r>
      <w:r w:rsidRPr="00F618D8">
        <w:rPr>
          <w:rFonts w:ascii="Arial" w:hAnsi="Arial"/>
        </w:rPr>
        <w:lastRenderedPageBreak/>
        <w:t>areas in which he or she is in need of decision-making assistance, to the maximum extent possible.”</w:t>
      </w:r>
      <w:bookmarkEnd w:id="103"/>
      <w:r w:rsidRPr="00F618D8">
        <w:rPr>
          <w:rStyle w:val="EndnoteReference"/>
          <w:rFonts w:ascii="Arial" w:hAnsi="Arial"/>
          <w:szCs w:val="24"/>
        </w:rPr>
        <w:endnoteReference w:id="104"/>
      </w:r>
      <w:r w:rsidRPr="00F618D8">
        <w:rPr>
          <w:rFonts w:ascii="Arial" w:hAnsi="Arial"/>
        </w:rPr>
        <w:t xml:space="preserve">  </w:t>
      </w:r>
    </w:p>
    <w:p w14:paraId="3F388FE7" w14:textId="77777777" w:rsidR="00962C10" w:rsidRPr="00F618D8" w:rsidRDefault="00962C10" w:rsidP="00610EEF">
      <w:pPr>
        <w:pStyle w:val="ParaNoIndent"/>
        <w:rPr>
          <w:rFonts w:ascii="Arial" w:eastAsia="Times New Roman" w:hAnsi="Arial"/>
        </w:rPr>
      </w:pPr>
      <w:r w:rsidRPr="00F618D8">
        <w:rPr>
          <w:rFonts w:ascii="Arial" w:hAnsi="Arial"/>
        </w:rPr>
        <w:t>However, local disability rights advocates have raised concerns regarding how the due</w:t>
      </w:r>
      <w:r w:rsidR="00F36430" w:rsidRPr="00F618D8">
        <w:rPr>
          <w:rFonts w:ascii="Arial" w:hAnsi="Arial"/>
        </w:rPr>
        <w:t>-</w:t>
      </w:r>
      <w:r w:rsidRPr="00F618D8">
        <w:rPr>
          <w:rFonts w:ascii="Arial" w:hAnsi="Arial"/>
        </w:rPr>
        <w:t>process protections within the DC guardianship law have been translated in practice for residents with disabilities.</w:t>
      </w:r>
      <w:r w:rsidRPr="00F618D8">
        <w:rPr>
          <w:rStyle w:val="EndnoteReference"/>
          <w:rFonts w:ascii="Arial" w:hAnsi="Arial"/>
          <w:szCs w:val="24"/>
        </w:rPr>
        <w:endnoteReference w:id="105"/>
      </w:r>
      <w:r w:rsidRPr="00F618D8">
        <w:rPr>
          <w:rFonts w:ascii="Arial" w:hAnsi="Arial"/>
        </w:rPr>
        <w:t xml:space="preserve"> Related advocacy led to the DC Guardianship Amendment Act of </w:t>
      </w:r>
      <w:r w:rsidR="00377F3E" w:rsidRPr="00F618D8">
        <w:rPr>
          <w:rFonts w:ascii="Arial" w:eastAsia="Times New Roman" w:hAnsi="Arial"/>
        </w:rPr>
        <w:t>2014</w:t>
      </w:r>
      <w:r w:rsidRPr="00F618D8">
        <w:rPr>
          <w:rFonts w:ascii="Arial" w:eastAsia="Times New Roman" w:hAnsi="Arial"/>
        </w:rPr>
        <w:t>,</w:t>
      </w:r>
      <w:r w:rsidR="005C2216" w:rsidRPr="00F618D8">
        <w:rPr>
          <w:rFonts w:ascii="Arial" w:hAnsi="Arial"/>
          <w:vertAlign w:val="superscript"/>
        </w:rPr>
        <w:endnoteReference w:id="106"/>
      </w:r>
      <w:r w:rsidRPr="00F618D8">
        <w:rPr>
          <w:rFonts w:ascii="Arial" w:eastAsia="Times New Roman" w:hAnsi="Arial"/>
        </w:rPr>
        <w:t xml:space="preserve"> which </w:t>
      </w:r>
      <w:r w:rsidR="00377F3E" w:rsidRPr="00F618D8">
        <w:rPr>
          <w:rFonts w:ascii="Arial" w:eastAsia="Times New Roman" w:hAnsi="Arial"/>
        </w:rPr>
        <w:t>went into effect</w:t>
      </w:r>
      <w:r w:rsidRPr="00F618D8">
        <w:rPr>
          <w:rFonts w:ascii="Arial" w:eastAsia="Times New Roman" w:hAnsi="Arial"/>
        </w:rPr>
        <w:t xml:space="preserve"> in March 2015</w:t>
      </w:r>
      <w:r w:rsidR="00AA1F92" w:rsidRPr="00F618D8">
        <w:rPr>
          <w:rFonts w:ascii="Arial" w:eastAsia="Times New Roman" w:hAnsi="Arial"/>
        </w:rPr>
        <w:t xml:space="preserve">. </w:t>
      </w:r>
      <w:r w:rsidR="00377F3E" w:rsidRPr="00F618D8">
        <w:rPr>
          <w:rFonts w:ascii="Arial" w:eastAsia="Times New Roman" w:hAnsi="Arial"/>
        </w:rPr>
        <w:t>In addition to other reforms, it bolstered the due</w:t>
      </w:r>
      <w:r w:rsidR="00F36430" w:rsidRPr="00F618D8">
        <w:rPr>
          <w:rFonts w:ascii="Arial" w:eastAsia="Times New Roman" w:hAnsi="Arial"/>
        </w:rPr>
        <w:t>-</w:t>
      </w:r>
      <w:r w:rsidR="00377F3E" w:rsidRPr="00F618D8">
        <w:rPr>
          <w:rFonts w:ascii="Arial" w:eastAsia="Times New Roman" w:hAnsi="Arial"/>
        </w:rPr>
        <w:t xml:space="preserve">process rights </w:t>
      </w:r>
      <w:r w:rsidR="00C71D88" w:rsidRPr="00F618D8">
        <w:rPr>
          <w:rFonts w:ascii="Arial" w:eastAsia="Times New Roman" w:hAnsi="Arial"/>
        </w:rPr>
        <w:t>of people in guardianship proceedings</w:t>
      </w:r>
      <w:r w:rsidR="00377F3E" w:rsidRPr="00F618D8">
        <w:rPr>
          <w:rFonts w:ascii="Arial" w:eastAsia="Times New Roman" w:hAnsi="Arial"/>
        </w:rPr>
        <w:t xml:space="preserve"> in two main ways</w:t>
      </w:r>
      <w:r w:rsidR="00AA1F92" w:rsidRPr="00F618D8">
        <w:rPr>
          <w:rFonts w:ascii="Arial" w:eastAsia="Times New Roman" w:hAnsi="Arial"/>
        </w:rPr>
        <w:t xml:space="preserve">. </w:t>
      </w:r>
      <w:r w:rsidR="00377F3E" w:rsidRPr="00F618D8">
        <w:rPr>
          <w:rFonts w:ascii="Arial" w:eastAsia="Times New Roman" w:hAnsi="Arial"/>
        </w:rPr>
        <w:t xml:space="preserve">First, </w:t>
      </w:r>
      <w:r w:rsidR="006208D9" w:rsidRPr="00F618D8">
        <w:rPr>
          <w:rFonts w:ascii="Arial" w:eastAsia="Times New Roman" w:hAnsi="Arial"/>
        </w:rPr>
        <w:t>the Act requires</w:t>
      </w:r>
      <w:r w:rsidR="001017B7" w:rsidRPr="00F618D8">
        <w:rPr>
          <w:rFonts w:ascii="Arial" w:eastAsia="Times New Roman" w:hAnsi="Arial"/>
        </w:rPr>
        <w:t xml:space="preserve"> attorneys who </w:t>
      </w:r>
      <w:r w:rsidR="006208D9" w:rsidRPr="00F618D8">
        <w:rPr>
          <w:rFonts w:ascii="Arial" w:eastAsia="Times New Roman" w:hAnsi="Arial"/>
        </w:rPr>
        <w:t>represent</w:t>
      </w:r>
      <w:r w:rsidR="001017B7" w:rsidRPr="00F618D8">
        <w:rPr>
          <w:rFonts w:ascii="Arial" w:eastAsia="Times New Roman" w:hAnsi="Arial"/>
        </w:rPr>
        <w:t xml:space="preserve"> people </w:t>
      </w:r>
      <w:r w:rsidR="006208D9" w:rsidRPr="00F618D8">
        <w:rPr>
          <w:rFonts w:ascii="Arial" w:eastAsia="Times New Roman" w:hAnsi="Arial"/>
        </w:rPr>
        <w:t xml:space="preserve">in or facing guardianship to zealously advocate for </w:t>
      </w:r>
      <w:r w:rsidR="001017B7" w:rsidRPr="00F618D8">
        <w:rPr>
          <w:rFonts w:ascii="Arial" w:eastAsia="Times New Roman" w:hAnsi="Arial"/>
        </w:rPr>
        <w:t>their</w:t>
      </w:r>
      <w:r w:rsidR="006208D9" w:rsidRPr="00F618D8">
        <w:rPr>
          <w:rFonts w:ascii="Arial" w:eastAsia="Times New Roman" w:hAnsi="Arial"/>
        </w:rPr>
        <w:t xml:space="preserve"> client’s expressed wishes</w:t>
      </w:r>
      <w:r w:rsidR="00AA1F92" w:rsidRPr="00F618D8">
        <w:rPr>
          <w:rFonts w:ascii="Arial" w:eastAsia="Times New Roman" w:hAnsi="Arial"/>
        </w:rPr>
        <w:t xml:space="preserve">. </w:t>
      </w:r>
      <w:r w:rsidR="006208D9" w:rsidRPr="00F618D8">
        <w:rPr>
          <w:rFonts w:ascii="Arial" w:eastAsia="Times New Roman" w:hAnsi="Arial"/>
        </w:rPr>
        <w:t xml:space="preserve">If the person is completely incapable of expressing </w:t>
      </w:r>
      <w:r w:rsidR="001017B7" w:rsidRPr="00F618D8">
        <w:rPr>
          <w:rFonts w:ascii="Arial" w:eastAsia="Times New Roman" w:hAnsi="Arial"/>
        </w:rPr>
        <w:t>such</w:t>
      </w:r>
      <w:r w:rsidR="006208D9" w:rsidRPr="00F618D8">
        <w:rPr>
          <w:rFonts w:ascii="Arial" w:eastAsia="Times New Roman" w:hAnsi="Arial"/>
        </w:rPr>
        <w:t xml:space="preserve"> wishes</w:t>
      </w:r>
      <w:r w:rsidR="001017B7" w:rsidRPr="00F618D8">
        <w:rPr>
          <w:rFonts w:ascii="Arial" w:eastAsia="Times New Roman" w:hAnsi="Arial"/>
        </w:rPr>
        <w:t xml:space="preserve"> concerning guardianship</w:t>
      </w:r>
      <w:r w:rsidR="006208D9" w:rsidRPr="00F618D8">
        <w:rPr>
          <w:rFonts w:ascii="Arial" w:eastAsia="Times New Roman" w:hAnsi="Arial"/>
        </w:rPr>
        <w:t>, then the attorney must advocate for a result that is least rest</w:t>
      </w:r>
      <w:r w:rsidR="001017B7" w:rsidRPr="00F618D8">
        <w:rPr>
          <w:rFonts w:ascii="Arial" w:eastAsia="Times New Roman" w:hAnsi="Arial"/>
        </w:rPr>
        <w:t xml:space="preserve">rictive of the person’s liberty and </w:t>
      </w:r>
      <w:r w:rsidR="006208D9" w:rsidRPr="00F618D8">
        <w:rPr>
          <w:rFonts w:ascii="Arial" w:eastAsia="Times New Roman" w:hAnsi="Arial"/>
        </w:rPr>
        <w:t xml:space="preserve">consistent with </w:t>
      </w:r>
      <w:r w:rsidR="005924B9" w:rsidRPr="00F618D8">
        <w:rPr>
          <w:rFonts w:ascii="Arial" w:eastAsia="Times New Roman" w:hAnsi="Arial"/>
        </w:rPr>
        <w:t xml:space="preserve">the person’s </w:t>
      </w:r>
      <w:r w:rsidR="006208D9" w:rsidRPr="00F618D8">
        <w:rPr>
          <w:rFonts w:ascii="Arial" w:eastAsia="Times New Roman" w:hAnsi="Arial"/>
        </w:rPr>
        <w:t xml:space="preserve">interests </w:t>
      </w:r>
      <w:r w:rsidR="005924B9" w:rsidRPr="00F618D8">
        <w:rPr>
          <w:rFonts w:ascii="Arial" w:eastAsia="Times New Roman" w:hAnsi="Arial"/>
        </w:rPr>
        <w:t xml:space="preserve">as </w:t>
      </w:r>
      <w:r w:rsidR="006208D9" w:rsidRPr="00F618D8">
        <w:rPr>
          <w:rFonts w:ascii="Arial" w:eastAsia="Times New Roman" w:hAnsi="Arial"/>
        </w:rPr>
        <w:t>determined by a guardian ad litem.</w:t>
      </w:r>
      <w:r w:rsidR="00C71D88" w:rsidRPr="00F618D8">
        <w:rPr>
          <w:rStyle w:val="EndnoteReference"/>
          <w:rFonts w:ascii="Arial" w:eastAsia="Times New Roman" w:hAnsi="Arial"/>
          <w:szCs w:val="24"/>
        </w:rPr>
        <w:endnoteReference w:id="107"/>
      </w:r>
      <w:r w:rsidR="006208D9" w:rsidRPr="00F618D8">
        <w:rPr>
          <w:rFonts w:ascii="Arial" w:eastAsia="Times New Roman" w:hAnsi="Arial"/>
        </w:rPr>
        <w:t xml:space="preserve"> This amendment was designed to counteract a </w:t>
      </w:r>
      <w:r w:rsidR="00C71D88" w:rsidRPr="00F618D8">
        <w:rPr>
          <w:rFonts w:ascii="Arial" w:eastAsia="Times New Roman" w:hAnsi="Arial"/>
        </w:rPr>
        <w:t>2010</w:t>
      </w:r>
      <w:r w:rsidR="003E218C" w:rsidRPr="00F618D8">
        <w:rPr>
          <w:rFonts w:ascii="Arial" w:eastAsia="Times New Roman" w:hAnsi="Arial"/>
        </w:rPr>
        <w:t xml:space="preserve"> </w:t>
      </w:r>
      <w:r w:rsidR="00AF6FEE" w:rsidRPr="00F618D8">
        <w:rPr>
          <w:rFonts w:ascii="Arial" w:eastAsia="Times New Roman" w:hAnsi="Arial"/>
        </w:rPr>
        <w:t>DC</w:t>
      </w:r>
      <w:r w:rsidR="006208D9" w:rsidRPr="00F618D8">
        <w:rPr>
          <w:rFonts w:ascii="Arial" w:eastAsia="Times New Roman" w:hAnsi="Arial"/>
        </w:rPr>
        <w:t xml:space="preserve"> Court of Appeals decision, </w:t>
      </w:r>
      <w:r w:rsidR="006208D9" w:rsidRPr="00F618D8">
        <w:rPr>
          <w:rFonts w:ascii="Arial" w:eastAsia="Times New Roman" w:hAnsi="Arial"/>
          <w:i/>
          <w:iCs/>
        </w:rPr>
        <w:t>In re Martel,</w:t>
      </w:r>
      <w:r w:rsidR="00C71D88" w:rsidRPr="00F618D8">
        <w:rPr>
          <w:rStyle w:val="EndnoteReference"/>
          <w:rFonts w:ascii="Arial" w:eastAsia="Times New Roman" w:hAnsi="Arial"/>
          <w:i/>
          <w:iCs/>
          <w:szCs w:val="24"/>
        </w:rPr>
        <w:endnoteReference w:id="108"/>
      </w:r>
      <w:r w:rsidR="006208D9" w:rsidRPr="00F618D8">
        <w:rPr>
          <w:rFonts w:ascii="Arial" w:eastAsia="Times New Roman" w:hAnsi="Arial"/>
          <w:i/>
          <w:iCs/>
        </w:rPr>
        <w:t> </w:t>
      </w:r>
      <w:r w:rsidR="006208D9" w:rsidRPr="00F618D8">
        <w:rPr>
          <w:rFonts w:ascii="Arial" w:eastAsia="Times New Roman" w:hAnsi="Arial"/>
          <w:iCs/>
        </w:rPr>
        <w:t xml:space="preserve">which held </w:t>
      </w:r>
      <w:r w:rsidR="006208D9" w:rsidRPr="00F618D8">
        <w:rPr>
          <w:rFonts w:ascii="Arial" w:eastAsia="Times New Roman" w:hAnsi="Arial"/>
        </w:rPr>
        <w:t>that</w:t>
      </w:r>
      <w:r w:rsidR="00C71D88" w:rsidRPr="00F618D8">
        <w:rPr>
          <w:rFonts w:ascii="Arial" w:eastAsia="Times New Roman" w:hAnsi="Arial"/>
        </w:rPr>
        <w:t xml:space="preserve"> the </w:t>
      </w:r>
      <w:r w:rsidR="006208D9" w:rsidRPr="00F618D8">
        <w:rPr>
          <w:rFonts w:ascii="Arial" w:eastAsia="Times New Roman" w:hAnsi="Arial"/>
        </w:rPr>
        <w:t>original guardianship statute’s wording allowed an attorney to meet his or her obli</w:t>
      </w:r>
      <w:r w:rsidR="001017B7" w:rsidRPr="00F618D8">
        <w:rPr>
          <w:rFonts w:ascii="Arial" w:eastAsia="Times New Roman" w:hAnsi="Arial"/>
        </w:rPr>
        <w:t>gation by advocating for what a</w:t>
      </w:r>
      <w:r w:rsidR="006208D9" w:rsidRPr="00F618D8">
        <w:rPr>
          <w:rFonts w:ascii="Arial" w:eastAsia="Times New Roman" w:hAnsi="Arial"/>
        </w:rPr>
        <w:t xml:space="preserve"> guardian ad litem determined was in the person’s “legitimate interests,” even if </w:t>
      </w:r>
      <w:r w:rsidR="003E218C" w:rsidRPr="00F618D8">
        <w:rPr>
          <w:rFonts w:ascii="Arial" w:eastAsia="Times New Roman" w:hAnsi="Arial"/>
        </w:rPr>
        <w:t>the</w:t>
      </w:r>
      <w:r w:rsidR="00C71D88" w:rsidRPr="00F618D8">
        <w:rPr>
          <w:rFonts w:ascii="Arial" w:eastAsia="Times New Roman" w:hAnsi="Arial"/>
        </w:rPr>
        <w:t xml:space="preserve"> client disagreed</w:t>
      </w:r>
      <w:r w:rsidR="00AA1F92" w:rsidRPr="00F618D8">
        <w:rPr>
          <w:rFonts w:ascii="Arial" w:eastAsia="Times New Roman" w:hAnsi="Arial"/>
        </w:rPr>
        <w:t xml:space="preserve">. </w:t>
      </w:r>
      <w:r w:rsidR="003E218C" w:rsidRPr="00F618D8">
        <w:rPr>
          <w:rFonts w:ascii="Arial" w:eastAsia="Times New Roman" w:hAnsi="Arial"/>
        </w:rPr>
        <w:t xml:space="preserve">Second, the </w:t>
      </w:r>
      <w:r w:rsidR="00377F3E" w:rsidRPr="00F618D8">
        <w:rPr>
          <w:rFonts w:ascii="Arial" w:eastAsia="Times New Roman" w:hAnsi="Arial"/>
        </w:rPr>
        <w:t xml:space="preserve">Act mandated periodic court review of guardianships established after January 1, 2015, to determine whether </w:t>
      </w:r>
      <w:r w:rsidR="005924B9" w:rsidRPr="00F618D8">
        <w:rPr>
          <w:rFonts w:ascii="Arial" w:eastAsia="Times New Roman" w:hAnsi="Arial"/>
        </w:rPr>
        <w:t xml:space="preserve">the guardianship </w:t>
      </w:r>
      <w:r w:rsidR="00377F3E" w:rsidRPr="00F618D8">
        <w:rPr>
          <w:rFonts w:ascii="Arial" w:eastAsia="Times New Roman" w:hAnsi="Arial"/>
        </w:rPr>
        <w:t xml:space="preserve">continue to be the least restrictive option or whether </w:t>
      </w:r>
      <w:r w:rsidR="005924B9" w:rsidRPr="00F618D8">
        <w:rPr>
          <w:rFonts w:ascii="Arial" w:eastAsia="Times New Roman" w:hAnsi="Arial"/>
        </w:rPr>
        <w:t>it</w:t>
      </w:r>
      <w:r w:rsidR="00377F3E" w:rsidRPr="00F618D8">
        <w:rPr>
          <w:rFonts w:ascii="Arial" w:eastAsia="Times New Roman" w:hAnsi="Arial"/>
        </w:rPr>
        <w:t xml:space="preserve"> should in</w:t>
      </w:r>
      <w:r w:rsidR="00C71D88" w:rsidRPr="00F618D8">
        <w:rPr>
          <w:rFonts w:ascii="Arial" w:eastAsia="Times New Roman" w:hAnsi="Arial"/>
        </w:rPr>
        <w:t>stead be modified or terminated.</w:t>
      </w:r>
      <w:r w:rsidR="00C71D88" w:rsidRPr="00F618D8">
        <w:rPr>
          <w:rStyle w:val="EndnoteReference"/>
          <w:rFonts w:ascii="Arial" w:eastAsia="Times New Roman" w:hAnsi="Arial"/>
          <w:szCs w:val="24"/>
        </w:rPr>
        <w:endnoteReference w:id="109"/>
      </w:r>
      <w:r w:rsidR="00377F3E" w:rsidRPr="00F618D8">
        <w:rPr>
          <w:rFonts w:ascii="Arial" w:eastAsia="Times New Roman" w:hAnsi="Arial"/>
        </w:rPr>
        <w:t xml:space="preserve"> The reviews occur every three years, after an investigation and report by a case reviewer, who is a social worker assigned through DC’s Guardianship Assistance Program. That investigation must include an updated medical </w:t>
      </w:r>
      <w:r w:rsidR="00CB1235" w:rsidRPr="00F618D8">
        <w:rPr>
          <w:rFonts w:ascii="Arial" w:eastAsia="Times New Roman" w:hAnsi="Arial"/>
        </w:rPr>
        <w:t xml:space="preserve">or psychological information about the </w:t>
      </w:r>
      <w:r w:rsidR="00377F3E" w:rsidRPr="00F618D8">
        <w:rPr>
          <w:rFonts w:ascii="Arial" w:eastAsia="Times New Roman" w:hAnsi="Arial"/>
        </w:rPr>
        <w:t>current capacity of the person</w:t>
      </w:r>
      <w:r w:rsidR="00CB1235" w:rsidRPr="00F618D8">
        <w:rPr>
          <w:rFonts w:ascii="Arial" w:eastAsia="Times New Roman" w:hAnsi="Arial"/>
        </w:rPr>
        <w:t xml:space="preserve"> in guardianship</w:t>
      </w:r>
      <w:r w:rsidR="00377F3E" w:rsidRPr="00F618D8">
        <w:rPr>
          <w:rFonts w:ascii="Arial" w:eastAsia="Times New Roman" w:hAnsi="Arial"/>
        </w:rPr>
        <w:t xml:space="preserve">, as well as </w:t>
      </w:r>
      <w:r w:rsidR="001017B7" w:rsidRPr="00F618D8">
        <w:rPr>
          <w:rFonts w:ascii="Arial" w:eastAsia="Times New Roman" w:hAnsi="Arial"/>
        </w:rPr>
        <w:t>the person’s</w:t>
      </w:r>
      <w:r w:rsidR="00377F3E" w:rsidRPr="00F618D8">
        <w:rPr>
          <w:rFonts w:ascii="Arial" w:eastAsia="Times New Roman" w:hAnsi="Arial"/>
        </w:rPr>
        <w:t xml:space="preserve"> expressed preferences</w:t>
      </w:r>
      <w:r w:rsidR="00CB1235" w:rsidRPr="00F618D8">
        <w:rPr>
          <w:rFonts w:ascii="Arial" w:eastAsia="Times New Roman" w:hAnsi="Arial"/>
        </w:rPr>
        <w:t xml:space="preserve"> about</w:t>
      </w:r>
      <w:r w:rsidR="00377F3E" w:rsidRPr="00F618D8">
        <w:rPr>
          <w:rFonts w:ascii="Arial" w:eastAsia="Times New Roman" w:hAnsi="Arial"/>
        </w:rPr>
        <w:t xml:space="preserve"> the scope</w:t>
      </w:r>
      <w:r w:rsidR="00CB1235" w:rsidRPr="00F618D8">
        <w:rPr>
          <w:rFonts w:ascii="Arial" w:eastAsia="Times New Roman" w:hAnsi="Arial"/>
        </w:rPr>
        <w:t xml:space="preserve"> and</w:t>
      </w:r>
      <w:r w:rsidR="00377F3E" w:rsidRPr="00F618D8">
        <w:rPr>
          <w:rFonts w:ascii="Arial" w:eastAsia="Times New Roman" w:hAnsi="Arial"/>
        </w:rPr>
        <w:t xml:space="preserve"> duration of the guardianship</w:t>
      </w:r>
      <w:r w:rsidR="001017B7" w:rsidRPr="00F618D8">
        <w:rPr>
          <w:rFonts w:ascii="Arial" w:eastAsia="Times New Roman" w:hAnsi="Arial"/>
        </w:rPr>
        <w:t xml:space="preserve"> and their opinion of </w:t>
      </w:r>
      <w:r w:rsidR="00CB1235" w:rsidRPr="00F618D8">
        <w:rPr>
          <w:rFonts w:ascii="Arial" w:eastAsia="Times New Roman" w:hAnsi="Arial"/>
        </w:rPr>
        <w:t>the guardian</w:t>
      </w:r>
      <w:r w:rsidR="00AA1F92" w:rsidRPr="00F618D8">
        <w:rPr>
          <w:rFonts w:ascii="Arial" w:eastAsia="Times New Roman" w:hAnsi="Arial"/>
        </w:rPr>
        <w:t xml:space="preserve">. </w:t>
      </w:r>
      <w:r w:rsidR="006208D9" w:rsidRPr="00F618D8">
        <w:rPr>
          <w:rFonts w:ascii="Arial" w:eastAsia="Times New Roman" w:hAnsi="Arial"/>
        </w:rPr>
        <w:t>The law also requires a</w:t>
      </w:r>
      <w:r w:rsidR="00CB1235" w:rsidRPr="00F618D8">
        <w:rPr>
          <w:rFonts w:ascii="Arial" w:eastAsia="Times New Roman" w:hAnsi="Arial"/>
        </w:rPr>
        <w:t xml:space="preserve"> court hearing </w:t>
      </w:r>
      <w:r w:rsidR="00377F3E" w:rsidRPr="00F618D8">
        <w:rPr>
          <w:rFonts w:ascii="Arial" w:eastAsia="Times New Roman" w:hAnsi="Arial"/>
        </w:rPr>
        <w:t xml:space="preserve">to </w:t>
      </w:r>
      <w:r w:rsidR="00CB1235" w:rsidRPr="00F618D8">
        <w:rPr>
          <w:rFonts w:ascii="Arial" w:eastAsia="Times New Roman" w:hAnsi="Arial"/>
        </w:rPr>
        <w:t>be held if the per</w:t>
      </w:r>
      <w:r w:rsidR="001017B7" w:rsidRPr="00F618D8">
        <w:rPr>
          <w:rFonts w:ascii="Arial" w:eastAsia="Times New Roman" w:hAnsi="Arial"/>
        </w:rPr>
        <w:t xml:space="preserve">son in guardianship requests one or if </w:t>
      </w:r>
      <w:r w:rsidR="00CB1235" w:rsidRPr="00F618D8">
        <w:rPr>
          <w:rFonts w:ascii="Arial" w:eastAsia="Times New Roman" w:hAnsi="Arial"/>
        </w:rPr>
        <w:t xml:space="preserve">the case reviewer </w:t>
      </w:r>
      <w:r w:rsidR="006208D9" w:rsidRPr="00F618D8">
        <w:rPr>
          <w:rFonts w:ascii="Arial" w:eastAsia="Times New Roman" w:hAnsi="Arial"/>
        </w:rPr>
        <w:t>recommends</w:t>
      </w:r>
      <w:r w:rsidR="001017B7" w:rsidRPr="00F618D8">
        <w:rPr>
          <w:rFonts w:ascii="Arial" w:eastAsia="Times New Roman" w:hAnsi="Arial"/>
        </w:rPr>
        <w:t xml:space="preserve"> the guardianship be modified or terminated or the guardian be removed</w:t>
      </w:r>
      <w:r w:rsidR="00AA1F92" w:rsidRPr="00F618D8">
        <w:rPr>
          <w:rFonts w:ascii="Arial" w:eastAsia="Times New Roman" w:hAnsi="Arial"/>
        </w:rPr>
        <w:t xml:space="preserve">. </w:t>
      </w:r>
      <w:r w:rsidR="00377F3E" w:rsidRPr="00F618D8">
        <w:rPr>
          <w:rFonts w:ascii="Arial" w:eastAsia="Times New Roman" w:hAnsi="Arial"/>
        </w:rPr>
        <w:t xml:space="preserve"> </w:t>
      </w:r>
    </w:p>
    <w:p w14:paraId="77F5662F" w14:textId="77777777" w:rsidR="001E3D01" w:rsidRPr="00F618D8" w:rsidRDefault="00C71D88" w:rsidP="00610EEF">
      <w:pPr>
        <w:pStyle w:val="Heading3"/>
        <w:rPr>
          <w:rFonts w:ascii="Arial" w:eastAsia="Times New Roman" w:hAnsi="Arial" w:cs="Arial"/>
        </w:rPr>
      </w:pPr>
      <w:bookmarkStart w:id="104" w:name="_Toc10290969"/>
      <w:r w:rsidRPr="00F618D8">
        <w:rPr>
          <w:rFonts w:ascii="Arial" w:eastAsia="Times New Roman" w:hAnsi="Arial" w:cs="Arial"/>
        </w:rPr>
        <w:t>DC WINGS Complaint Process and Trainings on Alternatives to Guardianship</w:t>
      </w:r>
      <w:bookmarkEnd w:id="104"/>
    </w:p>
    <w:p w14:paraId="5F4D5DF0" w14:textId="77777777" w:rsidR="00962C10" w:rsidRPr="00F618D8" w:rsidRDefault="0080339F" w:rsidP="00D158C0">
      <w:pPr>
        <w:pStyle w:val="ParaNoIndent"/>
        <w:rPr>
          <w:rFonts w:ascii="Arial" w:hAnsi="Arial"/>
        </w:rPr>
      </w:pPr>
      <w:r w:rsidRPr="00F618D8">
        <w:rPr>
          <w:rFonts w:ascii="Arial" w:hAnsi="Arial"/>
        </w:rPr>
        <w:t xml:space="preserve">In </w:t>
      </w:r>
      <w:r w:rsidR="00C71D88" w:rsidRPr="00F618D8">
        <w:rPr>
          <w:rFonts w:ascii="Arial" w:hAnsi="Arial"/>
        </w:rPr>
        <w:t>2015 and 2016</w:t>
      </w:r>
      <w:r w:rsidRPr="00F618D8">
        <w:rPr>
          <w:rFonts w:ascii="Arial" w:hAnsi="Arial"/>
        </w:rPr>
        <w:t>, as a result of the efforts of the DC W</w:t>
      </w:r>
      <w:r w:rsidR="00C71D88" w:rsidRPr="00F618D8">
        <w:rPr>
          <w:rFonts w:ascii="Arial" w:hAnsi="Arial"/>
        </w:rPr>
        <w:t xml:space="preserve">orking Interdisciplinary Network of Guardianship Stakeholders (WINGS) </w:t>
      </w:r>
      <w:r w:rsidRPr="00F618D8">
        <w:rPr>
          <w:rFonts w:ascii="Arial" w:hAnsi="Arial"/>
        </w:rPr>
        <w:t>initiative,</w:t>
      </w:r>
      <w:r w:rsidR="00C71D88" w:rsidRPr="00F618D8">
        <w:rPr>
          <w:rStyle w:val="EndnoteReference"/>
          <w:rFonts w:ascii="Arial" w:eastAsia="Times New Roman" w:hAnsi="Arial"/>
          <w:szCs w:val="24"/>
        </w:rPr>
        <w:endnoteReference w:id="110"/>
      </w:r>
      <w:r w:rsidRPr="00F618D8">
        <w:rPr>
          <w:rFonts w:ascii="Arial" w:hAnsi="Arial"/>
        </w:rPr>
        <w:t xml:space="preserve"> led by the DC Courts, </w:t>
      </w:r>
      <w:r w:rsidR="001E3D01" w:rsidRPr="00F618D8">
        <w:rPr>
          <w:rFonts w:ascii="Arial" w:hAnsi="Arial"/>
        </w:rPr>
        <w:t>other steps were taken to improve the guardianship system in DC</w:t>
      </w:r>
      <w:r w:rsidR="00AA1F92" w:rsidRPr="00F618D8">
        <w:rPr>
          <w:rFonts w:ascii="Arial" w:hAnsi="Arial"/>
        </w:rPr>
        <w:t xml:space="preserve">. </w:t>
      </w:r>
      <w:r w:rsidR="00C71D88" w:rsidRPr="00F618D8">
        <w:rPr>
          <w:rFonts w:ascii="Arial" w:hAnsi="Arial"/>
        </w:rPr>
        <w:t xml:space="preserve">In addition to its efforts to improve public education on guardianship through the court website, brochures, and </w:t>
      </w:r>
      <w:r w:rsidR="00C71D88" w:rsidRPr="00F618D8">
        <w:rPr>
          <w:rFonts w:ascii="Arial" w:hAnsi="Arial"/>
        </w:rPr>
        <w:lastRenderedPageBreak/>
        <w:t xml:space="preserve">videos, </w:t>
      </w:r>
      <w:bookmarkStart w:id="106" w:name="_Hlk5270940"/>
      <w:r w:rsidR="00C71D88" w:rsidRPr="00F618D8">
        <w:rPr>
          <w:rFonts w:ascii="Arial" w:hAnsi="Arial"/>
        </w:rPr>
        <w:t>DC WINGS developed a new complaint process, by which anyone can raise concerns about guardians and conservators that are appointed with the court</w:t>
      </w:r>
      <w:r w:rsidR="00AA1F92" w:rsidRPr="00F618D8">
        <w:rPr>
          <w:rFonts w:ascii="Arial" w:hAnsi="Arial"/>
        </w:rPr>
        <w:t xml:space="preserve">. </w:t>
      </w:r>
      <w:bookmarkEnd w:id="106"/>
      <w:r w:rsidR="00C71D88" w:rsidRPr="00F618D8">
        <w:rPr>
          <w:rFonts w:ascii="Arial" w:hAnsi="Arial"/>
        </w:rPr>
        <w:t xml:space="preserve">When such a complaint is submitted, the Court may take </w:t>
      </w:r>
      <w:r w:rsidR="00C40027" w:rsidRPr="00F618D8">
        <w:rPr>
          <w:rFonts w:ascii="Arial" w:hAnsi="Arial"/>
        </w:rPr>
        <w:t>several</w:t>
      </w:r>
      <w:r w:rsidR="00C71D88" w:rsidRPr="00F618D8">
        <w:rPr>
          <w:rFonts w:ascii="Arial" w:hAnsi="Arial"/>
        </w:rPr>
        <w:t xml:space="preserve"> actions, including appointing a social worker to investigate the case, referring the case for medi</w:t>
      </w:r>
      <w:r w:rsidR="001017B7" w:rsidRPr="00F618D8">
        <w:rPr>
          <w:rFonts w:ascii="Arial" w:hAnsi="Arial"/>
        </w:rPr>
        <w:t>a</w:t>
      </w:r>
      <w:r w:rsidR="00C71D88" w:rsidRPr="00F618D8">
        <w:rPr>
          <w:rFonts w:ascii="Arial" w:hAnsi="Arial"/>
        </w:rPr>
        <w:t>tion, holding a hearing, or referring the complaint to a law enforcement agency,</w:t>
      </w:r>
      <w:r w:rsidR="00C71D88" w:rsidRPr="00F618D8">
        <w:rPr>
          <w:rStyle w:val="EndnoteReference"/>
          <w:rFonts w:ascii="Arial" w:eastAsia="Times New Roman" w:hAnsi="Arial"/>
          <w:szCs w:val="24"/>
        </w:rPr>
        <w:endnoteReference w:id="111"/>
      </w:r>
      <w:r w:rsidR="00C71D88" w:rsidRPr="00F618D8">
        <w:rPr>
          <w:rFonts w:ascii="Arial" w:hAnsi="Arial"/>
        </w:rPr>
        <w:t xml:space="preserve"> among others. </w:t>
      </w:r>
    </w:p>
    <w:p w14:paraId="3619A4E4" w14:textId="77777777" w:rsidR="00C71D88" w:rsidRPr="00F618D8" w:rsidRDefault="00C71D88" w:rsidP="00D158C0">
      <w:pPr>
        <w:pStyle w:val="ParaNoIndent"/>
        <w:rPr>
          <w:rFonts w:ascii="Arial" w:hAnsi="Arial"/>
        </w:rPr>
      </w:pPr>
      <w:r w:rsidRPr="00F618D8">
        <w:rPr>
          <w:rFonts w:ascii="Arial" w:hAnsi="Arial"/>
        </w:rPr>
        <w:t>In the fall of 2015</w:t>
      </w:r>
      <w:r w:rsidR="00DA736B" w:rsidRPr="00F618D8">
        <w:rPr>
          <w:rFonts w:ascii="Arial" w:hAnsi="Arial"/>
        </w:rPr>
        <w:t>,</w:t>
      </w:r>
      <w:r w:rsidRPr="00F618D8">
        <w:rPr>
          <w:rFonts w:ascii="Arial" w:hAnsi="Arial"/>
        </w:rPr>
        <w:t xml:space="preserve"> DC WINGS also provided training to attorneys and other legal stakeholders to reinforce that guardianship was the option of last resort, ensure alternatives to guardianship were understood, and improve understanding of capacity assessments. The trainings included discussion of the full range of decision-making options then available in DC, including </w:t>
      </w:r>
      <w:r w:rsidR="00BC08B3" w:rsidRPr="00F618D8">
        <w:rPr>
          <w:rFonts w:ascii="Arial" w:hAnsi="Arial"/>
        </w:rPr>
        <w:t>SDM</w:t>
      </w:r>
      <w:r w:rsidRPr="00F618D8">
        <w:rPr>
          <w:rFonts w:ascii="Arial" w:hAnsi="Arial"/>
        </w:rPr>
        <w:t xml:space="preserve">, </w:t>
      </w:r>
      <w:r w:rsidR="00D94DF3" w:rsidRPr="00F618D8">
        <w:rPr>
          <w:rFonts w:ascii="Arial" w:hAnsi="Arial"/>
        </w:rPr>
        <w:t>a</w:t>
      </w:r>
      <w:r w:rsidRPr="00F618D8">
        <w:rPr>
          <w:rFonts w:ascii="Arial" w:hAnsi="Arial"/>
        </w:rPr>
        <w:t xml:space="preserve">dvance </w:t>
      </w:r>
      <w:r w:rsidR="00D94DF3" w:rsidRPr="00F618D8">
        <w:rPr>
          <w:rFonts w:ascii="Arial" w:hAnsi="Arial"/>
        </w:rPr>
        <w:t>d</w:t>
      </w:r>
      <w:r w:rsidRPr="00F618D8">
        <w:rPr>
          <w:rFonts w:ascii="Arial" w:hAnsi="Arial"/>
        </w:rPr>
        <w:t xml:space="preserve">irectives, </w:t>
      </w:r>
      <w:r w:rsidR="00D94DF3" w:rsidRPr="00F618D8">
        <w:rPr>
          <w:rFonts w:ascii="Arial" w:hAnsi="Arial"/>
        </w:rPr>
        <w:t>p</w:t>
      </w:r>
      <w:r w:rsidRPr="00F618D8">
        <w:rPr>
          <w:rFonts w:ascii="Arial" w:hAnsi="Arial"/>
        </w:rPr>
        <w:t xml:space="preserve">owers of </w:t>
      </w:r>
      <w:r w:rsidR="00D94DF3" w:rsidRPr="00F618D8">
        <w:rPr>
          <w:rFonts w:ascii="Arial" w:hAnsi="Arial"/>
        </w:rPr>
        <w:t>a</w:t>
      </w:r>
      <w:r w:rsidRPr="00F618D8">
        <w:rPr>
          <w:rFonts w:ascii="Arial" w:hAnsi="Arial"/>
        </w:rPr>
        <w:t xml:space="preserve">ttorney, </w:t>
      </w:r>
      <w:r w:rsidR="00D94DF3" w:rsidRPr="00F618D8">
        <w:rPr>
          <w:rFonts w:ascii="Arial" w:hAnsi="Arial"/>
        </w:rPr>
        <w:t>r</w:t>
      </w:r>
      <w:r w:rsidRPr="00F618D8">
        <w:rPr>
          <w:rFonts w:ascii="Arial" w:hAnsi="Arial"/>
        </w:rPr>
        <w:t xml:space="preserve">epresentative </w:t>
      </w:r>
      <w:r w:rsidR="00D94DF3" w:rsidRPr="00F618D8">
        <w:rPr>
          <w:rFonts w:ascii="Arial" w:hAnsi="Arial"/>
        </w:rPr>
        <w:t>p</w:t>
      </w:r>
      <w:r w:rsidRPr="00F618D8">
        <w:rPr>
          <w:rFonts w:ascii="Arial" w:hAnsi="Arial"/>
        </w:rPr>
        <w:t xml:space="preserve">ayees, and </w:t>
      </w:r>
      <w:r w:rsidR="00D94DF3" w:rsidRPr="00F618D8">
        <w:rPr>
          <w:rFonts w:ascii="Arial" w:hAnsi="Arial"/>
        </w:rPr>
        <w:t>s</w:t>
      </w:r>
      <w:r w:rsidRPr="00F618D8">
        <w:rPr>
          <w:rFonts w:ascii="Arial" w:hAnsi="Arial"/>
        </w:rPr>
        <w:t xml:space="preserve">ubstitute </w:t>
      </w:r>
      <w:r w:rsidR="00D94DF3" w:rsidRPr="00F618D8">
        <w:rPr>
          <w:rFonts w:ascii="Arial" w:hAnsi="Arial"/>
        </w:rPr>
        <w:t>h</w:t>
      </w:r>
      <w:r w:rsidRPr="00F618D8">
        <w:rPr>
          <w:rFonts w:ascii="Arial" w:hAnsi="Arial"/>
        </w:rPr>
        <w:t xml:space="preserve">ealth </w:t>
      </w:r>
      <w:r w:rsidR="00D94DF3" w:rsidRPr="00F618D8">
        <w:rPr>
          <w:rFonts w:ascii="Arial" w:hAnsi="Arial"/>
        </w:rPr>
        <w:t>c</w:t>
      </w:r>
      <w:r w:rsidRPr="00F618D8">
        <w:rPr>
          <w:rFonts w:ascii="Arial" w:hAnsi="Arial"/>
        </w:rPr>
        <w:t xml:space="preserve">are </w:t>
      </w:r>
      <w:r w:rsidR="00D94DF3" w:rsidRPr="00F618D8">
        <w:rPr>
          <w:rFonts w:ascii="Arial" w:hAnsi="Arial"/>
        </w:rPr>
        <w:t>d</w:t>
      </w:r>
      <w:r w:rsidRPr="00F618D8">
        <w:rPr>
          <w:rFonts w:ascii="Arial" w:hAnsi="Arial"/>
        </w:rPr>
        <w:t>ecision-</w:t>
      </w:r>
      <w:r w:rsidR="00D94DF3" w:rsidRPr="00F618D8">
        <w:rPr>
          <w:rFonts w:ascii="Arial" w:hAnsi="Arial"/>
        </w:rPr>
        <w:t>m</w:t>
      </w:r>
      <w:r w:rsidRPr="00F618D8">
        <w:rPr>
          <w:rFonts w:ascii="Arial" w:hAnsi="Arial"/>
        </w:rPr>
        <w:t>akers under DC Code 21-2210</w:t>
      </w:r>
      <w:r w:rsidR="00962C10" w:rsidRPr="00F618D8">
        <w:rPr>
          <w:rFonts w:ascii="Arial" w:hAnsi="Arial"/>
        </w:rPr>
        <w:t xml:space="preserve"> (“21-2210 Medical Decision-Makers”)</w:t>
      </w:r>
      <w:r w:rsidRPr="00F618D8">
        <w:rPr>
          <w:rFonts w:ascii="Arial" w:hAnsi="Arial"/>
        </w:rPr>
        <w:t>, among others</w:t>
      </w:r>
      <w:r w:rsidR="00AA1F92" w:rsidRPr="00F618D8">
        <w:rPr>
          <w:rFonts w:ascii="Arial" w:hAnsi="Arial"/>
        </w:rPr>
        <w:t xml:space="preserve">. </w:t>
      </w:r>
    </w:p>
    <w:p w14:paraId="10D79D77" w14:textId="77777777" w:rsidR="001E3D01" w:rsidRPr="00F618D8" w:rsidRDefault="00962C10" w:rsidP="00D158C0">
      <w:pPr>
        <w:pStyle w:val="Heading3"/>
        <w:rPr>
          <w:rFonts w:ascii="Arial" w:eastAsia="Times New Roman" w:hAnsi="Arial" w:cs="Arial"/>
        </w:rPr>
      </w:pPr>
      <w:bookmarkStart w:id="107" w:name="_Toc10290970"/>
      <w:r w:rsidRPr="00F618D8">
        <w:rPr>
          <w:rFonts w:ascii="Arial" w:eastAsia="Times New Roman" w:hAnsi="Arial" w:cs="Arial"/>
        </w:rPr>
        <w:t xml:space="preserve">DC </w:t>
      </w:r>
      <w:r w:rsidR="001E3D01" w:rsidRPr="00F618D8">
        <w:rPr>
          <w:rFonts w:ascii="Arial" w:eastAsia="Times New Roman" w:hAnsi="Arial" w:cs="Arial"/>
        </w:rPr>
        <w:t>Special Education Reforms to Promote Alternatives to Guardianship</w:t>
      </w:r>
      <w:bookmarkEnd w:id="107"/>
      <w:r w:rsidR="00083846" w:rsidRPr="00F618D8">
        <w:rPr>
          <w:rFonts w:ascii="Arial" w:eastAsia="Times New Roman" w:hAnsi="Arial" w:cs="Arial"/>
        </w:rPr>
        <w:t xml:space="preserve"> </w:t>
      </w:r>
    </w:p>
    <w:p w14:paraId="3AC0A184" w14:textId="77777777" w:rsidR="00C71D88" w:rsidRPr="00F618D8" w:rsidRDefault="00C71D88" w:rsidP="00D158C0">
      <w:pPr>
        <w:pStyle w:val="ParaNoIndent"/>
        <w:rPr>
          <w:rFonts w:ascii="Arial" w:hAnsi="Arial"/>
        </w:rPr>
      </w:pPr>
      <w:r w:rsidRPr="00F618D8">
        <w:rPr>
          <w:rFonts w:ascii="Arial" w:hAnsi="Arial"/>
        </w:rPr>
        <w:t>In DC, while general education students typically graduate from high school by the age of 18, student</w:t>
      </w:r>
      <w:r w:rsidR="001017B7" w:rsidRPr="00F618D8">
        <w:rPr>
          <w:rFonts w:ascii="Arial" w:hAnsi="Arial"/>
        </w:rPr>
        <w:t>s</w:t>
      </w:r>
      <w:r w:rsidRPr="00F618D8">
        <w:rPr>
          <w:rFonts w:ascii="Arial" w:hAnsi="Arial"/>
        </w:rPr>
        <w:t xml:space="preserve"> in special education have the right to remain in school until the end of the semester in which they turn 22 years old.</w:t>
      </w:r>
      <w:r w:rsidRPr="00F618D8">
        <w:rPr>
          <w:rStyle w:val="EndnoteReference"/>
          <w:rFonts w:ascii="Arial" w:hAnsi="Arial"/>
          <w:szCs w:val="24"/>
        </w:rPr>
        <w:endnoteReference w:id="112"/>
      </w:r>
      <w:r w:rsidRPr="00F618D8">
        <w:rPr>
          <w:rFonts w:ascii="Arial" w:hAnsi="Arial"/>
        </w:rPr>
        <w:t xml:space="preserve"> Under DC law, when students turn 18, their parents’ rights under the Individuals with Disabilities Education Act (IDEA) automatically transfer to the student, unless a court has found that the adult student is incompetent.</w:t>
      </w:r>
      <w:r w:rsidRPr="00F618D8">
        <w:rPr>
          <w:rStyle w:val="EndnoteReference"/>
          <w:rFonts w:ascii="Arial" w:hAnsi="Arial"/>
          <w:szCs w:val="24"/>
        </w:rPr>
        <w:endnoteReference w:id="113"/>
      </w:r>
      <w:r w:rsidRPr="00F618D8">
        <w:rPr>
          <w:rFonts w:ascii="Arial" w:hAnsi="Arial"/>
        </w:rPr>
        <w:t xml:space="preserve"> This process is referred to as the “transfer of rights,” and it frequently triggers discussions about guardianship</w:t>
      </w:r>
      <w:r w:rsidR="00AA1F92" w:rsidRPr="00F618D8">
        <w:rPr>
          <w:rFonts w:ascii="Arial" w:hAnsi="Arial"/>
        </w:rPr>
        <w:t xml:space="preserve">. </w:t>
      </w:r>
      <w:r w:rsidRPr="00F618D8">
        <w:rPr>
          <w:rFonts w:ascii="Arial" w:hAnsi="Arial"/>
        </w:rPr>
        <w:t xml:space="preserve">As one DC disability rights advocate said: “In my experience working with transition-age students with ID/DD, I have seen a bias by schools and support teams to use the transfer-of-rights process to push parents towards going to court to get guardianship over their adult child, rather than first exploring less-restrictive decision-making options, like </w:t>
      </w:r>
      <w:r w:rsidR="004234DE" w:rsidRPr="00F618D8">
        <w:rPr>
          <w:rFonts w:ascii="Arial" w:hAnsi="Arial"/>
        </w:rPr>
        <w:t>p</w:t>
      </w:r>
      <w:r w:rsidRPr="00F618D8">
        <w:rPr>
          <w:rFonts w:ascii="Arial" w:hAnsi="Arial"/>
        </w:rPr>
        <w:t xml:space="preserve">owers of </w:t>
      </w:r>
      <w:r w:rsidR="004234DE" w:rsidRPr="00F618D8">
        <w:rPr>
          <w:rFonts w:ascii="Arial" w:hAnsi="Arial"/>
        </w:rPr>
        <w:t>a</w:t>
      </w:r>
      <w:r w:rsidRPr="00F618D8">
        <w:rPr>
          <w:rFonts w:ascii="Arial" w:hAnsi="Arial"/>
        </w:rPr>
        <w:t xml:space="preserve">ttorney and </w:t>
      </w:r>
      <w:r w:rsidR="009B057B" w:rsidRPr="00F618D8">
        <w:rPr>
          <w:rFonts w:ascii="Arial" w:hAnsi="Arial"/>
        </w:rPr>
        <w:t>supported decision-making</w:t>
      </w:r>
      <w:r w:rsidR="00AA1F92" w:rsidRPr="00F618D8">
        <w:rPr>
          <w:rFonts w:ascii="Arial" w:hAnsi="Arial"/>
        </w:rPr>
        <w:t xml:space="preserve">. </w:t>
      </w:r>
      <w:r w:rsidRPr="00F618D8">
        <w:rPr>
          <w:rFonts w:ascii="Arial" w:hAnsi="Arial"/>
        </w:rPr>
        <w:t>Because of this institutional bias within</w:t>
      </w:r>
      <w:r w:rsidR="007941EF" w:rsidRPr="00F618D8">
        <w:rPr>
          <w:rFonts w:ascii="Arial" w:hAnsi="Arial"/>
        </w:rPr>
        <w:t xml:space="preserve"> [the]</w:t>
      </w:r>
      <w:r w:rsidRPr="00F618D8">
        <w:rPr>
          <w:rFonts w:ascii="Arial" w:hAnsi="Arial"/>
        </w:rPr>
        <w:t xml:space="preserve"> disability service delivery system, we have had to expend much effort and energy on counseling and supporting families to understand that guardianship is not the only option available</w:t>
      </w:r>
      <w:r w:rsidR="00AA1F92" w:rsidRPr="00F618D8">
        <w:rPr>
          <w:rFonts w:ascii="Arial" w:hAnsi="Arial"/>
        </w:rPr>
        <w:t xml:space="preserve">.” </w:t>
      </w:r>
    </w:p>
    <w:p w14:paraId="0B012324" w14:textId="77777777" w:rsidR="00C71D88" w:rsidRPr="00F618D8" w:rsidRDefault="00C71D88" w:rsidP="00D158C0">
      <w:pPr>
        <w:pStyle w:val="ParaNoIndent"/>
        <w:rPr>
          <w:rFonts w:ascii="Arial" w:hAnsi="Arial"/>
        </w:rPr>
      </w:pPr>
      <w:r w:rsidRPr="00F618D8">
        <w:rPr>
          <w:rFonts w:ascii="Arial" w:hAnsi="Arial"/>
        </w:rPr>
        <w:t>In 2012, a coalition of DC disability rights advocates issued a call of action against the Transfer of Rights Guidelines</w:t>
      </w:r>
      <w:r w:rsidR="001017B7" w:rsidRPr="00F618D8">
        <w:rPr>
          <w:rFonts w:ascii="Arial" w:hAnsi="Arial"/>
        </w:rPr>
        <w:t xml:space="preserve"> of the DC Public Schools (DCPS)</w:t>
      </w:r>
      <w:r w:rsidRPr="00F618D8">
        <w:rPr>
          <w:rFonts w:ascii="Arial" w:hAnsi="Arial"/>
        </w:rPr>
        <w:t>.</w:t>
      </w:r>
      <w:r w:rsidRPr="00F618D8">
        <w:rPr>
          <w:rStyle w:val="EndnoteReference"/>
          <w:rFonts w:ascii="Arial" w:hAnsi="Arial"/>
          <w:szCs w:val="24"/>
        </w:rPr>
        <w:endnoteReference w:id="114"/>
      </w:r>
      <w:r w:rsidRPr="00F618D8">
        <w:rPr>
          <w:rFonts w:ascii="Arial" w:hAnsi="Arial"/>
        </w:rPr>
        <w:t xml:space="preserve"> These March 2010 </w:t>
      </w:r>
      <w:r w:rsidR="0095718D" w:rsidRPr="00F618D8">
        <w:rPr>
          <w:rFonts w:ascii="Arial" w:hAnsi="Arial"/>
        </w:rPr>
        <w:t>g</w:t>
      </w:r>
      <w:r w:rsidRPr="00F618D8">
        <w:rPr>
          <w:rFonts w:ascii="Arial" w:hAnsi="Arial"/>
        </w:rPr>
        <w:t xml:space="preserve">uidelines failed to inform parents and students about less-restrictive alternatives to </w:t>
      </w:r>
      <w:r w:rsidRPr="00F618D8">
        <w:rPr>
          <w:rFonts w:ascii="Arial" w:hAnsi="Arial"/>
        </w:rPr>
        <w:lastRenderedPageBreak/>
        <w:t xml:space="preserve">guardianship, such as educational </w:t>
      </w:r>
      <w:r w:rsidR="004234DE" w:rsidRPr="00F618D8">
        <w:rPr>
          <w:rFonts w:ascii="Arial" w:hAnsi="Arial"/>
        </w:rPr>
        <w:t>p</w:t>
      </w:r>
      <w:r w:rsidRPr="00F618D8">
        <w:rPr>
          <w:rFonts w:ascii="Arial" w:hAnsi="Arial"/>
        </w:rPr>
        <w:t xml:space="preserve">owers of </w:t>
      </w:r>
      <w:r w:rsidR="004234DE" w:rsidRPr="00F618D8">
        <w:rPr>
          <w:rFonts w:ascii="Arial" w:hAnsi="Arial"/>
        </w:rPr>
        <w:t>a</w:t>
      </w:r>
      <w:r w:rsidRPr="00F618D8">
        <w:rPr>
          <w:rFonts w:ascii="Arial" w:hAnsi="Arial"/>
        </w:rPr>
        <w:t xml:space="preserve">ttorney or </w:t>
      </w:r>
      <w:r w:rsidR="0095718D" w:rsidRPr="00F618D8">
        <w:rPr>
          <w:rFonts w:ascii="Arial" w:hAnsi="Arial"/>
        </w:rPr>
        <w:t>SDM</w:t>
      </w:r>
      <w:r w:rsidRPr="00F618D8">
        <w:rPr>
          <w:rFonts w:ascii="Arial" w:hAnsi="Arial"/>
        </w:rPr>
        <w:t>, instead presenting the issue as a dichotomous choice between the students exercising their IDEA rights completely by themselves or their parents seeking guardianship if they wanted to remain involved in educational planning.</w:t>
      </w:r>
      <w:r w:rsidRPr="00F618D8">
        <w:rPr>
          <w:rStyle w:val="EndnoteReference"/>
          <w:rFonts w:ascii="Arial" w:hAnsi="Arial"/>
          <w:szCs w:val="24"/>
        </w:rPr>
        <w:endnoteReference w:id="115"/>
      </w:r>
      <w:r w:rsidRPr="00F618D8">
        <w:rPr>
          <w:rFonts w:ascii="Arial" w:hAnsi="Arial"/>
        </w:rPr>
        <w:t xml:space="preserve"> </w:t>
      </w:r>
      <w:r w:rsidR="00BD4F7A" w:rsidRPr="00F618D8">
        <w:rPr>
          <w:rFonts w:ascii="Arial" w:hAnsi="Arial"/>
        </w:rPr>
        <w:t>In addition, DCPS was taking the position at some administrative hearings that students in special education could not delegate their IDEA rights to their parents or caregivers through the use of educational power</w:t>
      </w:r>
      <w:r w:rsidR="00DA736B" w:rsidRPr="00F618D8">
        <w:rPr>
          <w:rFonts w:ascii="Arial" w:hAnsi="Arial"/>
        </w:rPr>
        <w:t>s</w:t>
      </w:r>
      <w:r w:rsidR="00BD4F7A" w:rsidRPr="00F618D8">
        <w:rPr>
          <w:rFonts w:ascii="Arial" w:hAnsi="Arial"/>
        </w:rPr>
        <w:t xml:space="preserve"> of attorney, despite the fact that District law expressly allowed parents to delegate rights and responsibilities for all school-related matters when their child was a minor.</w:t>
      </w:r>
      <w:r w:rsidR="00BD4F7A" w:rsidRPr="00F618D8">
        <w:rPr>
          <w:rStyle w:val="EndnoteReference"/>
          <w:rFonts w:ascii="Arial" w:hAnsi="Arial"/>
          <w:szCs w:val="24"/>
        </w:rPr>
        <w:endnoteReference w:id="116"/>
      </w:r>
      <w:r w:rsidR="00BD4F7A" w:rsidRPr="00F618D8">
        <w:rPr>
          <w:rFonts w:ascii="Arial" w:hAnsi="Arial"/>
        </w:rPr>
        <w:t xml:space="preserve"> </w:t>
      </w:r>
      <w:r w:rsidRPr="00F618D8">
        <w:rPr>
          <w:rFonts w:ascii="Arial" w:hAnsi="Arial"/>
        </w:rPr>
        <w:t xml:space="preserve">As a result of this </w:t>
      </w:r>
      <w:r w:rsidR="00BD4F7A" w:rsidRPr="00F618D8">
        <w:rPr>
          <w:rFonts w:ascii="Arial" w:hAnsi="Arial"/>
        </w:rPr>
        <w:t xml:space="preserve">community </w:t>
      </w:r>
      <w:r w:rsidRPr="00F618D8">
        <w:rPr>
          <w:rFonts w:ascii="Arial" w:hAnsi="Arial"/>
        </w:rPr>
        <w:t xml:space="preserve">advocacy effort, </w:t>
      </w:r>
      <w:bookmarkStart w:id="108" w:name="_Hlk5271058"/>
      <w:r w:rsidRPr="00F618D8">
        <w:rPr>
          <w:rFonts w:ascii="Arial" w:hAnsi="Arial"/>
        </w:rPr>
        <w:t>in August 2013, DCPS amended its Transfer of Rights Guidelines</w:t>
      </w:r>
      <w:r w:rsidRPr="00F618D8">
        <w:rPr>
          <w:rStyle w:val="EndnoteReference"/>
          <w:rFonts w:ascii="Arial" w:hAnsi="Arial"/>
          <w:szCs w:val="24"/>
        </w:rPr>
        <w:endnoteReference w:id="117"/>
      </w:r>
      <w:r w:rsidRPr="00F618D8">
        <w:rPr>
          <w:rFonts w:ascii="Arial" w:hAnsi="Arial"/>
        </w:rPr>
        <w:t xml:space="preserve"> to</w:t>
      </w:r>
      <w:r w:rsidR="004234DE" w:rsidRPr="00F618D8">
        <w:rPr>
          <w:rFonts w:ascii="Arial" w:hAnsi="Arial"/>
        </w:rPr>
        <w:t xml:space="preserve"> </w:t>
      </w:r>
      <w:r w:rsidRPr="00F618D8">
        <w:rPr>
          <w:rFonts w:ascii="Arial" w:hAnsi="Arial"/>
        </w:rPr>
        <w:t xml:space="preserve">expressly recognize </w:t>
      </w:r>
      <w:r w:rsidR="0095718D" w:rsidRPr="00F618D8">
        <w:rPr>
          <w:rFonts w:ascii="Arial" w:hAnsi="Arial"/>
        </w:rPr>
        <w:t>SDM</w:t>
      </w:r>
      <w:r w:rsidRPr="00F618D8">
        <w:rPr>
          <w:rFonts w:ascii="Arial" w:hAnsi="Arial"/>
        </w:rPr>
        <w:t xml:space="preserve"> </w:t>
      </w:r>
      <w:bookmarkEnd w:id="108"/>
      <w:r w:rsidRPr="00F618D8">
        <w:rPr>
          <w:rFonts w:ascii="Arial" w:hAnsi="Arial"/>
        </w:rPr>
        <w:t>and</w:t>
      </w:r>
      <w:r w:rsidR="004234DE" w:rsidRPr="00F618D8">
        <w:rPr>
          <w:rFonts w:ascii="Arial" w:hAnsi="Arial"/>
        </w:rPr>
        <w:t>,</w:t>
      </w:r>
      <w:r w:rsidRPr="00F618D8">
        <w:rPr>
          <w:rFonts w:ascii="Arial" w:hAnsi="Arial"/>
        </w:rPr>
        <w:t xml:space="preserve"> </w:t>
      </w:r>
      <w:r w:rsidR="004234DE" w:rsidRPr="00F618D8">
        <w:rPr>
          <w:rFonts w:ascii="Arial" w:hAnsi="Arial"/>
        </w:rPr>
        <w:t xml:space="preserve">also </w:t>
      </w:r>
      <w:r w:rsidRPr="00F618D8">
        <w:rPr>
          <w:rFonts w:ascii="Arial" w:hAnsi="Arial"/>
        </w:rPr>
        <w:t>developed a standardized form</w:t>
      </w:r>
      <w:r w:rsidRPr="00F618D8">
        <w:rPr>
          <w:rStyle w:val="EndnoteReference"/>
          <w:rFonts w:ascii="Arial" w:hAnsi="Arial"/>
          <w:szCs w:val="24"/>
        </w:rPr>
        <w:endnoteReference w:id="118"/>
      </w:r>
      <w:r w:rsidRPr="00F618D8">
        <w:rPr>
          <w:rFonts w:ascii="Arial" w:hAnsi="Arial"/>
        </w:rPr>
        <w:t xml:space="preserve"> by which such arrangements by adult student</w:t>
      </w:r>
      <w:r w:rsidR="00DA736B" w:rsidRPr="00F618D8">
        <w:rPr>
          <w:rFonts w:ascii="Arial" w:hAnsi="Arial"/>
        </w:rPr>
        <w:t>s</w:t>
      </w:r>
      <w:r w:rsidRPr="00F618D8">
        <w:rPr>
          <w:rFonts w:ascii="Arial" w:hAnsi="Arial"/>
        </w:rPr>
        <w:t xml:space="preserve"> in special education can be documented</w:t>
      </w:r>
      <w:r w:rsidR="00AA1F92" w:rsidRPr="00F618D8">
        <w:rPr>
          <w:rFonts w:ascii="Arial" w:hAnsi="Arial"/>
        </w:rPr>
        <w:t xml:space="preserve">. </w:t>
      </w:r>
      <w:r w:rsidRPr="00F618D8">
        <w:rPr>
          <w:rFonts w:ascii="Arial" w:hAnsi="Arial"/>
        </w:rPr>
        <w:t xml:space="preserve">In addition, </w:t>
      </w:r>
      <w:bookmarkStart w:id="109" w:name="_Hlk5271093"/>
      <w:r w:rsidRPr="00F618D8">
        <w:rPr>
          <w:rFonts w:ascii="Arial" w:hAnsi="Arial"/>
        </w:rPr>
        <w:t>DCPS began an initiative to introduce</w:t>
      </w:r>
      <w:r w:rsidR="0095718D" w:rsidRPr="00F618D8">
        <w:rPr>
          <w:rFonts w:ascii="Arial" w:hAnsi="Arial"/>
        </w:rPr>
        <w:t xml:space="preserve"> SDM</w:t>
      </w:r>
      <w:r w:rsidRPr="00F618D8">
        <w:rPr>
          <w:rFonts w:ascii="Arial" w:hAnsi="Arial"/>
        </w:rPr>
        <w:t>, beginning in pre-</w:t>
      </w:r>
      <w:r w:rsidR="004234DE" w:rsidRPr="00F618D8">
        <w:rPr>
          <w:rFonts w:ascii="Arial" w:hAnsi="Arial"/>
        </w:rPr>
        <w:t>k</w:t>
      </w:r>
      <w:r w:rsidRPr="00F618D8">
        <w:rPr>
          <w:rFonts w:ascii="Arial" w:hAnsi="Arial"/>
        </w:rPr>
        <w:t>indergarten, to teach “students how to build networks of support early to ensure that [they] are familiar with the process and utilize it in day</w:t>
      </w:r>
      <w:r w:rsidR="004234DE" w:rsidRPr="00F618D8">
        <w:rPr>
          <w:rFonts w:ascii="Arial" w:hAnsi="Arial"/>
        </w:rPr>
        <w:t>-</w:t>
      </w:r>
      <w:r w:rsidRPr="00F618D8">
        <w:rPr>
          <w:rFonts w:ascii="Arial" w:hAnsi="Arial"/>
        </w:rPr>
        <w:t>to</w:t>
      </w:r>
      <w:r w:rsidR="004234DE" w:rsidRPr="00F618D8">
        <w:rPr>
          <w:rFonts w:ascii="Arial" w:hAnsi="Arial"/>
        </w:rPr>
        <w:t>-</w:t>
      </w:r>
      <w:r w:rsidRPr="00F618D8">
        <w:rPr>
          <w:rFonts w:ascii="Arial" w:hAnsi="Arial"/>
        </w:rPr>
        <w:t>day activities.”</w:t>
      </w:r>
      <w:bookmarkEnd w:id="109"/>
      <w:r w:rsidRPr="00F618D8">
        <w:rPr>
          <w:rStyle w:val="EndnoteReference"/>
          <w:rFonts w:ascii="Arial" w:hAnsi="Arial"/>
          <w:szCs w:val="24"/>
        </w:rPr>
        <w:endnoteReference w:id="119"/>
      </w:r>
      <w:r w:rsidRPr="00F618D8">
        <w:rPr>
          <w:rFonts w:ascii="Arial" w:hAnsi="Arial"/>
        </w:rPr>
        <w:t xml:space="preserve">  </w:t>
      </w:r>
    </w:p>
    <w:p w14:paraId="45ADDBEB" w14:textId="77777777" w:rsidR="00C71D88" w:rsidRPr="00F618D8" w:rsidRDefault="00C71D88" w:rsidP="00D158C0">
      <w:pPr>
        <w:pStyle w:val="ParaNoIndent"/>
        <w:rPr>
          <w:rFonts w:ascii="Arial" w:hAnsi="Arial"/>
        </w:rPr>
      </w:pPr>
      <w:r w:rsidRPr="00F618D8">
        <w:rPr>
          <w:rFonts w:ascii="Arial" w:hAnsi="Arial"/>
        </w:rPr>
        <w:t>Alternatives to guardianship for adult special education students were also included in comprehensive special education reform legislation that was passed by the DC legislature in late 2014</w:t>
      </w:r>
      <w:r w:rsidR="00AA1F92" w:rsidRPr="00F618D8">
        <w:rPr>
          <w:rFonts w:ascii="Arial" w:hAnsi="Arial"/>
        </w:rPr>
        <w:t xml:space="preserve">. </w:t>
      </w:r>
      <w:r w:rsidRPr="00F618D8">
        <w:rPr>
          <w:rFonts w:ascii="Arial" w:hAnsi="Arial"/>
        </w:rPr>
        <w:t>The DC Special Education Student Rights Act of 2014,</w:t>
      </w:r>
      <w:r w:rsidRPr="00F618D8">
        <w:rPr>
          <w:rStyle w:val="EndnoteReference"/>
          <w:rFonts w:ascii="Arial" w:hAnsi="Arial"/>
          <w:szCs w:val="24"/>
        </w:rPr>
        <w:endnoteReference w:id="120"/>
      </w:r>
      <w:r w:rsidRPr="00F618D8">
        <w:rPr>
          <w:rFonts w:ascii="Arial" w:hAnsi="Arial"/>
        </w:rPr>
        <w:t xml:space="preserve"> which went into effect in March 2015, affirmed that students who have reached the age of 18 have the right to receive support from another adult to aid them in their decision-making.</w:t>
      </w:r>
      <w:r w:rsidRPr="00F618D8">
        <w:rPr>
          <w:rStyle w:val="EndnoteReference"/>
          <w:rFonts w:ascii="Arial" w:hAnsi="Arial"/>
          <w:szCs w:val="24"/>
        </w:rPr>
        <w:endnoteReference w:id="121"/>
      </w:r>
      <w:r w:rsidRPr="00F618D8">
        <w:rPr>
          <w:rFonts w:ascii="Arial" w:hAnsi="Arial"/>
        </w:rPr>
        <w:t xml:space="preserve"> In so doing, it extended DCPS’ formal recognition of </w:t>
      </w:r>
      <w:r w:rsidR="00D733AD" w:rsidRPr="00F618D8">
        <w:rPr>
          <w:rFonts w:ascii="Arial" w:hAnsi="Arial"/>
        </w:rPr>
        <w:t>SDM</w:t>
      </w:r>
      <w:r w:rsidRPr="00F618D8">
        <w:rPr>
          <w:rFonts w:ascii="Arial" w:hAnsi="Arial"/>
        </w:rPr>
        <w:t xml:space="preserve"> to all schools in </w:t>
      </w:r>
      <w:r w:rsidR="00E34684" w:rsidRPr="00F618D8">
        <w:rPr>
          <w:rFonts w:ascii="Arial" w:hAnsi="Arial"/>
        </w:rPr>
        <w:t xml:space="preserve">DC, </w:t>
      </w:r>
      <w:r w:rsidRPr="00F618D8">
        <w:rPr>
          <w:rFonts w:ascii="Arial" w:hAnsi="Arial"/>
        </w:rPr>
        <w:t>including public charter schools</w:t>
      </w:r>
      <w:r w:rsidR="00AA1F92" w:rsidRPr="00F618D8">
        <w:rPr>
          <w:rFonts w:ascii="Arial" w:hAnsi="Arial"/>
        </w:rPr>
        <w:t xml:space="preserve">. </w:t>
      </w:r>
      <w:r w:rsidRPr="00F618D8">
        <w:rPr>
          <w:rFonts w:ascii="Arial" w:hAnsi="Arial"/>
        </w:rPr>
        <w:t>The Act also affirmed the right of adult students in special education to execute educational powers of attorney</w:t>
      </w:r>
      <w:r w:rsidRPr="00F618D8">
        <w:rPr>
          <w:rStyle w:val="EndnoteReference"/>
          <w:rFonts w:ascii="Arial" w:hAnsi="Arial"/>
          <w:szCs w:val="24"/>
        </w:rPr>
        <w:endnoteReference w:id="122"/>
      </w:r>
      <w:r w:rsidRPr="00F618D8">
        <w:rPr>
          <w:rFonts w:ascii="Arial" w:hAnsi="Arial"/>
        </w:rPr>
        <w:t xml:space="preserve"> and required </w:t>
      </w:r>
      <w:r w:rsidR="001017B7" w:rsidRPr="00F618D8">
        <w:rPr>
          <w:rFonts w:ascii="Arial" w:hAnsi="Arial"/>
        </w:rPr>
        <w:t>the DC Office of the State Superintendent of Education (OSSE)</w:t>
      </w:r>
      <w:r w:rsidRPr="00F618D8">
        <w:rPr>
          <w:rFonts w:ascii="Arial" w:hAnsi="Arial"/>
        </w:rPr>
        <w:t xml:space="preserve"> to create a new alternative to guardianship for students who were unable to make educational decisions</w:t>
      </w:r>
      <w:r w:rsidR="00856A2A" w:rsidRPr="00F618D8">
        <w:rPr>
          <w:rFonts w:ascii="Arial" w:hAnsi="Arial"/>
        </w:rPr>
        <w:t>—even with support—or</w:t>
      </w:r>
      <w:r w:rsidRPr="00F618D8">
        <w:rPr>
          <w:rFonts w:ascii="Arial" w:hAnsi="Arial"/>
        </w:rPr>
        <w:t xml:space="preserve"> </w:t>
      </w:r>
      <w:r w:rsidR="0064263E" w:rsidRPr="00F618D8">
        <w:rPr>
          <w:rFonts w:ascii="Arial" w:hAnsi="Arial"/>
        </w:rPr>
        <w:t xml:space="preserve">to </w:t>
      </w:r>
      <w:r w:rsidRPr="00F618D8">
        <w:rPr>
          <w:rFonts w:ascii="Arial" w:hAnsi="Arial"/>
        </w:rPr>
        <w:t>knowingly and voluntarily execute a power of attorney.</w:t>
      </w:r>
      <w:r w:rsidRPr="00F618D8">
        <w:rPr>
          <w:rStyle w:val="EndnoteReference"/>
          <w:rFonts w:ascii="Arial" w:hAnsi="Arial"/>
          <w:szCs w:val="24"/>
        </w:rPr>
        <w:endnoteReference w:id="123"/>
      </w:r>
      <w:r w:rsidRPr="00F618D8">
        <w:rPr>
          <w:rFonts w:ascii="Arial" w:hAnsi="Arial"/>
        </w:rPr>
        <w:t xml:space="preserve"> This new alternative became known as an Educational Representative. The Act also required parents be notified of the transfer-of-rights, as well as all these alternatives to guardianship, no less than one year before the student turned 18 years old.</w:t>
      </w:r>
      <w:r w:rsidRPr="00F618D8">
        <w:rPr>
          <w:rStyle w:val="EndnoteReference"/>
          <w:rFonts w:ascii="Arial" w:hAnsi="Arial"/>
          <w:szCs w:val="24"/>
        </w:rPr>
        <w:endnoteReference w:id="124"/>
      </w:r>
    </w:p>
    <w:p w14:paraId="39DA96EB" w14:textId="77777777" w:rsidR="00C71D88" w:rsidRPr="00F618D8" w:rsidRDefault="00C71D88" w:rsidP="00D158C0">
      <w:pPr>
        <w:pStyle w:val="ParaNoIndent"/>
        <w:rPr>
          <w:rFonts w:ascii="Arial" w:hAnsi="Arial"/>
        </w:rPr>
      </w:pPr>
      <w:r w:rsidRPr="00F618D8">
        <w:rPr>
          <w:rFonts w:ascii="Arial" w:hAnsi="Arial"/>
        </w:rPr>
        <w:t xml:space="preserve">In July 2016, </w:t>
      </w:r>
      <w:r w:rsidR="001017B7" w:rsidRPr="00F618D8">
        <w:rPr>
          <w:rFonts w:ascii="Arial" w:hAnsi="Arial"/>
        </w:rPr>
        <w:t>OSSE</w:t>
      </w:r>
      <w:r w:rsidRPr="00F618D8">
        <w:rPr>
          <w:rFonts w:ascii="Arial" w:hAnsi="Arial"/>
        </w:rPr>
        <w:t xml:space="preserve"> </w:t>
      </w:r>
      <w:r w:rsidR="00886416" w:rsidRPr="00F618D8">
        <w:rPr>
          <w:rFonts w:ascii="Arial" w:hAnsi="Arial"/>
        </w:rPr>
        <w:t xml:space="preserve">implemented </w:t>
      </w:r>
      <w:r w:rsidRPr="00F618D8">
        <w:rPr>
          <w:rFonts w:ascii="Arial" w:hAnsi="Arial"/>
        </w:rPr>
        <w:t>regulations for this Act</w:t>
      </w:r>
      <w:r w:rsidRPr="00F618D8">
        <w:rPr>
          <w:rStyle w:val="EndnoteReference"/>
          <w:rFonts w:ascii="Arial" w:hAnsi="Arial"/>
          <w:szCs w:val="24"/>
        </w:rPr>
        <w:endnoteReference w:id="125"/>
      </w:r>
      <w:r w:rsidRPr="00F618D8">
        <w:rPr>
          <w:rFonts w:ascii="Arial" w:hAnsi="Arial"/>
        </w:rPr>
        <w:t xml:space="preserve"> and issued a model </w:t>
      </w:r>
      <w:r w:rsidR="00286677" w:rsidRPr="00F618D8">
        <w:rPr>
          <w:rFonts w:ascii="Arial" w:hAnsi="Arial"/>
        </w:rPr>
        <w:t>SDM</w:t>
      </w:r>
      <w:r w:rsidRPr="00F618D8">
        <w:rPr>
          <w:rFonts w:ascii="Arial" w:hAnsi="Arial"/>
        </w:rPr>
        <w:t xml:space="preserve"> form that </w:t>
      </w:r>
      <w:r w:rsidR="00286677" w:rsidRPr="00F618D8">
        <w:rPr>
          <w:rFonts w:ascii="Arial" w:hAnsi="Arial"/>
        </w:rPr>
        <w:t>can</w:t>
      </w:r>
      <w:r w:rsidRPr="00F618D8">
        <w:rPr>
          <w:rFonts w:ascii="Arial" w:hAnsi="Arial"/>
        </w:rPr>
        <w:t xml:space="preserve"> be used by all schools, whether they are connected to DCPS or not.</w:t>
      </w:r>
      <w:r w:rsidRPr="00F618D8">
        <w:rPr>
          <w:rStyle w:val="EndnoteReference"/>
          <w:rFonts w:ascii="Arial" w:hAnsi="Arial"/>
          <w:szCs w:val="24"/>
        </w:rPr>
        <w:endnoteReference w:id="126"/>
      </w:r>
      <w:r w:rsidRPr="00F618D8">
        <w:rPr>
          <w:rFonts w:ascii="Arial" w:hAnsi="Arial"/>
        </w:rPr>
        <w:t xml:space="preserve"> Among other things, the regulations describe how the Educational Representative </w:t>
      </w:r>
      <w:r w:rsidRPr="00F618D8">
        <w:rPr>
          <w:rFonts w:ascii="Arial" w:hAnsi="Arial"/>
        </w:rPr>
        <w:lastRenderedPageBreak/>
        <w:t>process works</w:t>
      </w:r>
      <w:r w:rsidR="00AA1F92" w:rsidRPr="00F618D8">
        <w:rPr>
          <w:rFonts w:ascii="Arial" w:hAnsi="Arial"/>
        </w:rPr>
        <w:t xml:space="preserve">. </w:t>
      </w:r>
      <w:r w:rsidRPr="00F618D8">
        <w:rPr>
          <w:rFonts w:ascii="Arial" w:hAnsi="Arial"/>
        </w:rPr>
        <w:t>An Educational Representative is someone, usually a parent, appointed by OSSE to make educational decisions for an adult student who is unable to make those decisions, even with support, and it does not require court involvement</w:t>
      </w:r>
      <w:r w:rsidR="00AA1F92" w:rsidRPr="00F618D8">
        <w:rPr>
          <w:rFonts w:ascii="Arial" w:hAnsi="Arial"/>
        </w:rPr>
        <w:t xml:space="preserve">. </w:t>
      </w:r>
      <w:r w:rsidRPr="00F618D8">
        <w:rPr>
          <w:rFonts w:ascii="Arial" w:hAnsi="Arial"/>
        </w:rPr>
        <w:t>A parent or other interested adult may submit to OSSE the request for appointment, along with two signed professional certifications of the student’s incapacity to make educational decisions. If all its rules are met, OSSE will then appoint the Educational Representative and provide notice of the appointment to the parents, student, and school</w:t>
      </w:r>
      <w:r w:rsidR="00AA1F92" w:rsidRPr="00F618D8">
        <w:rPr>
          <w:rFonts w:ascii="Arial" w:hAnsi="Arial"/>
        </w:rPr>
        <w:t xml:space="preserve">. </w:t>
      </w:r>
      <w:r w:rsidRPr="00F618D8">
        <w:rPr>
          <w:rFonts w:ascii="Arial" w:hAnsi="Arial"/>
        </w:rPr>
        <w:t>The notice describes the steps that the student may take to challenge the appointment</w:t>
      </w:r>
      <w:r w:rsidR="00545A20" w:rsidRPr="00F618D8">
        <w:rPr>
          <w:rFonts w:ascii="Arial" w:hAnsi="Arial"/>
        </w:rPr>
        <w:t>;</w:t>
      </w:r>
      <w:r w:rsidRPr="00F618D8">
        <w:rPr>
          <w:rFonts w:ascii="Arial" w:hAnsi="Arial"/>
        </w:rPr>
        <w:t xml:space="preserve"> and the school is required to give a copy of the notice and explain it to the student</w:t>
      </w:r>
      <w:r w:rsidR="00AA1F92" w:rsidRPr="00F618D8">
        <w:rPr>
          <w:rFonts w:ascii="Arial" w:hAnsi="Arial"/>
        </w:rPr>
        <w:t xml:space="preserve">. </w:t>
      </w:r>
      <w:r w:rsidRPr="00F618D8">
        <w:rPr>
          <w:rFonts w:ascii="Arial" w:hAnsi="Arial"/>
        </w:rPr>
        <w:t>If the student objects, then the certifications are invalidated, and all educational rights transfer back to the student.</w:t>
      </w:r>
      <w:r w:rsidRPr="00F618D8">
        <w:rPr>
          <w:rStyle w:val="EndnoteReference"/>
          <w:rFonts w:ascii="Arial" w:hAnsi="Arial"/>
          <w:szCs w:val="24"/>
        </w:rPr>
        <w:endnoteReference w:id="127"/>
      </w:r>
      <w:r w:rsidRPr="00F618D8">
        <w:rPr>
          <w:rFonts w:ascii="Arial" w:hAnsi="Arial"/>
        </w:rPr>
        <w:t xml:space="preserve">  </w:t>
      </w:r>
    </w:p>
    <w:p w14:paraId="11DC9954" w14:textId="77777777" w:rsidR="00E2761F" w:rsidRPr="00F618D8" w:rsidRDefault="00E2761F" w:rsidP="00D158C0">
      <w:pPr>
        <w:pStyle w:val="ParaNoIndent"/>
        <w:rPr>
          <w:rFonts w:ascii="Arial" w:hAnsi="Arial"/>
        </w:rPr>
      </w:pPr>
      <w:r w:rsidRPr="00F618D8">
        <w:rPr>
          <w:rFonts w:ascii="Arial" w:hAnsi="Arial"/>
        </w:rPr>
        <w:t xml:space="preserve">However, respondents that were interviewed raised questions about whether information about the full continuum of decision-making support are really making its way from schools to students and families. For example, one parent reported that, coordinators at public charter schools and DCPS do not have a full understanding of the impact of guardianship or the availability of alternatives such as </w:t>
      </w:r>
      <w:r w:rsidR="00F04AF6" w:rsidRPr="00F618D8">
        <w:rPr>
          <w:rFonts w:ascii="Arial" w:hAnsi="Arial"/>
        </w:rPr>
        <w:t>p</w:t>
      </w:r>
      <w:r w:rsidRPr="00F618D8">
        <w:rPr>
          <w:rFonts w:ascii="Arial" w:hAnsi="Arial"/>
        </w:rPr>
        <w:t xml:space="preserve">owers of </w:t>
      </w:r>
      <w:r w:rsidR="00F04AF6" w:rsidRPr="00F618D8">
        <w:rPr>
          <w:rFonts w:ascii="Arial" w:hAnsi="Arial"/>
        </w:rPr>
        <w:t>a</w:t>
      </w:r>
      <w:r w:rsidRPr="00F618D8">
        <w:rPr>
          <w:rFonts w:ascii="Arial" w:hAnsi="Arial"/>
        </w:rPr>
        <w:t xml:space="preserve">ttorney and </w:t>
      </w:r>
      <w:r w:rsidR="00286677" w:rsidRPr="00F618D8">
        <w:rPr>
          <w:rFonts w:ascii="Arial" w:hAnsi="Arial"/>
        </w:rPr>
        <w:t>SDM</w:t>
      </w:r>
      <w:r w:rsidRPr="00F618D8">
        <w:rPr>
          <w:rFonts w:ascii="Arial" w:hAnsi="Arial"/>
        </w:rPr>
        <w:t xml:space="preserve">: “Maybe a handful out of the 200 or so that are out there [do] . . . </w:t>
      </w:r>
      <w:r w:rsidRPr="00F618D8">
        <w:rPr>
          <w:rFonts w:ascii="Arial" w:eastAsia="Times New Roman" w:hAnsi="Arial"/>
        </w:rPr>
        <w:t>We really do need to get [them] . . . much, much more comfortable in explaining the difference or at least pointing parents in the right direction [when students are] 15, 16 . . . in their IEP [meetings]. I think they really need to ramp up the trainings . . . I know it’s a very low</w:t>
      </w:r>
      <w:r w:rsidR="007505CE" w:rsidRPr="00F618D8">
        <w:rPr>
          <w:rFonts w:ascii="Arial" w:eastAsia="Times New Roman" w:hAnsi="Arial"/>
        </w:rPr>
        <w:t>-</w:t>
      </w:r>
      <w:r w:rsidRPr="00F618D8">
        <w:rPr>
          <w:rFonts w:ascii="Arial" w:eastAsia="Times New Roman" w:hAnsi="Arial"/>
        </w:rPr>
        <w:t>priority level, unfortunately, but I think that they are the ones who are going to open the door of understanding to the parents</w:t>
      </w:r>
      <w:r w:rsidR="00AA1F92" w:rsidRPr="00F618D8">
        <w:rPr>
          <w:rFonts w:ascii="Arial" w:eastAsia="Times New Roman" w:hAnsi="Arial"/>
        </w:rPr>
        <w:t xml:space="preserve">.” </w:t>
      </w:r>
      <w:r w:rsidRPr="00F618D8">
        <w:rPr>
          <w:rFonts w:ascii="Arial" w:eastAsia="Times New Roman" w:hAnsi="Arial"/>
        </w:rPr>
        <w:t xml:space="preserve"> </w:t>
      </w:r>
    </w:p>
    <w:p w14:paraId="56F2EAD4" w14:textId="77777777" w:rsidR="001E3D01" w:rsidRPr="00F618D8" w:rsidRDefault="001E3D01" w:rsidP="00D158C0">
      <w:pPr>
        <w:pStyle w:val="Heading3"/>
        <w:rPr>
          <w:rFonts w:ascii="Arial" w:eastAsia="Times New Roman" w:hAnsi="Arial" w:cs="Arial"/>
        </w:rPr>
      </w:pPr>
      <w:bookmarkStart w:id="112" w:name="_Toc10290971"/>
      <w:r w:rsidRPr="00F618D8">
        <w:rPr>
          <w:rFonts w:ascii="Arial" w:eastAsia="Times New Roman" w:hAnsi="Arial" w:cs="Arial"/>
        </w:rPr>
        <w:t>Reform</w:t>
      </w:r>
      <w:r w:rsidR="00C71D88" w:rsidRPr="00F618D8">
        <w:rPr>
          <w:rFonts w:ascii="Arial" w:eastAsia="Times New Roman" w:hAnsi="Arial" w:cs="Arial"/>
        </w:rPr>
        <w:t>s</w:t>
      </w:r>
      <w:r w:rsidRPr="00F618D8">
        <w:rPr>
          <w:rFonts w:ascii="Arial" w:eastAsia="Times New Roman" w:hAnsi="Arial" w:cs="Arial"/>
        </w:rPr>
        <w:t xml:space="preserve"> Recognizing Supported Decision-Making Across the Life Span</w:t>
      </w:r>
      <w:bookmarkEnd w:id="112"/>
    </w:p>
    <w:p w14:paraId="4E1E8307" w14:textId="1E2B5528" w:rsidR="005C2216" w:rsidRPr="00F618D8" w:rsidRDefault="00136E8F" w:rsidP="00D158C0">
      <w:pPr>
        <w:pStyle w:val="ParaNoIndent"/>
        <w:rPr>
          <w:rFonts w:ascii="Arial" w:hAnsi="Arial"/>
        </w:rPr>
      </w:pPr>
      <w:r w:rsidRPr="00F618D8">
        <w:rPr>
          <w:rFonts w:ascii="Arial" w:hAnsi="Arial"/>
        </w:rPr>
        <w:t xml:space="preserve">On September 21, 2015, the Chairman of the DC Council, at the request of the DC Mayor, </w:t>
      </w:r>
      <w:r w:rsidR="00730CA0" w:rsidRPr="00F618D8">
        <w:rPr>
          <w:rFonts w:ascii="Arial" w:hAnsi="Arial"/>
        </w:rPr>
        <w:t xml:space="preserve">introduced Bill </w:t>
      </w:r>
      <w:r w:rsidRPr="00F618D8">
        <w:rPr>
          <w:rFonts w:ascii="Arial" w:hAnsi="Arial"/>
        </w:rPr>
        <w:t>21-0385</w:t>
      </w:r>
      <w:r w:rsidR="00730CA0" w:rsidRPr="00F618D8">
        <w:rPr>
          <w:rFonts w:ascii="Arial" w:hAnsi="Arial"/>
        </w:rPr>
        <w:t xml:space="preserve">, </w:t>
      </w:r>
      <w:r w:rsidRPr="00F618D8">
        <w:rPr>
          <w:rFonts w:ascii="Arial" w:hAnsi="Arial"/>
        </w:rPr>
        <w:t>the Citizens with Intellectual Disabilities Civil Rights Restoration Act of 2015</w:t>
      </w:r>
      <w:r w:rsidR="00AA1F92" w:rsidRPr="00F618D8">
        <w:rPr>
          <w:rFonts w:ascii="Arial" w:hAnsi="Arial"/>
        </w:rPr>
        <w:t xml:space="preserve">. </w:t>
      </w:r>
      <w:r w:rsidRPr="00F618D8">
        <w:rPr>
          <w:rFonts w:ascii="Arial" w:hAnsi="Arial"/>
        </w:rPr>
        <w:t xml:space="preserve">This bill, </w:t>
      </w:r>
      <w:r w:rsidR="00730CA0" w:rsidRPr="00F618D8">
        <w:rPr>
          <w:rFonts w:ascii="Arial" w:hAnsi="Arial"/>
        </w:rPr>
        <w:t>among other things, proposed to formally recognize</w:t>
      </w:r>
      <w:r w:rsidR="007505CE" w:rsidRPr="00F618D8">
        <w:rPr>
          <w:rFonts w:ascii="Arial" w:hAnsi="Arial"/>
        </w:rPr>
        <w:t xml:space="preserve"> SDM</w:t>
      </w:r>
      <w:r w:rsidR="00730CA0" w:rsidRPr="00F618D8">
        <w:rPr>
          <w:rFonts w:ascii="Arial" w:hAnsi="Arial"/>
        </w:rPr>
        <w:t xml:space="preserve"> across the life</w:t>
      </w:r>
      <w:r w:rsidR="00F04AF6" w:rsidRPr="00F618D8">
        <w:rPr>
          <w:rFonts w:ascii="Arial" w:hAnsi="Arial"/>
        </w:rPr>
        <w:t xml:space="preserve"> </w:t>
      </w:r>
      <w:r w:rsidR="00730CA0" w:rsidRPr="00F618D8">
        <w:rPr>
          <w:rFonts w:ascii="Arial" w:hAnsi="Arial"/>
        </w:rPr>
        <w:t>span through the codification of a</w:t>
      </w:r>
      <w:r w:rsidR="007505CE" w:rsidRPr="00F618D8">
        <w:rPr>
          <w:rFonts w:ascii="Arial" w:hAnsi="Arial"/>
        </w:rPr>
        <w:t xml:space="preserve"> SDM</w:t>
      </w:r>
      <w:r w:rsidR="00730CA0" w:rsidRPr="00F618D8">
        <w:rPr>
          <w:rFonts w:ascii="Arial" w:hAnsi="Arial"/>
        </w:rPr>
        <w:t xml:space="preserve"> </w:t>
      </w:r>
      <w:r w:rsidRPr="00F618D8">
        <w:rPr>
          <w:rFonts w:ascii="Arial" w:hAnsi="Arial"/>
        </w:rPr>
        <w:t>A</w:t>
      </w:r>
      <w:r w:rsidR="00730CA0" w:rsidRPr="00F618D8">
        <w:rPr>
          <w:rFonts w:ascii="Arial" w:hAnsi="Arial"/>
        </w:rPr>
        <w:t>greement</w:t>
      </w:r>
      <w:r w:rsidRPr="00F618D8">
        <w:rPr>
          <w:rFonts w:ascii="Arial" w:hAnsi="Arial"/>
        </w:rPr>
        <w:t xml:space="preserve"> form and was drafted under the leadership of the DC Department on Disability Services</w:t>
      </w:r>
      <w:r w:rsidR="00AA1F92" w:rsidRPr="00F618D8">
        <w:rPr>
          <w:rFonts w:ascii="Arial" w:hAnsi="Arial"/>
        </w:rPr>
        <w:t xml:space="preserve">. </w:t>
      </w:r>
      <w:r w:rsidR="001017B7" w:rsidRPr="00F618D8">
        <w:rPr>
          <w:rFonts w:ascii="Arial" w:hAnsi="Arial"/>
        </w:rPr>
        <w:t>Although it did not pass the DC Council that legislative session, the introduction of Bill 21-0385 started a broader dialogue about</w:t>
      </w:r>
      <w:r w:rsidR="007505CE" w:rsidRPr="00F618D8">
        <w:rPr>
          <w:rFonts w:ascii="Arial" w:hAnsi="Arial"/>
        </w:rPr>
        <w:t xml:space="preserve"> SDM</w:t>
      </w:r>
      <w:r w:rsidR="001017B7" w:rsidRPr="00F618D8">
        <w:rPr>
          <w:rFonts w:ascii="Arial" w:hAnsi="Arial"/>
        </w:rPr>
        <w:t xml:space="preserve"> that made lawmakers, governmental agencies, and the public more familiar with the concept and how it could be operationalized in DC</w:t>
      </w:r>
      <w:r w:rsidR="00AA1F92" w:rsidRPr="00F618D8">
        <w:rPr>
          <w:rFonts w:ascii="Arial" w:hAnsi="Arial"/>
        </w:rPr>
        <w:t xml:space="preserve">. </w:t>
      </w:r>
      <w:r w:rsidR="001017B7" w:rsidRPr="00F618D8">
        <w:rPr>
          <w:rFonts w:ascii="Arial" w:hAnsi="Arial"/>
        </w:rPr>
        <w:lastRenderedPageBreak/>
        <w:t>T</w:t>
      </w:r>
      <w:r w:rsidRPr="00F618D8">
        <w:rPr>
          <w:rFonts w:ascii="Arial" w:hAnsi="Arial"/>
        </w:rPr>
        <w:t xml:space="preserve">he legislation </w:t>
      </w:r>
      <w:r w:rsidR="00730CA0" w:rsidRPr="00F618D8">
        <w:rPr>
          <w:rFonts w:ascii="Arial" w:hAnsi="Arial"/>
        </w:rPr>
        <w:t>was reintroduced</w:t>
      </w:r>
      <w:r w:rsidRPr="00F618D8">
        <w:rPr>
          <w:rFonts w:ascii="Arial" w:hAnsi="Arial"/>
        </w:rPr>
        <w:t xml:space="preserve"> on March 3, 2017</w:t>
      </w:r>
      <w:r w:rsidR="00730CA0" w:rsidRPr="00F618D8">
        <w:rPr>
          <w:rFonts w:ascii="Arial" w:hAnsi="Arial"/>
        </w:rPr>
        <w:t xml:space="preserve">, in a modified form, as Bill 22-0154, </w:t>
      </w:r>
      <w:r w:rsidRPr="00F618D8">
        <w:rPr>
          <w:rFonts w:ascii="Arial" w:hAnsi="Arial"/>
        </w:rPr>
        <w:t>now known as the “Disability Services Reform Amendment Act of 2018</w:t>
      </w:r>
      <w:r w:rsidR="00AA1F92" w:rsidRPr="00F618D8">
        <w:rPr>
          <w:rFonts w:ascii="Arial" w:hAnsi="Arial"/>
        </w:rPr>
        <w:t xml:space="preserve">.” </w:t>
      </w:r>
      <w:r w:rsidRPr="00F618D8">
        <w:rPr>
          <w:rFonts w:ascii="Arial" w:hAnsi="Arial"/>
        </w:rPr>
        <w:t>It passed the DC Council on February 28, 2018, and became law effective May 5, 2018, making DC the fourth jurisdiction in the United States to codify S</w:t>
      </w:r>
      <w:r w:rsidR="007505CE" w:rsidRPr="00F618D8">
        <w:rPr>
          <w:rFonts w:ascii="Arial" w:hAnsi="Arial"/>
        </w:rPr>
        <w:t>DM</w:t>
      </w:r>
      <w:r w:rsidR="00962C10" w:rsidRPr="00F618D8">
        <w:rPr>
          <w:rFonts w:ascii="Arial" w:hAnsi="Arial"/>
        </w:rPr>
        <w:t xml:space="preserve"> Agreements</w:t>
      </w:r>
      <w:r w:rsidR="005C2216" w:rsidRPr="00F618D8">
        <w:rPr>
          <w:rFonts w:ascii="Arial" w:hAnsi="Arial"/>
        </w:rPr>
        <w:t>.</w:t>
      </w:r>
      <w:r w:rsidR="005C2216" w:rsidRPr="00F618D8">
        <w:rPr>
          <w:rFonts w:ascii="Arial" w:hAnsi="Arial"/>
          <w:vertAlign w:val="superscript"/>
        </w:rPr>
        <w:endnoteReference w:id="128"/>
      </w:r>
      <w:r w:rsidR="00A14F11" w:rsidRPr="00F618D8">
        <w:rPr>
          <w:rFonts w:ascii="Arial" w:hAnsi="Arial"/>
        </w:rPr>
        <w:t xml:space="preserve"> </w:t>
      </w:r>
    </w:p>
    <w:p w14:paraId="0395869A" w14:textId="68C46DF9" w:rsidR="00136E8F" w:rsidRPr="00F618D8" w:rsidRDefault="00136E8F" w:rsidP="00D158C0">
      <w:pPr>
        <w:pStyle w:val="ParaNoIndent"/>
        <w:rPr>
          <w:rFonts w:ascii="Arial" w:eastAsia="Times New Roman" w:hAnsi="Arial"/>
        </w:rPr>
      </w:pPr>
      <w:bookmarkStart w:id="113" w:name="_Hlk5271408"/>
      <w:r w:rsidRPr="00F618D8">
        <w:rPr>
          <w:rFonts w:ascii="Arial" w:hAnsi="Arial"/>
        </w:rPr>
        <w:t xml:space="preserve">This law change was preceded in October 2016 by the first DC case to terminate a guardianship in favor of </w:t>
      </w:r>
      <w:r w:rsidR="00A23634" w:rsidRPr="00F618D8">
        <w:rPr>
          <w:rFonts w:ascii="Arial" w:hAnsi="Arial"/>
        </w:rPr>
        <w:t>SDM</w:t>
      </w:r>
      <w:r w:rsidRPr="00F618D8">
        <w:rPr>
          <w:rFonts w:ascii="Arial" w:hAnsi="Arial"/>
        </w:rPr>
        <w:t>.</w:t>
      </w:r>
      <w:bookmarkEnd w:id="113"/>
      <w:r w:rsidRPr="00F618D8">
        <w:rPr>
          <w:rStyle w:val="EndnoteReference"/>
          <w:rFonts w:ascii="Arial" w:hAnsi="Arial"/>
          <w:szCs w:val="24"/>
        </w:rPr>
        <w:endnoteReference w:id="129"/>
      </w:r>
      <w:r w:rsidRPr="00F618D8">
        <w:rPr>
          <w:rFonts w:ascii="Arial" w:hAnsi="Arial"/>
        </w:rPr>
        <w:t xml:space="preserve"> The case involved Ryan King, a person with ID/DD whose victory was showcased in the 2018 NCD report and shown a spotlight on </w:t>
      </w:r>
      <w:r w:rsidR="00A23634" w:rsidRPr="00F618D8">
        <w:rPr>
          <w:rFonts w:ascii="Arial" w:hAnsi="Arial"/>
        </w:rPr>
        <w:t>SDM</w:t>
      </w:r>
      <w:r w:rsidRPr="00F618D8">
        <w:rPr>
          <w:rFonts w:ascii="Arial" w:hAnsi="Arial"/>
        </w:rPr>
        <w:t xml:space="preserve"> locally and nationally</w:t>
      </w:r>
      <w:r w:rsidR="00AA1F92" w:rsidRPr="00F618D8">
        <w:rPr>
          <w:rFonts w:ascii="Arial" w:hAnsi="Arial"/>
        </w:rPr>
        <w:t xml:space="preserve">. </w:t>
      </w:r>
      <w:r w:rsidRPr="00F618D8">
        <w:rPr>
          <w:rFonts w:ascii="Arial" w:hAnsi="Arial"/>
        </w:rPr>
        <w:t>In addition, DC’s 2016 Olmstead Plan</w:t>
      </w:r>
      <w:r w:rsidR="00A23634" w:rsidRPr="00F618D8">
        <w:rPr>
          <w:rFonts w:ascii="Arial" w:hAnsi="Arial"/>
        </w:rPr>
        <w:t>—</w:t>
      </w:r>
      <w:r w:rsidR="009F790B" w:rsidRPr="00F618D8">
        <w:rPr>
          <w:rFonts w:ascii="Arial" w:hAnsi="Arial"/>
        </w:rPr>
        <w:t>which is a way for states to document their plans to provide services to people with disabilities in the inclusive and integrated settings, pursuant to the Americans with Disabilities Act</w:t>
      </w:r>
      <w:r w:rsidR="00A23634" w:rsidRPr="00F618D8">
        <w:rPr>
          <w:rFonts w:ascii="Arial" w:hAnsi="Arial"/>
        </w:rPr>
        <w:t xml:space="preserve"> (ADA)—</w:t>
      </w:r>
      <w:r w:rsidRPr="00F618D8">
        <w:rPr>
          <w:rFonts w:ascii="Arial" w:hAnsi="Arial"/>
        </w:rPr>
        <w:t>recognized that: “Guardianship is often seen as the only option for parents of children with disabilities rather than self-determination and supported decision-making</w:t>
      </w:r>
      <w:r w:rsidR="00AA1F92" w:rsidRPr="00F618D8">
        <w:rPr>
          <w:rFonts w:ascii="Arial" w:hAnsi="Arial"/>
        </w:rPr>
        <w:t xml:space="preserve">.” </w:t>
      </w:r>
      <w:r w:rsidRPr="00F618D8">
        <w:rPr>
          <w:rFonts w:ascii="Arial" w:hAnsi="Arial"/>
        </w:rPr>
        <w:t>To combat this, it included governmental action steps that required the development and implementation of long-term care competency criteria, standards, policies, and protocols on the “consistent use of person-centered approaches to service and planning, including using principles of supported decision-making.”</w:t>
      </w:r>
      <w:r w:rsidRPr="00F618D8">
        <w:rPr>
          <w:rStyle w:val="EndnoteReference"/>
          <w:rFonts w:ascii="Arial" w:hAnsi="Arial"/>
          <w:szCs w:val="24"/>
        </w:rPr>
        <w:endnoteReference w:id="130"/>
      </w:r>
      <w:r w:rsidR="00A14F11" w:rsidRPr="00F618D8">
        <w:rPr>
          <w:rFonts w:ascii="Arial" w:hAnsi="Arial"/>
        </w:rPr>
        <w:t xml:space="preserve"> </w:t>
      </w:r>
    </w:p>
    <w:p w14:paraId="75B8395E" w14:textId="77777777" w:rsidR="00136E8F" w:rsidRPr="00F618D8" w:rsidRDefault="00136E8F" w:rsidP="00D158C0">
      <w:pPr>
        <w:pStyle w:val="Heading2"/>
        <w:rPr>
          <w:rFonts w:ascii="Arial" w:hAnsi="Arial" w:cs="Arial"/>
        </w:rPr>
      </w:pPr>
      <w:bookmarkStart w:id="114" w:name="_Toc10290972"/>
      <w:r w:rsidRPr="00F618D8">
        <w:rPr>
          <w:rFonts w:ascii="Arial" w:hAnsi="Arial" w:cs="Arial"/>
        </w:rPr>
        <w:t>By the Numbers: Guardianship and DC Residents with ID/DD</w:t>
      </w:r>
      <w:bookmarkEnd w:id="114"/>
    </w:p>
    <w:p w14:paraId="6F59942A" w14:textId="77777777" w:rsidR="00A95CE2" w:rsidRPr="00F618D8" w:rsidRDefault="00136E8F" w:rsidP="00D158C0">
      <w:pPr>
        <w:pStyle w:val="Heading3"/>
        <w:rPr>
          <w:rFonts w:ascii="Arial" w:hAnsi="Arial" w:cs="Arial"/>
        </w:rPr>
      </w:pPr>
      <w:bookmarkStart w:id="115" w:name="_Toc10290973"/>
      <w:r w:rsidRPr="00F618D8">
        <w:rPr>
          <w:rFonts w:ascii="Arial" w:hAnsi="Arial" w:cs="Arial"/>
        </w:rPr>
        <w:t xml:space="preserve">Data </w:t>
      </w:r>
      <w:r w:rsidR="00A95CE2" w:rsidRPr="00F618D8">
        <w:rPr>
          <w:rFonts w:ascii="Arial" w:hAnsi="Arial" w:cs="Arial"/>
        </w:rPr>
        <w:t xml:space="preserve">Collection </w:t>
      </w:r>
      <w:r w:rsidR="00710D1D" w:rsidRPr="00F618D8">
        <w:rPr>
          <w:rFonts w:ascii="Arial" w:hAnsi="Arial" w:cs="Arial"/>
        </w:rPr>
        <w:t>Initiative at the DC Probate Branch</w:t>
      </w:r>
      <w:bookmarkEnd w:id="115"/>
    </w:p>
    <w:p w14:paraId="2CB1A985" w14:textId="18CD8D81" w:rsidR="00D158C0" w:rsidRPr="00F618D8" w:rsidRDefault="00A95CE2" w:rsidP="00D158C0">
      <w:pPr>
        <w:pStyle w:val="ParaNoIndent"/>
        <w:rPr>
          <w:rFonts w:ascii="Arial" w:hAnsi="Arial"/>
        </w:rPr>
      </w:pPr>
      <w:bookmarkStart w:id="116" w:name="_Hlk3991976"/>
      <w:r w:rsidRPr="00F618D8">
        <w:rPr>
          <w:rFonts w:ascii="Arial" w:hAnsi="Arial"/>
        </w:rPr>
        <w:t xml:space="preserve">Using publicly available </w:t>
      </w:r>
      <w:r w:rsidR="00136E8F" w:rsidRPr="00F618D8">
        <w:rPr>
          <w:rFonts w:ascii="Arial" w:hAnsi="Arial"/>
        </w:rPr>
        <w:t>information</w:t>
      </w:r>
      <w:r w:rsidRPr="00F618D8">
        <w:rPr>
          <w:rFonts w:ascii="Arial" w:hAnsi="Arial"/>
        </w:rPr>
        <w:t xml:space="preserve"> </w:t>
      </w:r>
      <w:r w:rsidR="00136E8F" w:rsidRPr="00F618D8">
        <w:rPr>
          <w:rFonts w:ascii="Arial" w:hAnsi="Arial"/>
        </w:rPr>
        <w:t>from</w:t>
      </w:r>
      <w:r w:rsidRPr="00F618D8">
        <w:rPr>
          <w:rFonts w:ascii="Arial" w:hAnsi="Arial"/>
        </w:rPr>
        <w:t xml:space="preserve"> the </w:t>
      </w:r>
      <w:r w:rsidR="001F3818" w:rsidRPr="00F618D8">
        <w:rPr>
          <w:rFonts w:ascii="Arial" w:hAnsi="Arial"/>
        </w:rPr>
        <w:t>DC</w:t>
      </w:r>
      <w:r w:rsidRPr="00F618D8">
        <w:rPr>
          <w:rFonts w:ascii="Arial" w:hAnsi="Arial"/>
        </w:rPr>
        <w:t xml:space="preserve"> Probate Branch, this project gathered key data points for </w:t>
      </w:r>
      <w:r w:rsidR="00962C10" w:rsidRPr="00F618D8">
        <w:rPr>
          <w:rFonts w:ascii="Arial" w:hAnsi="Arial"/>
        </w:rPr>
        <w:t xml:space="preserve">the </w:t>
      </w:r>
      <w:r w:rsidR="00136E8F" w:rsidRPr="00F618D8">
        <w:rPr>
          <w:rFonts w:ascii="Arial" w:hAnsi="Arial"/>
        </w:rPr>
        <w:t xml:space="preserve">over 1,500 new </w:t>
      </w:r>
      <w:r w:rsidRPr="00F618D8">
        <w:rPr>
          <w:rFonts w:ascii="Arial" w:hAnsi="Arial"/>
        </w:rPr>
        <w:t>guardianship case</w:t>
      </w:r>
      <w:r w:rsidR="00730CA0" w:rsidRPr="00F618D8">
        <w:rPr>
          <w:rFonts w:ascii="Arial" w:hAnsi="Arial"/>
        </w:rPr>
        <w:t>s</w:t>
      </w:r>
      <w:r w:rsidRPr="00F618D8">
        <w:rPr>
          <w:rFonts w:ascii="Arial" w:hAnsi="Arial"/>
        </w:rPr>
        <w:t xml:space="preserve"> opened over </w:t>
      </w:r>
      <w:r w:rsidR="00136E8F" w:rsidRPr="00F618D8">
        <w:rPr>
          <w:rFonts w:ascii="Arial" w:hAnsi="Arial"/>
        </w:rPr>
        <w:t>the course of 2</w:t>
      </w:r>
      <w:r w:rsidR="00730CA0" w:rsidRPr="00F618D8">
        <w:rPr>
          <w:rFonts w:ascii="Arial" w:hAnsi="Arial"/>
        </w:rPr>
        <w:t>015</w:t>
      </w:r>
      <w:r w:rsidR="00E94EDA" w:rsidRPr="00F618D8">
        <w:rPr>
          <w:rFonts w:ascii="Arial" w:hAnsi="Arial"/>
        </w:rPr>
        <w:t>-</w:t>
      </w:r>
      <w:r w:rsidR="00C60456" w:rsidRPr="00F618D8">
        <w:rPr>
          <w:rFonts w:ascii="Arial" w:hAnsi="Arial"/>
        </w:rPr>
        <w:t>17</w:t>
      </w:r>
      <w:r w:rsidR="00136E8F" w:rsidRPr="00F618D8">
        <w:rPr>
          <w:rFonts w:ascii="Arial" w:hAnsi="Arial"/>
        </w:rPr>
        <w:t xml:space="preserve"> and identified the subset of cases where the alleged disability was ID/DD</w:t>
      </w:r>
      <w:r w:rsidR="00AA1F92" w:rsidRPr="00F618D8">
        <w:rPr>
          <w:rFonts w:ascii="Arial" w:hAnsi="Arial"/>
        </w:rPr>
        <w:t xml:space="preserve">. </w:t>
      </w:r>
      <w:r w:rsidR="00D158C0" w:rsidRPr="00F618D8">
        <w:rPr>
          <w:rFonts w:ascii="Arial" w:hAnsi="Arial"/>
        </w:rPr>
        <w:t xml:space="preserve">There are several trends that are worth highlighting. </w:t>
      </w:r>
    </w:p>
    <w:p w14:paraId="67213DEC" w14:textId="5CD9633E" w:rsidR="00D158C0" w:rsidRPr="00F618D8" w:rsidRDefault="00D158C0" w:rsidP="00D158C0">
      <w:pPr>
        <w:pStyle w:val="ParaNoIndent"/>
        <w:rPr>
          <w:rFonts w:ascii="Arial" w:hAnsi="Arial"/>
        </w:rPr>
      </w:pPr>
      <w:r w:rsidRPr="00F618D8">
        <w:rPr>
          <w:rFonts w:ascii="Arial" w:hAnsi="Arial"/>
        </w:rPr>
        <w:t>The number of new guardianship petitions for people with ID/DD, as well as their percentage compared to overall guardianship petitions filed, has generally decreased over the course of the three-year period. While there are many reasons why this is the case, the timing of the decrease coincides with the public dialogue in surrounding the SDM bill that was first introduced in the DC legislature in 2015, as well as the DC WINGS trainings on alternatives to guardianship.</w:t>
      </w:r>
    </w:p>
    <w:p w14:paraId="4874A3DB" w14:textId="5EC34286" w:rsidR="00136E8F" w:rsidRPr="00F618D8" w:rsidRDefault="00D158C0" w:rsidP="00D158C0">
      <w:pPr>
        <w:pStyle w:val="ParaNoIndent"/>
        <w:rPr>
          <w:rFonts w:ascii="Arial" w:hAnsi="Arial"/>
        </w:rPr>
      </w:pPr>
      <w:r w:rsidRPr="00F618D8">
        <w:rPr>
          <w:rFonts w:ascii="Arial" w:hAnsi="Arial"/>
          <w:noProof/>
        </w:rPr>
        <w:lastRenderedPageBreak/>
        <w:drawing>
          <wp:inline distT="0" distB="0" distL="0" distR="0" wp14:anchorId="4180AB42" wp14:editId="0A4BB2EC">
            <wp:extent cx="3425337" cy="2276475"/>
            <wp:effectExtent l="0" t="0" r="3810" b="9525"/>
            <wp:docPr id="35" name="Chart 35" descr="This is a line graph displaying the number of overall guardianship petitions, guardianship petitions for people with other disabilities, and guardianship petitions for people with ID/DD opened over the course of 2015-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AA1F92" w:rsidRPr="00F618D8">
        <w:rPr>
          <w:rFonts w:ascii="Arial" w:hAnsi="Arial"/>
        </w:rPr>
        <w:t xml:space="preserve"> </w:t>
      </w:r>
      <w:r w:rsidR="00CA6AB0" w:rsidRPr="00F618D8">
        <w:rPr>
          <w:rFonts w:ascii="Arial" w:hAnsi="Arial"/>
          <w:noProof/>
        </w:rPr>
        <w:drawing>
          <wp:inline distT="0" distB="0" distL="0" distR="0" wp14:anchorId="03DBE7A0" wp14:editId="579AE6FE">
            <wp:extent cx="3425190" cy="2286000"/>
            <wp:effectExtent l="0" t="0" r="3810" b="0"/>
            <wp:docPr id="37" name="Chart 37" descr="This is a line graph displaying the percentage of new ID/DD guardianship cases opened over the course of 2015-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bookmarkEnd w:id="116"/>
    <w:p w14:paraId="2DA51940" w14:textId="386AB941" w:rsidR="00EE26A5" w:rsidRPr="00F618D8" w:rsidRDefault="00C60456" w:rsidP="00D158C0">
      <w:pPr>
        <w:pStyle w:val="ParaNoIndent"/>
        <w:rPr>
          <w:rFonts w:ascii="Arial" w:hAnsi="Arial"/>
        </w:rPr>
      </w:pPr>
      <w:r w:rsidRPr="00F618D8">
        <w:rPr>
          <w:rFonts w:ascii="Arial" w:hAnsi="Arial"/>
        </w:rPr>
        <w:t>Most</w:t>
      </w:r>
      <w:r w:rsidR="00B72E08" w:rsidRPr="00F618D8">
        <w:rPr>
          <w:rFonts w:ascii="Arial" w:hAnsi="Arial"/>
        </w:rPr>
        <w:t xml:space="preserve"> of</w:t>
      </w:r>
      <w:r w:rsidRPr="00F618D8">
        <w:rPr>
          <w:rFonts w:ascii="Arial" w:hAnsi="Arial"/>
        </w:rPr>
        <w:t xml:space="preserve"> the</w:t>
      </w:r>
      <w:r w:rsidR="00B72E08" w:rsidRPr="00F618D8">
        <w:rPr>
          <w:rFonts w:ascii="Arial" w:hAnsi="Arial"/>
        </w:rPr>
        <w:t xml:space="preserve"> petitions were filed by family members. Others were submitted by government agencies, including Adult Protective Services</w:t>
      </w:r>
      <w:r w:rsidRPr="00F618D8">
        <w:rPr>
          <w:rFonts w:ascii="Arial" w:hAnsi="Arial"/>
        </w:rPr>
        <w:t xml:space="preserve"> (APS)</w:t>
      </w:r>
      <w:r w:rsidR="00B72E08" w:rsidRPr="00F618D8">
        <w:rPr>
          <w:rFonts w:ascii="Arial" w:hAnsi="Arial"/>
        </w:rPr>
        <w:t>, the Department on Disability Services, and Child and Family Services</w:t>
      </w:r>
      <w:r w:rsidR="00AA1F92" w:rsidRPr="00F618D8">
        <w:rPr>
          <w:rFonts w:ascii="Arial" w:hAnsi="Arial"/>
        </w:rPr>
        <w:t xml:space="preserve">. </w:t>
      </w:r>
      <w:r w:rsidR="00B72E08" w:rsidRPr="00F618D8">
        <w:rPr>
          <w:rFonts w:ascii="Arial" w:hAnsi="Arial"/>
        </w:rPr>
        <w:t>In a handful of cases, the person’s own attorney or guardian ad litem from another matter, such as an eviction proceeding, filed the petition. The overall percentage of family guardianship petition filings increased over the three-year period, which speaks to a need for targeted outreach to that population to ensure they are fully aware of less-restrictive options.</w:t>
      </w:r>
    </w:p>
    <w:p w14:paraId="31C68784" w14:textId="77777777" w:rsidR="00B72E08" w:rsidRPr="00F618D8" w:rsidRDefault="00EE26A5" w:rsidP="00962C10">
      <w:pPr>
        <w:spacing w:line="240" w:lineRule="auto"/>
        <w:contextualSpacing/>
        <w:jc w:val="center"/>
        <w:rPr>
          <w:rFonts w:ascii="Arial" w:hAnsi="Arial" w:cs="Arial"/>
          <w:sz w:val="24"/>
          <w:szCs w:val="24"/>
        </w:rPr>
      </w:pPr>
      <w:r w:rsidRPr="00F618D8">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4523E104" wp14:editId="28B1EE0B">
                <wp:simplePos x="0" y="0"/>
                <wp:positionH relativeFrom="column">
                  <wp:posOffset>-343437</wp:posOffset>
                </wp:positionH>
                <wp:positionV relativeFrom="paragraph">
                  <wp:posOffset>240323</wp:posOffset>
                </wp:positionV>
                <wp:extent cx="6554470" cy="2224405"/>
                <wp:effectExtent l="0" t="0" r="17780" b="23495"/>
                <wp:wrapSquare wrapText="bothSides"/>
                <wp:docPr id="16" name="Text Box 2" descr="This is a pie chart displaying the percentage of guardianship petitioners for ID/DD cases opened over the course of 2015-17 grouped as family members, government agencies, hospitals, and other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4470" cy="2224405"/>
                        </a:xfrm>
                        <a:prstGeom prst="rect">
                          <a:avLst/>
                        </a:prstGeom>
                        <a:solidFill>
                          <a:srgbClr val="FFFFFF"/>
                        </a:solidFill>
                        <a:ln w="9525">
                          <a:solidFill>
                            <a:schemeClr val="bg1"/>
                          </a:solidFill>
                          <a:miter lim="800000"/>
                          <a:headEnd/>
                          <a:tailEnd/>
                        </a:ln>
                      </wps:spPr>
                      <wps:txbx>
                        <w:txbxContent>
                          <w:p w14:paraId="4EB11A7B" w14:textId="77777777" w:rsidR="00C40185" w:rsidRDefault="00C40185" w:rsidP="00B72E08">
                            <w:r>
                              <w:rPr>
                                <w:noProof/>
                              </w:rPr>
                              <w:drawing>
                                <wp:inline distT="0" distB="0" distL="0" distR="0" wp14:anchorId="26426411" wp14:editId="00706738">
                                  <wp:extent cx="2245360" cy="2056961"/>
                                  <wp:effectExtent l="0" t="0" r="2540" b="635"/>
                                  <wp:docPr id="17" name="Chart 17" descr="Graph shows guardianship petitioners for ID/DD cases 20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62819FD7" wp14:editId="4CD66AD9">
                                  <wp:extent cx="1920240" cy="2039815"/>
                                  <wp:effectExtent l="0" t="0" r="3810" b="17780"/>
                                  <wp:docPr id="19" name="Chart 19" descr="Graph shows guardianship petitioners for ID/DD cases 20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rFonts w:ascii="Arial" w:hAnsi="Arial" w:cs="Arial"/>
                                <w:noProof/>
                                <w:sz w:val="24"/>
                                <w:szCs w:val="24"/>
                              </w:rPr>
                              <w:drawing>
                                <wp:inline distT="0" distB="0" distL="0" distR="0" wp14:anchorId="57A6696B" wp14:editId="0EA4C777">
                                  <wp:extent cx="2105660" cy="2056813"/>
                                  <wp:effectExtent l="0" t="0" r="8890" b="635"/>
                                  <wp:docPr id="28" name="Chart 28" descr="Graph shows guardianship petitioners for ID/DD cases 2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23E104" id="_x0000_t202" coordsize="21600,21600" o:spt="202" path="m,l,21600r21600,l21600,xe">
                <v:stroke joinstyle="miter"/>
                <v:path gradientshapeok="t" o:connecttype="rect"/>
              </v:shapetype>
              <v:shape id="Text Box 2" o:spid="_x0000_s1026" type="#_x0000_t202" alt="This is a pie chart displaying the percentage of guardianship petitioners for ID/DD cases opened over the course of 2015-17 grouped as family members, government agencies, hospitals, and others." style="position:absolute;left:0;text-align:left;margin-left:-27.05pt;margin-top:18.9pt;width:516.1pt;height:175.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" strokecolor="white [3212]">
                <v:textbox>
                  <w:txbxContent>
                    <w:p w14:paraId="4EB11A7B" w14:textId="77777777" w:rsidR="00C40185" w:rsidRDefault="00C40185" w:rsidP="00B72E08">
                      <w:r>
                        <w:rPr>
                          <w:noProof/>
                        </w:rPr>
                        <w:drawing>
                          <wp:inline distT="0" distB="0" distL="0" distR="0" wp14:anchorId="26426411" wp14:editId="00706738">
                            <wp:extent cx="2245360" cy="2056961"/>
                            <wp:effectExtent l="0" t="0" r="2540" b="635"/>
                            <wp:docPr id="17" name="Chart 17" descr="Graph shows guardianship petitioners for ID/DD cases 20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62819FD7" wp14:editId="4CD66AD9">
                            <wp:extent cx="1920240" cy="2039815"/>
                            <wp:effectExtent l="0" t="0" r="3810" b="17780"/>
                            <wp:docPr id="19" name="Chart 19" descr="Graph shows guardianship petitioners for ID/DD cases 20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rFonts w:ascii="Arial" w:hAnsi="Arial" w:cs="Arial"/>
                          <w:noProof/>
                          <w:sz w:val="24"/>
                          <w:szCs w:val="24"/>
                        </w:rPr>
                        <w:drawing>
                          <wp:inline distT="0" distB="0" distL="0" distR="0" wp14:anchorId="57A6696B" wp14:editId="0EA4C777">
                            <wp:extent cx="2105660" cy="2056813"/>
                            <wp:effectExtent l="0" t="0" r="8890" b="635"/>
                            <wp:docPr id="28" name="Chart 28" descr="Graph shows guardianship petitioners for ID/DD cases 2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xbxContent>
                </v:textbox>
                <w10:wrap type="square"/>
              </v:shape>
            </w:pict>
          </mc:Fallback>
        </mc:AlternateContent>
      </w:r>
      <w:r w:rsidR="00B72E08" w:rsidRPr="00F618D8">
        <w:rPr>
          <w:rFonts w:ascii="Arial" w:hAnsi="Arial" w:cs="Arial"/>
          <w:sz w:val="24"/>
          <w:szCs w:val="24"/>
        </w:rPr>
        <w:t>Guardianship Petitioners for ID/DD Cases</w:t>
      </w:r>
    </w:p>
    <w:p w14:paraId="28498F92" w14:textId="77777777" w:rsidR="00B72E08" w:rsidRPr="00F618D8" w:rsidRDefault="00136E8F" w:rsidP="00CA6AB0">
      <w:pPr>
        <w:pStyle w:val="ParaNoIndent"/>
        <w:rPr>
          <w:rFonts w:ascii="Arial" w:hAnsi="Arial"/>
        </w:rPr>
      </w:pPr>
      <w:bookmarkStart w:id="117" w:name="_Hlk5272183"/>
      <w:r w:rsidRPr="00F618D8">
        <w:rPr>
          <w:rFonts w:ascii="Arial" w:hAnsi="Arial"/>
        </w:rPr>
        <w:t>The majority of ID/DD guardianship petitions are for transition-age adults</w:t>
      </w:r>
      <w:r w:rsidR="00BD4F7A" w:rsidRPr="00F618D8">
        <w:rPr>
          <w:rFonts w:ascii="Arial" w:hAnsi="Arial"/>
        </w:rPr>
        <w:t>, indicating that there is indeed some form of pipeline to guardianship for that population in DC</w:t>
      </w:r>
      <w:r w:rsidR="00AA1F92" w:rsidRPr="00F618D8">
        <w:rPr>
          <w:rFonts w:ascii="Arial" w:hAnsi="Arial"/>
        </w:rPr>
        <w:t xml:space="preserve">. </w:t>
      </w:r>
      <w:bookmarkEnd w:id="117"/>
      <w:r w:rsidRPr="00F618D8">
        <w:rPr>
          <w:rFonts w:ascii="Arial" w:hAnsi="Arial"/>
        </w:rPr>
        <w:t>While the number of cases for that age group has dropped since 2015, their</w:t>
      </w:r>
      <w:r w:rsidR="00B91CC2" w:rsidRPr="00F618D8">
        <w:rPr>
          <w:rFonts w:ascii="Arial" w:hAnsi="Arial"/>
        </w:rPr>
        <w:t xml:space="preserve"> percentage of the overall number of guardianship petitions</w:t>
      </w:r>
      <w:r w:rsidR="00BD4F7A" w:rsidRPr="00F618D8">
        <w:rPr>
          <w:rFonts w:ascii="Arial" w:hAnsi="Arial"/>
        </w:rPr>
        <w:t xml:space="preserve"> involving people with ID/DD</w:t>
      </w:r>
      <w:r w:rsidRPr="00F618D8">
        <w:rPr>
          <w:rFonts w:ascii="Arial" w:hAnsi="Arial"/>
        </w:rPr>
        <w:t xml:space="preserve"> has steadily increased</w:t>
      </w:r>
      <w:r w:rsidR="00AA1F92" w:rsidRPr="00F618D8">
        <w:rPr>
          <w:rFonts w:ascii="Arial" w:hAnsi="Arial"/>
        </w:rPr>
        <w:t xml:space="preserve">. </w:t>
      </w:r>
      <w:r w:rsidRPr="00F618D8">
        <w:rPr>
          <w:rFonts w:ascii="Arial" w:hAnsi="Arial"/>
        </w:rPr>
        <w:t>This is a troubling finding, as it suggests that the special education reforms to promote alternatives to guardianship may not yet be having an impact on the ground</w:t>
      </w:r>
      <w:r w:rsidR="00B91CC2" w:rsidRPr="00F618D8">
        <w:rPr>
          <w:rFonts w:ascii="Arial" w:hAnsi="Arial"/>
        </w:rPr>
        <w:t xml:space="preserve"> for youth with ID/DD.</w:t>
      </w:r>
      <w:r w:rsidRPr="00F618D8">
        <w:rPr>
          <w:rFonts w:ascii="Arial" w:hAnsi="Arial"/>
        </w:rPr>
        <w:t xml:space="preserve"> </w:t>
      </w:r>
    </w:p>
    <w:p w14:paraId="3F6EC5E7" w14:textId="77777777" w:rsidR="00136E8F" w:rsidRPr="00F618D8" w:rsidRDefault="00A71BDF" w:rsidP="00CA6AB0">
      <w:pPr>
        <w:pStyle w:val="ParaNoIndent"/>
        <w:rPr>
          <w:rFonts w:ascii="Arial" w:hAnsi="Arial"/>
          <w:noProof/>
        </w:rPr>
      </w:pPr>
      <w:r w:rsidRPr="00F618D8">
        <w:rPr>
          <w:rFonts w:ascii="Arial" w:hAnsi="Arial"/>
          <w:noProof/>
        </w:rPr>
        <w:drawing>
          <wp:inline distT="0" distB="0" distL="0" distR="0" wp14:anchorId="1183D3DF" wp14:editId="601F84F3">
            <wp:extent cx="5162550" cy="2905125"/>
            <wp:effectExtent l="0" t="0" r="0" b="9525"/>
            <wp:docPr id="2" name="Chart 2" descr="This is a line graph displaying the number of ID/DD guardianship cases by age opened over the course of 2015-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6D7F386" w14:textId="77777777" w:rsidR="00A71BDF" w:rsidRPr="00F618D8" w:rsidRDefault="00A71BDF" w:rsidP="00CA6AB0">
      <w:pPr>
        <w:pStyle w:val="ParaNoIndent"/>
        <w:rPr>
          <w:rFonts w:ascii="Arial" w:hAnsi="Arial"/>
          <w:noProof/>
        </w:rPr>
      </w:pPr>
      <w:r w:rsidRPr="00F618D8">
        <w:rPr>
          <w:rFonts w:ascii="Arial" w:hAnsi="Arial"/>
          <w:noProof/>
        </w:rPr>
        <w:lastRenderedPageBreak/>
        <w:drawing>
          <wp:inline distT="0" distB="0" distL="0" distR="0" wp14:anchorId="55DB0437" wp14:editId="63D5320F">
            <wp:extent cx="5162550" cy="2567353"/>
            <wp:effectExtent l="0" t="0" r="0" b="4445"/>
            <wp:docPr id="6" name="Chart 6" descr="This is a bar graph displaying the percentage of ID/DD guardianship cases by age opened over the course of 2015-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E19043A" w14:textId="77777777" w:rsidR="00E2761F" w:rsidRPr="00F618D8" w:rsidRDefault="00B72E08" w:rsidP="00CA6AB0">
      <w:pPr>
        <w:pStyle w:val="ParaNoIndent"/>
        <w:rPr>
          <w:rFonts w:ascii="Arial" w:eastAsia="Times New Roman" w:hAnsi="Arial"/>
        </w:rPr>
      </w:pPr>
      <w:r w:rsidRPr="00F618D8">
        <w:rPr>
          <w:rFonts w:ascii="Arial" w:hAnsi="Arial"/>
        </w:rPr>
        <w:t>These data-driven concerns regarding ineffective implementation of promising special education agency policy and procedures are consistent with what the project learned from interviews with personnel at DCPS and OSSE</w:t>
      </w:r>
      <w:r w:rsidR="00AA1F92" w:rsidRPr="00F618D8">
        <w:rPr>
          <w:rFonts w:ascii="Arial" w:hAnsi="Arial"/>
        </w:rPr>
        <w:t xml:space="preserve">. </w:t>
      </w:r>
      <w:r w:rsidRPr="00F618D8">
        <w:rPr>
          <w:rFonts w:ascii="Arial" w:hAnsi="Arial"/>
        </w:rPr>
        <w:t xml:space="preserve">Currently, these agencies </w:t>
      </w:r>
      <w:r w:rsidR="00E2761F" w:rsidRPr="00F618D8">
        <w:rPr>
          <w:rFonts w:ascii="Arial" w:hAnsi="Arial"/>
        </w:rPr>
        <w:t xml:space="preserve">reportedly </w:t>
      </w:r>
      <w:r w:rsidRPr="00F618D8">
        <w:rPr>
          <w:rFonts w:ascii="Arial" w:hAnsi="Arial"/>
        </w:rPr>
        <w:t xml:space="preserve">do not </w:t>
      </w:r>
      <w:r w:rsidR="00E2761F" w:rsidRPr="00F618D8">
        <w:rPr>
          <w:rFonts w:ascii="Arial" w:hAnsi="Arial"/>
        </w:rPr>
        <w:t xml:space="preserve">comprehensively </w:t>
      </w:r>
      <w:r w:rsidRPr="00F618D8">
        <w:rPr>
          <w:rFonts w:ascii="Arial" w:hAnsi="Arial"/>
        </w:rPr>
        <w:t>track the use of alternatives to guardianship, such as</w:t>
      </w:r>
      <w:r w:rsidR="00C60456" w:rsidRPr="00F618D8">
        <w:rPr>
          <w:rFonts w:ascii="Arial" w:hAnsi="Arial"/>
        </w:rPr>
        <w:t xml:space="preserve"> SDM</w:t>
      </w:r>
      <w:r w:rsidRPr="00F618D8">
        <w:rPr>
          <w:rFonts w:ascii="Arial" w:hAnsi="Arial"/>
        </w:rPr>
        <w:t xml:space="preserve">, </w:t>
      </w:r>
      <w:r w:rsidR="00215FF4" w:rsidRPr="00F618D8">
        <w:rPr>
          <w:rFonts w:ascii="Arial" w:hAnsi="Arial"/>
        </w:rPr>
        <w:t>e</w:t>
      </w:r>
      <w:r w:rsidRPr="00F618D8">
        <w:rPr>
          <w:rFonts w:ascii="Arial" w:hAnsi="Arial"/>
        </w:rPr>
        <w:t xml:space="preserve">ducational </w:t>
      </w:r>
      <w:r w:rsidR="00215FF4" w:rsidRPr="00F618D8">
        <w:rPr>
          <w:rFonts w:ascii="Arial" w:hAnsi="Arial"/>
        </w:rPr>
        <w:t>p</w:t>
      </w:r>
      <w:r w:rsidRPr="00F618D8">
        <w:rPr>
          <w:rFonts w:ascii="Arial" w:hAnsi="Arial"/>
        </w:rPr>
        <w:t xml:space="preserve">owers of </w:t>
      </w:r>
      <w:r w:rsidR="00EE3387" w:rsidRPr="00F618D8">
        <w:rPr>
          <w:rFonts w:ascii="Arial" w:hAnsi="Arial"/>
        </w:rPr>
        <w:t>a</w:t>
      </w:r>
      <w:r w:rsidRPr="00F618D8">
        <w:rPr>
          <w:rFonts w:ascii="Arial" w:hAnsi="Arial"/>
        </w:rPr>
        <w:t xml:space="preserve">ttorney, or </w:t>
      </w:r>
      <w:r w:rsidR="00640FDC" w:rsidRPr="00F618D8">
        <w:rPr>
          <w:rFonts w:ascii="Arial" w:hAnsi="Arial"/>
        </w:rPr>
        <w:t>educational representatives</w:t>
      </w:r>
      <w:r w:rsidRPr="00F618D8">
        <w:rPr>
          <w:rFonts w:ascii="Arial" w:hAnsi="Arial"/>
        </w:rPr>
        <w:t>, by adult students in special education</w:t>
      </w:r>
      <w:r w:rsidR="00AA1F92" w:rsidRPr="00F618D8">
        <w:rPr>
          <w:rFonts w:ascii="Arial" w:hAnsi="Arial"/>
        </w:rPr>
        <w:t xml:space="preserve">. </w:t>
      </w:r>
      <w:r w:rsidRPr="00F618D8">
        <w:rPr>
          <w:rFonts w:ascii="Arial" w:hAnsi="Arial"/>
        </w:rPr>
        <w:t xml:space="preserve">Although </w:t>
      </w:r>
      <w:r w:rsidR="00C60456" w:rsidRPr="00F618D8">
        <w:rPr>
          <w:rFonts w:ascii="Arial" w:hAnsi="Arial"/>
        </w:rPr>
        <w:t>several</w:t>
      </w:r>
      <w:r w:rsidRPr="00F618D8">
        <w:rPr>
          <w:rFonts w:ascii="Arial" w:hAnsi="Arial"/>
        </w:rPr>
        <w:t xml:space="preserve"> </w:t>
      </w:r>
      <w:r w:rsidR="00C60456" w:rsidRPr="00F618D8">
        <w:rPr>
          <w:rFonts w:ascii="Arial" w:hAnsi="Arial"/>
        </w:rPr>
        <w:t xml:space="preserve">of </w:t>
      </w:r>
      <w:r w:rsidRPr="00F618D8">
        <w:rPr>
          <w:rFonts w:ascii="Arial" w:hAnsi="Arial"/>
        </w:rPr>
        <w:t xml:space="preserve">their trainings incorporate the concept of </w:t>
      </w:r>
      <w:r w:rsidR="00C60456" w:rsidRPr="00F618D8">
        <w:rPr>
          <w:rFonts w:ascii="Arial" w:hAnsi="Arial"/>
        </w:rPr>
        <w:t>SDM</w:t>
      </w:r>
      <w:r w:rsidRPr="00F618D8">
        <w:rPr>
          <w:rFonts w:ascii="Arial" w:hAnsi="Arial"/>
        </w:rPr>
        <w:t xml:space="preserve">, there </w:t>
      </w:r>
      <w:r w:rsidR="00E2761F" w:rsidRPr="00F618D8">
        <w:rPr>
          <w:rFonts w:ascii="Arial" w:hAnsi="Arial"/>
        </w:rPr>
        <w:t xml:space="preserve">reportedly </w:t>
      </w:r>
      <w:r w:rsidRPr="00F618D8">
        <w:rPr>
          <w:rFonts w:ascii="Arial" w:hAnsi="Arial"/>
        </w:rPr>
        <w:t>have been no standalone trainings on that topic presented by these agencies</w:t>
      </w:r>
      <w:r w:rsidR="00E2761F" w:rsidRPr="00F618D8">
        <w:rPr>
          <w:rFonts w:ascii="Arial" w:hAnsi="Arial"/>
        </w:rPr>
        <w:t>, other than those periodically offered by local disability rights organizations.</w:t>
      </w:r>
      <w:r w:rsidR="00E2761F" w:rsidRPr="00F618D8">
        <w:rPr>
          <w:rFonts w:ascii="Arial" w:eastAsia="Times New Roman" w:hAnsi="Arial"/>
        </w:rPr>
        <w:t xml:space="preserve"> </w:t>
      </w:r>
    </w:p>
    <w:p w14:paraId="40C3DCBE" w14:textId="77777777" w:rsidR="00A71BDF" w:rsidRPr="00F618D8" w:rsidRDefault="00C60456" w:rsidP="00CA6AB0">
      <w:pPr>
        <w:pStyle w:val="ParaNoIndent"/>
        <w:rPr>
          <w:rFonts w:ascii="Arial" w:hAnsi="Arial"/>
        </w:rPr>
      </w:pPr>
      <w:r w:rsidRPr="00F618D8">
        <w:rPr>
          <w:rFonts w:ascii="Arial" w:hAnsi="Arial"/>
        </w:rPr>
        <w:t>Most of</w:t>
      </w:r>
      <w:r w:rsidR="00A95CE2" w:rsidRPr="00F618D8">
        <w:rPr>
          <w:rFonts w:ascii="Arial" w:hAnsi="Arial"/>
        </w:rPr>
        <w:t xml:space="preserve"> the </w:t>
      </w:r>
      <w:r w:rsidR="00136E8F" w:rsidRPr="00F618D8">
        <w:rPr>
          <w:rFonts w:ascii="Arial" w:hAnsi="Arial"/>
        </w:rPr>
        <w:t>people</w:t>
      </w:r>
      <w:r w:rsidR="005924B9" w:rsidRPr="00F618D8">
        <w:rPr>
          <w:rFonts w:ascii="Arial" w:hAnsi="Arial"/>
        </w:rPr>
        <w:t xml:space="preserve"> with ID/DD who </w:t>
      </w:r>
      <w:r w:rsidR="00136E8F" w:rsidRPr="00F618D8">
        <w:rPr>
          <w:rFonts w:ascii="Arial" w:hAnsi="Arial"/>
        </w:rPr>
        <w:t>faced</w:t>
      </w:r>
      <w:r w:rsidR="00A95CE2" w:rsidRPr="00F618D8">
        <w:rPr>
          <w:rFonts w:ascii="Arial" w:hAnsi="Arial"/>
        </w:rPr>
        <w:t xml:space="preserve"> </w:t>
      </w:r>
      <w:r w:rsidR="00136E8F" w:rsidRPr="00F618D8">
        <w:rPr>
          <w:rFonts w:ascii="Arial" w:hAnsi="Arial"/>
        </w:rPr>
        <w:t xml:space="preserve">guardianship </w:t>
      </w:r>
      <w:r w:rsidR="00A95CE2" w:rsidRPr="00F618D8">
        <w:rPr>
          <w:rFonts w:ascii="Arial" w:hAnsi="Arial"/>
        </w:rPr>
        <w:t>petitions were placed under guardianship</w:t>
      </w:r>
      <w:r w:rsidR="00136E8F" w:rsidRPr="00F618D8">
        <w:rPr>
          <w:rFonts w:ascii="Arial" w:hAnsi="Arial"/>
        </w:rPr>
        <w:t xml:space="preserve"> by the </w:t>
      </w:r>
      <w:r w:rsidR="007322C4" w:rsidRPr="00F618D8">
        <w:rPr>
          <w:rFonts w:ascii="Arial" w:hAnsi="Arial"/>
        </w:rPr>
        <w:t>court</w:t>
      </w:r>
      <w:r w:rsidR="00A95CE2" w:rsidRPr="00F618D8">
        <w:rPr>
          <w:rFonts w:ascii="Arial" w:hAnsi="Arial"/>
        </w:rPr>
        <w:t xml:space="preserve">. </w:t>
      </w:r>
      <w:r w:rsidR="00136E8F" w:rsidRPr="00F618D8">
        <w:rPr>
          <w:rFonts w:ascii="Arial" w:hAnsi="Arial"/>
        </w:rPr>
        <w:t>The percentage did decrease</w:t>
      </w:r>
      <w:r w:rsidR="00A71BDF" w:rsidRPr="00F618D8">
        <w:rPr>
          <w:rFonts w:ascii="Arial" w:hAnsi="Arial"/>
        </w:rPr>
        <w:t xml:space="preserve"> somewhat from 2015</w:t>
      </w:r>
      <w:r w:rsidRPr="00F618D8">
        <w:rPr>
          <w:rFonts w:ascii="Arial" w:hAnsi="Arial"/>
        </w:rPr>
        <w:t>-16</w:t>
      </w:r>
      <w:r w:rsidR="00A71BDF" w:rsidRPr="00F618D8">
        <w:rPr>
          <w:rFonts w:ascii="Arial" w:hAnsi="Arial"/>
        </w:rPr>
        <w:t>, which m</w:t>
      </w:r>
      <w:r w:rsidR="00136E8F" w:rsidRPr="00F618D8">
        <w:rPr>
          <w:rFonts w:ascii="Arial" w:hAnsi="Arial"/>
        </w:rPr>
        <w:t xml:space="preserve">ay be attributed, in part, to the court education efforts </w:t>
      </w:r>
      <w:r w:rsidR="00A71BDF" w:rsidRPr="00F618D8">
        <w:rPr>
          <w:rFonts w:ascii="Arial" w:hAnsi="Arial"/>
        </w:rPr>
        <w:t xml:space="preserve">to attorneys and legal professionals on </w:t>
      </w:r>
      <w:r w:rsidR="00136E8F" w:rsidRPr="00F618D8">
        <w:rPr>
          <w:rFonts w:ascii="Arial" w:hAnsi="Arial"/>
        </w:rPr>
        <w:t xml:space="preserve">the availability of alternatives to guardianship. </w:t>
      </w:r>
      <w:r w:rsidR="00A71BDF" w:rsidRPr="00F618D8">
        <w:rPr>
          <w:rFonts w:ascii="Arial" w:hAnsi="Arial"/>
        </w:rPr>
        <w:t xml:space="preserve">However, the percentage increased slightly in 2017, which underlines the need for continued training efforts by the </w:t>
      </w:r>
      <w:r w:rsidR="007322C4" w:rsidRPr="00F618D8">
        <w:rPr>
          <w:rFonts w:ascii="Arial" w:hAnsi="Arial"/>
        </w:rPr>
        <w:t>court.</w:t>
      </w:r>
      <w:r w:rsidR="00AA1F92" w:rsidRPr="00F618D8">
        <w:rPr>
          <w:rFonts w:ascii="Arial" w:hAnsi="Arial"/>
        </w:rPr>
        <w:t xml:space="preserve"> </w:t>
      </w:r>
    </w:p>
    <w:p w14:paraId="00FE013D" w14:textId="7A42AD33" w:rsidR="00CA6AB0" w:rsidRPr="00F618D8" w:rsidRDefault="00CA6AB0" w:rsidP="00CA6AB0">
      <w:pPr>
        <w:pStyle w:val="ParaNoIndent"/>
        <w:rPr>
          <w:rFonts w:ascii="Arial" w:hAnsi="Arial"/>
        </w:rPr>
      </w:pPr>
      <w:r w:rsidRPr="00F618D8">
        <w:rPr>
          <w:rFonts w:ascii="Arial" w:hAnsi="Arial"/>
          <w:noProof/>
        </w:rPr>
        <w:lastRenderedPageBreak/>
        <w:t xml:space="preserve"> </w:t>
      </w:r>
      <w:r w:rsidRPr="00F618D8">
        <w:rPr>
          <w:rFonts w:ascii="Arial" w:hAnsi="Arial"/>
          <w:noProof/>
        </w:rPr>
        <w:drawing>
          <wp:inline distT="0" distB="0" distL="0" distR="0" wp14:anchorId="7B740FBF" wp14:editId="4006C445">
            <wp:extent cx="5457825" cy="2236470"/>
            <wp:effectExtent l="0" t="0" r="9525" b="11430"/>
            <wp:docPr id="29" name="Chart 29" descr="This is a bar graph displaying the percentage of guardianship petitions in ID/DD cases granted (in whole or in part) over the course of 2015-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F618D8">
        <w:rPr>
          <w:rStyle w:val="CommentReference"/>
          <w:rFonts w:ascii="Arial" w:hAnsi="Arial"/>
        </w:rPr>
        <w:t xml:space="preserve"> </w:t>
      </w:r>
    </w:p>
    <w:p w14:paraId="78EA5925" w14:textId="49529A80" w:rsidR="00B91CC2" w:rsidRPr="00F618D8" w:rsidRDefault="00540FBD" w:rsidP="00CA6AB0">
      <w:pPr>
        <w:pStyle w:val="ParaNoIndent"/>
        <w:rPr>
          <w:rFonts w:ascii="Arial" w:hAnsi="Arial"/>
        </w:rPr>
      </w:pPr>
      <w:r w:rsidRPr="00F618D8">
        <w:rPr>
          <w:rFonts w:ascii="Arial" w:hAnsi="Arial"/>
        </w:rPr>
        <w:t>When</w:t>
      </w:r>
      <w:r w:rsidR="00A95CE2" w:rsidRPr="00F618D8">
        <w:rPr>
          <w:rFonts w:ascii="Arial" w:hAnsi="Arial"/>
        </w:rPr>
        <w:t xml:space="preserve"> the petitions were granted, </w:t>
      </w:r>
      <w:r w:rsidR="00757618" w:rsidRPr="00F618D8">
        <w:rPr>
          <w:rFonts w:ascii="Arial" w:hAnsi="Arial"/>
        </w:rPr>
        <w:t>most</w:t>
      </w:r>
      <w:r w:rsidR="00A95CE2" w:rsidRPr="00F618D8">
        <w:rPr>
          <w:rFonts w:ascii="Arial" w:hAnsi="Arial"/>
        </w:rPr>
        <w:t xml:space="preserve"> of the individuals with ID/DD were placed under permanent general guardian</w:t>
      </w:r>
      <w:r w:rsidR="00136E8F" w:rsidRPr="00F618D8">
        <w:rPr>
          <w:rFonts w:ascii="Arial" w:hAnsi="Arial"/>
        </w:rPr>
        <w:t>ship, the most restrictive form</w:t>
      </w:r>
      <w:r w:rsidR="00AA1F92" w:rsidRPr="00F618D8">
        <w:rPr>
          <w:rFonts w:ascii="Arial" w:hAnsi="Arial"/>
        </w:rPr>
        <w:t xml:space="preserve">. </w:t>
      </w:r>
      <w:r w:rsidR="00A95CE2" w:rsidRPr="00F618D8">
        <w:rPr>
          <w:rFonts w:ascii="Arial" w:hAnsi="Arial"/>
        </w:rPr>
        <w:t xml:space="preserve">This data raises questions about whether courts are using guardianship as the last resort and whether they </w:t>
      </w:r>
      <w:r w:rsidR="00A71BDF" w:rsidRPr="00F618D8">
        <w:rPr>
          <w:rFonts w:ascii="Arial" w:hAnsi="Arial"/>
        </w:rPr>
        <w:t xml:space="preserve">are </w:t>
      </w:r>
      <w:r w:rsidR="00136E8F" w:rsidRPr="00F618D8">
        <w:rPr>
          <w:rFonts w:ascii="Arial" w:hAnsi="Arial"/>
        </w:rPr>
        <w:t>consistently</w:t>
      </w:r>
      <w:r w:rsidR="00B91CC2" w:rsidRPr="00F618D8">
        <w:rPr>
          <w:rFonts w:ascii="Arial" w:hAnsi="Arial"/>
        </w:rPr>
        <w:t xml:space="preserve"> appointing the type of guardianship that is least restrictive in duration and scope to meet the person’s needs</w:t>
      </w:r>
      <w:r w:rsidR="00AA1F92" w:rsidRPr="00F618D8">
        <w:rPr>
          <w:rFonts w:ascii="Arial" w:hAnsi="Arial"/>
        </w:rPr>
        <w:t xml:space="preserve">. </w:t>
      </w:r>
      <w:r w:rsidR="00FE43FD" w:rsidRPr="00F618D8">
        <w:rPr>
          <w:rFonts w:ascii="Arial" w:hAnsi="Arial"/>
        </w:rPr>
        <w:t xml:space="preserve">It may also indicate persistence in stereotypes </w:t>
      </w:r>
      <w:r w:rsidR="00A71BDF" w:rsidRPr="00F618D8">
        <w:rPr>
          <w:rFonts w:ascii="Arial" w:hAnsi="Arial"/>
          <w:noProof/>
        </w:rPr>
        <mc:AlternateContent>
          <mc:Choice Requires="wps">
            <w:drawing>
              <wp:anchor distT="45720" distB="45720" distL="114300" distR="114300" simplePos="0" relativeHeight="251659264" behindDoc="0" locked="0" layoutInCell="1" allowOverlap="1" wp14:anchorId="5B9BDB04" wp14:editId="46D43F73">
                <wp:simplePos x="0" y="0"/>
                <wp:positionH relativeFrom="column">
                  <wp:posOffset>-673100</wp:posOffset>
                </wp:positionH>
                <wp:positionV relativeFrom="paragraph">
                  <wp:posOffset>620395</wp:posOffset>
                </wp:positionV>
                <wp:extent cx="7458710" cy="3196590"/>
                <wp:effectExtent l="0" t="0" r="27940" b="22860"/>
                <wp:wrapSquare wrapText="bothSides"/>
                <wp:docPr id="217" name="Text Box 2" descr="This is a pie chart displaying the percentage of type of guardianship granted in ID/DD cases over the course of 2015-17 grouped as permanent general guardianship, limited permanent guardianship, and temporary guardianship."/>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8710" cy="3196590"/>
                        </a:xfrm>
                        <a:prstGeom prst="rect">
                          <a:avLst/>
                        </a:prstGeom>
                        <a:solidFill>
                          <a:srgbClr val="FFFFFF"/>
                        </a:solidFill>
                        <a:ln w="9525">
                          <a:solidFill>
                            <a:schemeClr val="bg1"/>
                          </a:solidFill>
                          <a:miter lim="800000"/>
                          <a:headEnd/>
                          <a:tailEnd/>
                        </a:ln>
                      </wps:spPr>
                      <wps:txbx>
                        <w:txbxContent>
                          <w:p w14:paraId="2F811854" w14:textId="77777777" w:rsidR="00C40185" w:rsidRPr="00AA1F92" w:rsidRDefault="00C40185" w:rsidP="00A71BDF">
                            <w:pPr>
                              <w:spacing w:line="240" w:lineRule="auto"/>
                              <w:jc w:val="center"/>
                              <w:rPr>
                                <w:rFonts w:ascii="Arial" w:hAnsi="Arial" w:cs="Arial"/>
                                <w:sz w:val="24"/>
                                <w:szCs w:val="24"/>
                              </w:rPr>
                            </w:pPr>
                            <w:r w:rsidRPr="00AA1F92">
                              <w:rPr>
                                <w:rFonts w:ascii="Arial" w:hAnsi="Arial" w:cs="Arial"/>
                                <w:sz w:val="24"/>
                                <w:szCs w:val="24"/>
                              </w:rPr>
                              <w:t>Type of Guardianship Granted in ID/DD Cases</w:t>
                            </w:r>
                          </w:p>
                          <w:p w14:paraId="068F0E95" w14:textId="77777777" w:rsidR="00C40185" w:rsidRPr="00962C10" w:rsidRDefault="00C40185">
                            <w:pPr>
                              <w:rPr>
                                <w:color w:val="FFFFFF" w:themeColor="background1"/>
                              </w:rPr>
                            </w:pPr>
                            <w:r w:rsidRPr="00962C10">
                              <w:rPr>
                                <w:noProof/>
                                <w:color w:val="FFFFFF" w:themeColor="background1"/>
                              </w:rPr>
                              <w:drawing>
                                <wp:inline distT="0" distB="0" distL="0" distR="0" wp14:anchorId="28867C5A" wp14:editId="4C8E4310">
                                  <wp:extent cx="2266950" cy="2505075"/>
                                  <wp:effectExtent l="0" t="0" r="0" b="9525"/>
                                  <wp:docPr id="30" name="Chart 30" descr="Graph shows types of guardianship granted in ID/DD cases 20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962C10">
                              <w:rPr>
                                <w:noProof/>
                                <w:color w:val="FFFFFF" w:themeColor="background1"/>
                              </w:rPr>
                              <w:drawing>
                                <wp:inline distT="0" distB="0" distL="0" distR="0" wp14:anchorId="7780C2A4" wp14:editId="0E76447B">
                                  <wp:extent cx="2400300" cy="2505075"/>
                                  <wp:effectExtent l="0" t="0" r="0" b="9525"/>
                                  <wp:docPr id="31" name="Chart 31" descr="Graph shows types of guardianship granted in ID/DD cases 20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962C10">
                              <w:rPr>
                                <w:noProof/>
                                <w:color w:val="FFFFFF" w:themeColor="background1"/>
                              </w:rPr>
                              <w:drawing>
                                <wp:inline distT="0" distB="0" distL="0" distR="0" wp14:anchorId="2E17D645" wp14:editId="5CC408EC">
                                  <wp:extent cx="2276475" cy="2499360"/>
                                  <wp:effectExtent l="0" t="0" r="9525" b="15240"/>
                                  <wp:docPr id="32" name="Chart 32" descr="Graph shows types of guardianship granted in ID/DD cases 2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BDB04" id="_x0000_s1027" type="#_x0000_t202" alt="This is a pie chart displaying the percentage of type of guardianship granted in ID/DD cases over the course of 2015-17 grouped as permanent general guardianship, limited permanent guardianship, and temporary guardianship." style="position:absolute;margin-left:-53pt;margin-top:48.85pt;width:587.3pt;height:251.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" strokecolor="white [3212]">
                <v:textbox>
                  <w:txbxContent>
                    <w:p w14:paraId="2F811854" w14:textId="77777777" w:rsidR="00C40185" w:rsidRPr="00AA1F92" w:rsidRDefault="00C40185" w:rsidP="00A71BDF">
                      <w:pPr>
                        <w:spacing w:line="240" w:lineRule="auto"/>
                        <w:jc w:val="center"/>
                        <w:rPr>
                          <w:rFonts w:ascii="Arial" w:hAnsi="Arial" w:cs="Arial"/>
                          <w:sz w:val="24"/>
                          <w:szCs w:val="24"/>
                        </w:rPr>
                      </w:pPr>
                      <w:r w:rsidRPr="00AA1F92">
                        <w:rPr>
                          <w:rFonts w:ascii="Arial" w:hAnsi="Arial" w:cs="Arial"/>
                          <w:sz w:val="24"/>
                          <w:szCs w:val="24"/>
                        </w:rPr>
                        <w:t>Type of Guardianship Granted in ID/DD Cases</w:t>
                      </w:r>
                    </w:p>
                    <w:p w14:paraId="068F0E95" w14:textId="77777777" w:rsidR="00C40185" w:rsidRPr="00962C10" w:rsidRDefault="00C40185">
                      <w:pPr>
                        <w:rPr>
                          <w:color w:val="FFFFFF" w:themeColor="background1"/>
                        </w:rPr>
                      </w:pPr>
                      <w:r w:rsidRPr="00962C10">
                        <w:rPr>
                          <w:noProof/>
                          <w:color w:val="FFFFFF" w:themeColor="background1"/>
                        </w:rPr>
                        <w:drawing>
                          <wp:inline distT="0" distB="0" distL="0" distR="0" wp14:anchorId="28867C5A" wp14:editId="4C8E4310">
                            <wp:extent cx="2266950" cy="2505075"/>
                            <wp:effectExtent l="0" t="0" r="0" b="9525"/>
                            <wp:docPr id="30" name="Chart 30" descr="Graph shows types of guardianship granted in ID/DD cases 20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962C10">
                        <w:rPr>
                          <w:noProof/>
                          <w:color w:val="FFFFFF" w:themeColor="background1"/>
                        </w:rPr>
                        <w:drawing>
                          <wp:inline distT="0" distB="0" distL="0" distR="0" wp14:anchorId="7780C2A4" wp14:editId="0E76447B">
                            <wp:extent cx="2400300" cy="2505075"/>
                            <wp:effectExtent l="0" t="0" r="0" b="9525"/>
                            <wp:docPr id="31" name="Chart 31" descr="Graph shows types of guardianship granted in ID/DD cases 20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962C10">
                        <w:rPr>
                          <w:noProof/>
                          <w:color w:val="FFFFFF" w:themeColor="background1"/>
                        </w:rPr>
                        <w:drawing>
                          <wp:inline distT="0" distB="0" distL="0" distR="0" wp14:anchorId="2E17D645" wp14:editId="5CC408EC">
                            <wp:extent cx="2276475" cy="2499360"/>
                            <wp:effectExtent l="0" t="0" r="9525" b="15240"/>
                            <wp:docPr id="32" name="Chart 32" descr="Graph shows types of guardianship granted in ID/DD cases 2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xbxContent>
                </v:textbox>
                <w10:wrap type="square"/>
              </v:shape>
            </w:pict>
          </mc:Fallback>
        </mc:AlternateContent>
      </w:r>
      <w:r w:rsidR="00FE43FD" w:rsidRPr="00F618D8">
        <w:rPr>
          <w:rFonts w:ascii="Arial" w:hAnsi="Arial"/>
        </w:rPr>
        <w:t>about people with ID/DD and their ability to be independent with supports</w:t>
      </w:r>
      <w:r w:rsidR="0055438F" w:rsidRPr="00F618D8">
        <w:rPr>
          <w:rFonts w:ascii="Arial" w:hAnsi="Arial"/>
        </w:rPr>
        <w:t xml:space="preserve">, </w:t>
      </w:r>
      <w:r w:rsidR="00A71BDF" w:rsidRPr="00F618D8">
        <w:rPr>
          <w:rFonts w:ascii="Arial" w:hAnsi="Arial"/>
        </w:rPr>
        <w:t>which could lead courts</w:t>
      </w:r>
      <w:r w:rsidR="0055438F" w:rsidRPr="00F618D8">
        <w:rPr>
          <w:rFonts w:ascii="Arial" w:hAnsi="Arial"/>
        </w:rPr>
        <w:t xml:space="preserve"> to weigh heavily toward full guardianship instead of alternatives.</w:t>
      </w:r>
    </w:p>
    <w:p w14:paraId="516AEBA8" w14:textId="77777777" w:rsidR="00B91CC2" w:rsidRPr="00F618D8" w:rsidRDefault="00B91CC2" w:rsidP="00CA6AB0">
      <w:pPr>
        <w:pStyle w:val="ParaNoIndent"/>
        <w:rPr>
          <w:rFonts w:ascii="Arial" w:hAnsi="Arial"/>
        </w:rPr>
      </w:pPr>
      <w:r w:rsidRPr="00F618D8">
        <w:rPr>
          <w:rFonts w:ascii="Arial" w:hAnsi="Arial"/>
        </w:rPr>
        <w:t xml:space="preserve">The review also indicated that the people with ID/DD in the data set did not seek to have their guardianships reviewed, either through a petition post-appointment for </w:t>
      </w:r>
      <w:r w:rsidRPr="00F618D8">
        <w:rPr>
          <w:rFonts w:ascii="Arial" w:hAnsi="Arial"/>
        </w:rPr>
        <w:lastRenderedPageBreak/>
        <w:t>restoration of rights or through the new court guardianship/conservatorship complaint process</w:t>
      </w:r>
      <w:r w:rsidR="00AA1F92" w:rsidRPr="00F618D8">
        <w:rPr>
          <w:rFonts w:ascii="Arial" w:hAnsi="Arial"/>
        </w:rPr>
        <w:t xml:space="preserve">. </w:t>
      </w:r>
      <w:r w:rsidRPr="00F618D8">
        <w:rPr>
          <w:rFonts w:ascii="Arial" w:hAnsi="Arial"/>
        </w:rPr>
        <w:t>There was not a single complaint filed in these cases</w:t>
      </w:r>
      <w:r w:rsidR="00AA1F92" w:rsidRPr="00F618D8">
        <w:rPr>
          <w:rFonts w:ascii="Arial" w:hAnsi="Arial"/>
        </w:rPr>
        <w:t xml:space="preserve">. </w:t>
      </w:r>
      <w:r w:rsidRPr="00F618D8">
        <w:rPr>
          <w:rFonts w:ascii="Arial" w:hAnsi="Arial"/>
        </w:rPr>
        <w:t>There were only three petitions post-appointment requesting restoration of rights, and none of them were filed by the person under guardianship</w:t>
      </w:r>
      <w:r w:rsidR="00AA1F92" w:rsidRPr="00F618D8">
        <w:rPr>
          <w:rFonts w:ascii="Arial" w:hAnsi="Arial"/>
        </w:rPr>
        <w:t xml:space="preserve">. </w:t>
      </w:r>
      <w:r w:rsidRPr="00F618D8">
        <w:rPr>
          <w:rFonts w:ascii="Arial" w:hAnsi="Arial"/>
        </w:rPr>
        <w:t>However, all three were successful and the individual’s rights were restored</w:t>
      </w:r>
      <w:r w:rsidR="00AA1F92" w:rsidRPr="00F618D8">
        <w:rPr>
          <w:rFonts w:ascii="Arial" w:hAnsi="Arial"/>
        </w:rPr>
        <w:t xml:space="preserve">. </w:t>
      </w:r>
      <w:r w:rsidRPr="00F618D8">
        <w:rPr>
          <w:rFonts w:ascii="Arial" w:hAnsi="Arial"/>
        </w:rPr>
        <w:t>More education on these due process options for people with ID/DD and their support networks is likely needed, particularly with respect to the complaint process, which has only been in existence for a few years. Careful consideration should also be given to ensure that these tools are sufficiently accessible to and navigable by people with ID/DD</w:t>
      </w:r>
      <w:r w:rsidR="00AA1F92" w:rsidRPr="00F618D8">
        <w:rPr>
          <w:rFonts w:ascii="Arial" w:hAnsi="Arial"/>
        </w:rPr>
        <w:t xml:space="preserve">. </w:t>
      </w:r>
    </w:p>
    <w:p w14:paraId="0DDF78C1" w14:textId="77777777" w:rsidR="00B91CC2" w:rsidRPr="00F618D8" w:rsidRDefault="00B91CC2" w:rsidP="00CA6AB0">
      <w:pPr>
        <w:pStyle w:val="ParaNoIndent"/>
        <w:rPr>
          <w:rFonts w:ascii="Arial" w:hAnsi="Arial"/>
        </w:rPr>
      </w:pPr>
      <w:r w:rsidRPr="00F618D8">
        <w:rPr>
          <w:rFonts w:ascii="Arial" w:hAnsi="Arial"/>
        </w:rPr>
        <w:t>Pursuant to the DC Guardianship Amendment Act, the first year of court triennial case reviews began in 2018</w:t>
      </w:r>
      <w:r w:rsidR="00AA1F92" w:rsidRPr="00F618D8">
        <w:rPr>
          <w:rFonts w:ascii="Arial" w:hAnsi="Arial"/>
        </w:rPr>
        <w:t xml:space="preserve">. </w:t>
      </w:r>
      <w:r w:rsidRPr="00F618D8">
        <w:rPr>
          <w:rFonts w:ascii="Arial" w:hAnsi="Arial"/>
        </w:rPr>
        <w:t>For this project’s data set, 21 such review</w:t>
      </w:r>
      <w:r w:rsidR="00DA736B" w:rsidRPr="00F618D8">
        <w:rPr>
          <w:rFonts w:ascii="Arial" w:hAnsi="Arial"/>
        </w:rPr>
        <w:t xml:space="preserve">s </w:t>
      </w:r>
      <w:r w:rsidRPr="00F618D8">
        <w:rPr>
          <w:rFonts w:ascii="Arial" w:hAnsi="Arial"/>
        </w:rPr>
        <w:t>occurred for people with ID/DD through the Guardianship Assistance Program</w:t>
      </w:r>
      <w:r w:rsidR="00AA1F92" w:rsidRPr="00F618D8">
        <w:rPr>
          <w:rFonts w:ascii="Arial" w:hAnsi="Arial"/>
        </w:rPr>
        <w:t xml:space="preserve">. </w:t>
      </w:r>
      <w:r w:rsidRPr="00F618D8">
        <w:rPr>
          <w:rFonts w:ascii="Arial" w:hAnsi="Arial"/>
        </w:rPr>
        <w:t>Only two of the individuals involved were appointed an attorney to help them navigate the process, and none of the reviews resulted in restoration of rights</w:t>
      </w:r>
      <w:r w:rsidR="00AA1F92" w:rsidRPr="00F618D8">
        <w:rPr>
          <w:rFonts w:ascii="Arial" w:hAnsi="Arial"/>
        </w:rPr>
        <w:t xml:space="preserve">. </w:t>
      </w:r>
      <w:bookmarkStart w:id="118" w:name="_Hlk5272312"/>
      <w:r w:rsidRPr="00F618D8">
        <w:rPr>
          <w:rFonts w:ascii="Arial" w:hAnsi="Arial"/>
        </w:rPr>
        <w:t>While a periodic review of the continued necessity of guardianship is a promising DC re</w:t>
      </w:r>
      <w:r w:rsidR="00BD4F7A" w:rsidRPr="00F618D8">
        <w:rPr>
          <w:rFonts w:ascii="Arial" w:hAnsi="Arial"/>
        </w:rPr>
        <w:t xml:space="preserve">form, more time and analysis are </w:t>
      </w:r>
      <w:r w:rsidRPr="00F618D8">
        <w:rPr>
          <w:rFonts w:ascii="Arial" w:hAnsi="Arial"/>
        </w:rPr>
        <w:t xml:space="preserve">needed </w:t>
      </w:r>
      <w:r w:rsidR="00BD4F7A" w:rsidRPr="00F618D8">
        <w:rPr>
          <w:rFonts w:ascii="Arial" w:hAnsi="Arial"/>
        </w:rPr>
        <w:t xml:space="preserve">to </w:t>
      </w:r>
      <w:r w:rsidRPr="00F618D8">
        <w:rPr>
          <w:rFonts w:ascii="Arial" w:hAnsi="Arial"/>
        </w:rPr>
        <w:t xml:space="preserve">determine whether it will have a concrete impact on people with ID/DD under guardianship </w:t>
      </w:r>
      <w:r w:rsidR="005924B9" w:rsidRPr="00F618D8">
        <w:rPr>
          <w:rFonts w:ascii="Arial" w:hAnsi="Arial"/>
        </w:rPr>
        <w:t>and whether it will result in any restoration of rights for them</w:t>
      </w:r>
      <w:r w:rsidR="00AA1F92" w:rsidRPr="00F618D8">
        <w:rPr>
          <w:rFonts w:ascii="Arial" w:hAnsi="Arial"/>
        </w:rPr>
        <w:t xml:space="preserve">. </w:t>
      </w:r>
    </w:p>
    <w:p w14:paraId="51284D18" w14:textId="77777777" w:rsidR="00B72E08" w:rsidRPr="00F618D8" w:rsidRDefault="00B72E08" w:rsidP="00CA6AB0">
      <w:pPr>
        <w:pStyle w:val="Heading3"/>
        <w:rPr>
          <w:rFonts w:ascii="Arial" w:hAnsi="Arial" w:cs="Arial"/>
        </w:rPr>
      </w:pPr>
      <w:bookmarkStart w:id="119" w:name="_Toc10290974"/>
      <w:bookmarkEnd w:id="118"/>
      <w:r w:rsidRPr="00F618D8">
        <w:rPr>
          <w:rFonts w:ascii="Arial" w:hAnsi="Arial" w:cs="Arial"/>
        </w:rPr>
        <w:t>Data from the DC Department on Disability Services on Guardianship and Alternatives</w:t>
      </w:r>
      <w:bookmarkEnd w:id="119"/>
    </w:p>
    <w:p w14:paraId="1222686A" w14:textId="77777777" w:rsidR="00B72E08" w:rsidRPr="00F618D8" w:rsidRDefault="00B72E08" w:rsidP="00CA6AB0">
      <w:pPr>
        <w:pStyle w:val="ParaNoIndent"/>
        <w:rPr>
          <w:rFonts w:ascii="Arial" w:hAnsi="Arial"/>
        </w:rPr>
      </w:pPr>
      <w:r w:rsidRPr="00F618D8">
        <w:rPr>
          <w:rFonts w:ascii="Arial" w:hAnsi="Arial"/>
        </w:rPr>
        <w:t>Under DC Law 17-249, the “Health-Care Decisions for Persons with Developmental Disabilities Amendment Act of 2008,” the Department on Disability Services</w:t>
      </w:r>
      <w:r w:rsidR="00555A89" w:rsidRPr="00F618D8">
        <w:rPr>
          <w:rFonts w:ascii="Arial" w:hAnsi="Arial"/>
        </w:rPr>
        <w:t xml:space="preserve"> (DDS)</w:t>
      </w:r>
      <w:r w:rsidRPr="00F618D8">
        <w:rPr>
          <w:rFonts w:ascii="Arial" w:hAnsi="Arial"/>
        </w:rPr>
        <w:t xml:space="preserve"> is required to submit to the Council of the District of Columbia (DC Council) an annual report and plan assessing the current and potential health</w:t>
      </w:r>
      <w:r w:rsidR="003833DA" w:rsidRPr="00F618D8">
        <w:rPr>
          <w:rFonts w:ascii="Arial" w:hAnsi="Arial"/>
        </w:rPr>
        <w:t xml:space="preserve"> </w:t>
      </w:r>
      <w:r w:rsidRPr="00F618D8">
        <w:rPr>
          <w:rFonts w:ascii="Arial" w:hAnsi="Arial"/>
        </w:rPr>
        <w:t>care decision-making needs for all people served by DDS,</w:t>
      </w:r>
      <w:r w:rsidRPr="00F618D8">
        <w:rPr>
          <w:rStyle w:val="EndnoteReference"/>
          <w:rFonts w:ascii="Arial" w:hAnsi="Arial"/>
          <w:szCs w:val="24"/>
        </w:rPr>
        <w:endnoteReference w:id="131"/>
      </w:r>
      <w:r w:rsidRPr="00F618D8">
        <w:rPr>
          <w:rFonts w:ascii="Arial" w:hAnsi="Arial"/>
        </w:rPr>
        <w:t xml:space="preserve"> which includes DC residents with intellectual disabilities</w:t>
      </w:r>
      <w:r w:rsidR="00AA1F92" w:rsidRPr="00F618D8">
        <w:rPr>
          <w:rFonts w:ascii="Arial" w:hAnsi="Arial"/>
        </w:rPr>
        <w:t xml:space="preserve">. </w:t>
      </w:r>
      <w:r w:rsidRPr="00F618D8">
        <w:rPr>
          <w:rFonts w:ascii="Arial" w:hAnsi="Arial"/>
        </w:rPr>
        <w:t xml:space="preserve">This report includes data on the type of decision-making support used, including </w:t>
      </w:r>
      <w:r w:rsidR="003833DA" w:rsidRPr="00F618D8">
        <w:rPr>
          <w:rFonts w:ascii="Arial" w:hAnsi="Arial"/>
        </w:rPr>
        <w:t>SDM</w:t>
      </w:r>
      <w:r w:rsidRPr="00F618D8">
        <w:rPr>
          <w:rFonts w:ascii="Arial" w:hAnsi="Arial"/>
        </w:rPr>
        <w:t>, Durable Power of Attorney, 21-2210 Medical Decision-Maker, Limited Medical Guardian, and General Guardian</w:t>
      </w:r>
      <w:r w:rsidR="00AA1F92" w:rsidRPr="00F618D8">
        <w:rPr>
          <w:rFonts w:ascii="Arial" w:hAnsi="Arial"/>
        </w:rPr>
        <w:t xml:space="preserve">. </w:t>
      </w:r>
      <w:r w:rsidRPr="00F618D8">
        <w:rPr>
          <w:rFonts w:ascii="Arial" w:hAnsi="Arial"/>
        </w:rPr>
        <w:t>DDS has described the data as a “snapshot,” “an approximation, because the numbers fluctuate from day to day as individual needs continue to change.” However, the data tells an interesting story about the type of decision-making support that is being legally recognized as used by this population</w:t>
      </w:r>
      <w:r w:rsidR="00AA1F92" w:rsidRPr="00F618D8">
        <w:rPr>
          <w:rFonts w:ascii="Arial" w:hAnsi="Arial"/>
        </w:rPr>
        <w:t xml:space="preserve">. </w:t>
      </w:r>
      <w:r w:rsidRPr="00F618D8">
        <w:rPr>
          <w:rFonts w:ascii="Arial" w:hAnsi="Arial"/>
        </w:rPr>
        <w:t xml:space="preserve"> </w:t>
      </w:r>
    </w:p>
    <w:p w14:paraId="4D0C640D" w14:textId="77777777" w:rsidR="00B72E08" w:rsidRPr="00F618D8" w:rsidRDefault="00B72E08" w:rsidP="00CA6AB0">
      <w:pPr>
        <w:pStyle w:val="ParaNoIndent"/>
        <w:rPr>
          <w:rFonts w:ascii="Arial" w:hAnsi="Arial"/>
          <w:szCs w:val="24"/>
        </w:rPr>
      </w:pPr>
      <w:r w:rsidRPr="00F618D8">
        <w:rPr>
          <w:rFonts w:ascii="Arial" w:hAnsi="Arial"/>
          <w:noProof/>
          <w:vertAlign w:val="subscript"/>
        </w:rPr>
        <w:lastRenderedPageBreak/>
        <w:drawing>
          <wp:inline distT="0" distB="0" distL="0" distR="0" wp14:anchorId="50D00C48" wp14:editId="27F3C442">
            <wp:extent cx="5800725" cy="3200400"/>
            <wp:effectExtent l="0" t="0" r="9525" b="0"/>
            <wp:docPr id="5" name="Chart 5" descr="This is a bar graph displaying the percentage of type of decision-making support used by people with Intellectual Disabilities served by DC DDS during the course of 2013-18 grouped as independent decisions, Durable Power of Attorney, Limited Medical Guardian, support decision-making, 21-2210 Medical Decision-Maker, and General Guardia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2B15218" w14:textId="057B3A94" w:rsidR="00717597" w:rsidRPr="00F618D8" w:rsidRDefault="001B3DDE" w:rsidP="00B72E08">
      <w:pPr>
        <w:spacing w:line="240" w:lineRule="auto"/>
        <w:rPr>
          <w:rFonts w:ascii="Arial" w:hAnsi="Arial" w:cs="Arial"/>
          <w:noProof/>
        </w:rPr>
      </w:pPr>
      <w:r w:rsidRPr="00F618D8">
        <w:rPr>
          <w:rFonts w:ascii="Arial" w:hAnsi="Arial" w:cs="Arial"/>
          <w:noProof/>
        </w:rPr>
        <w:drawing>
          <wp:inline distT="0" distB="0" distL="0" distR="0" wp14:anchorId="6382FC4C" wp14:editId="08839F41">
            <wp:extent cx="5800725" cy="3201670"/>
            <wp:effectExtent l="0" t="0" r="9525" b="17780"/>
            <wp:docPr id="33" name="Chart 33" descr="This is a pie chart displaying the Overall Annual Average Percentages for the Type of Decision-Making Support Used by People with Intellectual Disabilities Served by DC DDS during the course of 2013-18 grouped as independent decisions, Durable Power of Attorney, Limited Medical Guardian, support decision-making, 21-2210 Medical Decision-Maker, and General Guardian.&#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611B74B" w14:textId="77777777" w:rsidR="00EE26A5" w:rsidRPr="00F618D8" w:rsidRDefault="00B72E08" w:rsidP="00CA6AB0">
      <w:pPr>
        <w:pStyle w:val="ParaNoIndent"/>
        <w:rPr>
          <w:rFonts w:ascii="Arial" w:hAnsi="Arial"/>
        </w:rPr>
      </w:pPr>
      <w:r w:rsidRPr="00F618D8">
        <w:rPr>
          <w:rFonts w:ascii="Arial" w:hAnsi="Arial"/>
        </w:rPr>
        <w:t xml:space="preserve">While the number of people with intellectual disabilities identified as using </w:t>
      </w:r>
      <w:r w:rsidR="001A06FB" w:rsidRPr="00F618D8">
        <w:rPr>
          <w:rFonts w:ascii="Arial" w:hAnsi="Arial"/>
        </w:rPr>
        <w:t>SDM</w:t>
      </w:r>
      <w:r w:rsidRPr="00F618D8">
        <w:rPr>
          <w:rFonts w:ascii="Arial" w:hAnsi="Arial"/>
        </w:rPr>
        <w:t xml:space="preserve"> has increased over the past five years (from 75 to 111), it has consistently remained the second least-used decision-making support with the DDS intellectual disability system</w:t>
      </w:r>
      <w:r w:rsidR="00AA1F92" w:rsidRPr="00F618D8">
        <w:rPr>
          <w:rFonts w:ascii="Arial" w:hAnsi="Arial"/>
        </w:rPr>
        <w:t xml:space="preserve">. </w:t>
      </w:r>
      <w:r w:rsidRPr="00F618D8">
        <w:rPr>
          <w:rFonts w:ascii="Arial" w:hAnsi="Arial"/>
        </w:rPr>
        <w:t xml:space="preserve">With the May 2018 statutory recognition of </w:t>
      </w:r>
      <w:r w:rsidR="001A06FB" w:rsidRPr="00F618D8">
        <w:rPr>
          <w:rFonts w:ascii="Arial" w:hAnsi="Arial"/>
        </w:rPr>
        <w:t>SDM</w:t>
      </w:r>
      <w:r w:rsidRPr="00F618D8">
        <w:rPr>
          <w:rFonts w:ascii="Arial" w:hAnsi="Arial"/>
        </w:rPr>
        <w:t xml:space="preserve"> across the lifespan, this statistic may change</w:t>
      </w:r>
      <w:r w:rsidR="00EE26A5" w:rsidRPr="00F618D8">
        <w:rPr>
          <w:rFonts w:ascii="Arial" w:hAnsi="Arial"/>
        </w:rPr>
        <w:t xml:space="preserve"> in the future</w:t>
      </w:r>
      <w:r w:rsidRPr="00F618D8">
        <w:rPr>
          <w:rFonts w:ascii="Arial" w:hAnsi="Arial"/>
        </w:rPr>
        <w:t>.</w:t>
      </w:r>
    </w:p>
    <w:p w14:paraId="74F981C9" w14:textId="176A6AD4" w:rsidR="00B72E08" w:rsidRPr="00F618D8" w:rsidRDefault="00B72E08" w:rsidP="00CA6AB0">
      <w:pPr>
        <w:pStyle w:val="ParaNoIndent"/>
        <w:rPr>
          <w:rFonts w:ascii="Arial" w:hAnsi="Arial"/>
        </w:rPr>
      </w:pPr>
      <w:r w:rsidRPr="00F618D8">
        <w:rPr>
          <w:rFonts w:ascii="Arial" w:hAnsi="Arial"/>
        </w:rPr>
        <w:lastRenderedPageBreak/>
        <w:t>As the data shows</w:t>
      </w:r>
      <w:bookmarkStart w:id="120" w:name="_Hlk5272494"/>
      <w:r w:rsidRPr="00F618D8">
        <w:rPr>
          <w:rFonts w:ascii="Arial" w:hAnsi="Arial"/>
        </w:rPr>
        <w:t>, the most common form of decision-making support used by people with intellectual disabilities served by DDS is a 21-2210 Medical Decision-Maker</w:t>
      </w:r>
      <w:r w:rsidR="00760E6B" w:rsidRPr="00F618D8">
        <w:rPr>
          <w:rFonts w:ascii="Arial" w:hAnsi="Arial"/>
        </w:rPr>
        <w:t xml:space="preserve"> (MDM)</w:t>
      </w:r>
      <w:bookmarkEnd w:id="120"/>
      <w:r w:rsidRPr="00F618D8">
        <w:rPr>
          <w:rFonts w:ascii="Arial" w:hAnsi="Arial"/>
        </w:rPr>
        <w:t xml:space="preserve">. </w:t>
      </w:r>
      <w:r w:rsidRPr="00F618D8">
        <w:rPr>
          <w:rFonts w:ascii="Arial" w:eastAsia="Times New Roman" w:hAnsi="Arial"/>
        </w:rPr>
        <w:t>In DC, when a person does not have a durable power of attorney for health care and has been certified to lack the mental capacity to make health care decisions by both a qualified medical doctor and a psychiatrist or psychologist, the law turns to a prioritized list of individuals to make those decisions for the person under DC Code 21-2210 of the DC Health Care Decisions Act</w:t>
      </w:r>
      <w:r w:rsidR="00AA1F92" w:rsidRPr="00F618D8">
        <w:rPr>
          <w:rFonts w:ascii="Arial" w:eastAsia="Times New Roman" w:hAnsi="Arial"/>
        </w:rPr>
        <w:t xml:space="preserve">. </w:t>
      </w:r>
      <w:r w:rsidRPr="00F618D8">
        <w:rPr>
          <w:rFonts w:ascii="Arial" w:eastAsia="Times New Roman" w:hAnsi="Arial"/>
        </w:rPr>
        <w:t xml:space="preserve">For the purpose of DDS’ statistics, these 22-2210 </w:t>
      </w:r>
      <w:r w:rsidR="00760E6B" w:rsidRPr="00F618D8">
        <w:rPr>
          <w:rFonts w:ascii="Arial" w:eastAsia="Times New Roman" w:hAnsi="Arial"/>
        </w:rPr>
        <w:t>MDMs</w:t>
      </w:r>
      <w:r w:rsidRPr="00F618D8">
        <w:rPr>
          <w:rFonts w:ascii="Arial" w:eastAsia="Times New Roman" w:hAnsi="Arial"/>
        </w:rPr>
        <w:t xml:space="preserve"> are generally family members or friends who have not been appointed as the legal guardian by the court. The advantage of this law is that it allows the person to receive the health care he or she needs without having to go to court and risk having </w:t>
      </w:r>
      <w:r w:rsidR="00760E6B" w:rsidRPr="00F618D8">
        <w:rPr>
          <w:rFonts w:ascii="Arial" w:eastAsia="Times New Roman" w:hAnsi="Arial"/>
        </w:rPr>
        <w:t>all</w:t>
      </w:r>
      <w:r w:rsidRPr="00F618D8">
        <w:rPr>
          <w:rFonts w:ascii="Arial" w:eastAsia="Times New Roman" w:hAnsi="Arial"/>
        </w:rPr>
        <w:t xml:space="preserve"> his or her other non-medical-related decision-making rights taken away in a guardianship proceeding</w:t>
      </w:r>
      <w:r w:rsidR="00AA1F92" w:rsidRPr="00F618D8">
        <w:rPr>
          <w:rFonts w:ascii="Arial" w:eastAsia="Times New Roman" w:hAnsi="Arial"/>
        </w:rPr>
        <w:t xml:space="preserve">. </w:t>
      </w:r>
      <w:r w:rsidRPr="00F618D8">
        <w:rPr>
          <w:rFonts w:ascii="Arial" w:eastAsia="Times New Roman" w:hAnsi="Arial"/>
        </w:rPr>
        <w:t xml:space="preserve">The downside is that the law requires </w:t>
      </w:r>
      <w:r w:rsidR="00E2761F" w:rsidRPr="00F618D8">
        <w:rPr>
          <w:rFonts w:ascii="Arial" w:eastAsia="Times New Roman" w:hAnsi="Arial"/>
        </w:rPr>
        <w:t>non-</w:t>
      </w:r>
      <w:r w:rsidRPr="00F618D8">
        <w:rPr>
          <w:rFonts w:ascii="Arial" w:eastAsia="Times New Roman" w:hAnsi="Arial"/>
        </w:rPr>
        <w:t xml:space="preserve">judicial certifications of the person’s incapacity to make health care decisions and does not provide a clear way for the person to challenge the 21-2210 </w:t>
      </w:r>
      <w:r w:rsidR="00760E6B" w:rsidRPr="00F618D8">
        <w:rPr>
          <w:rFonts w:ascii="Arial" w:eastAsia="Times New Roman" w:hAnsi="Arial"/>
        </w:rPr>
        <w:t>(MDM)</w:t>
      </w:r>
      <w:r w:rsidRPr="00F618D8">
        <w:rPr>
          <w:rFonts w:ascii="Arial" w:eastAsia="Times New Roman" w:hAnsi="Arial"/>
        </w:rPr>
        <w:t xml:space="preserve"> designation.</w:t>
      </w:r>
      <w:r w:rsidRPr="00F618D8">
        <w:rPr>
          <w:rStyle w:val="EndnoteReference"/>
          <w:rFonts w:ascii="Arial" w:hAnsi="Arial"/>
          <w:szCs w:val="24"/>
        </w:rPr>
        <w:endnoteReference w:id="132"/>
      </w:r>
      <w:r w:rsidRPr="00F618D8">
        <w:rPr>
          <w:rFonts w:ascii="Arial" w:hAnsi="Arial"/>
        </w:rPr>
        <w:t xml:space="preserve"> In its most recent report, DDS states: “those listed as having a §21-2210 SDM may make many of their own decisions, with or without support, and may simply rely on the designated § 21-2210 SDM in certain situations</w:t>
      </w:r>
      <w:r w:rsidR="00AA1F92" w:rsidRPr="00F618D8">
        <w:rPr>
          <w:rFonts w:ascii="Arial" w:hAnsi="Arial"/>
        </w:rPr>
        <w:t xml:space="preserve">.” </w:t>
      </w:r>
    </w:p>
    <w:p w14:paraId="22F4F03C" w14:textId="77777777" w:rsidR="00B72E08" w:rsidRPr="00F618D8" w:rsidRDefault="00B72E08" w:rsidP="00CA6AB0">
      <w:pPr>
        <w:pStyle w:val="ParaNoIndent"/>
        <w:rPr>
          <w:rFonts w:ascii="Arial" w:eastAsia="Times New Roman" w:hAnsi="Arial"/>
        </w:rPr>
      </w:pPr>
      <w:r w:rsidRPr="00F618D8">
        <w:rPr>
          <w:rFonts w:ascii="Arial" w:hAnsi="Arial"/>
        </w:rPr>
        <w:t xml:space="preserve">According to this data, the least common form of decision-making support used by people with intellectual disabilities served by </w:t>
      </w:r>
      <w:r w:rsidR="005924B9" w:rsidRPr="00F618D8">
        <w:rPr>
          <w:rFonts w:ascii="Arial" w:hAnsi="Arial"/>
        </w:rPr>
        <w:t>DDS</w:t>
      </w:r>
      <w:r w:rsidRPr="00F618D8">
        <w:rPr>
          <w:rFonts w:ascii="Arial" w:hAnsi="Arial"/>
        </w:rPr>
        <w:t xml:space="preserve"> is durable powers of attorney</w:t>
      </w:r>
      <w:r w:rsidRPr="00F618D8">
        <w:rPr>
          <w:rFonts w:ascii="Arial" w:eastAsia="Times New Roman" w:hAnsi="Arial"/>
        </w:rPr>
        <w:t>, with consistently less than 1</w:t>
      </w:r>
      <w:r w:rsidR="00144327" w:rsidRPr="00F618D8">
        <w:rPr>
          <w:rFonts w:ascii="Arial" w:eastAsia="Times New Roman" w:hAnsi="Arial"/>
        </w:rPr>
        <w:t xml:space="preserve"> percent</w:t>
      </w:r>
      <w:r w:rsidRPr="00F618D8">
        <w:rPr>
          <w:rFonts w:ascii="Arial" w:eastAsia="Times New Roman" w:hAnsi="Arial"/>
        </w:rPr>
        <w:t xml:space="preserve"> </w:t>
      </w:r>
      <w:r w:rsidR="005924B9" w:rsidRPr="00F618D8">
        <w:rPr>
          <w:rFonts w:ascii="Arial" w:eastAsia="Times New Roman" w:hAnsi="Arial"/>
        </w:rPr>
        <w:t xml:space="preserve">of the people served </w:t>
      </w:r>
      <w:r w:rsidRPr="00F618D8">
        <w:rPr>
          <w:rFonts w:ascii="Arial" w:eastAsia="Times New Roman" w:hAnsi="Arial"/>
        </w:rPr>
        <w:t>having one</w:t>
      </w:r>
      <w:r w:rsidR="00BD4F7A" w:rsidRPr="00F618D8">
        <w:rPr>
          <w:rFonts w:ascii="Arial" w:eastAsia="Times New Roman" w:hAnsi="Arial"/>
        </w:rPr>
        <w:t xml:space="preserve"> that DDS knows about</w:t>
      </w:r>
      <w:r w:rsidR="00AA1F92" w:rsidRPr="00F618D8">
        <w:rPr>
          <w:rFonts w:ascii="Arial" w:eastAsia="Times New Roman" w:hAnsi="Arial"/>
        </w:rPr>
        <w:t xml:space="preserve">. </w:t>
      </w:r>
      <w:r w:rsidRPr="00F618D8">
        <w:rPr>
          <w:rFonts w:ascii="Arial" w:eastAsia="Times New Roman" w:hAnsi="Arial"/>
        </w:rPr>
        <w:t xml:space="preserve">Durable powers of attorney, unlike 21-2210 </w:t>
      </w:r>
      <w:r w:rsidR="00144327" w:rsidRPr="00F618D8">
        <w:rPr>
          <w:rFonts w:ascii="Arial" w:eastAsia="Times New Roman" w:hAnsi="Arial"/>
        </w:rPr>
        <w:t>MDMs</w:t>
      </w:r>
      <w:r w:rsidRPr="00F618D8">
        <w:rPr>
          <w:rFonts w:ascii="Arial" w:eastAsia="Times New Roman" w:hAnsi="Arial"/>
        </w:rPr>
        <w:t xml:space="preserve">, are a way a person can voluntarily designate someone to act for them in the event they are unable to make decisions themselves, and </w:t>
      </w:r>
      <w:r w:rsidR="0086237C" w:rsidRPr="00F618D8">
        <w:rPr>
          <w:rFonts w:ascii="Arial" w:eastAsia="Times New Roman" w:hAnsi="Arial"/>
        </w:rPr>
        <w:t xml:space="preserve">thus </w:t>
      </w:r>
      <w:r w:rsidRPr="00F618D8">
        <w:rPr>
          <w:rFonts w:ascii="Arial" w:eastAsia="Times New Roman" w:hAnsi="Arial"/>
        </w:rPr>
        <w:t>are a less-restrictive option</w:t>
      </w:r>
      <w:r w:rsidR="00AA1F92" w:rsidRPr="00F618D8">
        <w:rPr>
          <w:rFonts w:ascii="Arial" w:eastAsia="Times New Roman" w:hAnsi="Arial"/>
        </w:rPr>
        <w:t xml:space="preserve">. </w:t>
      </w:r>
      <w:r w:rsidRPr="00F618D8">
        <w:rPr>
          <w:rFonts w:ascii="Arial" w:eastAsia="Times New Roman" w:hAnsi="Arial"/>
        </w:rPr>
        <w:t>The h</w:t>
      </w:r>
      <w:r w:rsidR="00DA736B" w:rsidRPr="00F618D8">
        <w:rPr>
          <w:rFonts w:ascii="Arial" w:eastAsia="Times New Roman" w:hAnsi="Arial"/>
        </w:rPr>
        <w:t xml:space="preserve">igh percentage of people </w:t>
      </w:r>
      <w:r w:rsidR="005924B9" w:rsidRPr="00F618D8">
        <w:rPr>
          <w:rFonts w:ascii="Arial" w:eastAsia="Times New Roman" w:hAnsi="Arial"/>
        </w:rPr>
        <w:t>who were</w:t>
      </w:r>
      <w:r w:rsidR="00DA736B" w:rsidRPr="00F618D8">
        <w:rPr>
          <w:rFonts w:ascii="Arial" w:eastAsia="Times New Roman" w:hAnsi="Arial"/>
        </w:rPr>
        <w:t xml:space="preserve"> i</w:t>
      </w:r>
      <w:r w:rsidRPr="00F618D8">
        <w:rPr>
          <w:rFonts w:ascii="Arial" w:eastAsia="Times New Roman" w:hAnsi="Arial"/>
        </w:rPr>
        <w:t xml:space="preserve">dentified </w:t>
      </w:r>
      <w:r w:rsidR="005924B9" w:rsidRPr="00F618D8">
        <w:rPr>
          <w:rFonts w:ascii="Arial" w:eastAsia="Times New Roman" w:hAnsi="Arial"/>
        </w:rPr>
        <w:t xml:space="preserve">as having </w:t>
      </w:r>
      <w:r w:rsidRPr="00F618D8">
        <w:rPr>
          <w:rFonts w:ascii="Arial" w:eastAsia="Times New Roman" w:hAnsi="Arial"/>
        </w:rPr>
        <w:t xml:space="preserve">21-2210 </w:t>
      </w:r>
      <w:r w:rsidR="00144327" w:rsidRPr="00F618D8">
        <w:rPr>
          <w:rFonts w:ascii="Arial" w:eastAsia="Times New Roman" w:hAnsi="Arial"/>
        </w:rPr>
        <w:t>MDMs</w:t>
      </w:r>
      <w:r w:rsidR="004A0A8F" w:rsidRPr="00F618D8">
        <w:rPr>
          <w:rFonts w:ascii="Arial" w:eastAsia="Times New Roman" w:hAnsi="Arial"/>
        </w:rPr>
        <w:t xml:space="preserve"> </w:t>
      </w:r>
      <w:r w:rsidRPr="00F618D8">
        <w:rPr>
          <w:rFonts w:ascii="Arial" w:eastAsia="Times New Roman" w:hAnsi="Arial"/>
        </w:rPr>
        <w:t>(who, in DDS’ system, are usually family members), as compared to the extremely low number with identified powers of attorney, raises concerns that DDS may be over-relying on a more restrictive tool than necessary to support the people it serves</w:t>
      </w:r>
      <w:r w:rsidR="005924B9" w:rsidRPr="00F618D8">
        <w:rPr>
          <w:rFonts w:ascii="Arial" w:eastAsia="Times New Roman" w:hAnsi="Arial"/>
        </w:rPr>
        <w:t xml:space="preserve">. Some of these individuals </w:t>
      </w:r>
      <w:r w:rsidRPr="00F618D8">
        <w:rPr>
          <w:rFonts w:ascii="Arial" w:eastAsia="Times New Roman" w:hAnsi="Arial"/>
        </w:rPr>
        <w:t xml:space="preserve">may be able to </w:t>
      </w:r>
      <w:r w:rsidR="005924B9" w:rsidRPr="00F618D8">
        <w:rPr>
          <w:rFonts w:ascii="Arial" w:eastAsia="Times New Roman" w:hAnsi="Arial"/>
        </w:rPr>
        <w:t>vo</w:t>
      </w:r>
      <w:r w:rsidRPr="00F618D8">
        <w:rPr>
          <w:rFonts w:ascii="Arial" w:eastAsia="Times New Roman" w:hAnsi="Arial"/>
        </w:rPr>
        <w:t>luntarily execute a power of attorney instead</w:t>
      </w:r>
      <w:r w:rsidR="00EE26A5" w:rsidRPr="00F618D8">
        <w:rPr>
          <w:rFonts w:ascii="Arial" w:eastAsia="Times New Roman" w:hAnsi="Arial"/>
        </w:rPr>
        <w:t>,</w:t>
      </w:r>
      <w:r w:rsidRPr="00F618D8">
        <w:rPr>
          <w:rFonts w:ascii="Arial" w:eastAsia="Times New Roman" w:hAnsi="Arial"/>
        </w:rPr>
        <w:t xml:space="preserve"> but have not been offered a meaningful opportunity to do so</w:t>
      </w:r>
      <w:r w:rsidR="00AA1F92" w:rsidRPr="00F618D8">
        <w:rPr>
          <w:rFonts w:ascii="Arial" w:eastAsia="Times New Roman" w:hAnsi="Arial"/>
        </w:rPr>
        <w:t xml:space="preserve">. </w:t>
      </w:r>
    </w:p>
    <w:p w14:paraId="29B0FD26" w14:textId="7D5730F2" w:rsidR="00B72E08" w:rsidRPr="00F618D8" w:rsidRDefault="00B72E08" w:rsidP="00CA6AB0">
      <w:pPr>
        <w:pStyle w:val="ParaNoIndent"/>
        <w:rPr>
          <w:rFonts w:ascii="Arial" w:hAnsi="Arial"/>
        </w:rPr>
      </w:pPr>
      <w:r w:rsidRPr="00F618D8">
        <w:rPr>
          <w:rFonts w:ascii="Arial" w:hAnsi="Arial"/>
        </w:rPr>
        <w:t xml:space="preserve">Unlike the DC Probate Court data review for people with ID/DD, </w:t>
      </w:r>
      <w:r w:rsidR="00555A89" w:rsidRPr="00F618D8">
        <w:rPr>
          <w:rFonts w:ascii="Arial" w:hAnsi="Arial"/>
        </w:rPr>
        <w:t>DDS</w:t>
      </w:r>
      <w:r w:rsidR="00845E72" w:rsidRPr="00F618D8">
        <w:rPr>
          <w:rFonts w:ascii="Arial" w:hAnsi="Arial"/>
        </w:rPr>
        <w:t xml:space="preserve"> </w:t>
      </w:r>
      <w:r w:rsidRPr="00F618D8">
        <w:rPr>
          <w:rFonts w:ascii="Arial" w:hAnsi="Arial"/>
        </w:rPr>
        <w:t>data indicates that</w:t>
      </w:r>
      <w:r w:rsidR="00555A89" w:rsidRPr="00F618D8">
        <w:rPr>
          <w:rFonts w:ascii="Arial" w:hAnsi="Arial"/>
        </w:rPr>
        <w:t xml:space="preserve"> </w:t>
      </w:r>
      <w:r w:rsidRPr="00F618D8">
        <w:rPr>
          <w:rFonts w:ascii="Arial" w:hAnsi="Arial"/>
        </w:rPr>
        <w:t>where there is guardianship, it is roughly as likely to be limited as it is to be general</w:t>
      </w:r>
      <w:r w:rsidR="00AA1F92" w:rsidRPr="00F618D8">
        <w:rPr>
          <w:rFonts w:ascii="Arial" w:hAnsi="Arial"/>
        </w:rPr>
        <w:t xml:space="preserve">. </w:t>
      </w:r>
      <w:r w:rsidRPr="00F618D8">
        <w:rPr>
          <w:rFonts w:ascii="Arial" w:hAnsi="Arial"/>
        </w:rPr>
        <w:lastRenderedPageBreak/>
        <w:t>This may be a result of DDS’ stated commitment to “the use of lesser restrictive types of decision-making supports whenever possible.”</w:t>
      </w:r>
      <w:r w:rsidRPr="00F618D8">
        <w:rPr>
          <w:rStyle w:val="EndnoteReference"/>
          <w:rFonts w:ascii="Arial" w:eastAsia="Times New Roman" w:hAnsi="Arial"/>
          <w:szCs w:val="24"/>
        </w:rPr>
        <w:endnoteReference w:id="133"/>
      </w:r>
      <w:r w:rsidRPr="00F618D8">
        <w:rPr>
          <w:rFonts w:ascii="Arial" w:hAnsi="Arial"/>
        </w:rPr>
        <w:t xml:space="preserve"> It is interesting to note that over time, general guardianship for people served by DDS is becoming more common</w:t>
      </w:r>
      <w:r w:rsidR="00EE26A5" w:rsidRPr="00F618D8">
        <w:rPr>
          <w:rFonts w:ascii="Arial" w:hAnsi="Arial"/>
        </w:rPr>
        <w:t>.</w:t>
      </w:r>
      <w:r w:rsidRPr="00F618D8">
        <w:rPr>
          <w:rFonts w:ascii="Arial" w:hAnsi="Arial"/>
        </w:rPr>
        <w:t xml:space="preserve"> </w:t>
      </w:r>
    </w:p>
    <w:p w14:paraId="660867D4" w14:textId="52C712A0" w:rsidR="00194004" w:rsidRPr="00F618D8" w:rsidRDefault="00194004" w:rsidP="00E141D3">
      <w:pPr>
        <w:pStyle w:val="ParaNoIndent"/>
        <w:rPr>
          <w:rFonts w:ascii="Arial" w:hAnsi="Arial"/>
        </w:rPr>
      </w:pPr>
      <w:r w:rsidRPr="00F618D8">
        <w:rPr>
          <w:rFonts w:ascii="Arial" w:eastAsia="Times New Roman" w:hAnsi="Arial"/>
          <w:noProof/>
          <w:szCs w:val="24"/>
        </w:rPr>
        <w:drawing>
          <wp:inline distT="0" distB="0" distL="0" distR="0" wp14:anchorId="3A2276D7" wp14:editId="5A7332D0">
            <wp:extent cx="5743575" cy="2725420"/>
            <wp:effectExtent l="0" t="0" r="9525" b="17780"/>
            <wp:docPr id="34" name="Chart 34" descr="This is a line graph displaying the percentage of General versus Limited Guardianships for People with Intellectual Disabilities Served by DDS over the course of 2013-18 grouped as Limited Medical Guardian or DC eqivalent and Guardian or DC eqivalent."/>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9C79FCE" w14:textId="455EEF20" w:rsidR="00A95CE2" w:rsidRPr="00F618D8" w:rsidRDefault="00473D44" w:rsidP="00CA6AB0">
      <w:pPr>
        <w:pStyle w:val="Heading3"/>
        <w:rPr>
          <w:rFonts w:ascii="Arial" w:hAnsi="Arial" w:cs="Arial"/>
        </w:rPr>
      </w:pPr>
      <w:bookmarkStart w:id="121" w:name="_Toc10290975"/>
      <w:r w:rsidRPr="00F618D8">
        <w:rPr>
          <w:rFonts w:ascii="Arial" w:hAnsi="Arial" w:cs="Arial"/>
        </w:rPr>
        <w:t>Lessons Learned from the DC Experience</w:t>
      </w:r>
      <w:bookmarkEnd w:id="121"/>
    </w:p>
    <w:p w14:paraId="2A4A9E4B" w14:textId="3C3C5BDA" w:rsidR="00E2761F" w:rsidRPr="00F618D8" w:rsidRDefault="00BD4F7A" w:rsidP="00CA6AB0">
      <w:pPr>
        <w:pStyle w:val="ParaNoIndent"/>
        <w:rPr>
          <w:rFonts w:ascii="Arial" w:hAnsi="Arial"/>
        </w:rPr>
      </w:pPr>
      <w:r w:rsidRPr="00F618D8">
        <w:rPr>
          <w:rFonts w:ascii="Arial" w:hAnsi="Arial"/>
        </w:rPr>
        <w:t xml:space="preserve">As indicated throughout this report, reliable national data on guardianship is scarce, let alone data specific to particular populations, such as individuals with ID/DD. This “deep dive” analysis of guardianship’s impact on people with ID/DD within the District of Columbia provides rare data about </w:t>
      </w:r>
      <w:r w:rsidR="005924B9" w:rsidRPr="00F618D8">
        <w:rPr>
          <w:rFonts w:ascii="Arial" w:hAnsi="Arial"/>
        </w:rPr>
        <w:t xml:space="preserve">what </w:t>
      </w:r>
      <w:r w:rsidRPr="00F618D8">
        <w:rPr>
          <w:rFonts w:ascii="Arial" w:hAnsi="Arial"/>
        </w:rPr>
        <w:t>the number and types of guardianships</w:t>
      </w:r>
      <w:r w:rsidR="005924B9" w:rsidRPr="00F618D8">
        <w:rPr>
          <w:rFonts w:ascii="Arial" w:hAnsi="Arial"/>
        </w:rPr>
        <w:t xml:space="preserve"> </w:t>
      </w:r>
      <w:r w:rsidR="00CA6AB0" w:rsidRPr="00F618D8">
        <w:rPr>
          <w:rFonts w:ascii="Arial" w:hAnsi="Arial"/>
        </w:rPr>
        <w:t>are, whether</w:t>
      </w:r>
      <w:r w:rsidRPr="00F618D8">
        <w:rPr>
          <w:rFonts w:ascii="Arial" w:hAnsi="Arial"/>
        </w:rPr>
        <w:t xml:space="preserve"> </w:t>
      </w:r>
      <w:r w:rsidR="005924B9" w:rsidRPr="00F618D8">
        <w:rPr>
          <w:rFonts w:ascii="Arial" w:hAnsi="Arial"/>
        </w:rPr>
        <w:t>guardianship</w:t>
      </w:r>
      <w:r w:rsidRPr="00F618D8">
        <w:rPr>
          <w:rFonts w:ascii="Arial" w:hAnsi="Arial"/>
        </w:rPr>
        <w:t xml:space="preserve"> disproportionately involve</w:t>
      </w:r>
      <w:r w:rsidR="00555A89" w:rsidRPr="00F618D8">
        <w:rPr>
          <w:rFonts w:ascii="Arial" w:hAnsi="Arial"/>
        </w:rPr>
        <w:t>s</w:t>
      </w:r>
      <w:r w:rsidRPr="00F618D8">
        <w:rPr>
          <w:rFonts w:ascii="Arial" w:hAnsi="Arial"/>
        </w:rPr>
        <w:t xml:space="preserve"> young adults, whether people with ID/DD are using tools to restore their rights, and whether recent legislative and policy reforms have yet had a significant impact</w:t>
      </w:r>
      <w:r w:rsidR="00AA1F92" w:rsidRPr="00F618D8">
        <w:rPr>
          <w:rFonts w:ascii="Arial" w:hAnsi="Arial"/>
        </w:rPr>
        <w:t xml:space="preserve">. </w:t>
      </w:r>
      <w:bookmarkStart w:id="122" w:name="_Hlk5272683"/>
      <w:r w:rsidRPr="00F618D8">
        <w:rPr>
          <w:rFonts w:ascii="Arial" w:hAnsi="Arial"/>
        </w:rPr>
        <w:t xml:space="preserve">While DC has been a national leader in reforming guardianship and promoting less restrictive alternatives, the above data demonstrates that </w:t>
      </w:r>
      <w:r w:rsidR="00E2761F" w:rsidRPr="00F618D8">
        <w:rPr>
          <w:rFonts w:ascii="Arial" w:hAnsi="Arial"/>
        </w:rPr>
        <w:t>there is still a need for</w:t>
      </w:r>
      <w:r w:rsidRPr="00F618D8">
        <w:rPr>
          <w:rFonts w:ascii="Arial" w:hAnsi="Arial"/>
        </w:rPr>
        <w:t xml:space="preserve"> further initiatives designed to </w:t>
      </w:r>
      <w:r w:rsidR="00555A89" w:rsidRPr="00F618D8">
        <w:rPr>
          <w:rFonts w:ascii="Arial" w:hAnsi="Arial"/>
        </w:rPr>
        <w:t>implement</w:t>
      </w:r>
      <w:r w:rsidRPr="00F618D8">
        <w:rPr>
          <w:rFonts w:ascii="Arial" w:hAnsi="Arial"/>
        </w:rPr>
        <w:t xml:space="preserve"> these changes in a way that will significantly advance the decision-making rights of people with ID/DD</w:t>
      </w:r>
      <w:r w:rsidR="00AA1F92" w:rsidRPr="00F618D8">
        <w:rPr>
          <w:rFonts w:ascii="Arial" w:hAnsi="Arial"/>
        </w:rPr>
        <w:t xml:space="preserve">. </w:t>
      </w:r>
      <w:bookmarkEnd w:id="122"/>
      <w:r w:rsidR="00E2761F" w:rsidRPr="00F618D8">
        <w:rPr>
          <w:rFonts w:ascii="Arial" w:hAnsi="Arial"/>
        </w:rPr>
        <w:t>For example, data shows evidence of a continued pipeline to guardianship for young adults with ID/DD, despite the special education reforms designed to promote recognition of alternatives for that population</w:t>
      </w:r>
      <w:r w:rsidR="00AA1F92" w:rsidRPr="00F618D8">
        <w:rPr>
          <w:rFonts w:ascii="Arial" w:hAnsi="Arial"/>
        </w:rPr>
        <w:t xml:space="preserve">. </w:t>
      </w:r>
      <w:r w:rsidR="00E2761F" w:rsidRPr="00F618D8">
        <w:rPr>
          <w:rFonts w:ascii="Arial" w:hAnsi="Arial"/>
        </w:rPr>
        <w:t xml:space="preserve"> </w:t>
      </w:r>
    </w:p>
    <w:p w14:paraId="0BA771C6" w14:textId="77777777" w:rsidR="00BD4F7A" w:rsidRPr="00F618D8" w:rsidRDefault="00BD4F7A" w:rsidP="00CA6AB0">
      <w:pPr>
        <w:pStyle w:val="ParaNoIndent"/>
        <w:rPr>
          <w:rFonts w:ascii="Arial" w:hAnsi="Arial"/>
        </w:rPr>
      </w:pPr>
      <w:r w:rsidRPr="00F618D8">
        <w:rPr>
          <w:rFonts w:ascii="Arial" w:hAnsi="Arial"/>
        </w:rPr>
        <w:t xml:space="preserve">Lessons other states can learn from the DC experience include:  </w:t>
      </w:r>
    </w:p>
    <w:p w14:paraId="31C47A32" w14:textId="77777777" w:rsidR="00BD4F7A" w:rsidRPr="00F618D8" w:rsidRDefault="00555A89" w:rsidP="00CA6AB0">
      <w:pPr>
        <w:pStyle w:val="ListParagraph"/>
        <w:rPr>
          <w:rFonts w:ascii="Arial" w:hAnsi="Arial" w:cs="Arial"/>
        </w:rPr>
      </w:pPr>
      <w:r w:rsidRPr="00F618D8">
        <w:rPr>
          <w:rStyle w:val="s1"/>
          <w:rFonts w:ascii="Arial" w:hAnsi="Arial" w:cs="Arial"/>
          <w:sz w:val="24"/>
          <w:szCs w:val="24"/>
        </w:rPr>
        <w:lastRenderedPageBreak/>
        <w:t>SDM</w:t>
      </w:r>
      <w:r w:rsidR="00BD4F7A" w:rsidRPr="00F618D8">
        <w:rPr>
          <w:rStyle w:val="s1"/>
          <w:rFonts w:ascii="Arial" w:hAnsi="Arial" w:cs="Arial"/>
          <w:sz w:val="24"/>
          <w:szCs w:val="24"/>
        </w:rPr>
        <w:t xml:space="preserve"> can and should be recognized as an alternative to guardianship for transition-age youth, including those with ID/DD, in special education</w:t>
      </w:r>
      <w:r w:rsidR="00AA1F92" w:rsidRPr="00F618D8">
        <w:rPr>
          <w:rStyle w:val="s1"/>
          <w:rFonts w:ascii="Arial" w:hAnsi="Arial" w:cs="Arial"/>
          <w:sz w:val="24"/>
          <w:szCs w:val="24"/>
        </w:rPr>
        <w:t xml:space="preserve">. </w:t>
      </w:r>
      <w:r w:rsidR="00BD4F7A" w:rsidRPr="00F618D8">
        <w:rPr>
          <w:rStyle w:val="s1"/>
          <w:rFonts w:ascii="Arial" w:hAnsi="Arial" w:cs="Arial"/>
          <w:sz w:val="24"/>
          <w:szCs w:val="24"/>
        </w:rPr>
        <w:t>While it is helpful to have a legislative mandate, state law change is not required for implementation of SDM in schools</w:t>
      </w:r>
      <w:r w:rsidR="00AA1F92" w:rsidRPr="00F618D8">
        <w:rPr>
          <w:rStyle w:val="s1"/>
          <w:rFonts w:ascii="Arial" w:hAnsi="Arial" w:cs="Arial"/>
          <w:sz w:val="24"/>
          <w:szCs w:val="24"/>
        </w:rPr>
        <w:t xml:space="preserve">. </w:t>
      </w:r>
      <w:r w:rsidR="00BD4F7A" w:rsidRPr="00F618D8">
        <w:rPr>
          <w:rStyle w:val="s1"/>
          <w:rFonts w:ascii="Arial" w:hAnsi="Arial" w:cs="Arial"/>
          <w:sz w:val="24"/>
          <w:szCs w:val="24"/>
        </w:rPr>
        <w:t xml:space="preserve">Existing </w:t>
      </w:r>
      <w:r w:rsidR="005924B9" w:rsidRPr="00F618D8">
        <w:rPr>
          <w:rStyle w:val="s1"/>
          <w:rFonts w:ascii="Arial" w:hAnsi="Arial" w:cs="Arial"/>
          <w:sz w:val="24"/>
          <w:szCs w:val="24"/>
        </w:rPr>
        <w:t xml:space="preserve">Family Educational Rights and Privacy Act (FERPA) </w:t>
      </w:r>
      <w:r w:rsidR="00BD4F7A" w:rsidRPr="00F618D8">
        <w:rPr>
          <w:rStyle w:val="s1"/>
          <w:rFonts w:ascii="Arial" w:hAnsi="Arial" w:cs="Arial"/>
          <w:sz w:val="24"/>
          <w:szCs w:val="24"/>
        </w:rPr>
        <w:t xml:space="preserve">forms can be modified </w:t>
      </w:r>
      <w:r w:rsidRPr="00F618D8">
        <w:rPr>
          <w:rStyle w:val="s1"/>
          <w:rFonts w:ascii="Arial" w:hAnsi="Arial" w:cs="Arial"/>
          <w:sz w:val="24"/>
          <w:szCs w:val="24"/>
        </w:rPr>
        <w:t>to</w:t>
      </w:r>
      <w:r w:rsidR="00BD4F7A" w:rsidRPr="00F618D8">
        <w:rPr>
          <w:rStyle w:val="s1"/>
          <w:rFonts w:ascii="Arial" w:hAnsi="Arial" w:cs="Arial"/>
          <w:sz w:val="24"/>
          <w:szCs w:val="24"/>
        </w:rPr>
        <w:t xml:space="preserve"> document </w:t>
      </w:r>
      <w:r w:rsidRPr="00F618D8">
        <w:rPr>
          <w:rStyle w:val="s1"/>
          <w:rFonts w:ascii="Arial" w:hAnsi="Arial" w:cs="Arial"/>
          <w:sz w:val="24"/>
          <w:szCs w:val="24"/>
        </w:rPr>
        <w:t>SDM</w:t>
      </w:r>
      <w:r w:rsidR="00BD4F7A" w:rsidRPr="00F618D8">
        <w:rPr>
          <w:rStyle w:val="s1"/>
          <w:rFonts w:ascii="Arial" w:hAnsi="Arial" w:cs="Arial"/>
          <w:sz w:val="24"/>
          <w:szCs w:val="24"/>
        </w:rPr>
        <w:t xml:space="preserve"> arrangements and ensure parents and caregivers, in their capacity as supporters, receive access to the student's educational information and continue to be invited to IEP team meetings</w:t>
      </w:r>
      <w:r w:rsidR="00AA1F92" w:rsidRPr="00F618D8">
        <w:rPr>
          <w:rStyle w:val="s1"/>
          <w:rFonts w:ascii="Arial" w:hAnsi="Arial" w:cs="Arial"/>
          <w:sz w:val="24"/>
          <w:szCs w:val="24"/>
        </w:rPr>
        <w:t xml:space="preserve">. </w:t>
      </w:r>
    </w:p>
    <w:p w14:paraId="59908BA8" w14:textId="77777777" w:rsidR="00BD4F7A" w:rsidRPr="00F618D8" w:rsidRDefault="00555A89" w:rsidP="00CA6AB0">
      <w:pPr>
        <w:pStyle w:val="ListParagraph"/>
        <w:rPr>
          <w:rFonts w:ascii="Arial" w:hAnsi="Arial" w:cs="Arial"/>
        </w:rPr>
      </w:pPr>
      <w:r w:rsidRPr="00F618D8">
        <w:rPr>
          <w:rStyle w:val="s1"/>
          <w:rFonts w:ascii="Arial" w:hAnsi="Arial" w:cs="Arial"/>
          <w:sz w:val="24"/>
          <w:szCs w:val="24"/>
        </w:rPr>
        <w:t>SDM</w:t>
      </w:r>
      <w:r w:rsidR="00BD4F7A" w:rsidRPr="00F618D8">
        <w:rPr>
          <w:rStyle w:val="s1"/>
          <w:rFonts w:ascii="Arial" w:hAnsi="Arial" w:cs="Arial"/>
          <w:sz w:val="24"/>
          <w:szCs w:val="24"/>
        </w:rPr>
        <w:t xml:space="preserve"> can and should be introduced early in the educational process, ideally beginning in pre-</w:t>
      </w:r>
      <w:r w:rsidRPr="00F618D8">
        <w:rPr>
          <w:rStyle w:val="s1"/>
          <w:rFonts w:ascii="Arial" w:hAnsi="Arial" w:cs="Arial"/>
          <w:sz w:val="24"/>
          <w:szCs w:val="24"/>
        </w:rPr>
        <w:t>k</w:t>
      </w:r>
      <w:r w:rsidR="00BD4F7A" w:rsidRPr="00F618D8">
        <w:rPr>
          <w:rStyle w:val="s1"/>
          <w:rFonts w:ascii="Arial" w:hAnsi="Arial" w:cs="Arial"/>
          <w:sz w:val="24"/>
          <w:szCs w:val="24"/>
        </w:rPr>
        <w:t>indergarten</w:t>
      </w:r>
      <w:r w:rsidR="00AA1F92" w:rsidRPr="00F618D8">
        <w:rPr>
          <w:rStyle w:val="s1"/>
          <w:rFonts w:ascii="Arial" w:hAnsi="Arial" w:cs="Arial"/>
          <w:sz w:val="24"/>
          <w:szCs w:val="24"/>
        </w:rPr>
        <w:t xml:space="preserve">. </w:t>
      </w:r>
      <w:r w:rsidR="005924B9" w:rsidRPr="00F618D8">
        <w:rPr>
          <w:rStyle w:val="apple-converted-space"/>
          <w:rFonts w:ascii="Arial" w:hAnsi="Arial" w:cs="Arial"/>
          <w:szCs w:val="24"/>
        </w:rPr>
        <w:t xml:space="preserve">This is particularly true with respect to the development of general decision-making and self-advocacy skills, which are required for effective </w:t>
      </w:r>
      <w:r w:rsidR="00E808D3" w:rsidRPr="00F618D8">
        <w:rPr>
          <w:rStyle w:val="apple-converted-space"/>
          <w:rFonts w:ascii="Arial" w:hAnsi="Arial" w:cs="Arial"/>
          <w:szCs w:val="24"/>
        </w:rPr>
        <w:t>SDM</w:t>
      </w:r>
      <w:r w:rsidR="005924B9" w:rsidRPr="00F618D8">
        <w:rPr>
          <w:rStyle w:val="apple-converted-space"/>
          <w:rFonts w:ascii="Arial" w:hAnsi="Arial" w:cs="Arial"/>
          <w:szCs w:val="24"/>
        </w:rPr>
        <w:t xml:space="preserve"> later in life. </w:t>
      </w:r>
      <w:r w:rsidR="00BD4F7A" w:rsidRPr="00F618D8">
        <w:rPr>
          <w:rStyle w:val="s1"/>
          <w:rFonts w:ascii="Arial" w:hAnsi="Arial" w:cs="Arial"/>
          <w:sz w:val="24"/>
          <w:szCs w:val="24"/>
        </w:rPr>
        <w:t>Conversations and skill-building efforts relating to decision-making should</w:t>
      </w:r>
      <w:r w:rsidR="005924B9" w:rsidRPr="00F618D8">
        <w:rPr>
          <w:rStyle w:val="s1"/>
          <w:rFonts w:ascii="Arial" w:hAnsi="Arial" w:cs="Arial"/>
          <w:sz w:val="24"/>
          <w:szCs w:val="24"/>
        </w:rPr>
        <w:t xml:space="preserve"> therefore</w:t>
      </w:r>
      <w:r w:rsidR="00BD4F7A" w:rsidRPr="00F618D8">
        <w:rPr>
          <w:rStyle w:val="s1"/>
          <w:rFonts w:ascii="Arial" w:hAnsi="Arial" w:cs="Arial"/>
          <w:sz w:val="24"/>
          <w:szCs w:val="24"/>
        </w:rPr>
        <w:t xml:space="preserve"> begin earl</w:t>
      </w:r>
      <w:r w:rsidR="005924B9" w:rsidRPr="00F618D8">
        <w:rPr>
          <w:rStyle w:val="s1"/>
          <w:rFonts w:ascii="Arial" w:hAnsi="Arial" w:cs="Arial"/>
          <w:sz w:val="24"/>
          <w:szCs w:val="24"/>
        </w:rPr>
        <w:t xml:space="preserve">y, well before the student’s </w:t>
      </w:r>
      <w:r w:rsidR="000304A0" w:rsidRPr="00F618D8">
        <w:rPr>
          <w:rStyle w:val="s1"/>
          <w:rFonts w:ascii="Arial" w:hAnsi="Arial" w:cs="Arial"/>
          <w:sz w:val="24"/>
          <w:szCs w:val="24"/>
        </w:rPr>
        <w:t>eighteenth</w:t>
      </w:r>
      <w:r w:rsidR="005924B9" w:rsidRPr="00F618D8">
        <w:rPr>
          <w:rStyle w:val="s1"/>
          <w:rFonts w:ascii="Arial" w:hAnsi="Arial" w:cs="Arial"/>
          <w:sz w:val="24"/>
          <w:szCs w:val="24"/>
        </w:rPr>
        <w:t xml:space="preserve"> birthday, </w:t>
      </w:r>
      <w:r w:rsidR="00DA736B" w:rsidRPr="00F618D8">
        <w:rPr>
          <w:rStyle w:val="s1"/>
          <w:rFonts w:ascii="Arial" w:hAnsi="Arial" w:cs="Arial"/>
          <w:sz w:val="24"/>
          <w:szCs w:val="24"/>
        </w:rPr>
        <w:t>in order to</w:t>
      </w:r>
      <w:r w:rsidR="00BD4F7A" w:rsidRPr="00F618D8">
        <w:rPr>
          <w:rStyle w:val="s1"/>
          <w:rFonts w:ascii="Arial" w:hAnsi="Arial" w:cs="Arial"/>
          <w:sz w:val="24"/>
          <w:szCs w:val="24"/>
        </w:rPr>
        <w:t xml:space="preserve"> maximize the chances that less-restrictive alternatives to guardianship will be used</w:t>
      </w:r>
      <w:r w:rsidR="00AA1F92" w:rsidRPr="00F618D8">
        <w:rPr>
          <w:rStyle w:val="s1"/>
          <w:rFonts w:ascii="Arial" w:hAnsi="Arial" w:cs="Arial"/>
          <w:sz w:val="24"/>
          <w:szCs w:val="24"/>
        </w:rPr>
        <w:t xml:space="preserve">. </w:t>
      </w:r>
    </w:p>
    <w:p w14:paraId="194A8E6A" w14:textId="77777777" w:rsidR="00BD4F7A" w:rsidRPr="00F618D8" w:rsidRDefault="00BD4F7A" w:rsidP="00CA6AB0">
      <w:pPr>
        <w:pStyle w:val="ListParagraph"/>
        <w:rPr>
          <w:rFonts w:ascii="Arial" w:hAnsi="Arial" w:cs="Arial"/>
        </w:rPr>
      </w:pPr>
      <w:r w:rsidRPr="00F618D8">
        <w:rPr>
          <w:rStyle w:val="s1"/>
          <w:rFonts w:ascii="Arial" w:hAnsi="Arial" w:cs="Arial"/>
          <w:sz w:val="24"/>
          <w:szCs w:val="24"/>
        </w:rPr>
        <w:t>Educational agencies and schools must recognize the right of adult students in special education to knowingly and voluntarily execute powers of attorney under state law that designate an agent to exercise their IDEA rights</w:t>
      </w:r>
      <w:r w:rsidR="00AA1F92" w:rsidRPr="00F618D8">
        <w:rPr>
          <w:rStyle w:val="s1"/>
          <w:rFonts w:ascii="Arial" w:hAnsi="Arial" w:cs="Arial"/>
          <w:sz w:val="24"/>
          <w:szCs w:val="24"/>
        </w:rPr>
        <w:t xml:space="preserve">. </w:t>
      </w:r>
      <w:r w:rsidRPr="00F618D8">
        <w:rPr>
          <w:rStyle w:val="s1"/>
          <w:rFonts w:ascii="Arial" w:hAnsi="Arial" w:cs="Arial"/>
          <w:sz w:val="24"/>
          <w:szCs w:val="24"/>
        </w:rPr>
        <w:t xml:space="preserve">To do otherwise denies adult students with disabilities an important civil right simply because they receive special education services, which is discrimination </w:t>
      </w:r>
      <w:r w:rsidR="000E56DD" w:rsidRPr="00F618D8">
        <w:rPr>
          <w:rStyle w:val="s1"/>
          <w:rFonts w:ascii="Arial" w:hAnsi="Arial" w:cs="Arial"/>
          <w:sz w:val="24"/>
          <w:szCs w:val="24"/>
        </w:rPr>
        <w:t>based on</w:t>
      </w:r>
      <w:r w:rsidRPr="00F618D8">
        <w:rPr>
          <w:rStyle w:val="s1"/>
          <w:rFonts w:ascii="Arial" w:hAnsi="Arial" w:cs="Arial"/>
          <w:sz w:val="24"/>
          <w:szCs w:val="24"/>
        </w:rPr>
        <w:t xml:space="preserve"> disability in violation of Section 504 of the Rehabilitation Act and Title II of the Americans with Disabilities Act</w:t>
      </w:r>
      <w:r w:rsidR="00AA1F92" w:rsidRPr="00F618D8">
        <w:rPr>
          <w:rStyle w:val="s1"/>
          <w:rFonts w:ascii="Arial" w:hAnsi="Arial" w:cs="Arial"/>
          <w:sz w:val="24"/>
          <w:szCs w:val="24"/>
        </w:rPr>
        <w:t xml:space="preserve">. </w:t>
      </w:r>
    </w:p>
    <w:p w14:paraId="5C463EF0" w14:textId="77777777" w:rsidR="00717597" w:rsidRPr="00F618D8" w:rsidRDefault="00717597" w:rsidP="00CA6AB0">
      <w:pPr>
        <w:pStyle w:val="ListParagraph"/>
        <w:rPr>
          <w:rFonts w:ascii="Arial" w:hAnsi="Arial" w:cs="Arial"/>
        </w:rPr>
      </w:pPr>
      <w:r w:rsidRPr="00F618D8">
        <w:rPr>
          <w:rStyle w:val="s1"/>
          <w:rFonts w:ascii="Arial" w:hAnsi="Arial" w:cs="Arial"/>
          <w:sz w:val="24"/>
          <w:szCs w:val="24"/>
        </w:rPr>
        <w:t>Given the link between self-determination and community integration, states should includ</w:t>
      </w:r>
      <w:r w:rsidR="005924B9" w:rsidRPr="00F618D8">
        <w:rPr>
          <w:rStyle w:val="s1"/>
          <w:rFonts w:ascii="Arial" w:hAnsi="Arial" w:cs="Arial"/>
          <w:sz w:val="24"/>
          <w:szCs w:val="24"/>
        </w:rPr>
        <w:t xml:space="preserve">e benchmarks related to </w:t>
      </w:r>
      <w:r w:rsidR="00541780" w:rsidRPr="00F618D8">
        <w:rPr>
          <w:rStyle w:val="s1"/>
          <w:rFonts w:ascii="Arial" w:hAnsi="Arial" w:cs="Arial"/>
          <w:sz w:val="24"/>
          <w:szCs w:val="24"/>
        </w:rPr>
        <w:t>SDM</w:t>
      </w:r>
      <w:r w:rsidRPr="00F618D8">
        <w:rPr>
          <w:rStyle w:val="s1"/>
          <w:rFonts w:ascii="Arial" w:hAnsi="Arial" w:cs="Arial"/>
          <w:sz w:val="24"/>
          <w:szCs w:val="24"/>
        </w:rPr>
        <w:t xml:space="preserve"> in their </w:t>
      </w:r>
      <w:r w:rsidRPr="00F618D8">
        <w:rPr>
          <w:rStyle w:val="s1"/>
          <w:rFonts w:ascii="Arial" w:hAnsi="Arial" w:cs="Arial"/>
          <w:i/>
          <w:sz w:val="24"/>
          <w:szCs w:val="24"/>
        </w:rPr>
        <w:t>Olmstead</w:t>
      </w:r>
      <w:r w:rsidRPr="00F618D8">
        <w:rPr>
          <w:rStyle w:val="s1"/>
          <w:rFonts w:ascii="Arial" w:hAnsi="Arial" w:cs="Arial"/>
          <w:sz w:val="24"/>
          <w:szCs w:val="24"/>
        </w:rPr>
        <w:t xml:space="preserve"> plans</w:t>
      </w:r>
      <w:r w:rsidR="00AA1F92" w:rsidRPr="00F618D8">
        <w:rPr>
          <w:rStyle w:val="s1"/>
          <w:rFonts w:ascii="Arial" w:hAnsi="Arial" w:cs="Arial"/>
          <w:sz w:val="24"/>
          <w:szCs w:val="24"/>
        </w:rPr>
        <w:t xml:space="preserve">. </w:t>
      </w:r>
      <w:r w:rsidR="00A71BDF" w:rsidRPr="00F618D8">
        <w:rPr>
          <w:rStyle w:val="s1"/>
          <w:rFonts w:ascii="Arial" w:hAnsi="Arial" w:cs="Arial"/>
          <w:sz w:val="24"/>
          <w:szCs w:val="24"/>
        </w:rPr>
        <w:t xml:space="preserve">These official documents are ways </w:t>
      </w:r>
      <w:r w:rsidR="009F790B" w:rsidRPr="00F618D8">
        <w:rPr>
          <w:rFonts w:ascii="Arial" w:hAnsi="Arial" w:cs="Arial"/>
        </w:rPr>
        <w:t xml:space="preserve">states </w:t>
      </w:r>
      <w:r w:rsidR="00A71BDF" w:rsidRPr="00F618D8">
        <w:rPr>
          <w:rFonts w:ascii="Arial" w:hAnsi="Arial" w:cs="Arial"/>
        </w:rPr>
        <w:t>d</w:t>
      </w:r>
      <w:r w:rsidR="009F790B" w:rsidRPr="00F618D8">
        <w:rPr>
          <w:rFonts w:ascii="Arial" w:hAnsi="Arial" w:cs="Arial"/>
        </w:rPr>
        <w:t xml:space="preserve">ocument their </w:t>
      </w:r>
      <w:r w:rsidR="00A71BDF" w:rsidRPr="00F618D8">
        <w:rPr>
          <w:rFonts w:ascii="Arial" w:hAnsi="Arial" w:cs="Arial"/>
        </w:rPr>
        <w:t>commitment</w:t>
      </w:r>
      <w:r w:rsidR="009F790B" w:rsidRPr="00F618D8">
        <w:rPr>
          <w:rFonts w:ascii="Arial" w:hAnsi="Arial" w:cs="Arial"/>
        </w:rPr>
        <w:t xml:space="preserve"> to </w:t>
      </w:r>
      <w:r w:rsidR="00A71BDF" w:rsidRPr="00F618D8">
        <w:rPr>
          <w:rFonts w:ascii="Arial" w:hAnsi="Arial" w:cs="Arial"/>
        </w:rPr>
        <w:t>and plans for providing</w:t>
      </w:r>
      <w:r w:rsidR="009F790B" w:rsidRPr="00F618D8">
        <w:rPr>
          <w:rFonts w:ascii="Arial" w:hAnsi="Arial" w:cs="Arial"/>
        </w:rPr>
        <w:t xml:space="preserve"> services to people with disabilities in the inclusive and integrated settings, pursuant to the </w:t>
      </w:r>
      <w:r w:rsidR="00BB302D" w:rsidRPr="00F618D8">
        <w:rPr>
          <w:rFonts w:ascii="Arial" w:hAnsi="Arial" w:cs="Arial"/>
        </w:rPr>
        <w:t>ADA</w:t>
      </w:r>
      <w:r w:rsidR="009F790B" w:rsidRPr="00F618D8">
        <w:rPr>
          <w:rFonts w:ascii="Arial" w:hAnsi="Arial" w:cs="Arial"/>
        </w:rPr>
        <w:t>.</w:t>
      </w:r>
    </w:p>
    <w:p w14:paraId="0DE97381" w14:textId="77777777" w:rsidR="00BD4F7A" w:rsidRPr="00F618D8" w:rsidRDefault="00BD4F7A" w:rsidP="00CA6AB0">
      <w:pPr>
        <w:pStyle w:val="ListParagraph"/>
        <w:rPr>
          <w:rFonts w:ascii="Arial" w:hAnsi="Arial" w:cs="Arial"/>
        </w:rPr>
      </w:pPr>
      <w:r w:rsidRPr="00F618D8">
        <w:rPr>
          <w:rStyle w:val="s1"/>
          <w:rFonts w:ascii="Arial" w:hAnsi="Arial" w:cs="Arial"/>
          <w:sz w:val="24"/>
          <w:szCs w:val="24"/>
        </w:rPr>
        <w:t xml:space="preserve">To minimize the chance that they are overused or misused, any </w:t>
      </w:r>
      <w:r w:rsidR="00E2761F" w:rsidRPr="00F618D8">
        <w:rPr>
          <w:rStyle w:val="s1"/>
          <w:rFonts w:ascii="Arial" w:hAnsi="Arial" w:cs="Arial"/>
          <w:sz w:val="24"/>
          <w:szCs w:val="24"/>
        </w:rPr>
        <w:t>non-</w:t>
      </w:r>
      <w:r w:rsidRPr="00F618D8">
        <w:rPr>
          <w:rStyle w:val="s1"/>
          <w:rFonts w:ascii="Arial" w:hAnsi="Arial" w:cs="Arial"/>
          <w:sz w:val="24"/>
          <w:szCs w:val="24"/>
        </w:rPr>
        <w:t>judicial alternatives to guardianship that are triggered by some form of certification of a person's incapacity</w:t>
      </w:r>
      <w:r w:rsidR="00BB302D" w:rsidRPr="00F618D8">
        <w:rPr>
          <w:rFonts w:ascii="Arial" w:hAnsi="Arial" w:cs="Arial"/>
        </w:rPr>
        <w:t>—</w:t>
      </w:r>
      <w:r w:rsidRPr="00F618D8">
        <w:rPr>
          <w:rStyle w:val="s1"/>
          <w:rFonts w:ascii="Arial" w:hAnsi="Arial" w:cs="Arial"/>
          <w:sz w:val="24"/>
          <w:szCs w:val="24"/>
        </w:rPr>
        <w:t>such as the DC Health Care Decisions Act or the DC Educational Representative process</w:t>
      </w:r>
      <w:r w:rsidR="00BB302D" w:rsidRPr="00F618D8">
        <w:rPr>
          <w:rFonts w:ascii="Arial" w:hAnsi="Arial" w:cs="Arial"/>
        </w:rPr>
        <w:t>—</w:t>
      </w:r>
      <w:r w:rsidRPr="00F618D8">
        <w:rPr>
          <w:rStyle w:val="s1"/>
          <w:rFonts w:ascii="Arial" w:hAnsi="Arial" w:cs="Arial"/>
          <w:sz w:val="24"/>
          <w:szCs w:val="24"/>
        </w:rPr>
        <w:t xml:space="preserve">must: (a) first require the express ruling out of the availability of </w:t>
      </w:r>
      <w:r w:rsidR="005924B9" w:rsidRPr="00F618D8">
        <w:rPr>
          <w:rStyle w:val="s1"/>
          <w:rFonts w:ascii="Arial" w:hAnsi="Arial" w:cs="Arial"/>
          <w:sz w:val="24"/>
          <w:szCs w:val="24"/>
        </w:rPr>
        <w:t xml:space="preserve">alternative </w:t>
      </w:r>
      <w:r w:rsidRPr="00F618D8">
        <w:rPr>
          <w:rStyle w:val="s1"/>
          <w:rFonts w:ascii="Arial" w:hAnsi="Arial" w:cs="Arial"/>
          <w:sz w:val="24"/>
          <w:szCs w:val="24"/>
        </w:rPr>
        <w:t>voluntary options, such as durable powers of attorney for health care or educational powers of attorney; and (b) be easily challengeable by the person with the alleged disability.</w:t>
      </w:r>
      <w:r w:rsidRPr="00F618D8">
        <w:rPr>
          <w:rStyle w:val="apple-converted-space"/>
          <w:rFonts w:ascii="Arial" w:hAnsi="Arial" w:cs="Arial"/>
          <w:szCs w:val="24"/>
        </w:rPr>
        <w:t> </w:t>
      </w:r>
    </w:p>
    <w:p w14:paraId="5000C812" w14:textId="77777777" w:rsidR="00BD4F7A" w:rsidRPr="00F618D8" w:rsidRDefault="00BD4F7A" w:rsidP="00CA6AB0">
      <w:pPr>
        <w:pStyle w:val="ListParagraph"/>
        <w:rPr>
          <w:rFonts w:ascii="Arial" w:hAnsi="Arial" w:cs="Arial"/>
        </w:rPr>
      </w:pPr>
      <w:r w:rsidRPr="00F618D8">
        <w:rPr>
          <w:rStyle w:val="s1"/>
          <w:rFonts w:ascii="Arial" w:hAnsi="Arial" w:cs="Arial"/>
          <w:sz w:val="24"/>
          <w:szCs w:val="24"/>
        </w:rPr>
        <w:t>While state law, regulation, and policy changes to advance alternatives to guardianshi</w:t>
      </w:r>
      <w:r w:rsidR="005924B9" w:rsidRPr="00F618D8">
        <w:rPr>
          <w:rStyle w:val="s1"/>
          <w:rFonts w:ascii="Arial" w:hAnsi="Arial" w:cs="Arial"/>
          <w:sz w:val="24"/>
          <w:szCs w:val="24"/>
        </w:rPr>
        <w:t>p</w:t>
      </w:r>
      <w:r w:rsidR="00A71BDF" w:rsidRPr="00F618D8">
        <w:rPr>
          <w:rStyle w:val="s1"/>
          <w:rFonts w:ascii="Arial" w:hAnsi="Arial" w:cs="Arial"/>
          <w:sz w:val="24"/>
          <w:szCs w:val="24"/>
        </w:rPr>
        <w:t xml:space="preserve"> are</w:t>
      </w:r>
      <w:r w:rsidRPr="00F618D8">
        <w:rPr>
          <w:rStyle w:val="s1"/>
          <w:rFonts w:ascii="Arial" w:hAnsi="Arial" w:cs="Arial"/>
          <w:sz w:val="24"/>
          <w:szCs w:val="24"/>
        </w:rPr>
        <w:t xml:space="preserve"> needed, more is required to ensure full implementation for people </w:t>
      </w:r>
      <w:r w:rsidRPr="00F618D8">
        <w:rPr>
          <w:rStyle w:val="s1"/>
          <w:rFonts w:ascii="Arial" w:hAnsi="Arial" w:cs="Arial"/>
          <w:sz w:val="24"/>
          <w:szCs w:val="24"/>
        </w:rPr>
        <w:lastRenderedPageBreak/>
        <w:t>with ID/DD on the ground</w:t>
      </w:r>
      <w:r w:rsidR="00AA1F92" w:rsidRPr="00F618D8">
        <w:rPr>
          <w:rStyle w:val="s1"/>
          <w:rFonts w:ascii="Arial" w:hAnsi="Arial" w:cs="Arial"/>
          <w:sz w:val="24"/>
          <w:szCs w:val="24"/>
        </w:rPr>
        <w:t xml:space="preserve">. </w:t>
      </w:r>
      <w:r w:rsidRPr="00F618D8">
        <w:rPr>
          <w:rStyle w:val="s1"/>
          <w:rFonts w:ascii="Arial" w:hAnsi="Arial" w:cs="Arial"/>
          <w:sz w:val="24"/>
          <w:szCs w:val="24"/>
        </w:rPr>
        <w:t>This includes intense and frequent education of people with ID/DD, their families, state agencies, school personnel, judicial and court officers, attorneys, health care professionals, and financial institutions</w:t>
      </w:r>
      <w:r w:rsidR="00717597" w:rsidRPr="00F618D8">
        <w:rPr>
          <w:rStyle w:val="s1"/>
          <w:rFonts w:ascii="Arial" w:hAnsi="Arial" w:cs="Arial"/>
          <w:sz w:val="24"/>
          <w:szCs w:val="24"/>
        </w:rPr>
        <w:t>.</w:t>
      </w:r>
    </w:p>
    <w:p w14:paraId="49083AD2" w14:textId="77777777" w:rsidR="00BD4F7A" w:rsidRPr="00F618D8" w:rsidRDefault="00BD4F7A" w:rsidP="00CA6AB0">
      <w:pPr>
        <w:pStyle w:val="ListParagraph"/>
        <w:rPr>
          <w:rFonts w:ascii="Arial" w:hAnsi="Arial" w:cs="Arial"/>
        </w:rPr>
      </w:pPr>
      <w:r w:rsidRPr="00F618D8">
        <w:rPr>
          <w:rStyle w:val="s1"/>
          <w:rFonts w:ascii="Arial" w:hAnsi="Arial" w:cs="Arial"/>
          <w:sz w:val="24"/>
          <w:szCs w:val="24"/>
        </w:rPr>
        <w:t>When promising procedures and policies to promote alternatives to guardianship are introduced in schools, education</w:t>
      </w:r>
      <w:r w:rsidR="005924B9" w:rsidRPr="00F618D8">
        <w:rPr>
          <w:rStyle w:val="s1"/>
          <w:rFonts w:ascii="Arial" w:hAnsi="Arial" w:cs="Arial"/>
          <w:sz w:val="24"/>
          <w:szCs w:val="24"/>
        </w:rPr>
        <w:t>al</w:t>
      </w:r>
      <w:r w:rsidRPr="00F618D8">
        <w:rPr>
          <w:rStyle w:val="s1"/>
          <w:rFonts w:ascii="Arial" w:hAnsi="Arial" w:cs="Arial"/>
          <w:sz w:val="24"/>
          <w:szCs w:val="24"/>
        </w:rPr>
        <w:t xml:space="preserve"> oversight agencies must develop tracking mechanisms, so that they can trend the way in which IDEA decision-making rights are exercised by and/or for adult students with disabilities</w:t>
      </w:r>
      <w:r w:rsidR="00BB302D" w:rsidRPr="00F618D8">
        <w:rPr>
          <w:rFonts w:ascii="Arial" w:hAnsi="Arial" w:cs="Arial"/>
        </w:rPr>
        <w:t>—</w:t>
      </w:r>
      <w:r w:rsidRPr="00F618D8">
        <w:rPr>
          <w:rStyle w:val="s1"/>
          <w:rFonts w:ascii="Arial" w:hAnsi="Arial" w:cs="Arial"/>
          <w:sz w:val="24"/>
          <w:szCs w:val="24"/>
        </w:rPr>
        <w:t xml:space="preserve">e.g., through </w:t>
      </w:r>
      <w:r w:rsidR="00BB302D" w:rsidRPr="00F618D8">
        <w:rPr>
          <w:rStyle w:val="s1"/>
          <w:rFonts w:ascii="Arial" w:hAnsi="Arial" w:cs="Arial"/>
          <w:sz w:val="24"/>
          <w:szCs w:val="24"/>
        </w:rPr>
        <w:t>SDM</w:t>
      </w:r>
      <w:r w:rsidRPr="00F618D8">
        <w:rPr>
          <w:rStyle w:val="s1"/>
          <w:rFonts w:ascii="Arial" w:hAnsi="Arial" w:cs="Arial"/>
          <w:sz w:val="24"/>
          <w:szCs w:val="24"/>
        </w:rPr>
        <w:t xml:space="preserve">, </w:t>
      </w:r>
      <w:r w:rsidR="00463039" w:rsidRPr="00F618D8">
        <w:rPr>
          <w:rStyle w:val="s1"/>
          <w:rFonts w:ascii="Arial" w:hAnsi="Arial" w:cs="Arial"/>
          <w:sz w:val="24"/>
          <w:szCs w:val="24"/>
        </w:rPr>
        <w:t>p</w:t>
      </w:r>
      <w:r w:rsidRPr="00F618D8">
        <w:rPr>
          <w:rStyle w:val="s1"/>
          <w:rFonts w:ascii="Arial" w:hAnsi="Arial" w:cs="Arial"/>
          <w:sz w:val="24"/>
          <w:szCs w:val="24"/>
        </w:rPr>
        <w:t xml:space="preserve">owers of </w:t>
      </w:r>
      <w:r w:rsidR="00463039" w:rsidRPr="00F618D8">
        <w:rPr>
          <w:rStyle w:val="s1"/>
          <w:rFonts w:ascii="Arial" w:hAnsi="Arial" w:cs="Arial"/>
          <w:sz w:val="24"/>
          <w:szCs w:val="24"/>
        </w:rPr>
        <w:t>a</w:t>
      </w:r>
      <w:r w:rsidRPr="00F618D8">
        <w:rPr>
          <w:rStyle w:val="s1"/>
          <w:rFonts w:ascii="Arial" w:hAnsi="Arial" w:cs="Arial"/>
          <w:sz w:val="24"/>
          <w:szCs w:val="24"/>
        </w:rPr>
        <w:t xml:space="preserve">ttorney, </w:t>
      </w:r>
      <w:r w:rsidR="00640FDC" w:rsidRPr="00F618D8">
        <w:rPr>
          <w:rStyle w:val="s1"/>
          <w:rFonts w:ascii="Arial" w:hAnsi="Arial" w:cs="Arial"/>
          <w:sz w:val="24"/>
          <w:szCs w:val="24"/>
        </w:rPr>
        <w:t>educational representatives</w:t>
      </w:r>
      <w:r w:rsidRPr="00F618D8">
        <w:rPr>
          <w:rStyle w:val="s1"/>
          <w:rFonts w:ascii="Arial" w:hAnsi="Arial" w:cs="Arial"/>
          <w:sz w:val="24"/>
          <w:szCs w:val="24"/>
        </w:rPr>
        <w:t>, or Guardianship</w:t>
      </w:r>
      <w:r w:rsidR="00BB302D" w:rsidRPr="00F618D8">
        <w:rPr>
          <w:rFonts w:ascii="Arial" w:hAnsi="Arial" w:cs="Arial"/>
        </w:rPr>
        <w:t>—</w:t>
      </w:r>
      <w:r w:rsidRPr="00F618D8">
        <w:rPr>
          <w:rStyle w:val="s1"/>
          <w:rFonts w:ascii="Arial" w:hAnsi="Arial" w:cs="Arial"/>
          <w:sz w:val="24"/>
          <w:szCs w:val="24"/>
        </w:rPr>
        <w:t>so that the impact of these reforms can be concretely assessed and monitored</w:t>
      </w:r>
      <w:r w:rsidR="00AA1F92" w:rsidRPr="00F618D8">
        <w:rPr>
          <w:rStyle w:val="s1"/>
          <w:rFonts w:ascii="Arial" w:hAnsi="Arial" w:cs="Arial"/>
          <w:sz w:val="24"/>
          <w:szCs w:val="24"/>
        </w:rPr>
        <w:t xml:space="preserve">. </w:t>
      </w:r>
    </w:p>
    <w:p w14:paraId="5BC573C9" w14:textId="77777777" w:rsidR="00BD4F7A" w:rsidRPr="00F618D8" w:rsidRDefault="00BD4F7A" w:rsidP="00CA6AB0">
      <w:pPr>
        <w:pStyle w:val="ListParagraph"/>
        <w:rPr>
          <w:rFonts w:ascii="Arial" w:hAnsi="Arial" w:cs="Arial"/>
        </w:rPr>
      </w:pPr>
      <w:r w:rsidRPr="00F618D8">
        <w:rPr>
          <w:rStyle w:val="s1"/>
          <w:rFonts w:ascii="Arial" w:hAnsi="Arial" w:cs="Arial"/>
          <w:sz w:val="24"/>
          <w:szCs w:val="24"/>
        </w:rPr>
        <w:t xml:space="preserve">Probate court resource centers that provide prose assistance to people seeking guardianship should also proactively provide information about less-restrictive alternatives that are also available under state law, such as </w:t>
      </w:r>
      <w:r w:rsidR="009E4D61" w:rsidRPr="00F618D8">
        <w:rPr>
          <w:rStyle w:val="s1"/>
          <w:rFonts w:ascii="Arial" w:hAnsi="Arial" w:cs="Arial"/>
          <w:sz w:val="24"/>
          <w:szCs w:val="24"/>
        </w:rPr>
        <w:t>SDM</w:t>
      </w:r>
      <w:r w:rsidRPr="00F618D8">
        <w:rPr>
          <w:rStyle w:val="s1"/>
          <w:rFonts w:ascii="Arial" w:hAnsi="Arial" w:cs="Arial"/>
          <w:sz w:val="24"/>
          <w:szCs w:val="24"/>
        </w:rPr>
        <w:t xml:space="preserve">, </w:t>
      </w:r>
      <w:r w:rsidR="009D4F87" w:rsidRPr="00F618D8">
        <w:rPr>
          <w:rStyle w:val="s1"/>
          <w:rFonts w:ascii="Arial" w:hAnsi="Arial" w:cs="Arial"/>
          <w:sz w:val="24"/>
          <w:szCs w:val="24"/>
        </w:rPr>
        <w:t>p</w:t>
      </w:r>
      <w:r w:rsidRPr="00F618D8">
        <w:rPr>
          <w:rStyle w:val="s1"/>
          <w:rFonts w:ascii="Arial" w:hAnsi="Arial" w:cs="Arial"/>
          <w:sz w:val="24"/>
          <w:szCs w:val="24"/>
        </w:rPr>
        <w:t xml:space="preserve">owers of </w:t>
      </w:r>
      <w:r w:rsidR="009D4F87" w:rsidRPr="00F618D8">
        <w:rPr>
          <w:rStyle w:val="s1"/>
          <w:rFonts w:ascii="Arial" w:hAnsi="Arial" w:cs="Arial"/>
          <w:sz w:val="24"/>
          <w:szCs w:val="24"/>
        </w:rPr>
        <w:t>a</w:t>
      </w:r>
      <w:r w:rsidRPr="00F618D8">
        <w:rPr>
          <w:rStyle w:val="s1"/>
          <w:rFonts w:ascii="Arial" w:hAnsi="Arial" w:cs="Arial"/>
          <w:sz w:val="24"/>
          <w:szCs w:val="24"/>
        </w:rPr>
        <w:t xml:space="preserve">ttorney, </w:t>
      </w:r>
      <w:r w:rsidR="005871EE" w:rsidRPr="00F618D8">
        <w:rPr>
          <w:rStyle w:val="s1"/>
          <w:rFonts w:ascii="Arial" w:hAnsi="Arial" w:cs="Arial"/>
          <w:sz w:val="24"/>
          <w:szCs w:val="24"/>
        </w:rPr>
        <w:t>r</w:t>
      </w:r>
      <w:r w:rsidRPr="00F618D8">
        <w:rPr>
          <w:rStyle w:val="s1"/>
          <w:rFonts w:ascii="Arial" w:hAnsi="Arial" w:cs="Arial"/>
          <w:sz w:val="24"/>
          <w:szCs w:val="24"/>
        </w:rPr>
        <w:t xml:space="preserve">epresentative </w:t>
      </w:r>
      <w:r w:rsidR="005871EE" w:rsidRPr="00F618D8">
        <w:rPr>
          <w:rStyle w:val="s1"/>
          <w:rFonts w:ascii="Arial" w:hAnsi="Arial" w:cs="Arial"/>
          <w:sz w:val="24"/>
          <w:szCs w:val="24"/>
        </w:rPr>
        <w:t>p</w:t>
      </w:r>
      <w:r w:rsidRPr="00F618D8">
        <w:rPr>
          <w:rStyle w:val="s1"/>
          <w:rFonts w:ascii="Arial" w:hAnsi="Arial" w:cs="Arial"/>
          <w:sz w:val="24"/>
          <w:szCs w:val="24"/>
        </w:rPr>
        <w:t xml:space="preserve">ayees, and </w:t>
      </w:r>
      <w:r w:rsidR="00640FDC" w:rsidRPr="00F618D8">
        <w:rPr>
          <w:rStyle w:val="s1"/>
          <w:rFonts w:ascii="Arial" w:hAnsi="Arial" w:cs="Arial"/>
          <w:sz w:val="24"/>
          <w:szCs w:val="24"/>
        </w:rPr>
        <w:t xml:space="preserve">substitute </w:t>
      </w:r>
      <w:r w:rsidR="00961A90" w:rsidRPr="00F618D8">
        <w:rPr>
          <w:rStyle w:val="s1"/>
          <w:rFonts w:ascii="Arial" w:hAnsi="Arial" w:cs="Arial"/>
          <w:sz w:val="24"/>
          <w:szCs w:val="24"/>
        </w:rPr>
        <w:t xml:space="preserve">or </w:t>
      </w:r>
      <w:r w:rsidR="00640FDC" w:rsidRPr="00F618D8">
        <w:rPr>
          <w:rStyle w:val="s1"/>
          <w:rFonts w:ascii="Arial" w:hAnsi="Arial" w:cs="Arial"/>
          <w:sz w:val="24"/>
          <w:szCs w:val="24"/>
        </w:rPr>
        <w:t>surrogate health care decision</w:t>
      </w:r>
      <w:r w:rsidRPr="00F618D8">
        <w:rPr>
          <w:rStyle w:val="s1"/>
          <w:rFonts w:ascii="Arial" w:hAnsi="Arial" w:cs="Arial"/>
          <w:sz w:val="24"/>
          <w:szCs w:val="24"/>
        </w:rPr>
        <w:t>-</w:t>
      </w:r>
      <w:r w:rsidR="00CE3FDA" w:rsidRPr="00F618D8">
        <w:rPr>
          <w:rStyle w:val="s1"/>
          <w:rFonts w:ascii="Arial" w:hAnsi="Arial" w:cs="Arial"/>
          <w:sz w:val="24"/>
          <w:szCs w:val="24"/>
        </w:rPr>
        <w:t>m</w:t>
      </w:r>
      <w:r w:rsidR="00640FDC" w:rsidRPr="00F618D8">
        <w:rPr>
          <w:rStyle w:val="s1"/>
          <w:rFonts w:ascii="Arial" w:hAnsi="Arial" w:cs="Arial"/>
          <w:sz w:val="24"/>
          <w:szCs w:val="24"/>
        </w:rPr>
        <w:t>akers</w:t>
      </w:r>
      <w:r w:rsidR="00AA1F92" w:rsidRPr="00F618D8">
        <w:rPr>
          <w:rStyle w:val="s1"/>
          <w:rFonts w:ascii="Arial" w:hAnsi="Arial" w:cs="Arial"/>
          <w:sz w:val="24"/>
          <w:szCs w:val="24"/>
        </w:rPr>
        <w:t xml:space="preserve">. </w:t>
      </w:r>
    </w:p>
    <w:p w14:paraId="40F7DCA2" w14:textId="77777777" w:rsidR="00BD4F7A" w:rsidRPr="00F618D8" w:rsidRDefault="00BD4F7A" w:rsidP="00CA6AB0">
      <w:pPr>
        <w:pStyle w:val="ListParagraph"/>
        <w:rPr>
          <w:rFonts w:ascii="Arial" w:hAnsi="Arial" w:cs="Arial"/>
        </w:rPr>
      </w:pPr>
      <w:r w:rsidRPr="00F618D8">
        <w:rPr>
          <w:rStyle w:val="s1"/>
          <w:rFonts w:ascii="Arial" w:hAnsi="Arial" w:cs="Arial"/>
          <w:sz w:val="24"/>
          <w:szCs w:val="24"/>
        </w:rPr>
        <w:t xml:space="preserve">State laws should not only ensure that there is an unconditional right to counsel for people in initial and post-appointment guardianship proceedings, but </w:t>
      </w:r>
      <w:r w:rsidR="00DA736B" w:rsidRPr="00F618D8">
        <w:rPr>
          <w:rStyle w:val="s1"/>
          <w:rFonts w:ascii="Arial" w:hAnsi="Arial" w:cs="Arial"/>
          <w:sz w:val="24"/>
          <w:szCs w:val="24"/>
        </w:rPr>
        <w:t>also</w:t>
      </w:r>
      <w:r w:rsidR="00961A90" w:rsidRPr="00F618D8">
        <w:rPr>
          <w:rStyle w:val="s1"/>
          <w:rFonts w:ascii="Arial" w:hAnsi="Arial" w:cs="Arial"/>
          <w:sz w:val="24"/>
          <w:szCs w:val="24"/>
        </w:rPr>
        <w:t xml:space="preserve"> </w:t>
      </w:r>
      <w:r w:rsidRPr="00F618D8">
        <w:rPr>
          <w:rStyle w:val="s1"/>
          <w:rFonts w:ascii="Arial" w:hAnsi="Arial" w:cs="Arial"/>
          <w:sz w:val="24"/>
          <w:szCs w:val="24"/>
        </w:rPr>
        <w:t>that counsel is expressly required to zealously advocate for their clients' expressed wishes.</w:t>
      </w:r>
    </w:p>
    <w:p w14:paraId="7FD7FAEE" w14:textId="77777777" w:rsidR="00BD4F7A" w:rsidRPr="00F618D8" w:rsidRDefault="00BD4F7A" w:rsidP="00CA6AB0">
      <w:pPr>
        <w:pStyle w:val="ListParagraph"/>
        <w:rPr>
          <w:rStyle w:val="apple-converted-space"/>
          <w:rFonts w:ascii="Arial" w:hAnsi="Arial" w:cs="Arial"/>
          <w:szCs w:val="24"/>
        </w:rPr>
      </w:pPr>
      <w:r w:rsidRPr="00F618D8">
        <w:rPr>
          <w:rStyle w:val="s1"/>
          <w:rFonts w:ascii="Arial" w:hAnsi="Arial" w:cs="Arial"/>
          <w:sz w:val="24"/>
          <w:szCs w:val="24"/>
        </w:rPr>
        <w:t>DC's law promoting limited guardianship is not significantly impacting the scope of</w:t>
      </w:r>
      <w:r w:rsidRPr="00F618D8">
        <w:rPr>
          <w:rStyle w:val="apple-converted-space"/>
          <w:rFonts w:ascii="Arial" w:hAnsi="Arial" w:cs="Arial"/>
          <w:szCs w:val="24"/>
        </w:rPr>
        <w:t xml:space="preserve"> </w:t>
      </w:r>
      <w:r w:rsidRPr="00F618D8">
        <w:rPr>
          <w:rStyle w:val="s1"/>
          <w:rFonts w:ascii="Arial" w:hAnsi="Arial" w:cs="Arial"/>
          <w:sz w:val="24"/>
          <w:szCs w:val="24"/>
        </w:rPr>
        <w:t>an appointed guardian's authority over people with ID/DD, which has tended to be general or plenary in nature, based on recent data</w:t>
      </w:r>
      <w:r w:rsidR="00AA1F92" w:rsidRPr="00F618D8">
        <w:rPr>
          <w:rStyle w:val="s1"/>
          <w:rFonts w:ascii="Arial" w:hAnsi="Arial" w:cs="Arial"/>
          <w:sz w:val="24"/>
          <w:szCs w:val="24"/>
        </w:rPr>
        <w:t xml:space="preserve">. </w:t>
      </w:r>
      <w:r w:rsidRPr="00F618D8">
        <w:rPr>
          <w:rStyle w:val="s1"/>
          <w:rFonts w:ascii="Arial" w:hAnsi="Arial" w:cs="Arial"/>
          <w:sz w:val="24"/>
          <w:szCs w:val="24"/>
        </w:rPr>
        <w:t>Judicial education to ensure limited guardianship</w:t>
      </w:r>
      <w:r w:rsidR="00DA736B" w:rsidRPr="00F618D8">
        <w:rPr>
          <w:rStyle w:val="s1"/>
          <w:rFonts w:ascii="Arial" w:hAnsi="Arial" w:cs="Arial"/>
          <w:sz w:val="24"/>
          <w:szCs w:val="24"/>
        </w:rPr>
        <w:t>s</w:t>
      </w:r>
      <w:r w:rsidRPr="00F618D8">
        <w:rPr>
          <w:rStyle w:val="s1"/>
          <w:rFonts w:ascii="Arial" w:hAnsi="Arial" w:cs="Arial"/>
          <w:sz w:val="24"/>
          <w:szCs w:val="24"/>
        </w:rPr>
        <w:t xml:space="preserve"> </w:t>
      </w:r>
      <w:r w:rsidR="009E4D61" w:rsidRPr="00F618D8">
        <w:rPr>
          <w:rStyle w:val="s1"/>
          <w:rFonts w:ascii="Arial" w:hAnsi="Arial" w:cs="Arial"/>
          <w:sz w:val="24"/>
          <w:szCs w:val="24"/>
        </w:rPr>
        <w:t>are</w:t>
      </w:r>
      <w:r w:rsidRPr="00F618D8">
        <w:rPr>
          <w:rStyle w:val="s1"/>
          <w:rFonts w:ascii="Arial" w:hAnsi="Arial" w:cs="Arial"/>
          <w:sz w:val="24"/>
          <w:szCs w:val="24"/>
        </w:rPr>
        <w:t xml:space="preserve"> a viable option for people with ID/DD is needed</w:t>
      </w:r>
      <w:r w:rsidR="00AA1F92" w:rsidRPr="00F618D8">
        <w:rPr>
          <w:rStyle w:val="s1"/>
          <w:rFonts w:ascii="Arial" w:hAnsi="Arial" w:cs="Arial"/>
          <w:sz w:val="24"/>
          <w:szCs w:val="24"/>
        </w:rPr>
        <w:t xml:space="preserve">. </w:t>
      </w:r>
    </w:p>
    <w:p w14:paraId="1BC272A0" w14:textId="751B5DBE" w:rsidR="00BD4F7A" w:rsidRPr="00F618D8" w:rsidRDefault="00BD4F7A" w:rsidP="00CA6AB0">
      <w:pPr>
        <w:pStyle w:val="ListParagraph"/>
        <w:rPr>
          <w:rFonts w:ascii="Arial" w:hAnsi="Arial" w:cs="Arial"/>
        </w:rPr>
      </w:pPr>
      <w:r w:rsidRPr="00F618D8">
        <w:rPr>
          <w:rStyle w:val="s1"/>
          <w:rFonts w:ascii="Arial" w:hAnsi="Arial" w:cs="Arial"/>
          <w:sz w:val="24"/>
          <w:szCs w:val="24"/>
        </w:rPr>
        <w:t>Although it is too early to meaningfully assess its impact in DC, instituting periodic court reviews</w:t>
      </w:r>
      <w:r w:rsidRPr="00F618D8">
        <w:rPr>
          <w:rStyle w:val="apple-converted-space"/>
          <w:rFonts w:ascii="Arial" w:hAnsi="Arial" w:cs="Arial"/>
          <w:szCs w:val="24"/>
        </w:rPr>
        <w:t> of</w:t>
      </w:r>
      <w:r w:rsidRPr="00F618D8">
        <w:rPr>
          <w:rStyle w:val="s1"/>
          <w:rFonts w:ascii="Arial" w:hAnsi="Arial" w:cs="Arial"/>
          <w:sz w:val="24"/>
          <w:szCs w:val="24"/>
        </w:rPr>
        <w:t xml:space="preserve"> </w:t>
      </w:r>
      <w:r w:rsidR="009E4D61" w:rsidRPr="00F618D8">
        <w:rPr>
          <w:rStyle w:val="s1"/>
          <w:rFonts w:ascii="Arial" w:hAnsi="Arial" w:cs="Arial"/>
          <w:sz w:val="24"/>
          <w:szCs w:val="24"/>
        </w:rPr>
        <w:t>whether</w:t>
      </w:r>
      <w:r w:rsidRPr="00F618D8">
        <w:rPr>
          <w:rStyle w:val="s1"/>
          <w:rFonts w:ascii="Arial" w:hAnsi="Arial" w:cs="Arial"/>
          <w:sz w:val="24"/>
          <w:szCs w:val="24"/>
        </w:rPr>
        <w:t xml:space="preserve"> a guardianship continues to be the least-restrictive option for a person is a promising DC reform</w:t>
      </w:r>
      <w:r w:rsidR="00AA1F92" w:rsidRPr="00F618D8">
        <w:rPr>
          <w:rStyle w:val="s1"/>
          <w:rFonts w:ascii="Arial" w:hAnsi="Arial" w:cs="Arial"/>
          <w:sz w:val="24"/>
          <w:szCs w:val="24"/>
        </w:rPr>
        <w:t xml:space="preserve">. </w:t>
      </w:r>
      <w:r w:rsidRPr="00F618D8">
        <w:rPr>
          <w:rStyle w:val="s1"/>
          <w:rFonts w:ascii="Arial" w:hAnsi="Arial" w:cs="Arial"/>
          <w:sz w:val="24"/>
          <w:szCs w:val="24"/>
        </w:rPr>
        <w:t xml:space="preserve">DC Courts should ensure this review process remains fully funded and </w:t>
      </w:r>
      <w:r w:rsidR="005924B9" w:rsidRPr="00F618D8">
        <w:rPr>
          <w:rStyle w:val="s1"/>
          <w:rFonts w:ascii="Arial" w:hAnsi="Arial" w:cs="Arial"/>
          <w:sz w:val="24"/>
          <w:szCs w:val="24"/>
        </w:rPr>
        <w:t xml:space="preserve">should </w:t>
      </w:r>
      <w:r w:rsidRPr="00F618D8">
        <w:rPr>
          <w:rStyle w:val="s1"/>
          <w:rFonts w:ascii="Arial" w:hAnsi="Arial" w:cs="Arial"/>
          <w:sz w:val="24"/>
          <w:szCs w:val="24"/>
        </w:rPr>
        <w:t>continue to move towards expanding it to more people whose guardian was appointed before 2015</w:t>
      </w:r>
      <w:r w:rsidR="00AA1F92" w:rsidRPr="00F618D8">
        <w:rPr>
          <w:rStyle w:val="s1"/>
          <w:rFonts w:ascii="Arial" w:hAnsi="Arial" w:cs="Arial"/>
          <w:sz w:val="24"/>
          <w:szCs w:val="24"/>
        </w:rPr>
        <w:t xml:space="preserve">. </w:t>
      </w:r>
      <w:r w:rsidRPr="00F618D8">
        <w:rPr>
          <w:rStyle w:val="apple-converted-space"/>
          <w:rFonts w:ascii="Arial" w:hAnsi="Arial" w:cs="Arial"/>
          <w:szCs w:val="24"/>
        </w:rPr>
        <w:t>Establishing such review processes should be considered in other states</w:t>
      </w:r>
      <w:r w:rsidR="00FF4A58" w:rsidRPr="00F618D8">
        <w:rPr>
          <w:rStyle w:val="apple-converted-space"/>
          <w:rFonts w:ascii="Arial" w:hAnsi="Arial" w:cs="Arial"/>
          <w:szCs w:val="24"/>
        </w:rPr>
        <w:t>.</w:t>
      </w:r>
    </w:p>
    <w:p w14:paraId="0DB428D6" w14:textId="77777777" w:rsidR="00717597" w:rsidRPr="00F618D8" w:rsidRDefault="00A71BDF" w:rsidP="00CA6AB0">
      <w:pPr>
        <w:pStyle w:val="ListParagraph"/>
        <w:rPr>
          <w:rStyle w:val="s1"/>
          <w:rFonts w:ascii="Arial" w:hAnsi="Arial" w:cs="Arial"/>
          <w:sz w:val="24"/>
          <w:szCs w:val="24"/>
        </w:rPr>
      </w:pPr>
      <w:r w:rsidRPr="00F618D8">
        <w:rPr>
          <w:rStyle w:val="s1"/>
          <w:rFonts w:ascii="Arial" w:hAnsi="Arial" w:cs="Arial"/>
          <w:sz w:val="24"/>
          <w:szCs w:val="24"/>
        </w:rPr>
        <w:t xml:space="preserve">The DC Superior Court Probate Branch offers </w:t>
      </w:r>
      <w:r w:rsidR="00BD4F7A" w:rsidRPr="00F618D8">
        <w:rPr>
          <w:rStyle w:val="s1"/>
          <w:rFonts w:ascii="Arial" w:hAnsi="Arial" w:cs="Arial"/>
          <w:sz w:val="24"/>
          <w:szCs w:val="24"/>
        </w:rPr>
        <w:t xml:space="preserve">regular </w:t>
      </w:r>
      <w:r w:rsidRPr="00F618D8">
        <w:rPr>
          <w:rStyle w:val="s1"/>
          <w:rFonts w:ascii="Arial" w:hAnsi="Arial" w:cs="Arial"/>
          <w:sz w:val="24"/>
          <w:szCs w:val="24"/>
        </w:rPr>
        <w:t xml:space="preserve">orientations </w:t>
      </w:r>
      <w:r w:rsidR="00BD4F7A" w:rsidRPr="00F618D8">
        <w:rPr>
          <w:rStyle w:val="s1"/>
          <w:rFonts w:ascii="Arial" w:hAnsi="Arial" w:cs="Arial"/>
          <w:sz w:val="24"/>
          <w:szCs w:val="24"/>
        </w:rPr>
        <w:t>to family members on what the legal responsibilities of guardians are</w:t>
      </w:r>
      <w:r w:rsidR="00AA1F92" w:rsidRPr="00F618D8">
        <w:rPr>
          <w:rStyle w:val="s1"/>
          <w:rFonts w:ascii="Arial" w:hAnsi="Arial" w:cs="Arial"/>
          <w:sz w:val="24"/>
          <w:szCs w:val="24"/>
        </w:rPr>
        <w:t xml:space="preserve">. </w:t>
      </w:r>
      <w:r w:rsidR="00BD4F7A" w:rsidRPr="00F618D8">
        <w:rPr>
          <w:rStyle w:val="s1"/>
          <w:rFonts w:ascii="Arial" w:hAnsi="Arial" w:cs="Arial"/>
          <w:sz w:val="24"/>
          <w:szCs w:val="24"/>
        </w:rPr>
        <w:t xml:space="preserve">It and other state courts should also </w:t>
      </w:r>
      <w:r w:rsidR="00DA736B" w:rsidRPr="00F618D8">
        <w:rPr>
          <w:rStyle w:val="s1"/>
          <w:rFonts w:ascii="Arial" w:hAnsi="Arial" w:cs="Arial"/>
          <w:sz w:val="24"/>
          <w:szCs w:val="24"/>
        </w:rPr>
        <w:t>train family member and professional guardians on using</w:t>
      </w:r>
      <w:r w:rsidR="001E3988" w:rsidRPr="00F618D8">
        <w:rPr>
          <w:rStyle w:val="s1"/>
          <w:rFonts w:ascii="Arial" w:hAnsi="Arial" w:cs="Arial"/>
          <w:sz w:val="24"/>
          <w:szCs w:val="24"/>
        </w:rPr>
        <w:t xml:space="preserve"> SDM</w:t>
      </w:r>
      <w:r w:rsidR="00DA736B" w:rsidRPr="00F618D8">
        <w:rPr>
          <w:rStyle w:val="s1"/>
          <w:rFonts w:ascii="Arial" w:hAnsi="Arial" w:cs="Arial"/>
          <w:sz w:val="24"/>
          <w:szCs w:val="24"/>
        </w:rPr>
        <w:t xml:space="preserve"> within a court-appointed guardianship to increase self-determination, as well as train pe</w:t>
      </w:r>
      <w:r w:rsidR="00BD4F7A" w:rsidRPr="00F618D8">
        <w:rPr>
          <w:rStyle w:val="s1"/>
          <w:rFonts w:ascii="Arial" w:hAnsi="Arial" w:cs="Arial"/>
          <w:sz w:val="24"/>
          <w:szCs w:val="24"/>
        </w:rPr>
        <w:t xml:space="preserve">ople who have guardians </w:t>
      </w:r>
      <w:r w:rsidR="001E3988" w:rsidRPr="00F618D8">
        <w:rPr>
          <w:rStyle w:val="s1"/>
          <w:rFonts w:ascii="Arial" w:hAnsi="Arial" w:cs="Arial"/>
          <w:sz w:val="24"/>
          <w:szCs w:val="24"/>
        </w:rPr>
        <w:t xml:space="preserve">about </w:t>
      </w:r>
      <w:r w:rsidR="00BD4F7A" w:rsidRPr="00F618D8">
        <w:rPr>
          <w:rStyle w:val="s1"/>
          <w:rFonts w:ascii="Arial" w:hAnsi="Arial" w:cs="Arial"/>
          <w:sz w:val="24"/>
          <w:szCs w:val="24"/>
        </w:rPr>
        <w:t xml:space="preserve">ways they can access the new complaint process and initiate restoration of rights proceedings. </w:t>
      </w:r>
    </w:p>
    <w:p w14:paraId="538F62DF" w14:textId="77777777" w:rsidR="00D863E5" w:rsidRPr="00F618D8" w:rsidRDefault="00BD4F7A" w:rsidP="00CA6AB0">
      <w:pPr>
        <w:pStyle w:val="ParaNoIndent"/>
        <w:rPr>
          <w:rFonts w:ascii="Arial" w:hAnsi="Arial"/>
        </w:rPr>
      </w:pPr>
      <w:r w:rsidRPr="00F618D8">
        <w:rPr>
          <w:rFonts w:ascii="Arial" w:hAnsi="Arial"/>
        </w:rPr>
        <w:lastRenderedPageBreak/>
        <w:t>As one community advocate in DC said, “DC is at the forefront of a lot of important legal reforms designed to promote recognition of the decision-making rights of people with ID/DD</w:t>
      </w:r>
      <w:r w:rsidR="00AA1F92" w:rsidRPr="00F618D8">
        <w:rPr>
          <w:rFonts w:ascii="Arial" w:hAnsi="Arial"/>
        </w:rPr>
        <w:t xml:space="preserve">. </w:t>
      </w:r>
      <w:r w:rsidRPr="00F618D8">
        <w:rPr>
          <w:rFonts w:ascii="Arial" w:hAnsi="Arial"/>
        </w:rPr>
        <w:t xml:space="preserve">Yet, I still regularly get calls from parents and other family members who say they were told to get guardianship and are not aware of the many less-restrictive options that are available in DC. For these promising reforms to have an impact, a culture shift still needs to </w:t>
      </w:r>
      <w:r w:rsidR="00473D44" w:rsidRPr="00F618D8">
        <w:rPr>
          <w:rFonts w:ascii="Arial" w:hAnsi="Arial"/>
        </w:rPr>
        <w:t>happen</w:t>
      </w:r>
      <w:r w:rsidR="005F7243" w:rsidRPr="00F618D8">
        <w:rPr>
          <w:rFonts w:ascii="Arial" w:hAnsi="Arial"/>
        </w:rPr>
        <w:t>—</w:t>
      </w:r>
      <w:r w:rsidRPr="00F618D8">
        <w:rPr>
          <w:rFonts w:ascii="Arial" w:hAnsi="Arial"/>
        </w:rPr>
        <w:t>at the family level, at the school level, at the judicial level, at the governmental agency level</w:t>
      </w:r>
      <w:r w:rsidR="005F7243" w:rsidRPr="00F618D8">
        <w:rPr>
          <w:rFonts w:ascii="Arial" w:hAnsi="Arial"/>
        </w:rPr>
        <w:t>—</w:t>
      </w:r>
      <w:r w:rsidRPr="00F618D8">
        <w:rPr>
          <w:rFonts w:ascii="Arial" w:hAnsi="Arial"/>
        </w:rPr>
        <w:t xml:space="preserve">that recognizes guardianship is not the only game in town for </w:t>
      </w:r>
      <w:r w:rsidR="00473D44" w:rsidRPr="00F618D8">
        <w:rPr>
          <w:rFonts w:ascii="Arial" w:hAnsi="Arial"/>
        </w:rPr>
        <w:t xml:space="preserve">DC residents </w:t>
      </w:r>
      <w:r w:rsidRPr="00F618D8">
        <w:rPr>
          <w:rFonts w:ascii="Arial" w:hAnsi="Arial"/>
        </w:rPr>
        <w:t>with ID/DD.”</w:t>
      </w:r>
    </w:p>
    <w:p w14:paraId="6FA0103E" w14:textId="77777777" w:rsidR="00717597" w:rsidRPr="00F618D8" w:rsidRDefault="00717597" w:rsidP="00CA6AB0">
      <w:pPr>
        <w:pStyle w:val="Heading2"/>
        <w:rPr>
          <w:rFonts w:ascii="Arial" w:hAnsi="Arial" w:cs="Arial"/>
        </w:rPr>
      </w:pPr>
      <w:bookmarkStart w:id="123" w:name="_Toc10290976"/>
      <w:r w:rsidRPr="00F618D8">
        <w:rPr>
          <w:rFonts w:ascii="Arial" w:hAnsi="Arial" w:cs="Arial"/>
        </w:rPr>
        <w:t xml:space="preserve">Beyond </w:t>
      </w:r>
      <w:r w:rsidR="009F790B" w:rsidRPr="00F618D8">
        <w:rPr>
          <w:rFonts w:ascii="Arial" w:hAnsi="Arial" w:cs="Arial"/>
        </w:rPr>
        <w:t xml:space="preserve">DC </w:t>
      </w:r>
      <w:r w:rsidRPr="00F618D8">
        <w:rPr>
          <w:rFonts w:ascii="Arial" w:hAnsi="Arial" w:cs="Arial"/>
        </w:rPr>
        <w:t>Institutionalization: Donna and Ricardo’s Story</w:t>
      </w:r>
      <w:bookmarkEnd w:id="123"/>
    </w:p>
    <w:p w14:paraId="6A9C084B" w14:textId="77777777" w:rsidR="00717597" w:rsidRPr="00F618D8" w:rsidRDefault="00717597" w:rsidP="00CA6AB0">
      <w:pPr>
        <w:pStyle w:val="Heading3"/>
        <w:rPr>
          <w:rFonts w:ascii="Arial" w:hAnsi="Arial" w:cs="Arial"/>
        </w:rPr>
      </w:pPr>
      <w:bookmarkStart w:id="124" w:name="_Toc10290977"/>
      <w:r w:rsidRPr="00F618D8">
        <w:rPr>
          <w:rFonts w:ascii="Arial" w:hAnsi="Arial" w:cs="Arial"/>
        </w:rPr>
        <w:t>A Powerful Love Story</w:t>
      </w:r>
      <w:bookmarkEnd w:id="124"/>
    </w:p>
    <w:p w14:paraId="7EF70321" w14:textId="77777777" w:rsidR="00717597" w:rsidRPr="00F618D8" w:rsidRDefault="00717597" w:rsidP="00CA6AB0">
      <w:pPr>
        <w:pStyle w:val="ParaNoIndent"/>
        <w:rPr>
          <w:rFonts w:ascii="Arial" w:hAnsi="Arial"/>
        </w:rPr>
      </w:pPr>
      <w:r w:rsidRPr="00F618D8">
        <w:rPr>
          <w:rFonts w:ascii="Arial" w:hAnsi="Arial"/>
        </w:rPr>
        <w:t xml:space="preserve">Donna and Ricardo Thornton have a unique love story: </w:t>
      </w:r>
      <w:r w:rsidR="006A06D5" w:rsidRPr="00F618D8">
        <w:rPr>
          <w:rFonts w:ascii="Arial" w:hAnsi="Arial"/>
        </w:rPr>
        <w:t>T</w:t>
      </w:r>
      <w:r w:rsidRPr="00F618D8">
        <w:rPr>
          <w:rFonts w:ascii="Arial" w:hAnsi="Arial"/>
        </w:rPr>
        <w:t>hey met at Forest Haven, an institution for DC residents with ID/DD</w:t>
      </w:r>
      <w:r w:rsidR="00AA1F92" w:rsidRPr="00F618D8">
        <w:rPr>
          <w:rFonts w:ascii="Arial" w:hAnsi="Arial"/>
        </w:rPr>
        <w:t xml:space="preserve">. </w:t>
      </w:r>
      <w:r w:rsidRPr="00F618D8">
        <w:rPr>
          <w:rFonts w:ascii="Arial" w:hAnsi="Arial"/>
        </w:rPr>
        <w:t>When the institution was shuttered in 1991 by a court order, Donna and Ricardo embarked on a journey together toward self-determination.</w:t>
      </w:r>
      <w:r w:rsidRPr="00F618D8">
        <w:rPr>
          <w:rStyle w:val="EndnoteReference"/>
          <w:rFonts w:ascii="Arial" w:hAnsi="Arial"/>
          <w:szCs w:val="24"/>
        </w:rPr>
        <w:endnoteReference w:id="134"/>
      </w:r>
      <w:r w:rsidRPr="00F618D8">
        <w:rPr>
          <w:rFonts w:ascii="Arial" w:hAnsi="Arial"/>
        </w:rPr>
        <w:t xml:space="preserve"> Their story is one that is marked by significant progress and achievements, made </w:t>
      </w:r>
      <w:r w:rsidR="005F7243" w:rsidRPr="00F618D8">
        <w:rPr>
          <w:rFonts w:ascii="Arial" w:hAnsi="Arial"/>
        </w:rPr>
        <w:t>more</w:t>
      </w:r>
      <w:r w:rsidRPr="00F618D8">
        <w:rPr>
          <w:rFonts w:ascii="Arial" w:hAnsi="Arial"/>
        </w:rPr>
        <w:t xml:space="preserve"> remarkable by the obstacles they faced</w:t>
      </w:r>
      <w:r w:rsidR="00AA1F92" w:rsidRPr="00F618D8">
        <w:rPr>
          <w:rFonts w:ascii="Arial" w:hAnsi="Arial"/>
        </w:rPr>
        <w:t xml:space="preserve">. </w:t>
      </w:r>
      <w:r w:rsidRPr="00F618D8">
        <w:rPr>
          <w:rFonts w:ascii="Arial" w:hAnsi="Arial"/>
        </w:rPr>
        <w:t>They were told that they could not get married while they were considered wards of the District, but they did just that in 1994.</w:t>
      </w:r>
      <w:r w:rsidRPr="00F618D8">
        <w:rPr>
          <w:rStyle w:val="EndnoteReference"/>
          <w:rFonts w:ascii="Arial" w:hAnsi="Arial"/>
          <w:szCs w:val="24"/>
        </w:rPr>
        <w:endnoteReference w:id="135"/>
      </w:r>
      <w:r w:rsidRPr="00F618D8">
        <w:rPr>
          <w:rFonts w:ascii="Arial" w:hAnsi="Arial"/>
        </w:rPr>
        <w:t xml:space="preserve"> Shortly thereafter, they had a son named Ricky and raised him themselves, despite </w:t>
      </w:r>
      <w:r w:rsidR="005924B9" w:rsidRPr="00F618D8">
        <w:rPr>
          <w:rFonts w:ascii="Arial" w:hAnsi="Arial"/>
        </w:rPr>
        <w:t xml:space="preserve">the </w:t>
      </w:r>
      <w:r w:rsidRPr="00F618D8">
        <w:rPr>
          <w:rFonts w:ascii="Arial" w:hAnsi="Arial"/>
        </w:rPr>
        <w:t xml:space="preserve">common </w:t>
      </w:r>
      <w:r w:rsidR="005924B9" w:rsidRPr="00F618D8">
        <w:rPr>
          <w:rFonts w:ascii="Arial" w:hAnsi="Arial"/>
        </w:rPr>
        <w:t xml:space="preserve">state </w:t>
      </w:r>
      <w:r w:rsidRPr="00F618D8">
        <w:rPr>
          <w:rFonts w:ascii="Arial" w:hAnsi="Arial"/>
        </w:rPr>
        <w:t>practice at that time of removing children born to married individuals with ID/DD.</w:t>
      </w:r>
      <w:r w:rsidRPr="00F618D8">
        <w:rPr>
          <w:rStyle w:val="EndnoteReference"/>
          <w:rFonts w:ascii="Arial" w:hAnsi="Arial"/>
          <w:szCs w:val="24"/>
        </w:rPr>
        <w:endnoteReference w:id="136"/>
      </w:r>
      <w:r w:rsidRPr="00F618D8">
        <w:rPr>
          <w:rFonts w:ascii="Arial" w:hAnsi="Arial"/>
        </w:rPr>
        <w:t xml:space="preserve"> They have become powerful activists by serving as leaders of Project ACTION!</w:t>
      </w:r>
      <w:r w:rsidR="00060237" w:rsidRPr="00F618D8">
        <w:rPr>
          <w:rFonts w:ascii="Arial" w:hAnsi="Arial"/>
        </w:rPr>
        <w:t xml:space="preserve"> —</w:t>
      </w:r>
      <w:r w:rsidRPr="00F618D8">
        <w:rPr>
          <w:rFonts w:ascii="Arial" w:hAnsi="Arial"/>
        </w:rPr>
        <w:t>a DC-based self-advocacy organization</w:t>
      </w:r>
      <w:r w:rsidR="00060237" w:rsidRPr="00F618D8">
        <w:rPr>
          <w:rFonts w:ascii="Arial" w:hAnsi="Arial"/>
        </w:rPr>
        <w:t>—</w:t>
      </w:r>
      <w:r w:rsidRPr="00F618D8">
        <w:rPr>
          <w:rFonts w:ascii="Arial" w:hAnsi="Arial"/>
        </w:rPr>
        <w:t xml:space="preserve"> </w:t>
      </w:r>
      <w:r w:rsidR="00060237" w:rsidRPr="00F618D8">
        <w:rPr>
          <w:rFonts w:ascii="Arial" w:hAnsi="Arial"/>
        </w:rPr>
        <w:t xml:space="preserve">by </w:t>
      </w:r>
      <w:r w:rsidRPr="00F618D8">
        <w:rPr>
          <w:rFonts w:ascii="Arial" w:hAnsi="Arial"/>
        </w:rPr>
        <w:t>giving presentations around the country and testifying before the U.S. Senate.</w:t>
      </w:r>
      <w:r w:rsidRPr="00F618D8">
        <w:rPr>
          <w:rStyle w:val="EndnoteReference"/>
          <w:rFonts w:ascii="Arial" w:hAnsi="Arial"/>
          <w:szCs w:val="24"/>
        </w:rPr>
        <w:endnoteReference w:id="137"/>
      </w:r>
      <w:r w:rsidRPr="00F618D8">
        <w:rPr>
          <w:rFonts w:ascii="Arial" w:hAnsi="Arial"/>
        </w:rPr>
        <w:t xml:space="preserve"> Their story has been featured in the </w:t>
      </w:r>
      <w:r w:rsidRPr="00F618D8">
        <w:rPr>
          <w:rFonts w:ascii="Arial" w:hAnsi="Arial"/>
          <w:i/>
        </w:rPr>
        <w:t>Washington Post</w:t>
      </w:r>
      <w:r w:rsidRPr="00F618D8">
        <w:rPr>
          <w:rFonts w:ascii="Arial" w:hAnsi="Arial"/>
        </w:rPr>
        <w:t>, on 60 Minutes, and in a 2003 movie starring Kirstie Alley and Delroy Lindo.</w:t>
      </w:r>
      <w:r w:rsidRPr="00F618D8">
        <w:rPr>
          <w:rStyle w:val="EndnoteReference"/>
          <w:rFonts w:ascii="Arial" w:hAnsi="Arial"/>
          <w:szCs w:val="24"/>
        </w:rPr>
        <w:endnoteReference w:id="138"/>
      </w:r>
      <w:r w:rsidRPr="00F618D8">
        <w:rPr>
          <w:rFonts w:ascii="Arial" w:hAnsi="Arial"/>
        </w:rPr>
        <w:t xml:space="preserve">  </w:t>
      </w:r>
    </w:p>
    <w:p w14:paraId="653FF9AE" w14:textId="77777777" w:rsidR="00717597" w:rsidRPr="00F618D8" w:rsidRDefault="00717597" w:rsidP="00CA6AB0">
      <w:pPr>
        <w:pStyle w:val="Heading2"/>
        <w:rPr>
          <w:rFonts w:ascii="Arial" w:hAnsi="Arial" w:cs="Arial"/>
        </w:rPr>
      </w:pPr>
      <w:bookmarkStart w:id="125" w:name="_Toc10290978"/>
      <w:r w:rsidRPr="00F618D8">
        <w:rPr>
          <w:rFonts w:ascii="Arial" w:hAnsi="Arial" w:cs="Arial"/>
        </w:rPr>
        <w:t>The Long-Lasting Effects of “Institution Thinking”</w:t>
      </w:r>
      <w:bookmarkEnd w:id="125"/>
    </w:p>
    <w:p w14:paraId="625A693E" w14:textId="77777777" w:rsidR="00717597" w:rsidRPr="00F618D8" w:rsidRDefault="00717597" w:rsidP="00CA6AB0">
      <w:pPr>
        <w:pStyle w:val="ParaNoIndent"/>
        <w:rPr>
          <w:rFonts w:ascii="Arial" w:hAnsi="Arial"/>
        </w:rPr>
      </w:pPr>
      <w:r w:rsidRPr="00F618D8">
        <w:rPr>
          <w:rFonts w:ascii="Arial" w:hAnsi="Arial"/>
        </w:rPr>
        <w:t>However, like many people with ID/DD, Donna and Ricardo bear the scars of institutionalization</w:t>
      </w:r>
      <w:r w:rsidR="00AA1F92" w:rsidRPr="00F618D8">
        <w:rPr>
          <w:rFonts w:ascii="Arial" w:hAnsi="Arial"/>
        </w:rPr>
        <w:t xml:space="preserve">. </w:t>
      </w:r>
      <w:r w:rsidRPr="00F618D8">
        <w:rPr>
          <w:rFonts w:ascii="Arial" w:hAnsi="Arial"/>
        </w:rPr>
        <w:t>For the Thorntons, their years at Forest Haven affected how they think about their decision-making</w:t>
      </w:r>
      <w:r w:rsidR="00AA1F92" w:rsidRPr="00F618D8">
        <w:rPr>
          <w:rFonts w:ascii="Arial" w:hAnsi="Arial"/>
        </w:rPr>
        <w:t xml:space="preserve">. </w:t>
      </w:r>
      <w:r w:rsidRPr="00F618D8">
        <w:rPr>
          <w:rFonts w:ascii="Arial" w:hAnsi="Arial"/>
        </w:rPr>
        <w:t>Ricardo described what he refers to as “institutional thinking</w:t>
      </w:r>
      <w:r w:rsidR="00AA1F92" w:rsidRPr="00F618D8">
        <w:rPr>
          <w:rFonts w:ascii="Arial" w:hAnsi="Arial"/>
        </w:rPr>
        <w:t xml:space="preserve">.” </w:t>
      </w:r>
      <w:r w:rsidRPr="00F618D8">
        <w:rPr>
          <w:rFonts w:ascii="Arial" w:hAnsi="Arial"/>
        </w:rPr>
        <w:t>“Institutional thinking is that [others] think for you</w:t>
      </w:r>
      <w:r w:rsidR="00AA1F92" w:rsidRPr="00F618D8">
        <w:rPr>
          <w:rFonts w:ascii="Arial" w:hAnsi="Arial"/>
        </w:rPr>
        <w:t xml:space="preserve">. </w:t>
      </w:r>
      <w:r w:rsidRPr="00F618D8">
        <w:rPr>
          <w:rFonts w:ascii="Arial" w:hAnsi="Arial"/>
        </w:rPr>
        <w:t>And they make the decisions that we can make and would like to make for ourselves</w:t>
      </w:r>
      <w:r w:rsidR="00BD1C8D" w:rsidRPr="00F618D8">
        <w:rPr>
          <w:rFonts w:ascii="Arial" w:hAnsi="Arial"/>
        </w:rPr>
        <w:t xml:space="preserve"> </w:t>
      </w:r>
      <w:r w:rsidRPr="00F618D8">
        <w:rPr>
          <w:rFonts w:ascii="Arial" w:hAnsi="Arial"/>
        </w:rPr>
        <w:t xml:space="preserve">. . . And the problem is that some of us . . . that lived in institutions, we depend on the system to make our </w:t>
      </w:r>
      <w:r w:rsidRPr="00F618D8">
        <w:rPr>
          <w:rFonts w:ascii="Arial" w:hAnsi="Arial"/>
        </w:rPr>
        <w:lastRenderedPageBreak/>
        <w:t>decisions</w:t>
      </w:r>
      <w:r w:rsidR="00BD1C8D" w:rsidRPr="00F618D8">
        <w:rPr>
          <w:rFonts w:ascii="Arial" w:hAnsi="Arial"/>
        </w:rPr>
        <w:t>—</w:t>
      </w:r>
      <w:r w:rsidRPr="00F618D8">
        <w:rPr>
          <w:rFonts w:ascii="Arial" w:hAnsi="Arial"/>
        </w:rPr>
        <w:t>to feed us, to clothe us, and to make sure that, if we get sick, that the system will provide for us</w:t>
      </w:r>
      <w:r w:rsidR="00AA1F92" w:rsidRPr="00F618D8">
        <w:rPr>
          <w:rFonts w:ascii="Arial" w:hAnsi="Arial"/>
        </w:rPr>
        <w:t xml:space="preserve">. </w:t>
      </w:r>
      <w:r w:rsidRPr="00F618D8">
        <w:rPr>
          <w:rFonts w:ascii="Arial" w:hAnsi="Arial"/>
        </w:rPr>
        <w:t>And I think when we got out [into the community], we were thinking the system is still supposed to do that</w:t>
      </w:r>
      <w:r w:rsidR="00AA1F92" w:rsidRPr="00F618D8">
        <w:rPr>
          <w:rFonts w:ascii="Arial" w:hAnsi="Arial"/>
        </w:rPr>
        <w:t xml:space="preserve">.” </w:t>
      </w:r>
      <w:r w:rsidRPr="00F618D8">
        <w:rPr>
          <w:rFonts w:ascii="Arial" w:hAnsi="Arial"/>
        </w:rPr>
        <w:t xml:space="preserve">Because of this “institution thinking,” he and Donna occasionally rely on the permission of others before making certain decisions, like when they declined Kirstie Alley’s invitation to go on </w:t>
      </w:r>
      <w:r w:rsidR="00DA736B" w:rsidRPr="00F618D8">
        <w:rPr>
          <w:rFonts w:ascii="Arial" w:hAnsi="Arial"/>
        </w:rPr>
        <w:t xml:space="preserve">a </w:t>
      </w:r>
      <w:r w:rsidRPr="00F618D8">
        <w:rPr>
          <w:rFonts w:ascii="Arial" w:hAnsi="Arial"/>
        </w:rPr>
        <w:t>helicopter ride, even though they really wanted to go</w:t>
      </w:r>
      <w:r w:rsidR="00AA1F92" w:rsidRPr="00F618D8">
        <w:rPr>
          <w:rFonts w:ascii="Arial" w:hAnsi="Arial"/>
        </w:rPr>
        <w:t xml:space="preserve">. </w:t>
      </w:r>
      <w:r w:rsidRPr="00F618D8">
        <w:rPr>
          <w:rFonts w:ascii="Arial" w:hAnsi="Arial"/>
        </w:rPr>
        <w:t xml:space="preserve">Donna said: </w:t>
      </w:r>
      <w:r w:rsidR="003D3EEB" w:rsidRPr="00F618D8">
        <w:rPr>
          <w:rFonts w:ascii="Arial" w:hAnsi="Arial"/>
        </w:rPr>
        <w:t>“</w:t>
      </w:r>
      <w:r w:rsidRPr="00F618D8">
        <w:rPr>
          <w:rFonts w:ascii="Arial" w:hAnsi="Arial"/>
        </w:rPr>
        <w:t>Kirstie Alley wanted to take me to a lot of places, [but I was told] no</w:t>
      </w:r>
      <w:r w:rsidR="00AA1F92" w:rsidRPr="00F618D8">
        <w:rPr>
          <w:rFonts w:ascii="Arial" w:hAnsi="Arial"/>
        </w:rPr>
        <w:t xml:space="preserve">. </w:t>
      </w:r>
      <w:r w:rsidRPr="00F618D8">
        <w:rPr>
          <w:rFonts w:ascii="Arial" w:hAnsi="Arial"/>
        </w:rPr>
        <w:t>[I felt] sad</w:t>
      </w:r>
      <w:r w:rsidR="00BD1C8D" w:rsidRPr="00F618D8">
        <w:rPr>
          <w:rFonts w:ascii="Arial" w:hAnsi="Arial"/>
        </w:rPr>
        <w:t xml:space="preserve"> </w:t>
      </w:r>
      <w:r w:rsidRPr="00F618D8">
        <w:rPr>
          <w:rFonts w:ascii="Arial" w:hAnsi="Arial"/>
        </w:rPr>
        <w:t>… I was missing out on a lot of things</w:t>
      </w:r>
      <w:r w:rsidR="00AA1F92" w:rsidRPr="00F618D8">
        <w:rPr>
          <w:rFonts w:ascii="Arial" w:hAnsi="Arial"/>
        </w:rPr>
        <w:t xml:space="preserve">.” </w:t>
      </w:r>
    </w:p>
    <w:p w14:paraId="418451FB" w14:textId="77777777" w:rsidR="00717597" w:rsidRPr="00F618D8" w:rsidRDefault="00717597" w:rsidP="00CA6AB0">
      <w:pPr>
        <w:pStyle w:val="Heading2"/>
        <w:rPr>
          <w:rFonts w:ascii="Arial" w:hAnsi="Arial" w:cs="Arial"/>
        </w:rPr>
      </w:pPr>
      <w:bookmarkStart w:id="126" w:name="_Toc10290979"/>
      <w:r w:rsidRPr="00F618D8">
        <w:rPr>
          <w:rFonts w:ascii="Arial" w:hAnsi="Arial" w:cs="Arial"/>
        </w:rPr>
        <w:t>Journey to Greater Decision-Making Freedom</w:t>
      </w:r>
      <w:bookmarkEnd w:id="126"/>
      <w:r w:rsidRPr="00F618D8">
        <w:rPr>
          <w:rFonts w:ascii="Arial" w:hAnsi="Arial" w:cs="Arial"/>
        </w:rPr>
        <w:t xml:space="preserve"> </w:t>
      </w:r>
    </w:p>
    <w:p w14:paraId="0C49D797" w14:textId="77777777" w:rsidR="00717597" w:rsidRPr="00F618D8" w:rsidRDefault="00717597" w:rsidP="00CA6AB0">
      <w:pPr>
        <w:pStyle w:val="ParaNoIndent"/>
        <w:rPr>
          <w:rFonts w:ascii="Arial" w:hAnsi="Arial"/>
          <w:b/>
        </w:rPr>
      </w:pPr>
      <w:r w:rsidRPr="00F618D8">
        <w:rPr>
          <w:rFonts w:ascii="Arial" w:hAnsi="Arial"/>
        </w:rPr>
        <w:t>Donna and Ricardo have come a long way since Forest Haven</w:t>
      </w:r>
      <w:r w:rsidR="003D3EEB" w:rsidRPr="00F618D8">
        <w:rPr>
          <w:rFonts w:ascii="Arial" w:hAnsi="Arial"/>
        </w:rPr>
        <w:t>,</w:t>
      </w:r>
      <w:r w:rsidRPr="00F618D8">
        <w:rPr>
          <w:rFonts w:ascii="Arial" w:hAnsi="Arial"/>
        </w:rPr>
        <w:t xml:space="preserve"> and have other powerful stories to share about how their lives have impacted their decision-making.</w:t>
      </w:r>
    </w:p>
    <w:p w14:paraId="07E06153" w14:textId="77777777" w:rsidR="00717597" w:rsidRPr="00F618D8" w:rsidRDefault="00717597" w:rsidP="00CA6AB0">
      <w:pPr>
        <w:pStyle w:val="Heading3"/>
        <w:rPr>
          <w:rFonts w:ascii="Arial" w:hAnsi="Arial" w:cs="Arial"/>
        </w:rPr>
      </w:pPr>
      <w:bookmarkStart w:id="127" w:name="_Toc10290980"/>
      <w:r w:rsidRPr="00F618D8">
        <w:rPr>
          <w:rFonts w:ascii="Arial" w:hAnsi="Arial" w:cs="Arial"/>
        </w:rPr>
        <w:t>Finances</w:t>
      </w:r>
      <w:bookmarkEnd w:id="127"/>
    </w:p>
    <w:p w14:paraId="460259BC" w14:textId="3641B493" w:rsidR="00717597" w:rsidRPr="00F618D8" w:rsidRDefault="00717597" w:rsidP="00CA6AB0">
      <w:pPr>
        <w:pStyle w:val="ParaNoIndent"/>
        <w:rPr>
          <w:rFonts w:ascii="Arial" w:hAnsi="Arial"/>
        </w:rPr>
      </w:pPr>
      <w:r w:rsidRPr="00F618D8">
        <w:rPr>
          <w:rFonts w:ascii="Arial" w:hAnsi="Arial"/>
        </w:rPr>
        <w:t xml:space="preserve">When Donna and Ricardo lived at Forest Haven, they worked at a </w:t>
      </w:r>
      <w:r w:rsidR="009F790B" w:rsidRPr="00F618D8">
        <w:rPr>
          <w:rFonts w:ascii="Arial" w:hAnsi="Arial"/>
        </w:rPr>
        <w:t xml:space="preserve">local fast-food </w:t>
      </w:r>
      <w:r w:rsidRPr="00F618D8">
        <w:rPr>
          <w:rFonts w:ascii="Arial" w:hAnsi="Arial"/>
        </w:rPr>
        <w:t xml:space="preserve">restaurant, but </w:t>
      </w:r>
      <w:r w:rsidR="009F790B" w:rsidRPr="00F618D8">
        <w:rPr>
          <w:rFonts w:ascii="Arial" w:hAnsi="Arial"/>
        </w:rPr>
        <w:t>were not allowed to cash t</w:t>
      </w:r>
      <w:r w:rsidRPr="00F618D8">
        <w:rPr>
          <w:rFonts w:ascii="Arial" w:hAnsi="Arial"/>
        </w:rPr>
        <w:t>heir own paychecks. Ricardo described a moment when they decided to take charge of their own money: “The rehab counselor would pick [us] up and drive us in the snow, but then he would leave</w:t>
      </w:r>
      <w:r w:rsidR="009F790B" w:rsidRPr="00F618D8">
        <w:rPr>
          <w:rFonts w:ascii="Arial" w:hAnsi="Arial"/>
        </w:rPr>
        <w:t>,</w:t>
      </w:r>
      <w:r w:rsidRPr="00F618D8">
        <w:rPr>
          <w:rFonts w:ascii="Arial" w:hAnsi="Arial"/>
        </w:rPr>
        <w:t xml:space="preserve"> and he wouldn’t pick us up . . . We had to walk back [in a blizzard]</w:t>
      </w:r>
      <w:r w:rsidR="00AA1F92" w:rsidRPr="00F618D8">
        <w:rPr>
          <w:rFonts w:ascii="Arial" w:hAnsi="Arial"/>
        </w:rPr>
        <w:t xml:space="preserve">. </w:t>
      </w:r>
      <w:r w:rsidRPr="00F618D8">
        <w:rPr>
          <w:rFonts w:ascii="Arial" w:hAnsi="Arial"/>
        </w:rPr>
        <w:t>And that's when Donna said, ‘Well, you know what, since we did all this work, why don’t we just keep this check?’” Donna recalled they later had to stand up to the institution’s staff</w:t>
      </w:r>
      <w:r w:rsidR="00AA1F92" w:rsidRPr="00F618D8">
        <w:rPr>
          <w:rFonts w:ascii="Arial" w:hAnsi="Arial"/>
        </w:rPr>
        <w:t xml:space="preserve">. </w:t>
      </w:r>
      <w:r w:rsidRPr="00F618D8">
        <w:rPr>
          <w:rFonts w:ascii="Arial" w:hAnsi="Arial"/>
        </w:rPr>
        <w:t xml:space="preserve">“When we got back to the cabin, they told us, ‘You weren’t supposed to cash that check.’ And I told them, ‘This is our check and we spent [it].’” </w:t>
      </w:r>
      <w:r w:rsidR="009F790B" w:rsidRPr="00F618D8">
        <w:rPr>
          <w:rFonts w:ascii="Arial" w:hAnsi="Arial"/>
        </w:rPr>
        <w:t>Donna and Ricardo</w:t>
      </w:r>
      <w:r w:rsidRPr="00F618D8">
        <w:rPr>
          <w:rFonts w:ascii="Arial" w:hAnsi="Arial"/>
        </w:rPr>
        <w:t xml:space="preserve"> got no “allowance” for that week</w:t>
      </w:r>
      <w:r w:rsidR="00AA1F92" w:rsidRPr="00F618D8">
        <w:rPr>
          <w:rFonts w:ascii="Arial" w:hAnsi="Arial"/>
        </w:rPr>
        <w:t>.</w:t>
      </w:r>
    </w:p>
    <w:p w14:paraId="63395E0E" w14:textId="77777777" w:rsidR="00717597" w:rsidRPr="00F618D8" w:rsidRDefault="00717597" w:rsidP="00CA6AB0">
      <w:pPr>
        <w:pStyle w:val="ParaNoIndent"/>
        <w:rPr>
          <w:rFonts w:ascii="Arial" w:hAnsi="Arial"/>
        </w:rPr>
      </w:pPr>
      <w:r w:rsidRPr="00F618D8">
        <w:rPr>
          <w:rFonts w:ascii="Arial" w:hAnsi="Arial"/>
        </w:rPr>
        <w:t>After leaving Forest Haven, Donna and Ricardo were placed in separate group homes, where they had completely different experiences with financial freedom</w:t>
      </w:r>
      <w:r w:rsidR="00AA1F92" w:rsidRPr="00F618D8">
        <w:rPr>
          <w:rFonts w:ascii="Arial" w:hAnsi="Arial"/>
        </w:rPr>
        <w:t xml:space="preserve">. </w:t>
      </w:r>
      <w:r w:rsidRPr="00F618D8">
        <w:rPr>
          <w:rFonts w:ascii="Arial" w:hAnsi="Arial"/>
        </w:rPr>
        <w:t>Donna was taught how to open and manage a bank account</w:t>
      </w:r>
      <w:r w:rsidR="00AA1F92" w:rsidRPr="00F618D8">
        <w:rPr>
          <w:rFonts w:ascii="Arial" w:hAnsi="Arial"/>
        </w:rPr>
        <w:t xml:space="preserve">. </w:t>
      </w:r>
      <w:r w:rsidR="009F790B" w:rsidRPr="00F618D8">
        <w:rPr>
          <w:rFonts w:ascii="Arial" w:hAnsi="Arial"/>
        </w:rPr>
        <w:t>“</w:t>
      </w:r>
      <w:r w:rsidRPr="00F618D8">
        <w:rPr>
          <w:rFonts w:ascii="Arial" w:hAnsi="Arial"/>
        </w:rPr>
        <w:t>When I first went into a group home, this lady counselor asked me if I wanted to learn how to open my own bank account . . . And when she taught me how to do this, I was so happy</w:t>
      </w:r>
      <w:r w:rsidR="002842C1" w:rsidRPr="00F618D8">
        <w:rPr>
          <w:rFonts w:ascii="Arial" w:hAnsi="Arial"/>
        </w:rPr>
        <w:t xml:space="preserve"> </w:t>
      </w:r>
      <w:r w:rsidRPr="00F618D8">
        <w:rPr>
          <w:rFonts w:ascii="Arial" w:hAnsi="Arial"/>
        </w:rPr>
        <w:t>. . . Ever since then I know how to budget and save my money</w:t>
      </w:r>
      <w:r w:rsidR="00AA1F92" w:rsidRPr="00F618D8">
        <w:rPr>
          <w:rFonts w:ascii="Arial" w:hAnsi="Arial"/>
        </w:rPr>
        <w:t xml:space="preserve">.” </w:t>
      </w:r>
      <w:r w:rsidRPr="00F618D8">
        <w:rPr>
          <w:rFonts w:ascii="Arial" w:hAnsi="Arial"/>
        </w:rPr>
        <w:t>Ricardo, on the other hand, could only watch as Donna gained more financial independence</w:t>
      </w:r>
      <w:r w:rsidR="00AA1F92" w:rsidRPr="00F618D8">
        <w:rPr>
          <w:rFonts w:ascii="Arial" w:hAnsi="Arial"/>
        </w:rPr>
        <w:t xml:space="preserve">. </w:t>
      </w:r>
      <w:r w:rsidRPr="00F618D8">
        <w:rPr>
          <w:rFonts w:ascii="Arial" w:hAnsi="Arial"/>
        </w:rPr>
        <w:t>“[S]he had her . . . checkbook</w:t>
      </w:r>
      <w:r w:rsidR="009F790B" w:rsidRPr="00F618D8">
        <w:rPr>
          <w:rFonts w:ascii="Arial" w:hAnsi="Arial"/>
        </w:rPr>
        <w:t>,</w:t>
      </w:r>
      <w:r w:rsidRPr="00F618D8">
        <w:rPr>
          <w:rFonts w:ascii="Arial" w:hAnsi="Arial"/>
        </w:rPr>
        <w:t xml:space="preserve"> so she was able to manage her money</w:t>
      </w:r>
      <w:r w:rsidR="002842C1" w:rsidRPr="00F618D8">
        <w:rPr>
          <w:rFonts w:ascii="Arial" w:hAnsi="Arial"/>
        </w:rPr>
        <w:t xml:space="preserve"> </w:t>
      </w:r>
      <w:r w:rsidRPr="00F618D8">
        <w:rPr>
          <w:rFonts w:ascii="Arial" w:hAnsi="Arial"/>
        </w:rPr>
        <w:t xml:space="preserve">. . </w:t>
      </w:r>
      <w:r w:rsidR="00AA1F92" w:rsidRPr="00F618D8">
        <w:rPr>
          <w:rFonts w:ascii="Arial" w:hAnsi="Arial"/>
        </w:rPr>
        <w:t xml:space="preserve">. </w:t>
      </w:r>
      <w:r w:rsidRPr="00F618D8">
        <w:rPr>
          <w:rFonts w:ascii="Arial" w:hAnsi="Arial"/>
        </w:rPr>
        <w:t xml:space="preserve">I was watching her and thinking, </w:t>
      </w:r>
      <w:r w:rsidR="003D3EEB" w:rsidRPr="00F618D8">
        <w:rPr>
          <w:rFonts w:ascii="Arial" w:hAnsi="Arial"/>
        </w:rPr>
        <w:t>‘</w:t>
      </w:r>
      <w:r w:rsidRPr="00F618D8">
        <w:rPr>
          <w:rFonts w:ascii="Arial" w:hAnsi="Arial"/>
        </w:rPr>
        <w:t>Someday I’m gonna do that</w:t>
      </w:r>
      <w:r w:rsidR="00AA1F92" w:rsidRPr="00F618D8">
        <w:rPr>
          <w:rFonts w:ascii="Arial" w:hAnsi="Arial"/>
        </w:rPr>
        <w:t>.</w:t>
      </w:r>
      <w:r w:rsidR="003D3EEB" w:rsidRPr="00F618D8">
        <w:rPr>
          <w:rFonts w:ascii="Arial" w:hAnsi="Arial"/>
        </w:rPr>
        <w:t>’</w:t>
      </w:r>
      <w:r w:rsidR="00AA1F92" w:rsidRPr="00F618D8">
        <w:rPr>
          <w:rFonts w:ascii="Arial" w:hAnsi="Arial"/>
        </w:rPr>
        <w:t xml:space="preserve">” </w:t>
      </w:r>
      <w:r w:rsidRPr="00F618D8">
        <w:rPr>
          <w:rFonts w:ascii="Arial" w:hAnsi="Arial"/>
        </w:rPr>
        <w:t xml:space="preserve">One day he decided </w:t>
      </w:r>
      <w:r w:rsidR="003D3EEB" w:rsidRPr="00F618D8">
        <w:rPr>
          <w:rFonts w:ascii="Arial" w:hAnsi="Arial"/>
        </w:rPr>
        <w:t xml:space="preserve">to </w:t>
      </w:r>
      <w:r w:rsidR="009F790B" w:rsidRPr="00F618D8">
        <w:rPr>
          <w:rFonts w:ascii="Arial" w:hAnsi="Arial"/>
        </w:rPr>
        <w:t>realize that dream</w:t>
      </w:r>
      <w:r w:rsidRPr="00F618D8">
        <w:rPr>
          <w:rFonts w:ascii="Arial" w:hAnsi="Arial"/>
        </w:rPr>
        <w:t xml:space="preserve"> </w:t>
      </w:r>
      <w:r w:rsidR="009F790B" w:rsidRPr="00F618D8">
        <w:rPr>
          <w:rFonts w:ascii="Arial" w:hAnsi="Arial"/>
        </w:rPr>
        <w:t>by</w:t>
      </w:r>
      <w:r w:rsidRPr="00F618D8">
        <w:rPr>
          <w:rFonts w:ascii="Arial" w:hAnsi="Arial"/>
        </w:rPr>
        <w:t xml:space="preserve"> open</w:t>
      </w:r>
      <w:r w:rsidR="009F790B" w:rsidRPr="00F618D8">
        <w:rPr>
          <w:rFonts w:ascii="Arial" w:hAnsi="Arial"/>
        </w:rPr>
        <w:t>ing</w:t>
      </w:r>
      <w:r w:rsidRPr="00F618D8">
        <w:rPr>
          <w:rFonts w:ascii="Arial" w:hAnsi="Arial"/>
        </w:rPr>
        <w:t xml:space="preserve"> a bank account</w:t>
      </w:r>
      <w:r w:rsidR="009F790B" w:rsidRPr="00F618D8">
        <w:rPr>
          <w:rFonts w:ascii="Arial" w:hAnsi="Arial"/>
        </w:rPr>
        <w:t xml:space="preserve"> on his own</w:t>
      </w:r>
      <w:r w:rsidRPr="00F618D8">
        <w:rPr>
          <w:rFonts w:ascii="Arial" w:hAnsi="Arial"/>
        </w:rPr>
        <w:t xml:space="preserve"> and deposit</w:t>
      </w:r>
      <w:r w:rsidR="009F790B" w:rsidRPr="00F618D8">
        <w:rPr>
          <w:rFonts w:ascii="Arial" w:hAnsi="Arial"/>
        </w:rPr>
        <w:t>ing</w:t>
      </w:r>
      <w:r w:rsidRPr="00F618D8">
        <w:rPr>
          <w:rFonts w:ascii="Arial" w:hAnsi="Arial"/>
        </w:rPr>
        <w:t xml:space="preserve"> his paycheck</w:t>
      </w:r>
      <w:r w:rsidR="00AA1F92" w:rsidRPr="00F618D8">
        <w:rPr>
          <w:rFonts w:ascii="Arial" w:hAnsi="Arial"/>
        </w:rPr>
        <w:t xml:space="preserve">. </w:t>
      </w:r>
      <w:r w:rsidRPr="00F618D8">
        <w:rPr>
          <w:rFonts w:ascii="Arial" w:hAnsi="Arial"/>
        </w:rPr>
        <w:t xml:space="preserve">However, his group home provider was not happy with his </w:t>
      </w:r>
      <w:r w:rsidRPr="00F618D8">
        <w:rPr>
          <w:rFonts w:ascii="Arial" w:hAnsi="Arial"/>
        </w:rPr>
        <w:lastRenderedPageBreak/>
        <w:t>decision</w:t>
      </w:r>
      <w:r w:rsidR="00AA1F92" w:rsidRPr="00F618D8">
        <w:rPr>
          <w:rFonts w:ascii="Arial" w:hAnsi="Arial"/>
        </w:rPr>
        <w:t xml:space="preserve">. </w:t>
      </w:r>
      <w:r w:rsidRPr="00F618D8">
        <w:rPr>
          <w:rFonts w:ascii="Arial" w:hAnsi="Arial"/>
        </w:rPr>
        <w:t>“I got into trouble . . . [because] I didn’t ask them to open [it]</w:t>
      </w:r>
      <w:r w:rsidR="00AA1F92" w:rsidRPr="00F618D8">
        <w:rPr>
          <w:rFonts w:ascii="Arial" w:hAnsi="Arial"/>
        </w:rPr>
        <w:t xml:space="preserve"> </w:t>
      </w:r>
      <w:r w:rsidRPr="00F618D8">
        <w:rPr>
          <w:rFonts w:ascii="Arial" w:hAnsi="Arial"/>
        </w:rPr>
        <w:t xml:space="preserve">. . </w:t>
      </w:r>
      <w:r w:rsidR="00AA1F92" w:rsidRPr="00F618D8">
        <w:rPr>
          <w:rFonts w:ascii="Arial" w:hAnsi="Arial"/>
        </w:rPr>
        <w:t xml:space="preserve">. </w:t>
      </w:r>
      <w:r w:rsidRPr="00F618D8">
        <w:rPr>
          <w:rFonts w:ascii="Arial" w:hAnsi="Arial"/>
        </w:rPr>
        <w:t>[I was told] ‘</w:t>
      </w:r>
      <w:r w:rsidR="003D3EEB" w:rsidRPr="00F618D8">
        <w:rPr>
          <w:rFonts w:ascii="Arial" w:hAnsi="Arial"/>
        </w:rPr>
        <w:t>N</w:t>
      </w:r>
      <w:r w:rsidRPr="00F618D8">
        <w:rPr>
          <w:rFonts w:ascii="Arial" w:hAnsi="Arial"/>
        </w:rPr>
        <w:t xml:space="preserve">ext time you have to come to me so I can assist you so you know what you’re doing.’” </w:t>
      </w:r>
    </w:p>
    <w:p w14:paraId="2ADA3A58" w14:textId="77777777" w:rsidR="00717597" w:rsidRPr="00F618D8" w:rsidRDefault="00717597" w:rsidP="00CA6AB0">
      <w:pPr>
        <w:pStyle w:val="ParaNoIndent"/>
        <w:rPr>
          <w:rFonts w:ascii="Arial" w:hAnsi="Arial"/>
        </w:rPr>
      </w:pPr>
      <w:r w:rsidRPr="00F618D8">
        <w:rPr>
          <w:rFonts w:ascii="Arial" w:hAnsi="Arial"/>
        </w:rPr>
        <w:t>Since that time, Donna and Ricardo have lived together for years in their home and both regularly manage their paychecks</w:t>
      </w:r>
      <w:r w:rsidR="00AA1F92" w:rsidRPr="00F618D8">
        <w:rPr>
          <w:rFonts w:ascii="Arial" w:hAnsi="Arial"/>
        </w:rPr>
        <w:t xml:space="preserve">. </w:t>
      </w:r>
      <w:r w:rsidRPr="00F618D8">
        <w:rPr>
          <w:rFonts w:ascii="Arial" w:hAnsi="Arial"/>
        </w:rPr>
        <w:t>Ricardo described his economic empowerment: “Now I put [my money] in my account and check my statement and how much I’m saving and how much I’m spending</w:t>
      </w:r>
      <w:r w:rsidR="00AA1F92" w:rsidRPr="00F618D8">
        <w:rPr>
          <w:rFonts w:ascii="Arial" w:hAnsi="Arial"/>
        </w:rPr>
        <w:t xml:space="preserve">. </w:t>
      </w:r>
      <w:r w:rsidRPr="00F618D8">
        <w:rPr>
          <w:rFonts w:ascii="Arial" w:hAnsi="Arial"/>
        </w:rPr>
        <w:t>[I]t’s just being able to have that freedom</w:t>
      </w:r>
      <w:r w:rsidR="002842C1" w:rsidRPr="00F618D8">
        <w:rPr>
          <w:rFonts w:ascii="Arial" w:hAnsi="Arial"/>
        </w:rPr>
        <w:t xml:space="preserve"> </w:t>
      </w:r>
      <w:r w:rsidRPr="00F618D8">
        <w:rPr>
          <w:rFonts w:ascii="Arial" w:hAnsi="Arial"/>
        </w:rPr>
        <w:t>. . . You can manage your own money and not let people spend your money or tell you how to spend your money</w:t>
      </w:r>
      <w:r w:rsidR="00AA1F92" w:rsidRPr="00F618D8">
        <w:rPr>
          <w:rFonts w:ascii="Arial" w:hAnsi="Arial"/>
        </w:rPr>
        <w:t xml:space="preserve">. </w:t>
      </w:r>
      <w:r w:rsidRPr="00F618D8">
        <w:rPr>
          <w:rFonts w:ascii="Arial" w:hAnsi="Arial"/>
        </w:rPr>
        <w:t>It’s a good feeling</w:t>
      </w:r>
      <w:r w:rsidR="002842C1" w:rsidRPr="00F618D8">
        <w:rPr>
          <w:rFonts w:ascii="Arial" w:hAnsi="Arial"/>
        </w:rPr>
        <w:t>—</w:t>
      </w:r>
      <w:r w:rsidRPr="00F618D8">
        <w:rPr>
          <w:rFonts w:ascii="Arial" w:hAnsi="Arial"/>
        </w:rPr>
        <w:t>like I finally now can make decisions.”</w:t>
      </w:r>
    </w:p>
    <w:p w14:paraId="10FD1418" w14:textId="77777777" w:rsidR="00717597" w:rsidRPr="00F618D8" w:rsidRDefault="00717597" w:rsidP="00CA6AB0">
      <w:pPr>
        <w:pStyle w:val="Heading3"/>
        <w:rPr>
          <w:rFonts w:ascii="Arial" w:hAnsi="Arial" w:cs="Arial"/>
        </w:rPr>
      </w:pPr>
      <w:bookmarkStart w:id="128" w:name="_Toc10290981"/>
      <w:r w:rsidRPr="00F618D8">
        <w:rPr>
          <w:rFonts w:ascii="Arial" w:hAnsi="Arial" w:cs="Arial"/>
        </w:rPr>
        <w:t>Health Care and Domestic Life</w:t>
      </w:r>
      <w:bookmarkEnd w:id="128"/>
    </w:p>
    <w:p w14:paraId="57F89331" w14:textId="77777777" w:rsidR="00717597" w:rsidRPr="00F618D8" w:rsidRDefault="00717597" w:rsidP="00CA6AB0">
      <w:pPr>
        <w:pStyle w:val="ParaNoIndent"/>
        <w:rPr>
          <w:rFonts w:ascii="Arial" w:hAnsi="Arial"/>
        </w:rPr>
      </w:pPr>
      <w:r w:rsidRPr="00F618D8">
        <w:rPr>
          <w:rFonts w:ascii="Arial" w:hAnsi="Arial"/>
        </w:rPr>
        <w:t xml:space="preserve">Ricardo recalls that Forest Haven made some efforts to </w:t>
      </w:r>
      <w:r w:rsidR="009F790B" w:rsidRPr="00F618D8">
        <w:rPr>
          <w:rFonts w:ascii="Arial" w:hAnsi="Arial"/>
        </w:rPr>
        <w:t xml:space="preserve">connect its residents with counselors and </w:t>
      </w:r>
      <w:r w:rsidRPr="00F618D8">
        <w:rPr>
          <w:rFonts w:ascii="Arial" w:hAnsi="Arial"/>
        </w:rPr>
        <w:t>jobs outside the facility</w:t>
      </w:r>
      <w:r w:rsidR="00AA1F92" w:rsidRPr="00F618D8">
        <w:rPr>
          <w:rFonts w:ascii="Arial" w:hAnsi="Arial"/>
        </w:rPr>
        <w:t xml:space="preserve">. </w:t>
      </w:r>
      <w:r w:rsidRPr="00F618D8">
        <w:rPr>
          <w:rFonts w:ascii="Arial" w:hAnsi="Arial"/>
        </w:rPr>
        <w:t xml:space="preserve">However, he does not believe </w:t>
      </w:r>
      <w:r w:rsidR="009F790B" w:rsidRPr="00F618D8">
        <w:rPr>
          <w:rFonts w:ascii="Arial" w:hAnsi="Arial"/>
        </w:rPr>
        <w:t>Forest Haven</w:t>
      </w:r>
      <w:r w:rsidRPr="00F618D8">
        <w:rPr>
          <w:rFonts w:ascii="Arial" w:hAnsi="Arial"/>
        </w:rPr>
        <w:t xml:space="preserve"> prioritized education that focused on independence and decision-making outside the institution</w:t>
      </w:r>
      <w:r w:rsidR="00AA1F92" w:rsidRPr="00F618D8">
        <w:rPr>
          <w:rFonts w:ascii="Arial" w:hAnsi="Arial"/>
        </w:rPr>
        <w:t xml:space="preserve">. </w:t>
      </w:r>
      <w:r w:rsidRPr="00F618D8">
        <w:rPr>
          <w:rFonts w:ascii="Arial" w:hAnsi="Arial"/>
        </w:rPr>
        <w:t xml:space="preserve">He sees the lack of education </w:t>
      </w:r>
      <w:r w:rsidR="009F790B" w:rsidRPr="00F618D8">
        <w:rPr>
          <w:rFonts w:ascii="Arial" w:hAnsi="Arial"/>
        </w:rPr>
        <w:t xml:space="preserve">as </w:t>
      </w:r>
      <w:r w:rsidRPr="00F618D8">
        <w:rPr>
          <w:rFonts w:ascii="Arial" w:hAnsi="Arial"/>
        </w:rPr>
        <w:t>significantly impact</w:t>
      </w:r>
      <w:r w:rsidR="009F790B" w:rsidRPr="00F618D8">
        <w:rPr>
          <w:rFonts w:ascii="Arial" w:hAnsi="Arial"/>
        </w:rPr>
        <w:t>ing</w:t>
      </w:r>
      <w:r w:rsidRPr="00F618D8">
        <w:rPr>
          <w:rFonts w:ascii="Arial" w:hAnsi="Arial"/>
        </w:rPr>
        <w:t xml:space="preserve"> </w:t>
      </w:r>
      <w:r w:rsidR="009F790B" w:rsidRPr="00F618D8">
        <w:rPr>
          <w:rFonts w:ascii="Arial" w:hAnsi="Arial"/>
        </w:rPr>
        <w:t>not only</w:t>
      </w:r>
      <w:r w:rsidRPr="00F618D8">
        <w:rPr>
          <w:rFonts w:ascii="Arial" w:hAnsi="Arial"/>
        </w:rPr>
        <w:t xml:space="preserve"> </w:t>
      </w:r>
      <w:r w:rsidR="009F790B" w:rsidRPr="00F618D8">
        <w:rPr>
          <w:rFonts w:ascii="Arial" w:hAnsi="Arial"/>
        </w:rPr>
        <w:t xml:space="preserve">residents’ </w:t>
      </w:r>
      <w:r w:rsidRPr="00F618D8">
        <w:rPr>
          <w:rFonts w:ascii="Arial" w:hAnsi="Arial"/>
        </w:rPr>
        <w:t>human rights, but their physical health</w:t>
      </w:r>
      <w:r w:rsidR="00AA1F92" w:rsidRPr="00F618D8">
        <w:rPr>
          <w:rFonts w:ascii="Arial" w:hAnsi="Arial"/>
        </w:rPr>
        <w:t xml:space="preserve">. </w:t>
      </w:r>
      <w:r w:rsidRPr="00F618D8">
        <w:rPr>
          <w:rFonts w:ascii="Arial" w:hAnsi="Arial"/>
        </w:rPr>
        <w:t>For example, there was no formalized sex education</w:t>
      </w:r>
      <w:r w:rsidR="00AA1F92" w:rsidRPr="00F618D8">
        <w:rPr>
          <w:rFonts w:ascii="Arial" w:hAnsi="Arial"/>
        </w:rPr>
        <w:t xml:space="preserve">. </w:t>
      </w:r>
      <w:r w:rsidRPr="00F618D8">
        <w:rPr>
          <w:rFonts w:ascii="Arial" w:hAnsi="Arial"/>
        </w:rPr>
        <w:t>Ricardo re</w:t>
      </w:r>
      <w:r w:rsidR="009F790B" w:rsidRPr="00F618D8">
        <w:rPr>
          <w:rFonts w:ascii="Arial" w:hAnsi="Arial"/>
        </w:rPr>
        <w:t>calls</w:t>
      </w:r>
      <w:r w:rsidRPr="00F618D8">
        <w:rPr>
          <w:rFonts w:ascii="Arial" w:hAnsi="Arial"/>
        </w:rPr>
        <w:t>: “It was prohibited to talk about it, because if you did it and got caught, you’d get locked up . . . maybe three to four days</w:t>
      </w:r>
      <w:r w:rsidR="007A0E92" w:rsidRPr="00F618D8">
        <w:rPr>
          <w:rFonts w:ascii="Arial" w:hAnsi="Arial"/>
        </w:rPr>
        <w:t xml:space="preserve"> </w:t>
      </w:r>
      <w:r w:rsidRPr="00F618D8">
        <w:rPr>
          <w:rFonts w:ascii="Arial" w:hAnsi="Arial"/>
        </w:rPr>
        <w:t xml:space="preserve">. </w:t>
      </w:r>
      <w:r w:rsidR="009F790B" w:rsidRPr="00F618D8">
        <w:rPr>
          <w:rFonts w:ascii="Arial" w:hAnsi="Arial"/>
        </w:rPr>
        <w:t xml:space="preserve">. .  </w:t>
      </w:r>
      <w:r w:rsidRPr="00F618D8">
        <w:rPr>
          <w:rFonts w:ascii="Arial" w:hAnsi="Arial"/>
        </w:rPr>
        <w:t xml:space="preserve">If they would have had more education early, </w:t>
      </w:r>
      <w:r w:rsidR="009F790B" w:rsidRPr="00F618D8">
        <w:rPr>
          <w:rFonts w:ascii="Arial" w:hAnsi="Arial"/>
        </w:rPr>
        <w:t>[sexually transmitted disease]</w:t>
      </w:r>
      <w:r w:rsidRPr="00F618D8">
        <w:rPr>
          <w:rFonts w:ascii="Arial" w:hAnsi="Arial"/>
        </w:rPr>
        <w:t xml:space="preserve"> could have been prevented.” </w:t>
      </w:r>
    </w:p>
    <w:p w14:paraId="76339AA9" w14:textId="77777777" w:rsidR="00717597" w:rsidRPr="00F618D8" w:rsidRDefault="00717597" w:rsidP="00CA6AB0">
      <w:pPr>
        <w:pStyle w:val="ParaNoIndent"/>
        <w:rPr>
          <w:rFonts w:ascii="Arial" w:hAnsi="Arial"/>
        </w:rPr>
      </w:pPr>
      <w:r w:rsidRPr="00F618D8">
        <w:rPr>
          <w:rFonts w:ascii="Arial" w:hAnsi="Arial"/>
        </w:rPr>
        <w:t>When Donna and Ricardo were living on their own and expecting the birth of their son, they had to deal with assumpti</w:t>
      </w:r>
      <w:r w:rsidR="009F790B" w:rsidRPr="00F618D8">
        <w:rPr>
          <w:rFonts w:ascii="Arial" w:hAnsi="Arial"/>
        </w:rPr>
        <w:t xml:space="preserve">ons about their inability to make health care </w:t>
      </w:r>
      <w:r w:rsidRPr="00F618D8">
        <w:rPr>
          <w:rFonts w:ascii="Arial" w:hAnsi="Arial"/>
        </w:rPr>
        <w:t>decisions</w:t>
      </w:r>
      <w:r w:rsidR="00AA1F92" w:rsidRPr="00F618D8">
        <w:rPr>
          <w:rFonts w:ascii="Arial" w:hAnsi="Arial"/>
        </w:rPr>
        <w:t xml:space="preserve">. </w:t>
      </w:r>
      <w:r w:rsidRPr="00F618D8">
        <w:rPr>
          <w:rFonts w:ascii="Arial" w:hAnsi="Arial"/>
        </w:rPr>
        <w:t xml:space="preserve">For example, a medical provider did not believe Donna </w:t>
      </w:r>
      <w:r w:rsidR="009F790B" w:rsidRPr="00F618D8">
        <w:rPr>
          <w:rFonts w:ascii="Arial" w:hAnsi="Arial"/>
        </w:rPr>
        <w:t xml:space="preserve">could make </w:t>
      </w:r>
      <w:r w:rsidRPr="00F618D8">
        <w:rPr>
          <w:rFonts w:ascii="Arial" w:hAnsi="Arial"/>
        </w:rPr>
        <w:t>a difficult decision about whether to have an amniocentesis</w:t>
      </w:r>
      <w:r w:rsidR="00AA1F92" w:rsidRPr="00F618D8">
        <w:rPr>
          <w:rFonts w:ascii="Arial" w:hAnsi="Arial"/>
        </w:rPr>
        <w:t xml:space="preserve">. </w:t>
      </w:r>
      <w:r w:rsidRPr="00F618D8">
        <w:rPr>
          <w:rFonts w:ascii="Arial" w:hAnsi="Arial"/>
        </w:rPr>
        <w:t>Donna recalls: “[A nurse said], ‘They’re from institutions, they have no clue of what we’re talking about.’ … I kept trying to tell her, ‘If you just teach us and show us, we can learn this.’” Ricardo said, “I was so proud of [Donna] that she was able to make that decision</w:t>
      </w:r>
      <w:r w:rsidR="00AA1F92" w:rsidRPr="00F618D8">
        <w:rPr>
          <w:rFonts w:ascii="Arial" w:hAnsi="Arial"/>
        </w:rPr>
        <w:t xml:space="preserve">. </w:t>
      </w:r>
      <w:r w:rsidRPr="00F618D8">
        <w:rPr>
          <w:rFonts w:ascii="Arial" w:hAnsi="Arial"/>
        </w:rPr>
        <w:t>Donna went through a period where she was hoping that someone would . . . make that decision for her, but she did it.”</w:t>
      </w:r>
    </w:p>
    <w:p w14:paraId="34C139C2" w14:textId="77777777" w:rsidR="00717597" w:rsidRPr="00F618D8" w:rsidRDefault="00717597" w:rsidP="00CA6AB0">
      <w:pPr>
        <w:pStyle w:val="ParaNoIndent"/>
        <w:rPr>
          <w:rFonts w:ascii="Arial" w:hAnsi="Arial"/>
        </w:rPr>
      </w:pPr>
      <w:r w:rsidRPr="00F618D8">
        <w:rPr>
          <w:rFonts w:ascii="Arial" w:hAnsi="Arial"/>
        </w:rPr>
        <w:t>Now, Donna and Ricardo more confidently make their own decisions with the support from people they trust</w:t>
      </w:r>
      <w:r w:rsidR="00AA1F92" w:rsidRPr="00F618D8">
        <w:rPr>
          <w:rFonts w:ascii="Arial" w:hAnsi="Arial"/>
        </w:rPr>
        <w:t xml:space="preserve">. </w:t>
      </w:r>
      <w:r w:rsidRPr="00F618D8">
        <w:rPr>
          <w:rFonts w:ascii="Arial" w:hAnsi="Arial"/>
        </w:rPr>
        <w:t xml:space="preserve">They are in the process of executing advance planning documents, including </w:t>
      </w:r>
      <w:r w:rsidR="00BC7C0A" w:rsidRPr="00F618D8">
        <w:rPr>
          <w:rFonts w:ascii="Arial" w:hAnsi="Arial"/>
        </w:rPr>
        <w:t xml:space="preserve">advance directives </w:t>
      </w:r>
      <w:r w:rsidRPr="00F618D8">
        <w:rPr>
          <w:rFonts w:ascii="Arial" w:hAnsi="Arial"/>
        </w:rPr>
        <w:t xml:space="preserve">and </w:t>
      </w:r>
      <w:r w:rsidR="00BC7C0A" w:rsidRPr="00F618D8">
        <w:rPr>
          <w:rFonts w:ascii="Arial" w:hAnsi="Arial"/>
        </w:rPr>
        <w:t xml:space="preserve">durable health care </w:t>
      </w:r>
      <w:r w:rsidR="00F31590" w:rsidRPr="00F618D8">
        <w:rPr>
          <w:rFonts w:ascii="Arial" w:hAnsi="Arial"/>
        </w:rPr>
        <w:t>p</w:t>
      </w:r>
      <w:r w:rsidRPr="00F618D8">
        <w:rPr>
          <w:rFonts w:ascii="Arial" w:hAnsi="Arial"/>
        </w:rPr>
        <w:t xml:space="preserve">owers of </w:t>
      </w:r>
      <w:r w:rsidR="00F31590" w:rsidRPr="00F618D8">
        <w:rPr>
          <w:rFonts w:ascii="Arial" w:hAnsi="Arial"/>
        </w:rPr>
        <w:t>a</w:t>
      </w:r>
      <w:r w:rsidRPr="00F618D8">
        <w:rPr>
          <w:rFonts w:ascii="Arial" w:hAnsi="Arial"/>
        </w:rPr>
        <w:t>ttorney</w:t>
      </w:r>
      <w:r w:rsidR="00AA1F92" w:rsidRPr="00F618D8">
        <w:rPr>
          <w:rFonts w:ascii="Arial" w:hAnsi="Arial"/>
        </w:rPr>
        <w:t xml:space="preserve">. </w:t>
      </w:r>
      <w:r w:rsidRPr="00F618D8">
        <w:rPr>
          <w:rFonts w:ascii="Arial" w:hAnsi="Arial"/>
        </w:rPr>
        <w:t xml:space="preserve">These tools are important to them because, as Ricardo said, “If something were to happen to us, and we’re not able to make . . . decisions on our own at that time, </w:t>
      </w:r>
      <w:r w:rsidRPr="00F618D8">
        <w:rPr>
          <w:rFonts w:ascii="Arial" w:hAnsi="Arial"/>
        </w:rPr>
        <w:lastRenderedPageBreak/>
        <w:t>hopefully [our agents] will be able to make the decision for us</w:t>
      </w:r>
      <w:r w:rsidR="00AA1F92" w:rsidRPr="00F618D8">
        <w:rPr>
          <w:rFonts w:ascii="Arial" w:hAnsi="Arial"/>
        </w:rPr>
        <w:t xml:space="preserve">. </w:t>
      </w:r>
      <w:r w:rsidRPr="00F618D8">
        <w:rPr>
          <w:rFonts w:ascii="Arial" w:hAnsi="Arial"/>
        </w:rPr>
        <w:t>We put our trust in it, knowing that we’re going to be all right</w:t>
      </w:r>
      <w:r w:rsidR="00AA1F92" w:rsidRPr="00F618D8">
        <w:rPr>
          <w:rFonts w:ascii="Arial" w:hAnsi="Arial"/>
        </w:rPr>
        <w:t xml:space="preserve">.” </w:t>
      </w:r>
      <w:r w:rsidRPr="00F618D8">
        <w:rPr>
          <w:rFonts w:ascii="Arial" w:hAnsi="Arial"/>
        </w:rPr>
        <w:t xml:space="preserve">Donna and Ricardo both feel that it is important </w:t>
      </w:r>
      <w:r w:rsidR="009F790B" w:rsidRPr="00F618D8">
        <w:rPr>
          <w:rFonts w:ascii="Arial" w:hAnsi="Arial"/>
        </w:rPr>
        <w:t>for</w:t>
      </w:r>
      <w:r w:rsidRPr="00F618D8">
        <w:rPr>
          <w:rFonts w:ascii="Arial" w:hAnsi="Arial"/>
        </w:rPr>
        <w:t xml:space="preserve"> people with ID/DD </w:t>
      </w:r>
      <w:r w:rsidR="009F790B" w:rsidRPr="00F618D8">
        <w:rPr>
          <w:rFonts w:ascii="Arial" w:hAnsi="Arial"/>
        </w:rPr>
        <w:t xml:space="preserve">to </w:t>
      </w:r>
      <w:r w:rsidRPr="00F618D8">
        <w:rPr>
          <w:rFonts w:ascii="Arial" w:hAnsi="Arial"/>
        </w:rPr>
        <w:t>surround themselves with good supporters who will treat them with respect</w:t>
      </w:r>
      <w:r w:rsidR="00AA1F92" w:rsidRPr="00F618D8">
        <w:rPr>
          <w:rFonts w:ascii="Arial" w:hAnsi="Arial"/>
        </w:rPr>
        <w:t xml:space="preserve">. </w:t>
      </w:r>
      <w:r w:rsidRPr="00F618D8">
        <w:rPr>
          <w:rFonts w:ascii="Arial" w:hAnsi="Arial"/>
        </w:rPr>
        <w:t>“Just remember that we are all on one team, and I would love to have respect</w:t>
      </w:r>
      <w:r w:rsidR="00AA1F92" w:rsidRPr="00F618D8">
        <w:rPr>
          <w:rFonts w:ascii="Arial" w:hAnsi="Arial"/>
        </w:rPr>
        <w:t xml:space="preserve">. </w:t>
      </w:r>
      <w:r w:rsidRPr="00F618D8">
        <w:rPr>
          <w:rFonts w:ascii="Arial" w:hAnsi="Arial"/>
        </w:rPr>
        <w:t>Work with me and know that I’m not perfect, but I’m willing to make a difference</w:t>
      </w:r>
      <w:r w:rsidR="00AA1F92" w:rsidRPr="00F618D8">
        <w:rPr>
          <w:rFonts w:ascii="Arial" w:hAnsi="Arial"/>
        </w:rPr>
        <w:t xml:space="preserve">.” </w:t>
      </w:r>
    </w:p>
    <w:p w14:paraId="73D1A4C2" w14:textId="77777777" w:rsidR="00473D44" w:rsidRPr="00F618D8" w:rsidRDefault="00473D44" w:rsidP="00473D44">
      <w:pPr>
        <w:spacing w:line="360" w:lineRule="auto"/>
        <w:rPr>
          <w:rFonts w:ascii="Arial" w:hAnsi="Arial" w:cs="Arial"/>
          <w:sz w:val="24"/>
          <w:szCs w:val="24"/>
        </w:rPr>
        <w:sectPr w:rsidR="00473D44" w:rsidRPr="00F618D8" w:rsidSect="00717597">
          <w:endnotePr>
            <w:numFmt w:val="decimal"/>
          </w:endnotePr>
          <w:pgSz w:w="12240" w:h="15840"/>
          <w:pgMar w:top="1170" w:right="1440" w:bottom="1440" w:left="1440" w:header="720" w:footer="450" w:gutter="0"/>
          <w:cols w:space="720"/>
          <w:docGrid w:linePitch="360"/>
        </w:sectPr>
      </w:pPr>
    </w:p>
    <w:p w14:paraId="4CAAAC26" w14:textId="77777777" w:rsidR="00D82611" w:rsidRPr="00F618D8" w:rsidRDefault="00D82611" w:rsidP="00CA6AB0">
      <w:pPr>
        <w:pStyle w:val="Heading1"/>
        <w:rPr>
          <w:rFonts w:ascii="Arial" w:hAnsi="Arial" w:cs="Arial"/>
        </w:rPr>
      </w:pPr>
      <w:bookmarkStart w:id="129" w:name="_Toc10290982"/>
      <w:r w:rsidRPr="00F618D8">
        <w:rPr>
          <w:rFonts w:ascii="Arial" w:hAnsi="Arial" w:cs="Arial"/>
        </w:rPr>
        <w:lastRenderedPageBreak/>
        <w:t xml:space="preserve">Chapter </w:t>
      </w:r>
      <w:r w:rsidR="00521E4B" w:rsidRPr="00F618D8">
        <w:rPr>
          <w:rFonts w:ascii="Arial" w:hAnsi="Arial" w:cs="Arial"/>
        </w:rPr>
        <w:t>6</w:t>
      </w:r>
      <w:r w:rsidRPr="00F618D8">
        <w:rPr>
          <w:rFonts w:ascii="Arial" w:hAnsi="Arial" w:cs="Arial"/>
        </w:rPr>
        <w:t>:</w:t>
      </w:r>
      <w:r w:rsidR="00016078" w:rsidRPr="00F618D8">
        <w:rPr>
          <w:rFonts w:ascii="Arial" w:hAnsi="Arial" w:cs="Arial"/>
        </w:rPr>
        <w:t xml:space="preserve"> </w:t>
      </w:r>
      <w:r w:rsidR="008A7B27" w:rsidRPr="00F618D8">
        <w:rPr>
          <w:rFonts w:ascii="Arial" w:hAnsi="Arial" w:cs="Arial"/>
        </w:rPr>
        <w:t xml:space="preserve">Other </w:t>
      </w:r>
      <w:r w:rsidR="00016078" w:rsidRPr="00F618D8">
        <w:rPr>
          <w:rFonts w:ascii="Arial" w:hAnsi="Arial" w:cs="Arial"/>
        </w:rPr>
        <w:t xml:space="preserve">Stakeholder Experiences with the Guardianship System </w:t>
      </w:r>
      <w:r w:rsidR="0078411F" w:rsidRPr="00F618D8">
        <w:rPr>
          <w:rFonts w:ascii="Arial" w:hAnsi="Arial" w:cs="Arial"/>
        </w:rPr>
        <w:t>and Alternatives</w:t>
      </w:r>
      <w:bookmarkEnd w:id="129"/>
    </w:p>
    <w:p w14:paraId="38C61383" w14:textId="77777777" w:rsidR="006D57CE" w:rsidRPr="00F618D8" w:rsidRDefault="00E2761F" w:rsidP="00CA6AB0">
      <w:pPr>
        <w:pStyle w:val="Heading2"/>
        <w:rPr>
          <w:rFonts w:ascii="Arial" w:eastAsia="Times New Roman" w:hAnsi="Arial" w:cs="Arial"/>
        </w:rPr>
      </w:pPr>
      <w:bookmarkStart w:id="130" w:name="_Toc10290983"/>
      <w:r w:rsidRPr="00F618D8">
        <w:rPr>
          <w:rFonts w:ascii="Arial" w:eastAsia="Times New Roman" w:hAnsi="Arial" w:cs="Arial"/>
        </w:rPr>
        <w:t xml:space="preserve">Rights Taken, Rights </w:t>
      </w:r>
      <w:r w:rsidRPr="00F618D8">
        <w:rPr>
          <w:rFonts w:ascii="Arial" w:hAnsi="Arial" w:cs="Arial"/>
        </w:rPr>
        <w:t>R</w:t>
      </w:r>
      <w:r w:rsidR="006D57CE" w:rsidRPr="00F618D8">
        <w:rPr>
          <w:rFonts w:ascii="Arial" w:hAnsi="Arial" w:cs="Arial"/>
        </w:rPr>
        <w:t>estored</w:t>
      </w:r>
      <w:r w:rsidR="006D57CE" w:rsidRPr="00F618D8">
        <w:rPr>
          <w:rFonts w:ascii="Arial" w:eastAsia="Times New Roman" w:hAnsi="Arial" w:cs="Arial"/>
        </w:rPr>
        <w:t>: Tosha’s Story from Texas</w:t>
      </w:r>
      <w:bookmarkEnd w:id="130"/>
    </w:p>
    <w:p w14:paraId="21E74BCD" w14:textId="77777777" w:rsidR="006D57CE" w:rsidRPr="00F618D8" w:rsidRDefault="006D57CE" w:rsidP="00CA6AB0">
      <w:pPr>
        <w:pStyle w:val="ParaNoIndent"/>
        <w:rPr>
          <w:rFonts w:ascii="Arial" w:hAnsi="Arial"/>
        </w:rPr>
      </w:pPr>
      <w:r w:rsidRPr="00F618D8">
        <w:rPr>
          <w:rFonts w:ascii="Arial" w:hAnsi="Arial"/>
        </w:rPr>
        <w:t xml:space="preserve">Tosha Woodward has a developmental disability, and up until she was in her 30s, she was gainfully employed, living as a contributing member of society with no need for guardianship. </w:t>
      </w:r>
    </w:p>
    <w:p w14:paraId="4153CEB0" w14:textId="77777777" w:rsidR="006D57CE" w:rsidRPr="00F618D8" w:rsidRDefault="006D57CE" w:rsidP="00CA6AB0">
      <w:pPr>
        <w:pStyle w:val="ParaNoIndent"/>
        <w:rPr>
          <w:rFonts w:ascii="Arial" w:hAnsi="Arial"/>
        </w:rPr>
      </w:pPr>
      <w:r w:rsidRPr="00F618D8">
        <w:rPr>
          <w:rFonts w:ascii="Arial" w:hAnsi="Arial"/>
        </w:rPr>
        <w:t xml:space="preserve">Unfortunately, her father was mistakenly told that he needed to file for guardianship for her to live in a group home. </w:t>
      </w:r>
      <w:r w:rsidR="00A71BDF" w:rsidRPr="00F618D8">
        <w:rPr>
          <w:rFonts w:ascii="Arial" w:hAnsi="Arial"/>
        </w:rPr>
        <w:t xml:space="preserve">This is a common issue for families. </w:t>
      </w:r>
      <w:r w:rsidRPr="00F618D8">
        <w:rPr>
          <w:rFonts w:ascii="Arial" w:hAnsi="Arial"/>
        </w:rPr>
        <w:t xml:space="preserve">Tosha did not want the guardianship, and during the initial hearing, many of her due process rights were violated. For instance, her court-appointed attorney did not arrange for Tosha to participate in the hearing and signed an agreed order that removed </w:t>
      </w:r>
      <w:r w:rsidR="00331C50" w:rsidRPr="00F618D8">
        <w:rPr>
          <w:rFonts w:ascii="Arial" w:hAnsi="Arial"/>
        </w:rPr>
        <w:t>all</w:t>
      </w:r>
      <w:r w:rsidRPr="00F618D8">
        <w:rPr>
          <w:rFonts w:ascii="Arial" w:hAnsi="Arial"/>
        </w:rPr>
        <w:t xml:space="preserve"> her legal rights including the right to vote, to choose where she lived, and even to work where she wanted. </w:t>
      </w:r>
    </w:p>
    <w:p w14:paraId="472D2043" w14:textId="77777777" w:rsidR="006D57CE" w:rsidRPr="00F618D8" w:rsidRDefault="006D57CE" w:rsidP="00CA6AB0">
      <w:pPr>
        <w:pStyle w:val="ParaNoIndent"/>
        <w:rPr>
          <w:rFonts w:ascii="Arial" w:hAnsi="Arial"/>
        </w:rPr>
      </w:pPr>
      <w:r w:rsidRPr="00F618D8">
        <w:rPr>
          <w:rFonts w:ascii="Arial" w:hAnsi="Arial"/>
        </w:rPr>
        <w:t>Guardianship had a serious and detrimental impact on Tosha’s life. She ended up in a segregated, sheltered workshop where she was paid subminimum wage for a job that under</w:t>
      </w:r>
      <w:r w:rsidR="00AA7B24" w:rsidRPr="00F618D8">
        <w:rPr>
          <w:rFonts w:ascii="Arial" w:hAnsi="Arial"/>
        </w:rPr>
        <w:t>-</w:t>
      </w:r>
      <w:r w:rsidRPr="00F618D8">
        <w:rPr>
          <w:rFonts w:ascii="Arial" w:hAnsi="Arial"/>
        </w:rPr>
        <w:t>utilized her abilities. Her job was to take a</w:t>
      </w:r>
      <w:r w:rsidR="006B7AF6" w:rsidRPr="00F618D8">
        <w:rPr>
          <w:rFonts w:ascii="Arial" w:hAnsi="Arial"/>
        </w:rPr>
        <w:t xml:space="preserve"> bag</w:t>
      </w:r>
      <w:r w:rsidRPr="00F618D8">
        <w:rPr>
          <w:rFonts w:ascii="Arial" w:hAnsi="Arial"/>
        </w:rPr>
        <w:t xml:space="preserve"> filled </w:t>
      </w:r>
      <w:r w:rsidR="006B7AF6" w:rsidRPr="00F618D8">
        <w:rPr>
          <w:rFonts w:ascii="Arial" w:hAnsi="Arial"/>
        </w:rPr>
        <w:t>with</w:t>
      </w:r>
      <w:r w:rsidRPr="00F618D8">
        <w:rPr>
          <w:rFonts w:ascii="Arial" w:hAnsi="Arial"/>
        </w:rPr>
        <w:t xml:space="preserve"> birdseed from the hand of a peer, rotate her body, and then drop the bag in a bin. Also, immediately </w:t>
      </w:r>
      <w:r w:rsidR="00A71BDF" w:rsidRPr="00F618D8">
        <w:rPr>
          <w:rFonts w:ascii="Arial" w:hAnsi="Arial"/>
        </w:rPr>
        <w:t>after</w:t>
      </w:r>
      <w:r w:rsidRPr="00F618D8">
        <w:rPr>
          <w:rFonts w:ascii="Arial" w:hAnsi="Arial"/>
        </w:rPr>
        <w:t xml:space="preserve"> the </w:t>
      </w:r>
      <w:r w:rsidR="00A71BDF" w:rsidRPr="00F618D8">
        <w:rPr>
          <w:rFonts w:ascii="Arial" w:hAnsi="Arial"/>
        </w:rPr>
        <w:t>guardianship was granted</w:t>
      </w:r>
      <w:r w:rsidRPr="00F618D8">
        <w:rPr>
          <w:rFonts w:ascii="Arial" w:hAnsi="Arial"/>
        </w:rPr>
        <w:t xml:space="preserve">, she was moved into a group home with very restrictive rules. “I did not like all the rules that the group home and my guardian made me follow,” said Tosha. “I had no freedom and wasn’t allowed to make decisions for myself.” </w:t>
      </w:r>
    </w:p>
    <w:p w14:paraId="293B7A84" w14:textId="77777777" w:rsidR="006D57CE" w:rsidRPr="00F618D8" w:rsidRDefault="006D57CE" w:rsidP="00CA6AB0">
      <w:pPr>
        <w:pStyle w:val="ParaNoIndent"/>
        <w:rPr>
          <w:rFonts w:ascii="Arial" w:hAnsi="Arial"/>
        </w:rPr>
      </w:pPr>
      <w:r w:rsidRPr="00F618D8">
        <w:rPr>
          <w:rFonts w:ascii="Arial" w:hAnsi="Arial"/>
        </w:rPr>
        <w:t>Disability Rights Texas learned about Tosha when they met her d</w:t>
      </w:r>
      <w:r w:rsidR="00A71BDF" w:rsidRPr="00F618D8">
        <w:rPr>
          <w:rFonts w:ascii="Arial" w:hAnsi="Arial"/>
        </w:rPr>
        <w:t xml:space="preserve">uring their </w:t>
      </w:r>
      <w:r w:rsidRPr="00F618D8">
        <w:rPr>
          <w:rFonts w:ascii="Arial" w:hAnsi="Arial"/>
        </w:rPr>
        <w:t>routine monitoring of sheltered workshops that paid subminimum wage. Their attorney informed her of her right to seek restoration from guardianship, and she asked for representation in this effort</w:t>
      </w:r>
      <w:r w:rsidR="00AA1F92" w:rsidRPr="00F618D8">
        <w:rPr>
          <w:rFonts w:ascii="Arial" w:hAnsi="Arial"/>
        </w:rPr>
        <w:t xml:space="preserve">. </w:t>
      </w:r>
    </w:p>
    <w:p w14:paraId="69D7DB10" w14:textId="77777777" w:rsidR="006D57CE" w:rsidRPr="00F618D8" w:rsidRDefault="00710D1D" w:rsidP="00CA6AB0">
      <w:pPr>
        <w:pStyle w:val="ParaNoIndent"/>
        <w:rPr>
          <w:rFonts w:ascii="Arial" w:hAnsi="Arial"/>
        </w:rPr>
      </w:pPr>
      <w:r w:rsidRPr="00F618D8">
        <w:rPr>
          <w:rFonts w:ascii="Arial" w:hAnsi="Arial"/>
        </w:rPr>
        <w:t>According to Disability Rights Texas, Tosha’s guardian</w:t>
      </w:r>
      <w:r w:rsidR="006D57CE" w:rsidRPr="00F618D8">
        <w:rPr>
          <w:rFonts w:ascii="Arial" w:hAnsi="Arial"/>
        </w:rPr>
        <w:t xml:space="preserve"> and the group home put up many obstacles </w:t>
      </w:r>
      <w:r w:rsidR="003665DB" w:rsidRPr="00F618D8">
        <w:rPr>
          <w:rFonts w:ascii="Arial" w:hAnsi="Arial"/>
        </w:rPr>
        <w:t>to</w:t>
      </w:r>
      <w:r w:rsidR="006D57CE" w:rsidRPr="00F618D8">
        <w:rPr>
          <w:rFonts w:ascii="Arial" w:hAnsi="Arial"/>
        </w:rPr>
        <w:t xml:space="preserve"> keep her attorney from successfully restoring her from being under guardianship, such as putting more restrictions on her life and moving her outside of the </w:t>
      </w:r>
      <w:r w:rsidR="006D57CE" w:rsidRPr="00F618D8">
        <w:rPr>
          <w:rFonts w:ascii="Arial" w:hAnsi="Arial"/>
        </w:rPr>
        <w:lastRenderedPageBreak/>
        <w:t>jurisdiction of the court. And then sadly, her guardian died</w:t>
      </w:r>
      <w:r w:rsidR="003665DB" w:rsidRPr="00F618D8">
        <w:rPr>
          <w:rFonts w:ascii="Arial" w:hAnsi="Arial"/>
        </w:rPr>
        <w:t>,</w:t>
      </w:r>
      <w:r w:rsidR="006D57CE" w:rsidRPr="00F618D8">
        <w:rPr>
          <w:rFonts w:ascii="Arial" w:hAnsi="Arial"/>
        </w:rPr>
        <w:t xml:space="preserve"> which made for a more complex and lengthier process to finally achieve restoration for Tosha. </w:t>
      </w:r>
    </w:p>
    <w:p w14:paraId="18FBEF19" w14:textId="77777777" w:rsidR="006D57CE" w:rsidRPr="00F618D8" w:rsidRDefault="006D57CE" w:rsidP="00CA6AB0">
      <w:pPr>
        <w:pStyle w:val="ParaNoIndent"/>
        <w:rPr>
          <w:rFonts w:ascii="Arial" w:hAnsi="Arial"/>
        </w:rPr>
      </w:pPr>
      <w:r w:rsidRPr="00F618D8">
        <w:rPr>
          <w:rFonts w:ascii="Arial" w:hAnsi="Arial"/>
        </w:rPr>
        <w:t xml:space="preserve">When Disability Rights Texas was finally successful </w:t>
      </w:r>
      <w:r w:rsidR="00156E19" w:rsidRPr="00F618D8">
        <w:rPr>
          <w:rFonts w:ascii="Arial" w:hAnsi="Arial"/>
        </w:rPr>
        <w:t>at</w:t>
      </w:r>
      <w:r w:rsidRPr="00F618D8">
        <w:rPr>
          <w:rFonts w:ascii="Arial" w:hAnsi="Arial"/>
        </w:rPr>
        <w:t xml:space="preserve"> getting Tosha</w:t>
      </w:r>
      <w:r w:rsidR="00A71BDF" w:rsidRPr="00F618D8">
        <w:rPr>
          <w:rFonts w:ascii="Arial" w:hAnsi="Arial"/>
        </w:rPr>
        <w:t>’s</w:t>
      </w:r>
      <w:r w:rsidRPr="00F618D8">
        <w:rPr>
          <w:rFonts w:ascii="Arial" w:hAnsi="Arial"/>
        </w:rPr>
        <w:t xml:space="preserve"> rights restored, she cried in relief, “I am so happy to have my freedom back. I get to make my own decisions again about where I work and live.” She is now working again in the community making a fair wage at a job she enjoys.</w:t>
      </w:r>
    </w:p>
    <w:p w14:paraId="14105658" w14:textId="29A257E7" w:rsidR="006D57CE" w:rsidRPr="00F618D8" w:rsidRDefault="006D57CE" w:rsidP="00CA6AB0">
      <w:pPr>
        <w:pStyle w:val="ParaNoIndent"/>
        <w:rPr>
          <w:rFonts w:ascii="Arial" w:hAnsi="Arial"/>
        </w:rPr>
      </w:pPr>
      <w:r w:rsidRPr="00F618D8">
        <w:rPr>
          <w:rFonts w:ascii="Arial" w:hAnsi="Arial"/>
        </w:rPr>
        <w:t xml:space="preserve">Tosha’s story </w:t>
      </w:r>
      <w:r w:rsidR="00710D1D" w:rsidRPr="00F618D8">
        <w:rPr>
          <w:rFonts w:ascii="Arial" w:hAnsi="Arial"/>
        </w:rPr>
        <w:t>illustrates</w:t>
      </w:r>
      <w:r w:rsidR="006220B8" w:rsidRPr="00F618D8">
        <w:rPr>
          <w:rFonts w:ascii="Arial" w:hAnsi="Arial"/>
        </w:rPr>
        <w:t xml:space="preserve"> the</w:t>
      </w:r>
      <w:r w:rsidRPr="00F618D8">
        <w:rPr>
          <w:rFonts w:ascii="Arial" w:hAnsi="Arial"/>
        </w:rPr>
        <w:t xml:space="preserve"> concerns NCD raised in its 2018 report with respect to the implementation of guardianship regimes, including barriers to due process in initial guardianship proceedings, lack of zealous representation by some court-appointed attorneys, the expansive loss of rights, and barriers to pursuing restoration</w:t>
      </w:r>
      <w:r w:rsidR="00AA1F92" w:rsidRPr="00F618D8">
        <w:rPr>
          <w:rFonts w:ascii="Arial" w:hAnsi="Arial"/>
        </w:rPr>
        <w:t xml:space="preserve">. </w:t>
      </w:r>
      <w:r w:rsidRPr="00F618D8">
        <w:rPr>
          <w:rFonts w:ascii="Arial" w:hAnsi="Arial"/>
        </w:rPr>
        <w:t xml:space="preserve">But it goes </w:t>
      </w:r>
      <w:r w:rsidR="00A71BDF" w:rsidRPr="00F618D8">
        <w:rPr>
          <w:rFonts w:ascii="Arial" w:hAnsi="Arial"/>
        </w:rPr>
        <w:t>f</w:t>
      </w:r>
      <w:r w:rsidR="00766A55" w:rsidRPr="00F618D8">
        <w:rPr>
          <w:rFonts w:ascii="Arial" w:hAnsi="Arial"/>
        </w:rPr>
        <w:t>u</w:t>
      </w:r>
      <w:r w:rsidR="00A71BDF" w:rsidRPr="00F618D8">
        <w:rPr>
          <w:rFonts w:ascii="Arial" w:hAnsi="Arial"/>
        </w:rPr>
        <w:t xml:space="preserve">rther than </w:t>
      </w:r>
      <w:r w:rsidRPr="00F618D8">
        <w:rPr>
          <w:rFonts w:ascii="Arial" w:hAnsi="Arial"/>
        </w:rPr>
        <w:t>that by highlighting the restrictive impact guardianship can have on people with ID/DD, depending on the actions of the guardian</w:t>
      </w:r>
      <w:r w:rsidR="00AA1F92" w:rsidRPr="00F618D8">
        <w:rPr>
          <w:rFonts w:ascii="Arial" w:hAnsi="Arial"/>
        </w:rPr>
        <w:t xml:space="preserve">. </w:t>
      </w:r>
      <w:r w:rsidRPr="00F618D8">
        <w:rPr>
          <w:rFonts w:ascii="Arial" w:hAnsi="Arial"/>
        </w:rPr>
        <w:t>In Tosha’s case</w:t>
      </w:r>
      <w:r w:rsidR="00766A55" w:rsidRPr="00F618D8">
        <w:rPr>
          <w:rFonts w:ascii="Arial" w:hAnsi="Arial"/>
        </w:rPr>
        <w:t>,</w:t>
      </w:r>
      <w:r w:rsidRPr="00F618D8">
        <w:rPr>
          <w:rFonts w:ascii="Arial" w:hAnsi="Arial"/>
        </w:rPr>
        <w:t xml:space="preserve"> she was moved to a more restrictive living and working environment, with</w:t>
      </w:r>
      <w:r w:rsidR="000A7AB6" w:rsidRPr="00F618D8">
        <w:rPr>
          <w:rFonts w:ascii="Arial" w:hAnsi="Arial"/>
        </w:rPr>
        <w:t xml:space="preserve"> hardly</w:t>
      </w:r>
      <w:r w:rsidRPr="00F618D8">
        <w:rPr>
          <w:rFonts w:ascii="Arial" w:hAnsi="Arial"/>
        </w:rPr>
        <w:t xml:space="preserve"> </w:t>
      </w:r>
      <w:r w:rsidR="00175F83" w:rsidRPr="00F618D8">
        <w:rPr>
          <w:rFonts w:ascii="Arial" w:hAnsi="Arial"/>
        </w:rPr>
        <w:t xml:space="preserve">a </w:t>
      </w:r>
      <w:r w:rsidRPr="00F618D8">
        <w:rPr>
          <w:rFonts w:ascii="Arial" w:hAnsi="Arial"/>
        </w:rPr>
        <w:t>clear way out</w:t>
      </w:r>
      <w:r w:rsidR="00AA1F92" w:rsidRPr="00F618D8">
        <w:rPr>
          <w:rFonts w:ascii="Arial" w:hAnsi="Arial"/>
        </w:rPr>
        <w:t xml:space="preserve">. </w:t>
      </w:r>
      <w:r w:rsidR="007623CA" w:rsidRPr="00F618D8">
        <w:rPr>
          <w:rFonts w:ascii="Arial" w:hAnsi="Arial"/>
        </w:rPr>
        <w:t xml:space="preserve">It also illustrates how difficult it is for people with ID/DD to get information about their rights, </w:t>
      </w:r>
      <w:r w:rsidR="00766A55" w:rsidRPr="00F618D8">
        <w:rPr>
          <w:rFonts w:ascii="Arial" w:hAnsi="Arial"/>
        </w:rPr>
        <w:t xml:space="preserve">whether from </w:t>
      </w:r>
      <w:r w:rsidR="007623CA" w:rsidRPr="00F618D8">
        <w:rPr>
          <w:rFonts w:ascii="Arial" w:hAnsi="Arial"/>
        </w:rPr>
        <w:t xml:space="preserve">the guardian, the courts, the group home system, and </w:t>
      </w:r>
      <w:r w:rsidR="00766A55" w:rsidRPr="00F618D8">
        <w:rPr>
          <w:rFonts w:ascii="Arial" w:hAnsi="Arial"/>
        </w:rPr>
        <w:t xml:space="preserve">in </w:t>
      </w:r>
      <w:r w:rsidR="007623CA" w:rsidRPr="00F618D8">
        <w:rPr>
          <w:rFonts w:ascii="Arial" w:hAnsi="Arial"/>
        </w:rPr>
        <w:t>Tosha’s</w:t>
      </w:r>
      <w:r w:rsidR="00766A55" w:rsidRPr="00F618D8">
        <w:rPr>
          <w:rFonts w:ascii="Arial" w:hAnsi="Arial"/>
        </w:rPr>
        <w:t xml:space="preserve"> case, a</w:t>
      </w:r>
      <w:r w:rsidR="007623CA" w:rsidRPr="00F618D8">
        <w:rPr>
          <w:rFonts w:ascii="Arial" w:hAnsi="Arial"/>
        </w:rPr>
        <w:t xml:space="preserve"> sheltered workplace </w:t>
      </w:r>
      <w:r w:rsidR="00766A55" w:rsidRPr="00F618D8">
        <w:rPr>
          <w:rFonts w:ascii="Arial" w:hAnsi="Arial"/>
        </w:rPr>
        <w:t>that didn’t provide</w:t>
      </w:r>
      <w:r w:rsidR="007623CA" w:rsidRPr="00F618D8">
        <w:rPr>
          <w:rFonts w:ascii="Arial" w:hAnsi="Arial"/>
        </w:rPr>
        <w:t xml:space="preserve"> any information to her</w:t>
      </w:r>
      <w:r w:rsidR="00AA1F92" w:rsidRPr="00F618D8">
        <w:rPr>
          <w:rFonts w:ascii="Arial" w:hAnsi="Arial"/>
        </w:rPr>
        <w:t xml:space="preserve">. </w:t>
      </w:r>
      <w:r w:rsidRPr="00F618D8">
        <w:rPr>
          <w:rFonts w:ascii="Arial" w:hAnsi="Arial"/>
        </w:rPr>
        <w:t>If the Texas protection and advocacy system had</w:t>
      </w:r>
      <w:r w:rsidR="00766A55" w:rsidRPr="00F618D8">
        <w:rPr>
          <w:rFonts w:ascii="Arial" w:hAnsi="Arial"/>
        </w:rPr>
        <w:t>n’</w:t>
      </w:r>
      <w:r w:rsidR="000E2717" w:rsidRPr="00F618D8">
        <w:rPr>
          <w:rFonts w:ascii="Arial" w:hAnsi="Arial"/>
        </w:rPr>
        <w:t xml:space="preserve">t </w:t>
      </w:r>
      <w:r w:rsidRPr="00F618D8">
        <w:rPr>
          <w:rFonts w:ascii="Arial" w:hAnsi="Arial"/>
        </w:rPr>
        <w:t xml:space="preserve">run across Tosha during a routine monitoring, would she have been able to get her rights restored?  </w:t>
      </w:r>
    </w:p>
    <w:p w14:paraId="51CD33A7" w14:textId="77777777" w:rsidR="00717597" w:rsidRPr="00F618D8" w:rsidRDefault="00717597" w:rsidP="00CA6AB0">
      <w:pPr>
        <w:pStyle w:val="Heading2"/>
        <w:rPr>
          <w:rFonts w:ascii="Arial" w:hAnsi="Arial" w:cs="Arial"/>
        </w:rPr>
      </w:pPr>
      <w:bookmarkStart w:id="131" w:name="_Toc10290984"/>
      <w:bookmarkStart w:id="132" w:name="_Hlk532596845"/>
      <w:r w:rsidRPr="00F618D8">
        <w:rPr>
          <w:rFonts w:ascii="Arial" w:hAnsi="Arial" w:cs="Arial"/>
        </w:rPr>
        <w:t>In Their Own Words: Other Lessons Learned from Stakeholders</w:t>
      </w:r>
      <w:bookmarkEnd w:id="131"/>
    </w:p>
    <w:p w14:paraId="484364A9" w14:textId="727AEC3A" w:rsidR="00717597" w:rsidRPr="00F618D8" w:rsidRDefault="00717597" w:rsidP="00CA6AB0">
      <w:pPr>
        <w:pStyle w:val="ParaNoIndent"/>
        <w:rPr>
          <w:rFonts w:ascii="Arial" w:hAnsi="Arial"/>
        </w:rPr>
      </w:pPr>
      <w:r w:rsidRPr="00F618D8">
        <w:rPr>
          <w:rFonts w:ascii="Arial" w:hAnsi="Arial"/>
        </w:rPr>
        <w:t>NCD gathered stories about experiences with guardianship and alternatives and their perceived impact on people with ID/DD through a variety of methods, including online story collection, a focus group, and one-on-one interviews</w:t>
      </w:r>
      <w:r w:rsidR="00AA1F92" w:rsidRPr="00F618D8">
        <w:rPr>
          <w:rFonts w:ascii="Arial" w:hAnsi="Arial"/>
        </w:rPr>
        <w:t xml:space="preserve">. </w:t>
      </w:r>
      <w:r w:rsidRPr="00F618D8">
        <w:rPr>
          <w:rFonts w:ascii="Arial" w:hAnsi="Arial"/>
        </w:rPr>
        <w:t xml:space="preserve">This resulted in </w:t>
      </w:r>
      <w:r w:rsidR="00A71BDF" w:rsidRPr="00F618D8">
        <w:rPr>
          <w:rFonts w:ascii="Arial" w:hAnsi="Arial"/>
        </w:rPr>
        <w:t>i</w:t>
      </w:r>
      <w:r w:rsidRPr="00F618D8">
        <w:rPr>
          <w:rFonts w:ascii="Arial" w:hAnsi="Arial"/>
        </w:rPr>
        <w:t xml:space="preserve">nput from people with ID/DD, family members, and other stakeholders, including special education advocates, </w:t>
      </w:r>
      <w:r w:rsidR="00A71BDF" w:rsidRPr="00F618D8">
        <w:rPr>
          <w:rFonts w:ascii="Arial" w:hAnsi="Arial"/>
        </w:rPr>
        <w:t xml:space="preserve">state employees, </w:t>
      </w:r>
      <w:r w:rsidRPr="00F618D8">
        <w:rPr>
          <w:rFonts w:ascii="Arial" w:hAnsi="Arial"/>
        </w:rPr>
        <w:t>guardians</w:t>
      </w:r>
      <w:r w:rsidR="00691880" w:rsidRPr="00F618D8">
        <w:rPr>
          <w:rFonts w:ascii="Arial" w:hAnsi="Arial"/>
        </w:rPr>
        <w:t>,</w:t>
      </w:r>
      <w:r w:rsidRPr="00F618D8">
        <w:rPr>
          <w:rFonts w:ascii="Arial" w:hAnsi="Arial"/>
        </w:rPr>
        <w:t xml:space="preserve"> or administrators of guardianship programs, and staff who provide transition services to youth with ID/DD</w:t>
      </w:r>
      <w:r w:rsidR="00AA1F92" w:rsidRPr="00F618D8">
        <w:rPr>
          <w:rFonts w:ascii="Arial" w:hAnsi="Arial"/>
        </w:rPr>
        <w:t xml:space="preserve">. </w:t>
      </w:r>
      <w:bookmarkStart w:id="133" w:name="_Hlk5278139"/>
      <w:r w:rsidRPr="00F618D8">
        <w:rPr>
          <w:rFonts w:ascii="Arial" w:hAnsi="Arial"/>
        </w:rPr>
        <w:t>Qualitative information was collected from more than 80 respondents from 19 states and the District of Columbia</w:t>
      </w:r>
      <w:r w:rsidR="00AA1F92" w:rsidRPr="00F618D8">
        <w:rPr>
          <w:rFonts w:ascii="Arial" w:hAnsi="Arial"/>
        </w:rPr>
        <w:t xml:space="preserve">. </w:t>
      </w:r>
      <w:bookmarkEnd w:id="133"/>
      <w:r w:rsidRPr="00F618D8">
        <w:rPr>
          <w:rFonts w:ascii="Arial" w:hAnsi="Arial"/>
        </w:rPr>
        <w:t xml:space="preserve">NCD identified </w:t>
      </w:r>
      <w:r w:rsidR="00691880" w:rsidRPr="00F618D8">
        <w:rPr>
          <w:rFonts w:ascii="Arial" w:hAnsi="Arial"/>
        </w:rPr>
        <w:t xml:space="preserve">several </w:t>
      </w:r>
      <w:r w:rsidRPr="00F618D8">
        <w:rPr>
          <w:rFonts w:ascii="Arial" w:hAnsi="Arial"/>
        </w:rPr>
        <w:t>themes within these stakeholder stories that shed light on the perceived impact</w:t>
      </w:r>
      <w:r w:rsidR="002842F8" w:rsidRPr="00F618D8">
        <w:rPr>
          <w:rFonts w:ascii="Arial" w:hAnsi="Arial"/>
        </w:rPr>
        <w:t>—</w:t>
      </w:r>
      <w:r w:rsidRPr="00F618D8">
        <w:rPr>
          <w:rFonts w:ascii="Arial" w:hAnsi="Arial"/>
        </w:rPr>
        <w:t>both positive and negative</w:t>
      </w:r>
      <w:r w:rsidR="002842F8" w:rsidRPr="00F618D8">
        <w:rPr>
          <w:rFonts w:ascii="Arial" w:hAnsi="Arial"/>
        </w:rPr>
        <w:t>—</w:t>
      </w:r>
      <w:r w:rsidRPr="00F618D8">
        <w:rPr>
          <w:rFonts w:ascii="Arial" w:hAnsi="Arial"/>
        </w:rPr>
        <w:t>that guardianship and alternatives have on people with ID/DD</w:t>
      </w:r>
      <w:r w:rsidR="00AA1F92" w:rsidRPr="00F618D8">
        <w:rPr>
          <w:rFonts w:ascii="Arial" w:hAnsi="Arial"/>
        </w:rPr>
        <w:t xml:space="preserve">. </w:t>
      </w:r>
      <w:r w:rsidRPr="00F618D8">
        <w:rPr>
          <w:rFonts w:ascii="Arial" w:hAnsi="Arial"/>
        </w:rPr>
        <w:t xml:space="preserve">These themes are consistent with many of the findings and recommendations in this report, which seeks to balance the </w:t>
      </w:r>
      <w:r w:rsidR="00314214" w:rsidRPr="00F618D8">
        <w:rPr>
          <w:rFonts w:ascii="Arial" w:hAnsi="Arial"/>
        </w:rPr>
        <w:t xml:space="preserve">importance of </w:t>
      </w:r>
      <w:r w:rsidRPr="00F618D8">
        <w:rPr>
          <w:rFonts w:ascii="Arial" w:hAnsi="Arial"/>
        </w:rPr>
        <w:lastRenderedPageBreak/>
        <w:t>promotin</w:t>
      </w:r>
      <w:r w:rsidR="00314214" w:rsidRPr="00F618D8">
        <w:rPr>
          <w:rFonts w:ascii="Arial" w:hAnsi="Arial"/>
        </w:rPr>
        <w:t xml:space="preserve">g the </w:t>
      </w:r>
      <w:r w:rsidRPr="00F618D8">
        <w:rPr>
          <w:rFonts w:ascii="Arial" w:hAnsi="Arial"/>
        </w:rPr>
        <w:t>self-determina</w:t>
      </w:r>
      <w:r w:rsidR="00314214" w:rsidRPr="00F618D8">
        <w:rPr>
          <w:rFonts w:ascii="Arial" w:hAnsi="Arial"/>
        </w:rPr>
        <w:t xml:space="preserve">tion </w:t>
      </w:r>
      <w:r w:rsidR="007F136C" w:rsidRPr="00F618D8">
        <w:rPr>
          <w:rFonts w:ascii="Arial" w:hAnsi="Arial"/>
        </w:rPr>
        <w:t>for</w:t>
      </w:r>
      <w:r w:rsidR="00314214" w:rsidRPr="00F618D8">
        <w:rPr>
          <w:rFonts w:ascii="Arial" w:hAnsi="Arial"/>
        </w:rPr>
        <w:t xml:space="preserve"> people with ID/DD with the recognition of the existing state legal systems designed to provide safeguards for this population</w:t>
      </w:r>
      <w:r w:rsidR="000D0F75" w:rsidRPr="00F618D8">
        <w:rPr>
          <w:rFonts w:ascii="Arial" w:hAnsi="Arial"/>
        </w:rPr>
        <w:t>.</w:t>
      </w:r>
    </w:p>
    <w:p w14:paraId="5C797CD0" w14:textId="77777777" w:rsidR="00717597" w:rsidRPr="00F618D8" w:rsidRDefault="00717597" w:rsidP="00A97A92">
      <w:pPr>
        <w:pStyle w:val="Heading2"/>
        <w:rPr>
          <w:rFonts w:ascii="Arial" w:hAnsi="Arial" w:cs="Arial"/>
        </w:rPr>
      </w:pPr>
      <w:bookmarkStart w:id="134" w:name="_Toc10290985"/>
      <w:r w:rsidRPr="00F618D8">
        <w:rPr>
          <w:rFonts w:ascii="Arial" w:hAnsi="Arial" w:cs="Arial"/>
        </w:rPr>
        <w:t>Reasons Adults with ID/DD Become Subject to Guardianship</w:t>
      </w:r>
      <w:bookmarkEnd w:id="134"/>
    </w:p>
    <w:p w14:paraId="3BB61419" w14:textId="77777777" w:rsidR="00717597" w:rsidRPr="00F618D8" w:rsidRDefault="00717597" w:rsidP="00CA6AB0">
      <w:pPr>
        <w:pStyle w:val="ParaNoIndent"/>
        <w:rPr>
          <w:rFonts w:ascii="Arial" w:hAnsi="Arial"/>
        </w:rPr>
      </w:pPr>
      <w:r w:rsidRPr="00F618D8">
        <w:rPr>
          <w:rFonts w:ascii="Arial" w:hAnsi="Arial"/>
        </w:rPr>
        <w:t>W</w:t>
      </w:r>
      <w:r w:rsidR="00A71BDF" w:rsidRPr="00F618D8">
        <w:rPr>
          <w:rFonts w:ascii="Arial" w:hAnsi="Arial"/>
        </w:rPr>
        <w:t>hen asked when an adult with ID/D</w:t>
      </w:r>
      <w:r w:rsidRPr="00F618D8">
        <w:rPr>
          <w:rFonts w:ascii="Arial" w:hAnsi="Arial"/>
        </w:rPr>
        <w:t xml:space="preserve">D gets put under guardianship or conservatorship, </w:t>
      </w:r>
      <w:r w:rsidR="0047557D" w:rsidRPr="00F618D8">
        <w:rPr>
          <w:rFonts w:ascii="Arial" w:hAnsi="Arial"/>
        </w:rPr>
        <w:t>most</w:t>
      </w:r>
      <w:r w:rsidRPr="00F618D8">
        <w:rPr>
          <w:rFonts w:ascii="Arial" w:hAnsi="Arial"/>
        </w:rPr>
        <w:t xml:space="preserve"> respondents identified 18 as being the magic age at which such legal intervention is or should be sought</w:t>
      </w:r>
      <w:r w:rsidR="00AA1F92" w:rsidRPr="00F618D8">
        <w:rPr>
          <w:rFonts w:ascii="Arial" w:hAnsi="Arial"/>
        </w:rPr>
        <w:t xml:space="preserve">. </w:t>
      </w:r>
    </w:p>
    <w:p w14:paraId="532DE96F" w14:textId="77777777" w:rsidR="00717597" w:rsidRPr="00F618D8" w:rsidRDefault="00717597" w:rsidP="00CA6AB0">
      <w:pPr>
        <w:pStyle w:val="ListParagraph"/>
        <w:rPr>
          <w:rFonts w:ascii="Arial" w:hAnsi="Arial" w:cs="Arial"/>
        </w:rPr>
      </w:pPr>
      <w:r w:rsidRPr="00F618D8">
        <w:rPr>
          <w:rFonts w:ascii="Arial" w:hAnsi="Arial" w:cs="Arial"/>
        </w:rPr>
        <w:t xml:space="preserve">One guardian stated: “[G]uardianship should be in place by their </w:t>
      </w:r>
      <w:r w:rsidR="00C843F9" w:rsidRPr="00F618D8">
        <w:rPr>
          <w:rFonts w:ascii="Arial" w:hAnsi="Arial" w:cs="Arial"/>
        </w:rPr>
        <w:t>eighteenth</w:t>
      </w:r>
      <w:r w:rsidRPr="00F618D8">
        <w:rPr>
          <w:rFonts w:ascii="Arial" w:hAnsi="Arial" w:cs="Arial"/>
        </w:rPr>
        <w:t xml:space="preserve"> birthday</w:t>
      </w:r>
      <w:r w:rsidR="00AA1F92" w:rsidRPr="00F618D8">
        <w:rPr>
          <w:rFonts w:ascii="Arial" w:hAnsi="Arial" w:cs="Arial"/>
        </w:rPr>
        <w:t xml:space="preserve">. </w:t>
      </w:r>
      <w:r w:rsidRPr="00F618D8">
        <w:rPr>
          <w:rFonts w:ascii="Arial" w:hAnsi="Arial" w:cs="Arial"/>
        </w:rPr>
        <w:t>Otherwise, it is impossible to be included in their medical care or finances.”</w:t>
      </w:r>
    </w:p>
    <w:p w14:paraId="236125D0" w14:textId="77777777" w:rsidR="00717597" w:rsidRPr="00F618D8" w:rsidRDefault="00717597" w:rsidP="00CA6AB0">
      <w:pPr>
        <w:pStyle w:val="ListParagraph"/>
        <w:rPr>
          <w:rFonts w:ascii="Arial" w:hAnsi="Arial" w:cs="Arial"/>
        </w:rPr>
      </w:pPr>
      <w:r w:rsidRPr="00F618D8">
        <w:rPr>
          <w:rFonts w:ascii="Arial" w:hAnsi="Arial" w:cs="Arial"/>
        </w:rPr>
        <w:t>A family member agreed: “At or by the age of 18, since that is when medical providers no longer include the parents in conversations about medical care</w:t>
      </w:r>
      <w:r w:rsidR="00AA1F92" w:rsidRPr="00F618D8">
        <w:rPr>
          <w:rFonts w:ascii="Arial" w:hAnsi="Arial" w:cs="Arial"/>
        </w:rPr>
        <w:t xml:space="preserve">. </w:t>
      </w:r>
      <w:r w:rsidRPr="00F618D8">
        <w:rPr>
          <w:rFonts w:ascii="Arial" w:hAnsi="Arial" w:cs="Arial"/>
        </w:rPr>
        <w:t>It is also when SSI begins and management of this as well as waiver supports starts.</w:t>
      </w:r>
      <w:r w:rsidR="00C843F9" w:rsidRPr="00F618D8">
        <w:rPr>
          <w:rFonts w:ascii="Arial" w:hAnsi="Arial" w:cs="Arial"/>
        </w:rPr>
        <w:t>”</w:t>
      </w:r>
    </w:p>
    <w:p w14:paraId="60F451E9" w14:textId="77777777" w:rsidR="00717597" w:rsidRPr="00F618D8" w:rsidRDefault="00717597" w:rsidP="00CA6AB0">
      <w:pPr>
        <w:pStyle w:val="ListParagraph"/>
        <w:rPr>
          <w:rFonts w:ascii="Arial" w:hAnsi="Arial" w:cs="Arial"/>
        </w:rPr>
      </w:pPr>
      <w:r w:rsidRPr="00F618D8">
        <w:rPr>
          <w:rFonts w:ascii="Arial" w:hAnsi="Arial" w:cs="Arial"/>
        </w:rPr>
        <w:t>A family member respond</w:t>
      </w:r>
      <w:r w:rsidR="00A71BDF" w:rsidRPr="00F618D8">
        <w:rPr>
          <w:rFonts w:ascii="Arial" w:hAnsi="Arial" w:cs="Arial"/>
        </w:rPr>
        <w:t>ed</w:t>
      </w:r>
      <w:r w:rsidRPr="00F618D8">
        <w:rPr>
          <w:rFonts w:ascii="Arial" w:hAnsi="Arial" w:cs="Arial"/>
        </w:rPr>
        <w:t xml:space="preserve">: “When [people with ID/DD] turn 18, unfortunately, parents are led to believe it is needed in order to maintain involvement in their child’s life or to get access to services.” </w:t>
      </w:r>
    </w:p>
    <w:p w14:paraId="17F73E13" w14:textId="77777777" w:rsidR="00717597" w:rsidRPr="00F618D8" w:rsidRDefault="00717597" w:rsidP="00CA6AB0">
      <w:pPr>
        <w:pStyle w:val="ListParagraph"/>
        <w:rPr>
          <w:rFonts w:ascii="Arial" w:hAnsi="Arial" w:cs="Arial"/>
        </w:rPr>
      </w:pPr>
      <w:r w:rsidRPr="00F618D8">
        <w:rPr>
          <w:rFonts w:ascii="Arial" w:hAnsi="Arial" w:cs="Arial"/>
        </w:rPr>
        <w:t>Another family member indicated guardianship referrals for people with ID/DD happen</w:t>
      </w:r>
      <w:r w:rsidR="00FE0C23" w:rsidRPr="00F618D8">
        <w:rPr>
          <w:rFonts w:ascii="Arial" w:hAnsi="Arial" w:cs="Arial"/>
        </w:rPr>
        <w:t xml:space="preserve"> “[o]</w:t>
      </w:r>
      <w:r w:rsidRPr="00F618D8">
        <w:rPr>
          <w:rFonts w:ascii="Arial" w:hAnsi="Arial" w:cs="Arial"/>
        </w:rPr>
        <w:t>ften at or around 18, upon the advice of doctors, teachers, and others</w:t>
      </w:r>
      <w:r w:rsidR="00AA1F92" w:rsidRPr="00F618D8">
        <w:rPr>
          <w:rFonts w:ascii="Arial" w:hAnsi="Arial" w:cs="Arial"/>
        </w:rPr>
        <w:t xml:space="preserve">.” </w:t>
      </w:r>
    </w:p>
    <w:p w14:paraId="03151DFF" w14:textId="77777777" w:rsidR="00717597" w:rsidRPr="00F618D8" w:rsidRDefault="00717597" w:rsidP="00CA6AB0">
      <w:pPr>
        <w:pStyle w:val="ParaNoIndent"/>
        <w:rPr>
          <w:rFonts w:ascii="Arial" w:hAnsi="Arial"/>
        </w:rPr>
      </w:pPr>
      <w:r w:rsidRPr="00F618D8">
        <w:rPr>
          <w:rFonts w:ascii="Arial" w:hAnsi="Arial"/>
        </w:rPr>
        <w:t xml:space="preserve">As indicated in Chapter 2, </w:t>
      </w:r>
      <w:r w:rsidR="00A71BDF" w:rsidRPr="00F618D8">
        <w:rPr>
          <w:rFonts w:ascii="Arial" w:hAnsi="Arial"/>
        </w:rPr>
        <w:t xml:space="preserve">the educational system was </w:t>
      </w:r>
      <w:r w:rsidRPr="00F618D8">
        <w:rPr>
          <w:rFonts w:ascii="Arial" w:hAnsi="Arial"/>
        </w:rPr>
        <w:t>frequently seen as the reason behind such referrals, but there were other reasons cited as well</w:t>
      </w:r>
      <w:r w:rsidR="00AA1F92" w:rsidRPr="00F618D8">
        <w:rPr>
          <w:rFonts w:ascii="Arial" w:hAnsi="Arial"/>
        </w:rPr>
        <w:t xml:space="preserve">. </w:t>
      </w:r>
      <w:r w:rsidRPr="00F618D8">
        <w:rPr>
          <w:rFonts w:ascii="Arial" w:hAnsi="Arial"/>
        </w:rPr>
        <w:t>Many respondents included the medical profession as a common sour</w:t>
      </w:r>
      <w:r w:rsidR="00A71BDF" w:rsidRPr="00F618D8">
        <w:rPr>
          <w:rFonts w:ascii="Arial" w:hAnsi="Arial"/>
        </w:rPr>
        <w:t>ce of guardianship referrals</w:t>
      </w:r>
      <w:r w:rsidR="00AA1F92" w:rsidRPr="00F618D8">
        <w:rPr>
          <w:rFonts w:ascii="Arial" w:hAnsi="Arial"/>
        </w:rPr>
        <w:t xml:space="preserve">. </w:t>
      </w:r>
      <w:r w:rsidRPr="00F618D8">
        <w:rPr>
          <w:rFonts w:ascii="Arial" w:hAnsi="Arial"/>
        </w:rPr>
        <w:t>For example:</w:t>
      </w:r>
    </w:p>
    <w:p w14:paraId="5C2C70DD" w14:textId="77777777" w:rsidR="00717597" w:rsidRPr="00F618D8" w:rsidRDefault="00717597" w:rsidP="00CA6AB0">
      <w:pPr>
        <w:pStyle w:val="ListParagraph"/>
        <w:rPr>
          <w:rFonts w:ascii="Arial" w:hAnsi="Arial" w:cs="Arial"/>
        </w:rPr>
      </w:pPr>
      <w:r w:rsidRPr="00F618D8">
        <w:rPr>
          <w:rFonts w:ascii="Arial" w:hAnsi="Arial" w:cs="Arial"/>
        </w:rPr>
        <w:t xml:space="preserve">A disability rights attorney reported: “Medical providers also push for guardianship when the person presents for care and the provider believes they are not competent to consent to medical treatment.” </w:t>
      </w:r>
    </w:p>
    <w:p w14:paraId="2FF2B517" w14:textId="77777777" w:rsidR="00717597" w:rsidRPr="00F618D8" w:rsidRDefault="00717597" w:rsidP="00CA6AB0">
      <w:pPr>
        <w:pStyle w:val="ListParagraph"/>
        <w:rPr>
          <w:rFonts w:ascii="Arial" w:hAnsi="Arial" w:cs="Arial"/>
        </w:rPr>
      </w:pPr>
      <w:r w:rsidRPr="00F618D8">
        <w:rPr>
          <w:rFonts w:ascii="Arial" w:hAnsi="Arial" w:cs="Arial"/>
        </w:rPr>
        <w:t>A respondent with ID/DD stated: “Doctors who don't know you will make a decision that you are incompetent</w:t>
      </w:r>
      <w:r w:rsidR="00AA1F92" w:rsidRPr="00F618D8">
        <w:rPr>
          <w:rFonts w:ascii="Arial" w:hAnsi="Arial" w:cs="Arial"/>
        </w:rPr>
        <w:t xml:space="preserve">.” </w:t>
      </w:r>
    </w:p>
    <w:p w14:paraId="0D1A05EE" w14:textId="77777777" w:rsidR="00717597" w:rsidRPr="00F618D8" w:rsidRDefault="00717597" w:rsidP="00CA6AB0">
      <w:pPr>
        <w:pStyle w:val="ListParagraph"/>
        <w:rPr>
          <w:rFonts w:ascii="Arial" w:hAnsi="Arial" w:cs="Arial"/>
        </w:rPr>
      </w:pPr>
      <w:r w:rsidRPr="00F618D8">
        <w:rPr>
          <w:rFonts w:ascii="Arial" w:hAnsi="Arial" w:cs="Arial"/>
        </w:rPr>
        <w:t>A family member reported that some providers may exclude supporters unless they have guardianship: “There has been involvement with a misinformed medical provider and says [guardianship] is required in order for individuals who support the person to be involved or support the individual with the issue.”</w:t>
      </w:r>
    </w:p>
    <w:p w14:paraId="3A623562" w14:textId="7F78F1E6" w:rsidR="00717597" w:rsidRPr="00F618D8" w:rsidRDefault="00717597" w:rsidP="00CA6AB0">
      <w:pPr>
        <w:pStyle w:val="ListParagraph"/>
        <w:rPr>
          <w:rFonts w:ascii="Arial" w:hAnsi="Arial" w:cs="Arial"/>
        </w:rPr>
      </w:pPr>
      <w:r w:rsidRPr="00F618D8">
        <w:rPr>
          <w:rFonts w:ascii="Arial" w:hAnsi="Arial" w:cs="Arial"/>
        </w:rPr>
        <w:lastRenderedPageBreak/>
        <w:t>A family member described her experience:</w:t>
      </w:r>
      <w:r w:rsidR="007A6338">
        <w:rPr>
          <w:rFonts w:ascii="Arial" w:hAnsi="Arial" w:cs="Arial"/>
        </w:rPr>
        <w:t xml:space="preserve"> “Doctors thought there were a </w:t>
      </w:r>
      <w:r w:rsidR="007A6338" w:rsidRPr="007A6338">
        <w:rPr>
          <w:rFonts w:ascii="Arial" w:hAnsi="Arial" w:cs="Arial"/>
        </w:rPr>
        <w:t>fifty</w:t>
      </w:r>
      <w:r w:rsidR="004E2560" w:rsidRPr="007A6338">
        <w:rPr>
          <w:rFonts w:ascii="Arial" w:hAnsi="Arial" w:cs="Arial"/>
        </w:rPr>
        <w:t xml:space="preserve"> </w:t>
      </w:r>
      <w:r w:rsidR="004E2560" w:rsidRPr="00F618D8">
        <w:rPr>
          <w:rFonts w:ascii="Arial" w:hAnsi="Arial" w:cs="Arial"/>
        </w:rPr>
        <w:t>percent</w:t>
      </w:r>
      <w:r w:rsidRPr="00F618D8">
        <w:rPr>
          <w:rFonts w:ascii="Arial" w:hAnsi="Arial" w:cs="Arial"/>
        </w:rPr>
        <w:t xml:space="preserve"> chance he would come out of the coma and a </w:t>
      </w:r>
      <w:r w:rsidR="007A6338">
        <w:rPr>
          <w:rFonts w:ascii="Arial" w:hAnsi="Arial" w:cs="Arial"/>
        </w:rPr>
        <w:t>five</w:t>
      </w:r>
      <w:r w:rsidR="004E2560" w:rsidRPr="00F618D8">
        <w:rPr>
          <w:rFonts w:ascii="Arial" w:hAnsi="Arial" w:cs="Arial"/>
        </w:rPr>
        <w:t xml:space="preserve"> percent</w:t>
      </w:r>
      <w:r w:rsidRPr="00F618D8">
        <w:rPr>
          <w:rFonts w:ascii="Arial" w:hAnsi="Arial" w:cs="Arial"/>
        </w:rPr>
        <w:t xml:space="preserve"> chance he would be able to live independently</w:t>
      </w:r>
      <w:r w:rsidR="00AA1F92" w:rsidRPr="00F618D8">
        <w:rPr>
          <w:rFonts w:ascii="Arial" w:hAnsi="Arial" w:cs="Arial"/>
        </w:rPr>
        <w:t xml:space="preserve">. </w:t>
      </w:r>
      <w:r w:rsidRPr="00F618D8">
        <w:rPr>
          <w:rFonts w:ascii="Arial" w:hAnsi="Arial" w:cs="Arial"/>
        </w:rPr>
        <w:t>[Based on that,] I thought we needed the conservatorship in order to conduct business on his behalf, but as I stated before, it was not needed</w:t>
      </w:r>
      <w:r w:rsidR="00AA1F92" w:rsidRPr="00F618D8">
        <w:rPr>
          <w:rFonts w:ascii="Arial" w:hAnsi="Arial" w:cs="Arial"/>
        </w:rPr>
        <w:t xml:space="preserve">. </w:t>
      </w:r>
      <w:r w:rsidRPr="00F618D8">
        <w:rPr>
          <w:rFonts w:ascii="Arial" w:hAnsi="Arial" w:cs="Arial"/>
        </w:rPr>
        <w:t>We even refinanced our mortgage without it</w:t>
      </w:r>
      <w:r w:rsidR="004E2560" w:rsidRPr="00F618D8">
        <w:rPr>
          <w:rFonts w:ascii="Arial" w:hAnsi="Arial" w:cs="Arial"/>
        </w:rPr>
        <w:t>—</w:t>
      </w:r>
      <w:r w:rsidRPr="00F618D8">
        <w:rPr>
          <w:rFonts w:ascii="Arial" w:hAnsi="Arial" w:cs="Arial"/>
        </w:rPr>
        <w:t xml:space="preserve">I explained it to the bankers/realtor, but they said he could sign for it.” </w:t>
      </w:r>
    </w:p>
    <w:p w14:paraId="64A6B3BC" w14:textId="77777777" w:rsidR="00717597" w:rsidRPr="00F618D8" w:rsidRDefault="00717597" w:rsidP="00CA6AB0">
      <w:pPr>
        <w:pStyle w:val="ParaNoIndent"/>
        <w:rPr>
          <w:rFonts w:ascii="Arial" w:hAnsi="Arial"/>
        </w:rPr>
      </w:pPr>
      <w:r w:rsidRPr="00F618D8">
        <w:rPr>
          <w:rFonts w:ascii="Arial" w:hAnsi="Arial"/>
        </w:rPr>
        <w:t>Another referral source, according to respondents, comes from attorneys and judges</w:t>
      </w:r>
      <w:r w:rsidR="00AA1F92" w:rsidRPr="00F618D8">
        <w:rPr>
          <w:rFonts w:ascii="Arial" w:hAnsi="Arial"/>
        </w:rPr>
        <w:t xml:space="preserve">. </w:t>
      </w:r>
    </w:p>
    <w:p w14:paraId="6A4A29E8" w14:textId="77777777" w:rsidR="00717597" w:rsidRPr="00F618D8" w:rsidRDefault="00717597" w:rsidP="00CA6AB0">
      <w:pPr>
        <w:pStyle w:val="ListParagraph"/>
        <w:rPr>
          <w:rFonts w:ascii="Arial" w:hAnsi="Arial" w:cs="Arial"/>
        </w:rPr>
      </w:pPr>
      <w:bookmarkStart w:id="135" w:name="_Hlk5278496"/>
      <w:r w:rsidRPr="00F618D8">
        <w:rPr>
          <w:rFonts w:ascii="Arial" w:hAnsi="Arial" w:cs="Arial"/>
        </w:rPr>
        <w:t>One family member said: “Schools and attorneys tell parents that they need to get Guardianship to protect their handicapped son</w:t>
      </w:r>
      <w:r w:rsidR="003867FB" w:rsidRPr="00F618D8">
        <w:rPr>
          <w:rFonts w:ascii="Arial" w:hAnsi="Arial" w:cs="Arial"/>
        </w:rPr>
        <w:t xml:space="preserve"> [or] </w:t>
      </w:r>
      <w:r w:rsidRPr="00F618D8">
        <w:rPr>
          <w:rFonts w:ascii="Arial" w:hAnsi="Arial" w:cs="Arial"/>
        </w:rPr>
        <w:t>daughter when they turn 18 (or 21)</w:t>
      </w:r>
      <w:r w:rsidR="00AA1F92" w:rsidRPr="00F618D8">
        <w:rPr>
          <w:rFonts w:ascii="Arial" w:hAnsi="Arial" w:cs="Arial"/>
        </w:rPr>
        <w:t xml:space="preserve">. </w:t>
      </w:r>
      <w:r w:rsidRPr="00F618D8">
        <w:rPr>
          <w:rFonts w:ascii="Arial" w:hAnsi="Arial" w:cs="Arial"/>
        </w:rPr>
        <w:t xml:space="preserve">I feel this is misleading! Guardianship strips </w:t>
      </w:r>
      <w:r w:rsidR="00A71BDF" w:rsidRPr="00F618D8">
        <w:rPr>
          <w:rFonts w:ascii="Arial" w:hAnsi="Arial" w:cs="Arial"/>
        </w:rPr>
        <w:t>a person of their rights . . . [E]</w:t>
      </w:r>
      <w:r w:rsidRPr="00F618D8">
        <w:rPr>
          <w:rFonts w:ascii="Arial" w:hAnsi="Arial" w:cs="Arial"/>
        </w:rPr>
        <w:t>ssentially they become a piece of property.</w:t>
      </w:r>
      <w:r w:rsidR="003867FB" w:rsidRPr="00F618D8">
        <w:rPr>
          <w:rFonts w:ascii="Arial" w:hAnsi="Arial" w:cs="Arial"/>
        </w:rPr>
        <w:t>”</w:t>
      </w:r>
    </w:p>
    <w:bookmarkEnd w:id="135"/>
    <w:p w14:paraId="3A3697BA" w14:textId="77777777" w:rsidR="00717597" w:rsidRPr="00F618D8" w:rsidRDefault="00717597" w:rsidP="00CA6AB0">
      <w:pPr>
        <w:pStyle w:val="ListParagraph"/>
        <w:rPr>
          <w:rFonts w:ascii="Arial" w:hAnsi="Arial" w:cs="Arial"/>
        </w:rPr>
      </w:pPr>
      <w:r w:rsidRPr="00F618D8">
        <w:rPr>
          <w:rFonts w:ascii="Arial" w:hAnsi="Arial" w:cs="Arial"/>
        </w:rPr>
        <w:t xml:space="preserve">Another parent recalled her experience with an attorney: “My divorce attorney told me about </w:t>
      </w:r>
      <w:r w:rsidR="00FB1201" w:rsidRPr="00F618D8">
        <w:rPr>
          <w:rFonts w:ascii="Arial" w:hAnsi="Arial" w:cs="Arial"/>
        </w:rPr>
        <w:t>p</w:t>
      </w:r>
      <w:r w:rsidRPr="00F618D8">
        <w:rPr>
          <w:rFonts w:ascii="Arial" w:hAnsi="Arial" w:cs="Arial"/>
        </w:rPr>
        <w:t xml:space="preserve">ower of </w:t>
      </w:r>
      <w:r w:rsidR="00FB1201" w:rsidRPr="00F618D8">
        <w:rPr>
          <w:rFonts w:ascii="Arial" w:hAnsi="Arial" w:cs="Arial"/>
        </w:rPr>
        <w:t>a</w:t>
      </w:r>
      <w:r w:rsidRPr="00F618D8">
        <w:rPr>
          <w:rFonts w:ascii="Arial" w:hAnsi="Arial" w:cs="Arial"/>
        </w:rPr>
        <w:t>ttorney as an option, but when he met my son, he was unsure if my son understood what giving someone POA meant</w:t>
      </w:r>
      <w:r w:rsidR="00A71BDF" w:rsidRPr="00F618D8">
        <w:rPr>
          <w:rFonts w:ascii="Arial" w:hAnsi="Arial" w:cs="Arial"/>
        </w:rPr>
        <w:t xml:space="preserve"> </w:t>
      </w:r>
      <w:r w:rsidRPr="00F618D8">
        <w:rPr>
          <w:rFonts w:ascii="Arial" w:hAnsi="Arial" w:cs="Arial"/>
        </w:rPr>
        <w:t>. . . I [now] have medical power of attorney for my son.”</w:t>
      </w:r>
    </w:p>
    <w:p w14:paraId="5B678A5E" w14:textId="77777777" w:rsidR="00717597" w:rsidRPr="00F618D8" w:rsidRDefault="00717597" w:rsidP="00CA6AB0">
      <w:pPr>
        <w:pStyle w:val="ListParagraph"/>
        <w:rPr>
          <w:rFonts w:ascii="Arial" w:hAnsi="Arial" w:cs="Arial"/>
        </w:rPr>
      </w:pPr>
      <w:r w:rsidRPr="00F618D8">
        <w:rPr>
          <w:rFonts w:ascii="Arial" w:hAnsi="Arial" w:cs="Arial"/>
        </w:rPr>
        <w:t>An additional family member reported that an attorney recommended guardianship for her nephew with ID/DD because it would make it “easier” for them to set up a trust for him.</w:t>
      </w:r>
    </w:p>
    <w:p w14:paraId="2E342326" w14:textId="77777777" w:rsidR="00717597" w:rsidRPr="00F618D8" w:rsidRDefault="00717597" w:rsidP="00CA6AB0">
      <w:pPr>
        <w:pStyle w:val="ListParagraph"/>
        <w:rPr>
          <w:rFonts w:ascii="Arial" w:hAnsi="Arial" w:cs="Arial"/>
        </w:rPr>
      </w:pPr>
      <w:r w:rsidRPr="00F618D8">
        <w:rPr>
          <w:rFonts w:ascii="Arial" w:hAnsi="Arial" w:cs="Arial"/>
        </w:rPr>
        <w:t>An attorney described an interaction she once had with a judge: "I think of a conversation with a judge 15 years ago about a person with Down syndrome</w:t>
      </w:r>
      <w:r w:rsidR="00AA1F92" w:rsidRPr="00F618D8">
        <w:rPr>
          <w:rFonts w:ascii="Arial" w:hAnsi="Arial" w:cs="Arial"/>
        </w:rPr>
        <w:t xml:space="preserve">. </w:t>
      </w:r>
      <w:r w:rsidRPr="00F618D8">
        <w:rPr>
          <w:rFonts w:ascii="Arial" w:hAnsi="Arial" w:cs="Arial"/>
        </w:rPr>
        <w:t>The judge told me that of course anyone with Down [syndrome] should have a guardian by virtue of</w:t>
      </w:r>
      <w:r w:rsidR="00A71BDF" w:rsidRPr="00F618D8">
        <w:rPr>
          <w:rFonts w:ascii="Arial" w:hAnsi="Arial" w:cs="Arial"/>
        </w:rPr>
        <w:t xml:space="preserve"> the diagnosis</w:t>
      </w:r>
      <w:r w:rsidR="00AA1F92" w:rsidRPr="00F618D8">
        <w:rPr>
          <w:rFonts w:ascii="Arial" w:hAnsi="Arial" w:cs="Arial"/>
        </w:rPr>
        <w:t xml:space="preserve">. </w:t>
      </w:r>
      <w:r w:rsidR="00A71BDF" w:rsidRPr="00F618D8">
        <w:rPr>
          <w:rFonts w:ascii="Arial" w:hAnsi="Arial" w:cs="Arial"/>
        </w:rPr>
        <w:t xml:space="preserve">We have come a </w:t>
      </w:r>
      <w:r w:rsidRPr="00F618D8">
        <w:rPr>
          <w:rFonts w:ascii="Arial" w:hAnsi="Arial" w:cs="Arial"/>
        </w:rPr>
        <w:t xml:space="preserve">ways, but there is so much farther to go." </w:t>
      </w:r>
    </w:p>
    <w:p w14:paraId="21352AF8" w14:textId="77777777" w:rsidR="00717597" w:rsidRPr="00F618D8" w:rsidRDefault="00717597" w:rsidP="00CA6AB0">
      <w:pPr>
        <w:pStyle w:val="ParaNoIndent"/>
        <w:rPr>
          <w:rFonts w:ascii="Arial" w:hAnsi="Arial"/>
        </w:rPr>
      </w:pPr>
      <w:r w:rsidRPr="00F618D8">
        <w:rPr>
          <w:rFonts w:ascii="Arial" w:hAnsi="Arial"/>
        </w:rPr>
        <w:t xml:space="preserve">Based on </w:t>
      </w:r>
      <w:r w:rsidR="006A46F8" w:rsidRPr="00F618D8">
        <w:rPr>
          <w:rFonts w:ascii="Arial" w:hAnsi="Arial"/>
        </w:rPr>
        <w:t xml:space="preserve">several </w:t>
      </w:r>
      <w:r w:rsidRPr="00F618D8">
        <w:rPr>
          <w:rFonts w:ascii="Arial" w:hAnsi="Arial"/>
        </w:rPr>
        <w:t xml:space="preserve">respondents, </w:t>
      </w:r>
      <w:bookmarkStart w:id="136" w:name="_Hlk5278542"/>
      <w:r w:rsidRPr="00F618D8">
        <w:rPr>
          <w:rFonts w:ascii="Arial" w:hAnsi="Arial"/>
        </w:rPr>
        <w:t>one of the reasons people obtain guardianship is because of what they fear may happen without it</w:t>
      </w:r>
      <w:bookmarkEnd w:id="136"/>
      <w:r w:rsidR="00FB1201" w:rsidRPr="00F618D8">
        <w:rPr>
          <w:rFonts w:ascii="Arial" w:hAnsi="Arial"/>
        </w:rPr>
        <w:t>—</w:t>
      </w:r>
      <w:r w:rsidRPr="00F618D8">
        <w:rPr>
          <w:rFonts w:ascii="Arial" w:hAnsi="Arial"/>
        </w:rPr>
        <w:t>fear of being taken advantage of, fear of dangerous choices,</w:t>
      </w:r>
      <w:r w:rsidR="00FB1201" w:rsidRPr="00F618D8">
        <w:rPr>
          <w:rFonts w:ascii="Arial" w:hAnsi="Arial"/>
        </w:rPr>
        <w:t xml:space="preserve"> and</w:t>
      </w:r>
      <w:r w:rsidRPr="00F618D8">
        <w:rPr>
          <w:rFonts w:ascii="Arial" w:hAnsi="Arial"/>
        </w:rPr>
        <w:t xml:space="preserve"> fear that supporters will be cut out of the decision-making process</w:t>
      </w:r>
      <w:r w:rsidR="00AA1F92" w:rsidRPr="00F618D8">
        <w:rPr>
          <w:rFonts w:ascii="Arial" w:hAnsi="Arial"/>
        </w:rPr>
        <w:t xml:space="preserve">. </w:t>
      </w:r>
      <w:r w:rsidRPr="00F618D8">
        <w:rPr>
          <w:rFonts w:ascii="Arial" w:hAnsi="Arial"/>
        </w:rPr>
        <w:t>For example:</w:t>
      </w:r>
    </w:p>
    <w:p w14:paraId="0FBE2E7C" w14:textId="77777777" w:rsidR="00717597" w:rsidRPr="00F618D8" w:rsidRDefault="00717597" w:rsidP="00CA6AB0">
      <w:pPr>
        <w:pStyle w:val="ListParagraph"/>
        <w:rPr>
          <w:rFonts w:ascii="Arial" w:hAnsi="Arial" w:cs="Arial"/>
        </w:rPr>
      </w:pPr>
      <w:r w:rsidRPr="00F618D8">
        <w:rPr>
          <w:rFonts w:ascii="Arial" w:hAnsi="Arial" w:cs="Arial"/>
        </w:rPr>
        <w:t>One parent said: “Parents fear their child will be taken advantage of and that their own advocacy will not be heard. Parents do not think their children will grow and develop beyond what they have accomplished by the time they are 18 and fear they will never be able to make important decisions and need to be protected.”</w:t>
      </w:r>
    </w:p>
    <w:p w14:paraId="0E09FBFA" w14:textId="77777777" w:rsidR="00717597" w:rsidRPr="00F618D8" w:rsidRDefault="00717597" w:rsidP="00CA6AB0">
      <w:pPr>
        <w:pStyle w:val="ListParagraph"/>
        <w:rPr>
          <w:rFonts w:ascii="Arial" w:hAnsi="Arial" w:cs="Arial"/>
        </w:rPr>
      </w:pPr>
      <w:r w:rsidRPr="00F618D8">
        <w:rPr>
          <w:rFonts w:ascii="Arial" w:hAnsi="Arial" w:cs="Arial"/>
        </w:rPr>
        <w:lastRenderedPageBreak/>
        <w:t>Another parent described the difficult choice she faced: “Guardianship was difficult to get for our son</w:t>
      </w:r>
      <w:r w:rsidR="00AA1F92" w:rsidRPr="00F618D8">
        <w:rPr>
          <w:rFonts w:ascii="Arial" w:hAnsi="Arial" w:cs="Arial"/>
        </w:rPr>
        <w:t xml:space="preserve">. </w:t>
      </w:r>
      <w:r w:rsidRPr="00F618D8">
        <w:rPr>
          <w:rFonts w:ascii="Arial" w:hAnsi="Arial" w:cs="Arial"/>
        </w:rPr>
        <w:t>Some people said</w:t>
      </w:r>
      <w:r w:rsidR="00A71BDF" w:rsidRPr="00F618D8">
        <w:rPr>
          <w:rFonts w:ascii="Arial" w:hAnsi="Arial" w:cs="Arial"/>
        </w:rPr>
        <w:t>,</w:t>
      </w:r>
      <w:r w:rsidRPr="00F618D8">
        <w:rPr>
          <w:rFonts w:ascii="Arial" w:hAnsi="Arial" w:cs="Arial"/>
        </w:rPr>
        <w:t xml:space="preserve"> </w:t>
      </w:r>
      <w:r w:rsidR="00A71BDF" w:rsidRPr="00F618D8">
        <w:rPr>
          <w:rFonts w:ascii="Arial" w:hAnsi="Arial" w:cs="Arial"/>
        </w:rPr>
        <w:t>‘</w:t>
      </w:r>
      <w:r w:rsidRPr="00F618D8">
        <w:rPr>
          <w:rFonts w:ascii="Arial" w:hAnsi="Arial" w:cs="Arial"/>
        </w:rPr>
        <w:t>He looks normal</w:t>
      </w:r>
      <w:r w:rsidR="00A71BDF" w:rsidRPr="00F618D8">
        <w:rPr>
          <w:rFonts w:ascii="Arial" w:hAnsi="Arial" w:cs="Arial"/>
        </w:rPr>
        <w:t>. W</w:t>
      </w:r>
      <w:r w:rsidRPr="00F618D8">
        <w:rPr>
          <w:rFonts w:ascii="Arial" w:hAnsi="Arial" w:cs="Arial"/>
        </w:rPr>
        <w:t>hy do you want it</w:t>
      </w:r>
      <w:r w:rsidR="00A71BDF" w:rsidRPr="00F618D8">
        <w:rPr>
          <w:rFonts w:ascii="Arial" w:hAnsi="Arial" w:cs="Arial"/>
        </w:rPr>
        <w:t>?’</w:t>
      </w:r>
      <w:r w:rsidRPr="00F618D8">
        <w:rPr>
          <w:rFonts w:ascii="Arial" w:hAnsi="Arial" w:cs="Arial"/>
        </w:rPr>
        <w:t xml:space="preserve"> . . </w:t>
      </w:r>
      <w:r w:rsidR="00AA1F92" w:rsidRPr="00F618D8">
        <w:rPr>
          <w:rFonts w:ascii="Arial" w:hAnsi="Arial" w:cs="Arial"/>
        </w:rPr>
        <w:t xml:space="preserve">. </w:t>
      </w:r>
      <w:r w:rsidRPr="00F618D8">
        <w:rPr>
          <w:rFonts w:ascii="Arial" w:hAnsi="Arial" w:cs="Arial"/>
        </w:rPr>
        <w:t>Left on his own, someone could take advantage of him and take his money. Before we had guardianship</w:t>
      </w:r>
      <w:r w:rsidR="00A71BDF" w:rsidRPr="00F618D8">
        <w:rPr>
          <w:rFonts w:ascii="Arial" w:hAnsi="Arial" w:cs="Arial"/>
        </w:rPr>
        <w:t>,</w:t>
      </w:r>
      <w:r w:rsidRPr="00F618D8">
        <w:rPr>
          <w:rFonts w:ascii="Arial" w:hAnsi="Arial" w:cs="Arial"/>
        </w:rPr>
        <w:t xml:space="preserve"> our son thought he was spending </w:t>
      </w:r>
      <w:r w:rsidR="00F970F6" w:rsidRPr="00F618D8">
        <w:rPr>
          <w:rFonts w:ascii="Arial" w:hAnsi="Arial" w:cs="Arial"/>
        </w:rPr>
        <w:t>one-hundred dollars</w:t>
      </w:r>
      <w:r w:rsidRPr="00F618D8">
        <w:rPr>
          <w:rFonts w:ascii="Arial" w:hAnsi="Arial" w:cs="Arial"/>
        </w:rPr>
        <w:t xml:space="preserve"> to take a class, but he w</w:t>
      </w:r>
      <w:r w:rsidR="00A71BDF" w:rsidRPr="00F618D8">
        <w:rPr>
          <w:rFonts w:ascii="Arial" w:hAnsi="Arial" w:cs="Arial"/>
        </w:rPr>
        <w:t xml:space="preserve">as actually charged </w:t>
      </w:r>
      <w:r w:rsidR="00F970F6" w:rsidRPr="00F618D8">
        <w:rPr>
          <w:rFonts w:ascii="Arial" w:hAnsi="Arial" w:cs="Arial"/>
        </w:rPr>
        <w:t>one-thousand</w:t>
      </w:r>
      <w:r w:rsidR="00AA1F92" w:rsidRPr="00F618D8">
        <w:rPr>
          <w:rFonts w:ascii="Arial" w:hAnsi="Arial" w:cs="Arial"/>
        </w:rPr>
        <w:t xml:space="preserve">. </w:t>
      </w:r>
      <w:r w:rsidRPr="00F618D8">
        <w:rPr>
          <w:rFonts w:ascii="Arial" w:hAnsi="Arial" w:cs="Arial"/>
        </w:rPr>
        <w:t xml:space="preserve">It took my husband and me two months to get the money back.” </w:t>
      </w:r>
    </w:p>
    <w:p w14:paraId="301470C0" w14:textId="77777777" w:rsidR="00717597" w:rsidRPr="00F618D8" w:rsidRDefault="00717597" w:rsidP="00CA6AB0">
      <w:pPr>
        <w:pStyle w:val="ListParagraph"/>
        <w:rPr>
          <w:rFonts w:ascii="Arial" w:hAnsi="Arial" w:cs="Arial"/>
        </w:rPr>
      </w:pPr>
      <w:r w:rsidRPr="00F618D8">
        <w:rPr>
          <w:rFonts w:ascii="Arial" w:hAnsi="Arial" w:cs="Arial"/>
        </w:rPr>
        <w:t>According to another respondent, a parent seeks guardianship when he or she “fears that they will be shut out of helping to make decisions for a family member who does not communicate in traditional ways or quickly enough during medical or financial discussions.”</w:t>
      </w:r>
    </w:p>
    <w:p w14:paraId="1B3641CE" w14:textId="0D16FB95" w:rsidR="00717597" w:rsidRPr="00F618D8" w:rsidRDefault="00717597" w:rsidP="00CA6AB0">
      <w:pPr>
        <w:pStyle w:val="ListParagraph"/>
        <w:rPr>
          <w:rFonts w:ascii="Arial" w:hAnsi="Arial" w:cs="Arial"/>
        </w:rPr>
      </w:pPr>
      <w:r w:rsidRPr="00F618D8">
        <w:rPr>
          <w:rFonts w:ascii="Arial" w:hAnsi="Arial" w:cs="Arial"/>
        </w:rPr>
        <w:t>One family member who is a standby partial guardian of a sibling with ID/DD said people turn to guardianship because of “F</w:t>
      </w:r>
      <w:r w:rsidR="00E47339" w:rsidRPr="00F618D8">
        <w:rPr>
          <w:rFonts w:ascii="Arial" w:hAnsi="Arial" w:cs="Arial"/>
        </w:rPr>
        <w:t>ear</w:t>
      </w:r>
      <w:r w:rsidR="00AA1F92" w:rsidRPr="00F618D8">
        <w:rPr>
          <w:rFonts w:ascii="Arial" w:hAnsi="Arial" w:cs="Arial"/>
        </w:rPr>
        <w:t xml:space="preserve">. </w:t>
      </w:r>
      <w:r w:rsidRPr="00F618D8">
        <w:rPr>
          <w:rFonts w:ascii="Arial" w:hAnsi="Arial" w:cs="Arial"/>
        </w:rPr>
        <w:t>And it’s not an irrational fear</w:t>
      </w:r>
      <w:r w:rsidR="00AA1F92" w:rsidRPr="00F618D8">
        <w:rPr>
          <w:rFonts w:ascii="Arial" w:hAnsi="Arial" w:cs="Arial"/>
        </w:rPr>
        <w:t xml:space="preserve">. </w:t>
      </w:r>
      <w:r w:rsidRPr="00F618D8">
        <w:rPr>
          <w:rFonts w:ascii="Arial" w:hAnsi="Arial" w:cs="Arial"/>
        </w:rPr>
        <w:t xml:space="preserve">Our adult service system has a long way to go to </w:t>
      </w:r>
      <w:r w:rsidR="00E47339" w:rsidRPr="00F618D8">
        <w:rPr>
          <w:rFonts w:ascii="Arial" w:hAnsi="Arial" w:cs="Arial"/>
        </w:rPr>
        <w:t xml:space="preserve">[prove] </w:t>
      </w:r>
      <w:r w:rsidRPr="00F618D8">
        <w:rPr>
          <w:rFonts w:ascii="Arial" w:hAnsi="Arial" w:cs="Arial"/>
        </w:rPr>
        <w:t>that it can properly care for people with IDD</w:t>
      </w:r>
      <w:r w:rsidR="00AA1F92" w:rsidRPr="00F618D8">
        <w:rPr>
          <w:rFonts w:ascii="Arial" w:hAnsi="Arial" w:cs="Arial"/>
        </w:rPr>
        <w:t xml:space="preserve">. </w:t>
      </w:r>
      <w:r w:rsidRPr="00F618D8">
        <w:rPr>
          <w:rFonts w:ascii="Arial" w:hAnsi="Arial" w:cs="Arial"/>
        </w:rPr>
        <w:t>Our communities have a long way to go to fully accept and care for</w:t>
      </w:r>
      <w:r w:rsidR="00E47339" w:rsidRPr="00F618D8">
        <w:rPr>
          <w:rFonts w:ascii="Arial" w:hAnsi="Arial" w:cs="Arial"/>
        </w:rPr>
        <w:t xml:space="preserve"> all</w:t>
      </w:r>
      <w:r w:rsidRPr="00F618D8">
        <w:rPr>
          <w:rFonts w:ascii="Arial" w:hAnsi="Arial" w:cs="Arial"/>
        </w:rPr>
        <w:t xml:space="preserve"> community members in an inclusive way</w:t>
      </w:r>
      <w:r w:rsidR="00AA1F92" w:rsidRPr="00F618D8">
        <w:rPr>
          <w:rFonts w:ascii="Arial" w:hAnsi="Arial" w:cs="Arial"/>
        </w:rPr>
        <w:t xml:space="preserve">.” </w:t>
      </w:r>
    </w:p>
    <w:p w14:paraId="0B873D54" w14:textId="77777777" w:rsidR="00717597" w:rsidRPr="00F618D8" w:rsidRDefault="00717597" w:rsidP="00A97A92">
      <w:pPr>
        <w:pStyle w:val="Heading2"/>
        <w:rPr>
          <w:rFonts w:ascii="Arial" w:hAnsi="Arial" w:cs="Arial"/>
        </w:rPr>
      </w:pPr>
      <w:bookmarkStart w:id="137" w:name="_Toc10290986"/>
      <w:r w:rsidRPr="00F618D8">
        <w:rPr>
          <w:rFonts w:ascii="Arial" w:hAnsi="Arial" w:cs="Arial"/>
        </w:rPr>
        <w:t>Perspectives on the Impact of Guardianship on People with ID/DD</w:t>
      </w:r>
      <w:bookmarkEnd w:id="137"/>
      <w:r w:rsidRPr="00F618D8">
        <w:rPr>
          <w:rFonts w:ascii="Arial" w:hAnsi="Arial" w:cs="Arial"/>
        </w:rPr>
        <w:t xml:space="preserve"> </w:t>
      </w:r>
    </w:p>
    <w:p w14:paraId="5E48698D" w14:textId="77777777" w:rsidR="00717597" w:rsidRPr="00F618D8" w:rsidRDefault="00717597" w:rsidP="00CA6AB0">
      <w:pPr>
        <w:pStyle w:val="ParaNoIndent"/>
        <w:rPr>
          <w:rFonts w:ascii="Arial" w:hAnsi="Arial"/>
        </w:rPr>
      </w:pPr>
      <w:r w:rsidRPr="00F618D8">
        <w:rPr>
          <w:rFonts w:ascii="Arial" w:hAnsi="Arial"/>
        </w:rPr>
        <w:t xml:space="preserve">When answering whether they thought guardianship or conservatorship influences or changes the way people with ID/DD are treated, most respondents answered in the affirmative, although many of the responses focused on whether the guardian was skilled and knowledgeable (or not), highlighting how individual experiences within a </w:t>
      </w:r>
      <w:r w:rsidR="00A71BDF" w:rsidRPr="00F618D8">
        <w:rPr>
          <w:rFonts w:ascii="Arial" w:hAnsi="Arial"/>
        </w:rPr>
        <w:t>system may vary considerably</w:t>
      </w:r>
      <w:r w:rsidR="00AA1F92" w:rsidRPr="00F618D8">
        <w:rPr>
          <w:rFonts w:ascii="Arial" w:hAnsi="Arial"/>
        </w:rPr>
        <w:t xml:space="preserve">. </w:t>
      </w:r>
      <w:r w:rsidRPr="00F618D8">
        <w:rPr>
          <w:rFonts w:ascii="Arial" w:hAnsi="Arial"/>
        </w:rPr>
        <w:t>Some respondents pointed to perceived positive changes for people with guardians</w:t>
      </w:r>
      <w:r w:rsidR="00AA1F92" w:rsidRPr="00F618D8">
        <w:rPr>
          <w:rFonts w:ascii="Arial" w:hAnsi="Arial"/>
        </w:rPr>
        <w:t xml:space="preserve">. </w:t>
      </w:r>
      <w:r w:rsidRPr="00F618D8">
        <w:rPr>
          <w:rFonts w:ascii="Arial" w:hAnsi="Arial"/>
        </w:rPr>
        <w:t>For example:</w:t>
      </w:r>
    </w:p>
    <w:p w14:paraId="1B061C3E" w14:textId="77777777" w:rsidR="00717597" w:rsidRPr="00F618D8" w:rsidRDefault="00717597" w:rsidP="00CA6AB0">
      <w:pPr>
        <w:pStyle w:val="ListParagraph"/>
        <w:rPr>
          <w:rFonts w:ascii="Arial" w:hAnsi="Arial" w:cs="Arial"/>
        </w:rPr>
      </w:pPr>
      <w:r w:rsidRPr="00F618D8">
        <w:rPr>
          <w:rFonts w:ascii="Arial" w:hAnsi="Arial" w:cs="Arial"/>
        </w:rPr>
        <w:t xml:space="preserve">A family member stated: “Others know the adult with ID/DD has an advocate </w:t>
      </w:r>
      <w:r w:rsidR="00A71BDF" w:rsidRPr="00F618D8">
        <w:rPr>
          <w:rFonts w:ascii="Arial" w:hAnsi="Arial" w:cs="Arial"/>
        </w:rPr>
        <w:t>and, in our case,</w:t>
      </w:r>
      <w:r w:rsidRPr="00F618D8">
        <w:rPr>
          <w:rFonts w:ascii="Arial" w:hAnsi="Arial" w:cs="Arial"/>
        </w:rPr>
        <w:t xml:space="preserve"> a very active and involved advocate</w:t>
      </w:r>
      <w:r w:rsidR="00AA1F92" w:rsidRPr="00F618D8">
        <w:rPr>
          <w:rFonts w:ascii="Arial" w:hAnsi="Arial" w:cs="Arial"/>
        </w:rPr>
        <w:t xml:space="preserve">. </w:t>
      </w:r>
      <w:r w:rsidRPr="00F618D8">
        <w:rPr>
          <w:rFonts w:ascii="Arial" w:hAnsi="Arial" w:cs="Arial"/>
        </w:rPr>
        <w:t>They know they cannot take advantage of him and</w:t>
      </w:r>
      <w:r w:rsidR="00D26C52" w:rsidRPr="00F618D8">
        <w:rPr>
          <w:rFonts w:ascii="Arial" w:hAnsi="Arial" w:cs="Arial"/>
        </w:rPr>
        <w:t xml:space="preserve">, </w:t>
      </w:r>
      <w:r w:rsidRPr="00F618D8">
        <w:rPr>
          <w:rFonts w:ascii="Arial" w:hAnsi="Arial" w:cs="Arial"/>
        </w:rPr>
        <w:t>more importantly</w:t>
      </w:r>
      <w:r w:rsidR="00D26C52" w:rsidRPr="00F618D8">
        <w:rPr>
          <w:rFonts w:ascii="Arial" w:hAnsi="Arial" w:cs="Arial"/>
        </w:rPr>
        <w:t>,</w:t>
      </w:r>
      <w:r w:rsidRPr="00F618D8">
        <w:rPr>
          <w:rFonts w:ascii="Arial" w:hAnsi="Arial" w:cs="Arial"/>
        </w:rPr>
        <w:t xml:space="preserve"> know it is OK to be helpful without fearing they may be asked for considerably more help</w:t>
      </w:r>
      <w:r w:rsidR="00AA1F92" w:rsidRPr="00F618D8">
        <w:rPr>
          <w:rFonts w:ascii="Arial" w:hAnsi="Arial" w:cs="Arial"/>
        </w:rPr>
        <w:t xml:space="preserve">.” </w:t>
      </w:r>
    </w:p>
    <w:p w14:paraId="54763E14" w14:textId="77777777" w:rsidR="00717597" w:rsidRPr="00F618D8" w:rsidRDefault="00717597" w:rsidP="00CA6AB0">
      <w:pPr>
        <w:pStyle w:val="ListParagraph"/>
        <w:rPr>
          <w:rFonts w:ascii="Arial" w:hAnsi="Arial" w:cs="Arial"/>
        </w:rPr>
      </w:pPr>
      <w:r w:rsidRPr="00F618D8">
        <w:rPr>
          <w:rFonts w:ascii="Arial" w:hAnsi="Arial" w:cs="Arial"/>
        </w:rPr>
        <w:t>A case manager reported: “Ones without guardians are way too easy to exploit, abuse and/or neglect</w:t>
      </w:r>
      <w:r w:rsidR="00AA1F92" w:rsidRPr="00F618D8">
        <w:rPr>
          <w:rFonts w:ascii="Arial" w:hAnsi="Arial" w:cs="Arial"/>
        </w:rPr>
        <w:t xml:space="preserve">.” </w:t>
      </w:r>
    </w:p>
    <w:p w14:paraId="57387103" w14:textId="77777777" w:rsidR="006A46F8" w:rsidRPr="00F618D8" w:rsidRDefault="00717597" w:rsidP="00CA6AB0">
      <w:pPr>
        <w:pStyle w:val="ListParagraph"/>
        <w:rPr>
          <w:rFonts w:ascii="Arial" w:hAnsi="Arial" w:cs="Arial"/>
        </w:rPr>
      </w:pPr>
      <w:r w:rsidRPr="00F618D8">
        <w:rPr>
          <w:rFonts w:ascii="Arial" w:hAnsi="Arial" w:cs="Arial"/>
        </w:rPr>
        <w:t>A family member guardian said: “Those individuals [in guardianship] may be viewed as safer because there is a team of people keeping watch over their best interests.”</w:t>
      </w:r>
    </w:p>
    <w:p w14:paraId="5F3003F1" w14:textId="77777777" w:rsidR="00717597" w:rsidRPr="00F618D8" w:rsidRDefault="00717597" w:rsidP="00CA6AB0">
      <w:pPr>
        <w:pStyle w:val="ParaNoIndent"/>
        <w:rPr>
          <w:rFonts w:ascii="Arial" w:hAnsi="Arial"/>
        </w:rPr>
      </w:pPr>
      <w:r w:rsidRPr="00F618D8">
        <w:rPr>
          <w:rFonts w:ascii="Arial" w:hAnsi="Arial"/>
        </w:rPr>
        <w:lastRenderedPageBreak/>
        <w:t>Some participants, mostly family member guardians, described what they felt to be the beneficial aspects of guardianship</w:t>
      </w:r>
      <w:r w:rsidR="00AA1F92" w:rsidRPr="00F618D8">
        <w:rPr>
          <w:rFonts w:ascii="Arial" w:hAnsi="Arial"/>
        </w:rPr>
        <w:t xml:space="preserve">. </w:t>
      </w:r>
      <w:r w:rsidRPr="00F618D8">
        <w:rPr>
          <w:rFonts w:ascii="Arial" w:hAnsi="Arial"/>
        </w:rPr>
        <w:t xml:space="preserve">For example: </w:t>
      </w:r>
    </w:p>
    <w:p w14:paraId="50140F97" w14:textId="77777777" w:rsidR="00717597" w:rsidRPr="00F618D8" w:rsidRDefault="00717597" w:rsidP="00CA6AB0">
      <w:pPr>
        <w:pStyle w:val="ListParagraph"/>
        <w:rPr>
          <w:rFonts w:ascii="Arial" w:hAnsi="Arial" w:cs="Arial"/>
        </w:rPr>
      </w:pPr>
      <w:r w:rsidRPr="00F618D8">
        <w:rPr>
          <w:rFonts w:ascii="Arial" w:hAnsi="Arial" w:cs="Arial"/>
        </w:rPr>
        <w:t xml:space="preserve">A parent of a person under guardianship stated: “We feel we can be proactive rather than reacting </w:t>
      </w:r>
      <w:r w:rsidR="00A71BDF" w:rsidRPr="00F618D8">
        <w:rPr>
          <w:rFonts w:ascii="Arial" w:hAnsi="Arial" w:cs="Arial"/>
        </w:rPr>
        <w:t xml:space="preserve">[to] </w:t>
      </w:r>
      <w:r w:rsidRPr="00F618D8">
        <w:rPr>
          <w:rFonts w:ascii="Arial" w:hAnsi="Arial" w:cs="Arial"/>
        </w:rPr>
        <w:t>a problem. Having guardianship makes</w:t>
      </w:r>
      <w:r w:rsidR="00A71BDF" w:rsidRPr="00F618D8">
        <w:rPr>
          <w:rFonts w:ascii="Arial" w:hAnsi="Arial" w:cs="Arial"/>
        </w:rPr>
        <w:t xml:space="preserve"> </w:t>
      </w:r>
      <w:r w:rsidRPr="00F618D8">
        <w:rPr>
          <w:rFonts w:ascii="Arial" w:hAnsi="Arial" w:cs="Arial"/>
        </w:rPr>
        <w:t xml:space="preserve">it easier to speak and make </w:t>
      </w:r>
      <w:r w:rsidR="007C33B5" w:rsidRPr="00F618D8">
        <w:rPr>
          <w:rFonts w:ascii="Arial" w:hAnsi="Arial" w:cs="Arial"/>
        </w:rPr>
        <w:t>[decisions]</w:t>
      </w:r>
      <w:r w:rsidR="009F790B" w:rsidRPr="00F618D8">
        <w:rPr>
          <w:rFonts w:ascii="Arial" w:hAnsi="Arial" w:cs="Arial"/>
        </w:rPr>
        <w:t xml:space="preserve"> </w:t>
      </w:r>
      <w:r w:rsidRPr="00F618D8">
        <w:rPr>
          <w:rFonts w:ascii="Arial" w:hAnsi="Arial" w:cs="Arial"/>
        </w:rPr>
        <w:t>with professional</w:t>
      </w:r>
      <w:r w:rsidR="009F790B" w:rsidRPr="00F618D8">
        <w:rPr>
          <w:rFonts w:ascii="Arial" w:hAnsi="Arial" w:cs="Arial"/>
        </w:rPr>
        <w:t>[s]</w:t>
      </w:r>
      <w:r w:rsidR="00D27DA1" w:rsidRPr="00F618D8">
        <w:rPr>
          <w:rFonts w:ascii="Arial" w:hAnsi="Arial" w:cs="Arial"/>
        </w:rPr>
        <w:t xml:space="preserve"> —</w:t>
      </w:r>
      <w:r w:rsidRPr="00F618D8">
        <w:rPr>
          <w:rFonts w:ascii="Arial" w:hAnsi="Arial" w:cs="Arial"/>
        </w:rPr>
        <w:t>m</w:t>
      </w:r>
      <w:r w:rsidR="00A71BDF" w:rsidRPr="00F618D8">
        <w:rPr>
          <w:rFonts w:ascii="Arial" w:hAnsi="Arial" w:cs="Arial"/>
        </w:rPr>
        <w:t>edical and governmental</w:t>
      </w:r>
      <w:r w:rsidR="00D27DA1" w:rsidRPr="00F618D8">
        <w:rPr>
          <w:rFonts w:ascii="Arial" w:hAnsi="Arial" w:cs="Arial"/>
        </w:rPr>
        <w:t>—</w:t>
      </w:r>
      <w:r w:rsidR="00A71BDF" w:rsidRPr="00F618D8">
        <w:rPr>
          <w:rFonts w:ascii="Arial" w:hAnsi="Arial" w:cs="Arial"/>
        </w:rPr>
        <w:t xml:space="preserve">about </w:t>
      </w:r>
      <w:r w:rsidRPr="00F618D8">
        <w:rPr>
          <w:rFonts w:ascii="Arial" w:hAnsi="Arial" w:cs="Arial"/>
        </w:rPr>
        <w:t xml:space="preserve">our son.” </w:t>
      </w:r>
    </w:p>
    <w:p w14:paraId="2CA6E1EF" w14:textId="77777777" w:rsidR="00717597" w:rsidRPr="00F618D8" w:rsidRDefault="00717597" w:rsidP="00CA6AB0">
      <w:pPr>
        <w:pStyle w:val="ListParagraph"/>
        <w:rPr>
          <w:rFonts w:ascii="Arial" w:hAnsi="Arial" w:cs="Arial"/>
        </w:rPr>
      </w:pPr>
      <w:r w:rsidRPr="00F618D8">
        <w:rPr>
          <w:rFonts w:ascii="Arial" w:hAnsi="Arial" w:cs="Arial"/>
        </w:rPr>
        <w:t>Another parent and guardian agreed: “My son has medical as well as cognitive issues. It was imperative that his health and well-being would be overseen by us, his parents who have his best interests at heart. Having guardianship has meant that we can make medical decisions and program decisions that benefit him</w:t>
      </w:r>
      <w:r w:rsidR="00D27DA1" w:rsidRPr="00F618D8">
        <w:rPr>
          <w:rFonts w:ascii="Arial" w:hAnsi="Arial" w:cs="Arial"/>
        </w:rPr>
        <w:t>,</w:t>
      </w:r>
      <w:r w:rsidRPr="00F618D8">
        <w:rPr>
          <w:rFonts w:ascii="Arial" w:hAnsi="Arial" w:cs="Arial"/>
        </w:rPr>
        <w:t xml:space="preserve"> as no one else knows him as well as we do. He is incapable of understanding these things and he needs protection</w:t>
      </w:r>
      <w:r w:rsidR="00D27DA1" w:rsidRPr="00F618D8">
        <w:rPr>
          <w:rFonts w:ascii="Arial" w:hAnsi="Arial" w:cs="Arial"/>
        </w:rPr>
        <w:t>,</w:t>
      </w:r>
      <w:r w:rsidRPr="00F618D8">
        <w:rPr>
          <w:rFonts w:ascii="Arial" w:hAnsi="Arial" w:cs="Arial"/>
        </w:rPr>
        <w:t xml:space="preserve"> which we can supply as his guardian.” </w:t>
      </w:r>
    </w:p>
    <w:p w14:paraId="19364BA5" w14:textId="77777777" w:rsidR="00717597" w:rsidRPr="00F618D8" w:rsidRDefault="00717597" w:rsidP="00CA6AB0">
      <w:pPr>
        <w:pStyle w:val="ParaNoIndent"/>
        <w:rPr>
          <w:rFonts w:ascii="Arial" w:hAnsi="Arial"/>
        </w:rPr>
      </w:pPr>
      <w:r w:rsidRPr="00F618D8">
        <w:rPr>
          <w:rFonts w:ascii="Arial" w:hAnsi="Arial"/>
        </w:rPr>
        <w:t xml:space="preserve">Others saw benefits when guardianship is used with </w:t>
      </w:r>
      <w:r w:rsidR="00812C56" w:rsidRPr="00F618D8">
        <w:rPr>
          <w:rFonts w:ascii="Arial" w:hAnsi="Arial"/>
        </w:rPr>
        <w:t>SDM</w:t>
      </w:r>
      <w:r w:rsidRPr="00F618D8">
        <w:rPr>
          <w:rFonts w:ascii="Arial" w:hAnsi="Arial"/>
        </w:rPr>
        <w:t xml:space="preserve"> to encourage the development of decision-making skills and self-determination.</w:t>
      </w:r>
    </w:p>
    <w:p w14:paraId="5300A6CC" w14:textId="77777777" w:rsidR="00717597" w:rsidRPr="00F618D8" w:rsidRDefault="00717597" w:rsidP="00CA6AB0">
      <w:pPr>
        <w:pStyle w:val="ListParagraph"/>
        <w:rPr>
          <w:rFonts w:ascii="Arial" w:hAnsi="Arial" w:cs="Arial"/>
        </w:rPr>
      </w:pPr>
      <w:r w:rsidRPr="00F618D8">
        <w:rPr>
          <w:rFonts w:ascii="Arial" w:hAnsi="Arial" w:cs="Arial"/>
        </w:rPr>
        <w:t>One disability rights attorney recalled her experience with a client who was placed in guardianship: “My client, who has an intellectual disability, was found wandering the streets at the age of 19 after her father died. Having completed high school, she was no longer receiving services and was unable to care for herself. She was placed in a nursing home and put under guardianship</w:t>
      </w:r>
      <w:r w:rsidR="00AA1F92" w:rsidRPr="00F618D8">
        <w:rPr>
          <w:rFonts w:ascii="Arial" w:hAnsi="Arial" w:cs="Arial"/>
        </w:rPr>
        <w:t xml:space="preserve">. </w:t>
      </w:r>
      <w:r w:rsidRPr="00F618D8">
        <w:rPr>
          <w:rFonts w:ascii="Arial" w:hAnsi="Arial" w:cs="Arial"/>
        </w:rPr>
        <w:t xml:space="preserve">Her guardian was an incredible advocate for her. He got her connected with services, which truly allowed her to grow. Eventually, she completed a training program and began full-time employment with benefits. Her guardian recognized the growth in skills and independence that had happened and worked with me to assist my client in terminating her guardianship in favor of supported decision-making. Now my client makes all decisions.” </w:t>
      </w:r>
    </w:p>
    <w:p w14:paraId="5B0BC03E" w14:textId="77777777" w:rsidR="00717597" w:rsidRPr="00F618D8" w:rsidRDefault="00717597" w:rsidP="00CA6AB0">
      <w:pPr>
        <w:pStyle w:val="ListParagraph"/>
        <w:rPr>
          <w:rFonts w:ascii="Arial" w:hAnsi="Arial" w:cs="Arial"/>
        </w:rPr>
      </w:pPr>
      <w:r w:rsidRPr="00F618D8">
        <w:rPr>
          <w:rFonts w:ascii="Arial" w:hAnsi="Arial" w:cs="Arial"/>
        </w:rPr>
        <w:t xml:space="preserve">Another parent and guardian described how they incorporate </w:t>
      </w:r>
      <w:r w:rsidR="00647DF9" w:rsidRPr="00F618D8">
        <w:rPr>
          <w:rFonts w:ascii="Arial" w:hAnsi="Arial" w:cs="Arial"/>
        </w:rPr>
        <w:t>SDM</w:t>
      </w:r>
      <w:r w:rsidRPr="00F618D8">
        <w:rPr>
          <w:rFonts w:ascii="Arial" w:hAnsi="Arial" w:cs="Arial"/>
        </w:rPr>
        <w:t xml:space="preserve"> in the guardianship: “[W]e strongly support our daughter in self</w:t>
      </w:r>
      <w:r w:rsidR="007C33B5" w:rsidRPr="00F618D8">
        <w:rPr>
          <w:rFonts w:ascii="Arial" w:hAnsi="Arial" w:cs="Arial"/>
        </w:rPr>
        <w:t>-</w:t>
      </w:r>
      <w:r w:rsidRPr="00F618D8">
        <w:rPr>
          <w:rFonts w:ascii="Arial" w:hAnsi="Arial" w:cs="Arial"/>
        </w:rPr>
        <w:t>direction, on her own, as much as possible</w:t>
      </w:r>
      <w:r w:rsidR="006011A5" w:rsidRPr="00F618D8">
        <w:rPr>
          <w:rFonts w:ascii="Arial" w:hAnsi="Arial" w:cs="Arial"/>
        </w:rPr>
        <w:t xml:space="preserve"> </w:t>
      </w:r>
      <w:r w:rsidRPr="00F618D8">
        <w:rPr>
          <w:rFonts w:ascii="Arial" w:hAnsi="Arial" w:cs="Arial"/>
        </w:rPr>
        <w:t>. . . She is a recipient of our state's DD waiver program</w:t>
      </w:r>
      <w:r w:rsidR="006011A5" w:rsidRPr="00F618D8">
        <w:rPr>
          <w:rFonts w:ascii="Arial" w:hAnsi="Arial" w:cs="Arial"/>
        </w:rPr>
        <w:t xml:space="preserve"> </w:t>
      </w:r>
      <w:r w:rsidR="00A71BDF" w:rsidRPr="00F618D8">
        <w:rPr>
          <w:rFonts w:ascii="Arial" w:hAnsi="Arial" w:cs="Arial"/>
        </w:rPr>
        <w:t>.</w:t>
      </w:r>
      <w:r w:rsidRPr="00F618D8">
        <w:rPr>
          <w:rFonts w:ascii="Arial" w:hAnsi="Arial" w:cs="Arial"/>
        </w:rPr>
        <w:t xml:space="preserve"> . .  It supports therapies, direct support services such as transportation, and community or homemaker direct support. This helps her with </w:t>
      </w:r>
      <w:r w:rsidR="009B057B" w:rsidRPr="00F618D8">
        <w:rPr>
          <w:rFonts w:ascii="Arial" w:hAnsi="Arial" w:cs="Arial"/>
        </w:rPr>
        <w:t>supported decision-m</w:t>
      </w:r>
      <w:r w:rsidRPr="00F618D8">
        <w:rPr>
          <w:rFonts w:ascii="Arial" w:hAnsi="Arial" w:cs="Arial"/>
        </w:rPr>
        <w:t xml:space="preserve">aking to have an improved quality of life in the community.” </w:t>
      </w:r>
    </w:p>
    <w:p w14:paraId="6CDAE615" w14:textId="77777777" w:rsidR="00717597" w:rsidRPr="00F618D8" w:rsidRDefault="00717597" w:rsidP="00CA6AB0">
      <w:pPr>
        <w:pStyle w:val="ParaNoIndent"/>
        <w:rPr>
          <w:rFonts w:ascii="Arial" w:hAnsi="Arial"/>
        </w:rPr>
      </w:pPr>
      <w:r w:rsidRPr="00F618D8">
        <w:rPr>
          <w:rFonts w:ascii="Arial" w:hAnsi="Arial"/>
        </w:rPr>
        <w:lastRenderedPageBreak/>
        <w:t>Many stakeholders who responded to this question saw a negative change in the way society treats people with ID/DD after a guardian is appointed</w:t>
      </w:r>
      <w:r w:rsidR="00AA1F92" w:rsidRPr="00F618D8">
        <w:rPr>
          <w:rFonts w:ascii="Arial" w:hAnsi="Arial"/>
        </w:rPr>
        <w:t xml:space="preserve">. </w:t>
      </w:r>
      <w:r w:rsidRPr="00F618D8">
        <w:rPr>
          <w:rFonts w:ascii="Arial" w:hAnsi="Arial"/>
        </w:rPr>
        <w:t xml:space="preserve">For example: </w:t>
      </w:r>
    </w:p>
    <w:p w14:paraId="24B9B27C" w14:textId="77777777" w:rsidR="00717597" w:rsidRPr="00F618D8" w:rsidRDefault="00717597" w:rsidP="00CA6AB0">
      <w:pPr>
        <w:pStyle w:val="ListParagraph"/>
        <w:rPr>
          <w:rFonts w:ascii="Arial" w:hAnsi="Arial" w:cs="Arial"/>
        </w:rPr>
      </w:pPr>
      <w:r w:rsidRPr="00F618D8">
        <w:rPr>
          <w:rFonts w:ascii="Arial" w:hAnsi="Arial" w:cs="Arial"/>
        </w:rPr>
        <w:t>A family member stated: “In my experience, the person [under guardianship] is then seen as having nothing to contribute to decisions about any aspect of their life. Instead of presuming competence people begin to presume inability and lack of intelligence</w:t>
      </w:r>
      <w:r w:rsidR="00AA1F92" w:rsidRPr="00F618D8">
        <w:rPr>
          <w:rFonts w:ascii="Arial" w:hAnsi="Arial" w:cs="Arial"/>
        </w:rPr>
        <w:t xml:space="preserve">.” </w:t>
      </w:r>
    </w:p>
    <w:p w14:paraId="03010675" w14:textId="77777777" w:rsidR="00717597" w:rsidRPr="00F618D8" w:rsidRDefault="00717597" w:rsidP="00CA6AB0">
      <w:pPr>
        <w:pStyle w:val="ListParagraph"/>
        <w:rPr>
          <w:rFonts w:ascii="Arial" w:hAnsi="Arial" w:cs="Arial"/>
        </w:rPr>
      </w:pPr>
      <w:r w:rsidRPr="00F618D8">
        <w:rPr>
          <w:rFonts w:ascii="Arial" w:hAnsi="Arial" w:cs="Arial"/>
        </w:rPr>
        <w:t>Another family member agreed: “They are viewed as people who need to be protected, who do not have preferences, stresses, interests, desires . . . and will likely never achieve independence or full active lives in the community</w:t>
      </w:r>
      <w:r w:rsidR="00AA1F92" w:rsidRPr="00F618D8">
        <w:rPr>
          <w:rFonts w:ascii="Arial" w:hAnsi="Arial" w:cs="Arial"/>
        </w:rPr>
        <w:t xml:space="preserve">.” </w:t>
      </w:r>
    </w:p>
    <w:p w14:paraId="59616DF3" w14:textId="77777777" w:rsidR="00717597" w:rsidRPr="00F618D8" w:rsidRDefault="00717597" w:rsidP="00CA6AB0">
      <w:pPr>
        <w:pStyle w:val="ListParagraph"/>
        <w:rPr>
          <w:rFonts w:ascii="Arial" w:hAnsi="Arial" w:cs="Arial"/>
        </w:rPr>
      </w:pPr>
      <w:r w:rsidRPr="00F618D8">
        <w:rPr>
          <w:rFonts w:ascii="Arial" w:hAnsi="Arial" w:cs="Arial"/>
        </w:rPr>
        <w:t>A person with ID/DD who does not have a guardian stated: “I’ve seen people not be treated like humans</w:t>
      </w:r>
      <w:r w:rsidR="006011A5" w:rsidRPr="00F618D8">
        <w:rPr>
          <w:rFonts w:ascii="Arial" w:hAnsi="Arial" w:cs="Arial"/>
        </w:rPr>
        <w:t>—</w:t>
      </w:r>
      <w:r w:rsidRPr="00F618D8">
        <w:rPr>
          <w:rFonts w:ascii="Arial" w:hAnsi="Arial" w:cs="Arial"/>
        </w:rPr>
        <w:t xml:space="preserve">like they’re just a disability.” </w:t>
      </w:r>
    </w:p>
    <w:p w14:paraId="09C3ED02" w14:textId="77777777" w:rsidR="00717597" w:rsidRPr="00F618D8" w:rsidRDefault="00717597" w:rsidP="00CA6AB0">
      <w:pPr>
        <w:pStyle w:val="ListParagraph"/>
        <w:rPr>
          <w:rFonts w:ascii="Arial" w:hAnsi="Arial" w:cs="Arial"/>
        </w:rPr>
      </w:pPr>
      <w:r w:rsidRPr="00F618D8">
        <w:rPr>
          <w:rFonts w:ascii="Arial" w:hAnsi="Arial" w:cs="Arial"/>
        </w:rPr>
        <w:t>A family member guardian stated: “They talk to me, not him</w:t>
      </w:r>
      <w:r w:rsidR="006011A5" w:rsidRPr="00F618D8">
        <w:rPr>
          <w:rFonts w:ascii="Arial" w:hAnsi="Arial" w:cs="Arial"/>
        </w:rPr>
        <w:t>—</w:t>
      </w:r>
      <w:r w:rsidRPr="00F618D8">
        <w:rPr>
          <w:rFonts w:ascii="Arial" w:hAnsi="Arial" w:cs="Arial"/>
        </w:rPr>
        <w:t xml:space="preserve">it’s like he is not there beside me.” </w:t>
      </w:r>
    </w:p>
    <w:p w14:paraId="3C681528" w14:textId="77777777" w:rsidR="00717597" w:rsidRPr="00F618D8" w:rsidRDefault="00717597" w:rsidP="00CA6AB0">
      <w:pPr>
        <w:pStyle w:val="ListParagraph"/>
        <w:rPr>
          <w:rFonts w:ascii="Arial" w:hAnsi="Arial" w:cs="Arial"/>
        </w:rPr>
      </w:pPr>
      <w:r w:rsidRPr="00F618D8">
        <w:rPr>
          <w:rFonts w:ascii="Arial" w:hAnsi="Arial" w:cs="Arial"/>
        </w:rPr>
        <w:t>A social worker said: “They may be looked down upon as being unable to care for themselves or meet their own needs</w:t>
      </w:r>
      <w:r w:rsidR="00AA1F92" w:rsidRPr="00F618D8">
        <w:rPr>
          <w:rFonts w:ascii="Arial" w:hAnsi="Arial" w:cs="Arial"/>
        </w:rPr>
        <w:t xml:space="preserve">.” </w:t>
      </w:r>
    </w:p>
    <w:p w14:paraId="0000788D" w14:textId="77777777" w:rsidR="00717597" w:rsidRPr="00F618D8" w:rsidRDefault="00717597" w:rsidP="00CA6AB0">
      <w:pPr>
        <w:pStyle w:val="ListParagraph"/>
        <w:rPr>
          <w:rFonts w:ascii="Arial" w:hAnsi="Arial" w:cs="Arial"/>
        </w:rPr>
      </w:pPr>
      <w:r w:rsidRPr="00F618D8">
        <w:rPr>
          <w:rFonts w:ascii="Arial" w:hAnsi="Arial" w:cs="Arial"/>
        </w:rPr>
        <w:t>A family member from Kentucky pointed to “lower expectations, less opportunities, seen as less valuable</w:t>
      </w:r>
      <w:r w:rsidR="00AA1F92" w:rsidRPr="00F618D8">
        <w:rPr>
          <w:rFonts w:ascii="Arial" w:hAnsi="Arial" w:cs="Arial"/>
        </w:rPr>
        <w:t xml:space="preserve">.” </w:t>
      </w:r>
    </w:p>
    <w:p w14:paraId="2D1D649C" w14:textId="77777777" w:rsidR="00A71BDF" w:rsidRPr="00F618D8" w:rsidRDefault="00A71BDF" w:rsidP="00CA6AB0">
      <w:pPr>
        <w:pStyle w:val="ParaNoIndent"/>
        <w:rPr>
          <w:rFonts w:ascii="Arial" w:hAnsi="Arial"/>
        </w:rPr>
      </w:pPr>
      <w:r w:rsidRPr="00F618D8">
        <w:rPr>
          <w:rFonts w:ascii="Arial" w:hAnsi="Arial"/>
        </w:rPr>
        <w:t>Some respondents noted that guardianship is sometimes used as a tool for control</w:t>
      </w:r>
      <w:r w:rsidR="00AA1F92" w:rsidRPr="00F618D8">
        <w:rPr>
          <w:rFonts w:ascii="Arial" w:hAnsi="Arial"/>
        </w:rPr>
        <w:t xml:space="preserve">. </w:t>
      </w:r>
      <w:r w:rsidRPr="00F618D8">
        <w:rPr>
          <w:rFonts w:ascii="Arial" w:hAnsi="Arial"/>
        </w:rPr>
        <w:t xml:space="preserve">As one attorney explained: “In [my state], providers are not prohibited from becoming guardian over those who use their services. Sometimes this has been done ‘benevolently,’ other times it has been done manipulatively to prevent the person from leaving services or changing service providers.” </w:t>
      </w:r>
    </w:p>
    <w:p w14:paraId="5BA96EAB" w14:textId="77777777" w:rsidR="00717597" w:rsidRPr="00F618D8" w:rsidRDefault="00717597" w:rsidP="00CA6AB0">
      <w:pPr>
        <w:pStyle w:val="ParaNoIndent"/>
        <w:rPr>
          <w:rFonts w:ascii="Arial" w:hAnsi="Arial"/>
        </w:rPr>
      </w:pPr>
      <w:r w:rsidRPr="00F618D8">
        <w:rPr>
          <w:rFonts w:ascii="Arial" w:hAnsi="Arial"/>
        </w:rPr>
        <w:t>Some respondents mentioned due process concerns, specifically how easy it is to obtain guardianship over a person with ID/DD and how difficult it can be to terminate:</w:t>
      </w:r>
    </w:p>
    <w:p w14:paraId="0E076E04" w14:textId="77777777" w:rsidR="00717597" w:rsidRPr="00F618D8" w:rsidRDefault="00717597" w:rsidP="00CA6AB0">
      <w:pPr>
        <w:pStyle w:val="ListParagraph"/>
        <w:rPr>
          <w:rFonts w:ascii="Arial" w:hAnsi="Arial" w:cs="Arial"/>
        </w:rPr>
      </w:pPr>
      <w:r w:rsidRPr="00F618D8">
        <w:rPr>
          <w:rFonts w:ascii="Arial" w:hAnsi="Arial" w:cs="Arial"/>
        </w:rPr>
        <w:t>One family member of a person with ID/DD stated: “I am aware of a handful of individuals who would like to have their rights restored and their efforts are stalled by a lack of legal support to execute the proper documents. The</w:t>
      </w:r>
      <w:r w:rsidR="00A71BDF" w:rsidRPr="00F618D8">
        <w:rPr>
          <w:rFonts w:ascii="Arial" w:hAnsi="Arial" w:cs="Arial"/>
        </w:rPr>
        <w:t xml:space="preserve">[y] </w:t>
      </w:r>
      <w:r w:rsidRPr="00F618D8">
        <w:rPr>
          <w:rFonts w:ascii="Arial" w:hAnsi="Arial" w:cs="Arial"/>
        </w:rPr>
        <w:t xml:space="preserve">are unaware of the process. Those served by service providers without family have no resources to terminate guardianship, despite having an interested party attempting to make it happen.” </w:t>
      </w:r>
    </w:p>
    <w:p w14:paraId="4E144567" w14:textId="77777777" w:rsidR="00717597" w:rsidRPr="00F618D8" w:rsidRDefault="00717597" w:rsidP="00CA6AB0">
      <w:pPr>
        <w:pStyle w:val="ListParagraph"/>
        <w:rPr>
          <w:rFonts w:ascii="Arial" w:hAnsi="Arial" w:cs="Arial"/>
        </w:rPr>
      </w:pPr>
      <w:r w:rsidRPr="00F618D8">
        <w:rPr>
          <w:rFonts w:ascii="Arial" w:hAnsi="Arial" w:cs="Arial"/>
        </w:rPr>
        <w:lastRenderedPageBreak/>
        <w:t>One professional described not knowing what to do when a person she supported wanted to fire his guardian: “I felt that I don’t really know what to do, because there was always talk about getting guardianship</w:t>
      </w:r>
      <w:r w:rsidR="00AA1F92" w:rsidRPr="00F618D8">
        <w:rPr>
          <w:rFonts w:ascii="Arial" w:hAnsi="Arial" w:cs="Arial"/>
        </w:rPr>
        <w:t xml:space="preserve">. </w:t>
      </w:r>
      <w:r w:rsidRPr="00F618D8">
        <w:rPr>
          <w:rFonts w:ascii="Arial" w:hAnsi="Arial" w:cs="Arial"/>
        </w:rPr>
        <w:t>There was never talk about . . . reinstating rights</w:t>
      </w:r>
      <w:r w:rsidR="00AA1F92" w:rsidRPr="00F618D8">
        <w:rPr>
          <w:rFonts w:ascii="Arial" w:hAnsi="Arial" w:cs="Arial"/>
        </w:rPr>
        <w:t xml:space="preserve">. </w:t>
      </w:r>
      <w:r w:rsidRPr="00F618D8">
        <w:rPr>
          <w:rFonts w:ascii="Arial" w:hAnsi="Arial" w:cs="Arial"/>
        </w:rPr>
        <w:t>[Guardianship is seen as] the one-way ticket</w:t>
      </w:r>
      <w:r w:rsidR="002836CD" w:rsidRPr="00F618D8">
        <w:rPr>
          <w:rFonts w:ascii="Arial" w:hAnsi="Arial" w:cs="Arial"/>
        </w:rPr>
        <w:t xml:space="preserve"> … </w:t>
      </w:r>
      <w:r w:rsidR="00AA1F92" w:rsidRPr="00F618D8">
        <w:rPr>
          <w:rFonts w:ascii="Arial" w:hAnsi="Arial" w:cs="Arial"/>
        </w:rPr>
        <w:t xml:space="preserve"> </w:t>
      </w:r>
      <w:r w:rsidRPr="00F618D8">
        <w:rPr>
          <w:rFonts w:ascii="Arial" w:hAnsi="Arial" w:cs="Arial"/>
        </w:rPr>
        <w:t xml:space="preserve"> There wasn’t an idea: How do we reverse this?”</w:t>
      </w:r>
    </w:p>
    <w:p w14:paraId="7AB751DD" w14:textId="77777777" w:rsidR="00717597" w:rsidRPr="00F618D8" w:rsidRDefault="00717597" w:rsidP="00CA6AB0">
      <w:pPr>
        <w:pStyle w:val="ParaNoIndent"/>
        <w:rPr>
          <w:rFonts w:ascii="Arial" w:hAnsi="Arial"/>
        </w:rPr>
      </w:pPr>
      <w:r w:rsidRPr="00F618D8">
        <w:rPr>
          <w:rFonts w:ascii="Arial" w:hAnsi="Arial"/>
        </w:rPr>
        <w:t>Other respondents described people with ID/DD experiencing a regression of their decision-making abilities while under guardianship:</w:t>
      </w:r>
    </w:p>
    <w:p w14:paraId="65CC7622" w14:textId="77777777" w:rsidR="00717597" w:rsidRPr="00F618D8" w:rsidRDefault="00717597" w:rsidP="00CA6AB0">
      <w:pPr>
        <w:pStyle w:val="ListParagraph"/>
        <w:rPr>
          <w:rFonts w:ascii="Arial" w:hAnsi="Arial" w:cs="Arial"/>
        </w:rPr>
      </w:pPr>
      <w:r w:rsidRPr="00F618D8">
        <w:rPr>
          <w:rFonts w:ascii="Arial" w:hAnsi="Arial" w:cs="Arial"/>
        </w:rPr>
        <w:t>One family member stated: “[My family member under guardianship] has overcome many obstacles and her potential is unknown, but one thing she is not,</w:t>
      </w:r>
      <w:r w:rsidR="00A71BDF" w:rsidRPr="00F618D8">
        <w:rPr>
          <w:rFonts w:ascii="Arial" w:hAnsi="Arial" w:cs="Arial"/>
        </w:rPr>
        <w:t xml:space="preserve"> is incompetent</w:t>
      </w:r>
      <w:r w:rsidR="00AA1F92" w:rsidRPr="00F618D8">
        <w:rPr>
          <w:rFonts w:ascii="Arial" w:hAnsi="Arial" w:cs="Arial"/>
        </w:rPr>
        <w:t xml:space="preserve">. </w:t>
      </w:r>
      <w:r w:rsidR="00A71BDF" w:rsidRPr="00F618D8">
        <w:rPr>
          <w:rFonts w:ascii="Arial" w:hAnsi="Arial" w:cs="Arial"/>
        </w:rPr>
        <w:t>Nobody cares</w:t>
      </w:r>
      <w:r w:rsidR="00AA1F92" w:rsidRPr="00F618D8">
        <w:rPr>
          <w:rFonts w:ascii="Arial" w:hAnsi="Arial" w:cs="Arial"/>
        </w:rPr>
        <w:t xml:space="preserve">. </w:t>
      </w:r>
      <w:r w:rsidRPr="00F618D8">
        <w:rPr>
          <w:rFonts w:ascii="Arial" w:hAnsi="Arial" w:cs="Arial"/>
        </w:rPr>
        <w:t>She is regressing</w:t>
      </w:r>
      <w:r w:rsidR="00AA1F92" w:rsidRPr="00F618D8">
        <w:rPr>
          <w:rFonts w:ascii="Arial" w:hAnsi="Arial" w:cs="Arial"/>
        </w:rPr>
        <w:t xml:space="preserve">. </w:t>
      </w:r>
      <w:r w:rsidRPr="00F618D8">
        <w:rPr>
          <w:rFonts w:ascii="Arial" w:hAnsi="Arial" w:cs="Arial"/>
        </w:rPr>
        <w:t>She is learning to be helpless and does not want to live this way</w:t>
      </w:r>
      <w:r w:rsidR="00AA1F92" w:rsidRPr="00F618D8">
        <w:rPr>
          <w:rFonts w:ascii="Arial" w:hAnsi="Arial" w:cs="Arial"/>
        </w:rPr>
        <w:t xml:space="preserve">. </w:t>
      </w:r>
      <w:r w:rsidRPr="00F618D8">
        <w:rPr>
          <w:rFonts w:ascii="Arial" w:hAnsi="Arial" w:cs="Arial"/>
        </w:rPr>
        <w:t xml:space="preserve">Watching what is happening to her reminds me of experiments I have read about like the Stanford Prison experiment, and how over time you become the person you are made to be.” </w:t>
      </w:r>
    </w:p>
    <w:p w14:paraId="6FDCD116" w14:textId="77777777" w:rsidR="00717597" w:rsidRPr="00F618D8" w:rsidRDefault="00717597" w:rsidP="00CA6AB0">
      <w:pPr>
        <w:pStyle w:val="ListParagraph"/>
        <w:rPr>
          <w:rFonts w:ascii="Arial" w:hAnsi="Arial" w:cs="Arial"/>
        </w:rPr>
      </w:pPr>
      <w:r w:rsidRPr="00F618D8">
        <w:rPr>
          <w:rFonts w:ascii="Arial" w:hAnsi="Arial" w:cs="Arial"/>
        </w:rPr>
        <w:t xml:space="preserve">A sibling of a person under guardianship stated: “My brother has a severe intellectual disability and autism. He's primarily nonverbal and is dependent on others for many of his daily life activities . . </w:t>
      </w:r>
      <w:r w:rsidR="00A71BDF" w:rsidRPr="00F618D8">
        <w:rPr>
          <w:rFonts w:ascii="Arial" w:hAnsi="Arial" w:cs="Arial"/>
        </w:rPr>
        <w:t>.</w:t>
      </w:r>
      <w:r w:rsidRPr="00F618D8">
        <w:rPr>
          <w:rFonts w:ascii="Arial" w:hAnsi="Arial" w:cs="Arial"/>
        </w:rPr>
        <w:t xml:space="preserve"> I think the lowered expectations associated with my brother being under guardianship have caused him to lose the progress on skills and independence that he was making towards the end of high school. In many ways, he has regressed and become more dependent on others. It's very frustrating both as his sister and as a researcher to see this happen and be limited in intervening.</w:t>
      </w:r>
      <w:r w:rsidR="00402E32" w:rsidRPr="00F618D8">
        <w:rPr>
          <w:rFonts w:ascii="Arial" w:hAnsi="Arial" w:cs="Arial"/>
        </w:rPr>
        <w:t>”</w:t>
      </w:r>
    </w:p>
    <w:p w14:paraId="054E37ED" w14:textId="77777777" w:rsidR="00717597" w:rsidRPr="00F618D8" w:rsidRDefault="00717597" w:rsidP="00CA6AB0">
      <w:pPr>
        <w:pStyle w:val="ParaNoIndent"/>
        <w:rPr>
          <w:rFonts w:ascii="Arial" w:hAnsi="Arial"/>
        </w:rPr>
      </w:pPr>
      <w:r w:rsidRPr="00F618D8">
        <w:rPr>
          <w:rFonts w:ascii="Arial" w:hAnsi="Arial"/>
        </w:rPr>
        <w:t>Some respondents pointed to both positive and negative consequences</w:t>
      </w:r>
      <w:r w:rsidR="00AA1F92" w:rsidRPr="00F618D8">
        <w:rPr>
          <w:rFonts w:ascii="Arial" w:hAnsi="Arial"/>
        </w:rPr>
        <w:t xml:space="preserve">. </w:t>
      </w:r>
      <w:r w:rsidRPr="00F618D8">
        <w:rPr>
          <w:rFonts w:ascii="Arial" w:hAnsi="Arial"/>
        </w:rPr>
        <w:t>For example:</w:t>
      </w:r>
    </w:p>
    <w:p w14:paraId="24C42730" w14:textId="77777777" w:rsidR="00717597" w:rsidRPr="00F618D8" w:rsidRDefault="00717597" w:rsidP="00CA6AB0">
      <w:pPr>
        <w:pStyle w:val="ListParagraph"/>
        <w:rPr>
          <w:rFonts w:ascii="Arial" w:hAnsi="Arial" w:cs="Arial"/>
        </w:rPr>
      </w:pPr>
      <w:r w:rsidRPr="00F618D8">
        <w:rPr>
          <w:rFonts w:ascii="Arial" w:hAnsi="Arial" w:cs="Arial"/>
        </w:rPr>
        <w:t>One family member stated: “I hate to say this, but in general, I feel that it makes people treat disabled people like they are children incapable of doing anything by themselves</w:t>
      </w:r>
      <w:r w:rsidR="00AA1F92" w:rsidRPr="00F618D8">
        <w:rPr>
          <w:rFonts w:ascii="Arial" w:hAnsi="Arial" w:cs="Arial"/>
        </w:rPr>
        <w:t xml:space="preserve">. </w:t>
      </w:r>
      <w:r w:rsidRPr="00F618D8">
        <w:rPr>
          <w:rFonts w:ascii="Arial" w:hAnsi="Arial" w:cs="Arial"/>
        </w:rPr>
        <w:t>In extreme cases like my cousin, [however, guardianship] is absolutely vital</w:t>
      </w:r>
      <w:r w:rsidR="00AA1F92" w:rsidRPr="00F618D8">
        <w:rPr>
          <w:rFonts w:ascii="Arial" w:hAnsi="Arial" w:cs="Arial"/>
        </w:rPr>
        <w:t xml:space="preserve">.” </w:t>
      </w:r>
    </w:p>
    <w:p w14:paraId="142016BC" w14:textId="77777777" w:rsidR="00717597" w:rsidRPr="00F618D8" w:rsidRDefault="00717597" w:rsidP="00CA6AB0">
      <w:pPr>
        <w:pStyle w:val="ListParagraph"/>
        <w:rPr>
          <w:rFonts w:ascii="Arial" w:hAnsi="Arial" w:cs="Arial"/>
        </w:rPr>
      </w:pPr>
      <w:r w:rsidRPr="00F618D8">
        <w:rPr>
          <w:rFonts w:ascii="Arial" w:hAnsi="Arial" w:cs="Arial"/>
        </w:rPr>
        <w:t>Another family member in a different state agreed: “It can be associated with lowered expectations for individuals with ID/DD, but also the perception of more oversight and regulations as it is not the person with ID/DD making most decisions</w:t>
      </w:r>
      <w:r w:rsidR="00AA1F92" w:rsidRPr="00F618D8">
        <w:rPr>
          <w:rFonts w:ascii="Arial" w:hAnsi="Arial" w:cs="Arial"/>
        </w:rPr>
        <w:t xml:space="preserve">.” </w:t>
      </w:r>
    </w:p>
    <w:p w14:paraId="2E14E9EA" w14:textId="77777777" w:rsidR="00717597" w:rsidRPr="00F618D8" w:rsidRDefault="00717597" w:rsidP="00CA6AB0">
      <w:pPr>
        <w:pStyle w:val="ListParagraph"/>
        <w:rPr>
          <w:rFonts w:ascii="Arial" w:hAnsi="Arial" w:cs="Arial"/>
        </w:rPr>
      </w:pPr>
      <w:r w:rsidRPr="00F618D8">
        <w:rPr>
          <w:rFonts w:ascii="Arial" w:hAnsi="Arial" w:cs="Arial"/>
        </w:rPr>
        <w:t xml:space="preserve">An administrator of guardianship explained: “We have witnessed both positive and negative changes: As decision-makers for individuals supported in guardianship, </w:t>
      </w:r>
      <w:r w:rsidRPr="00F618D8">
        <w:rPr>
          <w:rFonts w:ascii="Arial" w:hAnsi="Arial" w:cs="Arial"/>
        </w:rPr>
        <w:lastRenderedPageBreak/>
        <w:t>agencies are hard pressed to go against the wishes of the guardian, especially if we disagree with plans for the individual. I am concerned that sometimes, treating physicians and other professionals may not embrace the person, instead there may be a focus on the guardian/decision-maker.”</w:t>
      </w:r>
    </w:p>
    <w:p w14:paraId="735E71A6" w14:textId="77777777" w:rsidR="00717597" w:rsidRPr="00F618D8" w:rsidRDefault="00717597" w:rsidP="00A97A92">
      <w:pPr>
        <w:pStyle w:val="Heading2"/>
        <w:rPr>
          <w:rFonts w:ascii="Arial" w:hAnsi="Arial" w:cs="Arial"/>
        </w:rPr>
      </w:pPr>
      <w:bookmarkStart w:id="138" w:name="_Toc10290987"/>
      <w:r w:rsidRPr="00F618D8">
        <w:rPr>
          <w:rFonts w:ascii="Arial" w:hAnsi="Arial" w:cs="Arial"/>
        </w:rPr>
        <w:t>Perceptions on the Impact of Alternatives to Guardianship on People with ID/DD</w:t>
      </w:r>
      <w:bookmarkEnd w:id="138"/>
    </w:p>
    <w:p w14:paraId="32550164" w14:textId="593887B2" w:rsidR="00717597" w:rsidRPr="00F618D8" w:rsidRDefault="00717597" w:rsidP="00A97A92">
      <w:pPr>
        <w:pStyle w:val="ParaNoIndent"/>
        <w:rPr>
          <w:rFonts w:ascii="Arial" w:hAnsi="Arial"/>
          <w:szCs w:val="24"/>
        </w:rPr>
      </w:pPr>
      <w:r w:rsidRPr="00F618D8">
        <w:rPr>
          <w:rFonts w:ascii="Arial" w:hAnsi="Arial"/>
        </w:rPr>
        <w:t>Many respondents described how they use alternatives to guardianship, such as powers of attorney</w:t>
      </w:r>
      <w:r w:rsidRPr="00F618D8">
        <w:rPr>
          <w:rFonts w:ascii="Arial" w:hAnsi="Arial"/>
          <w:szCs w:val="24"/>
        </w:rPr>
        <w:t xml:space="preserve"> or </w:t>
      </w:r>
      <w:r w:rsidR="007B7891" w:rsidRPr="00F618D8">
        <w:rPr>
          <w:rFonts w:ascii="Arial" w:hAnsi="Arial"/>
          <w:szCs w:val="24"/>
        </w:rPr>
        <w:t>SDM</w:t>
      </w:r>
      <w:r w:rsidRPr="00F618D8">
        <w:rPr>
          <w:rFonts w:ascii="Arial" w:hAnsi="Arial"/>
          <w:szCs w:val="24"/>
        </w:rPr>
        <w:t>, and the benefits of using these options</w:t>
      </w:r>
      <w:r w:rsidR="000D0F75" w:rsidRPr="00F618D8">
        <w:rPr>
          <w:rFonts w:ascii="Arial" w:hAnsi="Arial"/>
          <w:szCs w:val="24"/>
        </w:rPr>
        <w:t>.</w:t>
      </w:r>
    </w:p>
    <w:p w14:paraId="02233100" w14:textId="77777777" w:rsidR="00717597" w:rsidRPr="00F618D8" w:rsidRDefault="00717597" w:rsidP="00A97A92">
      <w:pPr>
        <w:pStyle w:val="ListParagraph"/>
        <w:rPr>
          <w:rFonts w:ascii="Arial" w:hAnsi="Arial" w:cs="Arial"/>
        </w:rPr>
      </w:pPr>
      <w:r w:rsidRPr="00F618D8">
        <w:rPr>
          <w:rFonts w:ascii="Arial" w:hAnsi="Arial" w:cs="Arial"/>
        </w:rPr>
        <w:t xml:space="preserve">One mother described her son’s experience: “Supported </w:t>
      </w:r>
      <w:r w:rsidR="009B057B" w:rsidRPr="00F618D8">
        <w:rPr>
          <w:rFonts w:ascii="Arial" w:hAnsi="Arial" w:cs="Arial"/>
        </w:rPr>
        <w:t xml:space="preserve">decision making </w:t>
      </w:r>
      <w:r w:rsidRPr="00F618D8">
        <w:rPr>
          <w:rFonts w:ascii="Arial" w:hAnsi="Arial" w:cs="Arial"/>
        </w:rPr>
        <w:t xml:space="preserve">has given my son a very good experience of forming the life that he wants while we ensure his safety and locate a great network of support. People with intellectual disabilities should be able to create a life that they enjoy filled with their desires.” </w:t>
      </w:r>
    </w:p>
    <w:p w14:paraId="1B1B6E0C" w14:textId="77777777" w:rsidR="00717597" w:rsidRPr="00F618D8" w:rsidRDefault="00717597" w:rsidP="00A97A92">
      <w:pPr>
        <w:pStyle w:val="ListParagraph"/>
        <w:rPr>
          <w:rFonts w:ascii="Arial" w:hAnsi="Arial" w:cs="Arial"/>
        </w:rPr>
      </w:pPr>
      <w:r w:rsidRPr="00F618D8">
        <w:rPr>
          <w:rFonts w:ascii="Arial" w:hAnsi="Arial" w:cs="Arial"/>
        </w:rPr>
        <w:t xml:space="preserve">A respondent explained how her family member has become more confident since guardianship was terminated: “I continue to be the representative payee, and I am considering terminating that role in light of what I now know about </w:t>
      </w:r>
      <w:r w:rsidR="009B057B" w:rsidRPr="00F618D8">
        <w:rPr>
          <w:rFonts w:ascii="Arial" w:hAnsi="Arial" w:cs="Arial"/>
        </w:rPr>
        <w:t>supported decision-making</w:t>
      </w:r>
      <w:r w:rsidR="00AA1F92" w:rsidRPr="00F618D8">
        <w:rPr>
          <w:rFonts w:ascii="Arial" w:hAnsi="Arial" w:cs="Arial"/>
        </w:rPr>
        <w:t xml:space="preserve">. </w:t>
      </w:r>
      <w:r w:rsidRPr="00F618D8">
        <w:rPr>
          <w:rFonts w:ascii="Arial" w:hAnsi="Arial" w:cs="Arial"/>
        </w:rPr>
        <w:t>I know that my family member will continue to need help handling interactions with Social Security, Medicare, et</w:t>
      </w:r>
      <w:r w:rsidR="007B7891" w:rsidRPr="00F618D8">
        <w:rPr>
          <w:rFonts w:ascii="Arial" w:hAnsi="Arial" w:cs="Arial"/>
        </w:rPr>
        <w:t xml:space="preserve"> </w:t>
      </w:r>
      <w:r w:rsidRPr="00F618D8">
        <w:rPr>
          <w:rFonts w:ascii="Arial" w:hAnsi="Arial" w:cs="Arial"/>
        </w:rPr>
        <w:t>c</w:t>
      </w:r>
      <w:r w:rsidR="007B7891" w:rsidRPr="00F618D8">
        <w:rPr>
          <w:rFonts w:ascii="Arial" w:hAnsi="Arial" w:cs="Arial"/>
        </w:rPr>
        <w:t>etera</w:t>
      </w:r>
      <w:r w:rsidRPr="00F618D8">
        <w:rPr>
          <w:rFonts w:ascii="Arial" w:hAnsi="Arial" w:cs="Arial"/>
        </w:rPr>
        <w:t xml:space="preserve">, but I would like to return the right to decide how his SSD is spent </w:t>
      </w:r>
      <w:r w:rsidR="007B7891" w:rsidRPr="00F618D8">
        <w:rPr>
          <w:rFonts w:ascii="Arial" w:hAnsi="Arial" w:cs="Arial"/>
        </w:rPr>
        <w:t>[on]</w:t>
      </w:r>
      <w:r w:rsidRPr="00F618D8">
        <w:rPr>
          <w:rFonts w:ascii="Arial" w:hAnsi="Arial" w:cs="Arial"/>
        </w:rPr>
        <w:t xml:space="preserve"> him</w:t>
      </w:r>
      <w:r w:rsidR="00AA1F92" w:rsidRPr="00F618D8">
        <w:rPr>
          <w:rFonts w:ascii="Arial" w:hAnsi="Arial" w:cs="Arial"/>
        </w:rPr>
        <w:t xml:space="preserve">. </w:t>
      </w:r>
      <w:r w:rsidRPr="00F618D8">
        <w:rPr>
          <w:rFonts w:ascii="Arial" w:hAnsi="Arial" w:cs="Arial"/>
        </w:rPr>
        <w:t xml:space="preserve">He is already more confident and assertive since the conservatorship termination, and I expect him to continue to grow as he takes ownership of his decisions with my support.” </w:t>
      </w:r>
    </w:p>
    <w:p w14:paraId="065979D0" w14:textId="77777777" w:rsidR="00717597" w:rsidRPr="00F618D8" w:rsidRDefault="00717597" w:rsidP="00A97A92">
      <w:pPr>
        <w:pStyle w:val="ListParagraph"/>
        <w:rPr>
          <w:rFonts w:ascii="Arial" w:hAnsi="Arial" w:cs="Arial"/>
        </w:rPr>
      </w:pPr>
      <w:r w:rsidRPr="00F618D8">
        <w:rPr>
          <w:rFonts w:ascii="Arial" w:hAnsi="Arial" w:cs="Arial"/>
        </w:rPr>
        <w:t xml:space="preserve">When it comes to people with ID/DD, some recommended </w:t>
      </w:r>
      <w:r w:rsidR="00A71BDF" w:rsidRPr="00F618D8">
        <w:rPr>
          <w:rFonts w:ascii="Arial" w:hAnsi="Arial" w:cs="Arial"/>
        </w:rPr>
        <w:t>considering and using a combination of alternatives</w:t>
      </w:r>
      <w:r w:rsidR="00AA1F92" w:rsidRPr="00F618D8">
        <w:rPr>
          <w:rFonts w:ascii="Arial" w:hAnsi="Arial" w:cs="Arial"/>
        </w:rPr>
        <w:t xml:space="preserve">. </w:t>
      </w:r>
      <w:r w:rsidRPr="00F618D8">
        <w:rPr>
          <w:rFonts w:ascii="Arial" w:hAnsi="Arial" w:cs="Arial"/>
        </w:rPr>
        <w:t>For example, a respondent reported: “My sibling has a power of attorney to assist her with her medical, financial, and legal needs</w:t>
      </w:r>
      <w:r w:rsidR="00AA1F92" w:rsidRPr="00F618D8">
        <w:rPr>
          <w:rFonts w:ascii="Arial" w:hAnsi="Arial" w:cs="Arial"/>
        </w:rPr>
        <w:t xml:space="preserve">. </w:t>
      </w:r>
      <w:r w:rsidRPr="00F618D8">
        <w:rPr>
          <w:rFonts w:ascii="Arial" w:hAnsi="Arial" w:cs="Arial"/>
        </w:rPr>
        <w:t>In addition, [she] has a representative payee to assist [her] with managing her Social Security benefits</w:t>
      </w:r>
      <w:r w:rsidR="00AA1F92" w:rsidRPr="00F618D8">
        <w:rPr>
          <w:rFonts w:ascii="Arial" w:hAnsi="Arial" w:cs="Arial"/>
        </w:rPr>
        <w:t xml:space="preserve">. </w:t>
      </w:r>
      <w:r w:rsidRPr="00F618D8">
        <w:rPr>
          <w:rFonts w:ascii="Arial" w:hAnsi="Arial" w:cs="Arial"/>
        </w:rPr>
        <w:t>In addition, my sibling has a formal circle of support to assist her with helping to address the things that are important to her: her business, her employment, finding/hiring direct support workers, managing her supports, and living a good quality of life</w:t>
      </w:r>
      <w:r w:rsidR="00AA1F92" w:rsidRPr="00F618D8">
        <w:rPr>
          <w:rFonts w:ascii="Arial" w:hAnsi="Arial" w:cs="Arial"/>
        </w:rPr>
        <w:t xml:space="preserve">.” </w:t>
      </w:r>
      <w:r w:rsidRPr="00F618D8">
        <w:rPr>
          <w:rFonts w:ascii="Arial" w:hAnsi="Arial" w:cs="Arial"/>
        </w:rPr>
        <w:t xml:space="preserve"> </w:t>
      </w:r>
    </w:p>
    <w:p w14:paraId="31A2D490" w14:textId="77777777" w:rsidR="00717597" w:rsidRPr="00F618D8" w:rsidRDefault="00717597" w:rsidP="00A97A92">
      <w:pPr>
        <w:pStyle w:val="ParaNoIndent"/>
        <w:rPr>
          <w:rFonts w:ascii="Arial" w:hAnsi="Arial"/>
        </w:rPr>
      </w:pPr>
      <w:r w:rsidRPr="00F618D8">
        <w:rPr>
          <w:rFonts w:ascii="Arial" w:hAnsi="Arial"/>
        </w:rPr>
        <w:t>Others cautioned against overzealously promoting alternatives to the point where guardianship became a “dirty word</w:t>
      </w:r>
      <w:r w:rsidR="00AA1F92" w:rsidRPr="00F618D8">
        <w:rPr>
          <w:rFonts w:ascii="Arial" w:hAnsi="Arial"/>
        </w:rPr>
        <w:t xml:space="preserve">.” </w:t>
      </w:r>
      <w:r w:rsidRPr="00F618D8">
        <w:rPr>
          <w:rFonts w:ascii="Arial" w:hAnsi="Arial"/>
        </w:rPr>
        <w:t>For example:</w:t>
      </w:r>
    </w:p>
    <w:p w14:paraId="4EC17466" w14:textId="77777777" w:rsidR="00717597" w:rsidRPr="00F618D8" w:rsidRDefault="00717597" w:rsidP="00A97A92">
      <w:pPr>
        <w:pStyle w:val="ListParagraph"/>
        <w:rPr>
          <w:rFonts w:ascii="Arial" w:hAnsi="Arial" w:cs="Arial"/>
        </w:rPr>
      </w:pPr>
      <w:r w:rsidRPr="00F618D8">
        <w:rPr>
          <w:rFonts w:ascii="Arial" w:hAnsi="Arial" w:cs="Arial"/>
        </w:rPr>
        <w:lastRenderedPageBreak/>
        <w:t>A lawyer and family member agreed with the exploration of alternatives, while recognizing that guardianship may remain a valid option in certain cases: “As long as the concept of using the least restrictive alternative/intervention appropriate for that person is used, I have seen these alternatives to guardianship be successful. However, guardianship should not be turned into a dirty word. My brother needs a guardian for his own safety and welfare, but, of course, that does not remove the obligations in [Massachusetts] of the guardian to take into account his express desires and to only exert the amount of authority necessary.”</w:t>
      </w:r>
    </w:p>
    <w:p w14:paraId="6E9B4FF5" w14:textId="77777777" w:rsidR="00717597" w:rsidRPr="00F618D8" w:rsidRDefault="00717597" w:rsidP="00A97A92">
      <w:pPr>
        <w:pStyle w:val="ListParagraph"/>
        <w:rPr>
          <w:rFonts w:ascii="Arial" w:hAnsi="Arial" w:cs="Arial"/>
        </w:rPr>
      </w:pPr>
      <w:r w:rsidRPr="00F618D8">
        <w:rPr>
          <w:rFonts w:ascii="Arial" w:hAnsi="Arial" w:cs="Arial"/>
        </w:rPr>
        <w:t>One parent expressed concern that people were to</w:t>
      </w:r>
      <w:r w:rsidR="00A71BDF" w:rsidRPr="00F618D8">
        <w:rPr>
          <w:rFonts w:ascii="Arial" w:hAnsi="Arial" w:cs="Arial"/>
        </w:rPr>
        <w:t>o</w:t>
      </w:r>
      <w:r w:rsidRPr="00F618D8">
        <w:rPr>
          <w:rFonts w:ascii="Arial" w:hAnsi="Arial" w:cs="Arial"/>
        </w:rPr>
        <w:t xml:space="preserve"> often being discouraged from getting guardianship and described an “anti-guardianship movement” that could be perceived as an “attack on families” of people with ID/DD</w:t>
      </w:r>
      <w:r w:rsidR="00A71BDF" w:rsidRPr="00F618D8">
        <w:rPr>
          <w:rFonts w:ascii="Arial" w:hAnsi="Arial" w:cs="Arial"/>
        </w:rPr>
        <w:t>.</w:t>
      </w:r>
    </w:p>
    <w:p w14:paraId="57576137" w14:textId="77777777" w:rsidR="00717597" w:rsidRPr="00F618D8" w:rsidRDefault="00717597" w:rsidP="00A97A92">
      <w:pPr>
        <w:pStyle w:val="Heading2"/>
        <w:rPr>
          <w:rFonts w:ascii="Arial" w:hAnsi="Arial" w:cs="Arial"/>
        </w:rPr>
      </w:pPr>
      <w:bookmarkStart w:id="139" w:name="_Toc10290988"/>
      <w:r w:rsidRPr="00F618D8">
        <w:rPr>
          <w:rFonts w:ascii="Arial" w:hAnsi="Arial" w:cs="Arial"/>
        </w:rPr>
        <w:t>Importance of Self-Determination for People with ID/DD</w:t>
      </w:r>
      <w:bookmarkEnd w:id="139"/>
    </w:p>
    <w:p w14:paraId="4E395485" w14:textId="77777777" w:rsidR="00717597" w:rsidRPr="00F618D8" w:rsidRDefault="00717597" w:rsidP="00A97A92">
      <w:pPr>
        <w:pStyle w:val="ParaNoIndent"/>
        <w:rPr>
          <w:rFonts w:ascii="Arial" w:hAnsi="Arial"/>
        </w:rPr>
      </w:pPr>
      <w:r w:rsidRPr="00F618D8">
        <w:rPr>
          <w:rFonts w:ascii="Arial" w:hAnsi="Arial"/>
        </w:rPr>
        <w:t>Another common theme expressed by some self-advocates, family members, and professionals is that promoting self-determination can have a host of positive benefits for people with ID/DD</w:t>
      </w:r>
      <w:r w:rsidR="00AA1F92" w:rsidRPr="00F618D8">
        <w:rPr>
          <w:rFonts w:ascii="Arial" w:hAnsi="Arial"/>
        </w:rPr>
        <w:t xml:space="preserve">. </w:t>
      </w:r>
    </w:p>
    <w:p w14:paraId="086C4E7B" w14:textId="77777777" w:rsidR="00717597" w:rsidRPr="00F618D8" w:rsidRDefault="00717597" w:rsidP="00A97A92">
      <w:pPr>
        <w:pStyle w:val="ListParagraph"/>
        <w:rPr>
          <w:rFonts w:ascii="Arial" w:hAnsi="Arial" w:cs="Arial"/>
        </w:rPr>
      </w:pPr>
      <w:r w:rsidRPr="00F618D8">
        <w:rPr>
          <w:rFonts w:ascii="Arial" w:hAnsi="Arial" w:cs="Arial"/>
        </w:rPr>
        <w:t>As one self-advocate explained, “My belief is that a person with a disability can get confidence with making decisions from their family members, when they figure out what they need</w:t>
      </w:r>
      <w:r w:rsidR="00AA1F92" w:rsidRPr="00F618D8">
        <w:rPr>
          <w:rFonts w:ascii="Arial" w:hAnsi="Arial" w:cs="Arial"/>
        </w:rPr>
        <w:t xml:space="preserve">. </w:t>
      </w:r>
      <w:r w:rsidRPr="00F618D8">
        <w:rPr>
          <w:rFonts w:ascii="Arial" w:hAnsi="Arial" w:cs="Arial"/>
        </w:rPr>
        <w:t>My belief is that they get support from their family members and</w:t>
      </w:r>
      <w:r w:rsidR="00A71BDF" w:rsidRPr="00F618D8">
        <w:rPr>
          <w:rFonts w:ascii="Arial" w:hAnsi="Arial" w:cs="Arial"/>
        </w:rPr>
        <w:t>,</w:t>
      </w:r>
      <w:r w:rsidRPr="00F618D8">
        <w:rPr>
          <w:rFonts w:ascii="Arial" w:hAnsi="Arial" w:cs="Arial"/>
        </w:rPr>
        <w:t xml:space="preserve"> later on . . . they pretty much got a skill to make decisions and that is like adaptability.”</w:t>
      </w:r>
    </w:p>
    <w:p w14:paraId="3E0B8832" w14:textId="77777777" w:rsidR="00717597" w:rsidRPr="00F618D8" w:rsidRDefault="00717597" w:rsidP="00A97A92">
      <w:pPr>
        <w:pStyle w:val="ListParagraph"/>
        <w:rPr>
          <w:rFonts w:ascii="Arial" w:hAnsi="Arial" w:cs="Arial"/>
        </w:rPr>
      </w:pPr>
      <w:r w:rsidRPr="00F618D8">
        <w:rPr>
          <w:rFonts w:ascii="Arial" w:hAnsi="Arial" w:cs="Arial"/>
        </w:rPr>
        <w:t xml:space="preserve">A parent of a person with ID/DD also described the confidence that can come with decision-making: "In my opinion, the key is teaching [my daughter with </w:t>
      </w:r>
      <w:r w:rsidR="00E10B80" w:rsidRPr="00F618D8">
        <w:rPr>
          <w:rFonts w:ascii="Arial" w:hAnsi="Arial" w:cs="Arial"/>
        </w:rPr>
        <w:t>c</w:t>
      </w:r>
      <w:r w:rsidRPr="00F618D8">
        <w:rPr>
          <w:rFonts w:ascii="Arial" w:hAnsi="Arial" w:cs="Arial"/>
        </w:rPr>
        <w:t xml:space="preserve">erebral </w:t>
      </w:r>
      <w:r w:rsidR="00E10B80" w:rsidRPr="00F618D8">
        <w:rPr>
          <w:rFonts w:ascii="Arial" w:hAnsi="Arial" w:cs="Arial"/>
        </w:rPr>
        <w:t>p</w:t>
      </w:r>
      <w:r w:rsidRPr="00F618D8">
        <w:rPr>
          <w:rFonts w:ascii="Arial" w:hAnsi="Arial" w:cs="Arial"/>
        </w:rPr>
        <w:t>alsy] decision-making skills and helping her feel confident enough to express her opinions and decisions. However, I knew very early that my daughter was very capable of making her own decisions, regardless of what others thought.”</w:t>
      </w:r>
    </w:p>
    <w:p w14:paraId="5B74B2E4" w14:textId="77777777" w:rsidR="00717597" w:rsidRPr="00F618D8" w:rsidRDefault="00717597" w:rsidP="00A97A92">
      <w:pPr>
        <w:pStyle w:val="ListParagraph"/>
        <w:rPr>
          <w:rFonts w:ascii="Arial" w:hAnsi="Arial" w:cs="Arial"/>
        </w:rPr>
      </w:pPr>
      <w:r w:rsidRPr="00F618D8">
        <w:rPr>
          <w:rFonts w:ascii="Arial" w:hAnsi="Arial" w:cs="Arial"/>
        </w:rPr>
        <w:t xml:space="preserve">An attorney recounted the experience of her client whose guardianship was terminated: “My client had her guardianship terminated in favor of using </w:t>
      </w:r>
      <w:r w:rsidR="009B057B" w:rsidRPr="00F618D8">
        <w:rPr>
          <w:rFonts w:ascii="Arial" w:hAnsi="Arial" w:cs="Arial"/>
        </w:rPr>
        <w:t>supported decision-making</w:t>
      </w:r>
      <w:r w:rsidRPr="00F618D8">
        <w:rPr>
          <w:rFonts w:ascii="Arial" w:hAnsi="Arial" w:cs="Arial"/>
        </w:rPr>
        <w:t>. This arrangement has allowed her to exercise self-determination and independence. One of the first things she did was sign up for her benefits at work. It means so much to my client to be able to make her own decisions and have control over her life.”</w:t>
      </w:r>
    </w:p>
    <w:p w14:paraId="26FFAEAB" w14:textId="77777777" w:rsidR="00717597" w:rsidRPr="00F618D8" w:rsidRDefault="00717597" w:rsidP="00A97A92">
      <w:pPr>
        <w:pStyle w:val="ListParagraph"/>
        <w:rPr>
          <w:rFonts w:ascii="Arial" w:hAnsi="Arial" w:cs="Arial"/>
        </w:rPr>
      </w:pPr>
      <w:r w:rsidRPr="00F618D8">
        <w:rPr>
          <w:rFonts w:ascii="Arial" w:hAnsi="Arial" w:cs="Arial"/>
        </w:rPr>
        <w:lastRenderedPageBreak/>
        <w:t>A parent expressed how important it was to involve people with ID/DD in decisions about health care</w:t>
      </w:r>
      <w:r w:rsidR="00AA1F92" w:rsidRPr="00F618D8">
        <w:rPr>
          <w:rFonts w:ascii="Arial" w:hAnsi="Arial" w:cs="Arial"/>
        </w:rPr>
        <w:t xml:space="preserve">. </w:t>
      </w:r>
      <w:r w:rsidRPr="00F618D8">
        <w:rPr>
          <w:rFonts w:ascii="Arial" w:hAnsi="Arial" w:cs="Arial"/>
        </w:rPr>
        <w:t>“More than 20 years ago when my daughter was a teen, her doctor recommended that she have surgery to restructure her hip socket, which would help prevent arthritis and other painful conditions. I sought a second opinion, which validated the recommendation. My daughter had the surgery, which was very painful, required a body cast and a fairly long recovery period. I made this decision for her, but she suffered. I decided then that I would never do that again, without her understanding and agreement, except in dire circumstances. Since that time, we have always discussed her health care and made decisions together.”</w:t>
      </w:r>
    </w:p>
    <w:p w14:paraId="39DCA7CB" w14:textId="77777777" w:rsidR="00717597" w:rsidRPr="00F618D8" w:rsidRDefault="00717597" w:rsidP="00A97A92">
      <w:pPr>
        <w:pStyle w:val="Heading2"/>
        <w:rPr>
          <w:rFonts w:ascii="Arial" w:hAnsi="Arial" w:cs="Arial"/>
        </w:rPr>
      </w:pPr>
      <w:bookmarkStart w:id="140" w:name="_Toc10290989"/>
      <w:r w:rsidRPr="00F618D8">
        <w:rPr>
          <w:rFonts w:ascii="Arial" w:hAnsi="Arial" w:cs="Arial"/>
        </w:rPr>
        <w:t>Societal Biases Impacting the Decision-Making of People with ID/DD</w:t>
      </w:r>
      <w:bookmarkEnd w:id="140"/>
      <w:r w:rsidRPr="00F618D8">
        <w:rPr>
          <w:rFonts w:ascii="Arial" w:hAnsi="Arial" w:cs="Arial"/>
        </w:rPr>
        <w:t xml:space="preserve"> </w:t>
      </w:r>
    </w:p>
    <w:p w14:paraId="611DF022" w14:textId="77777777" w:rsidR="00717597" w:rsidRPr="00F618D8" w:rsidRDefault="00717597" w:rsidP="00A97A92">
      <w:pPr>
        <w:pStyle w:val="ParaNoIndent"/>
        <w:rPr>
          <w:rFonts w:ascii="Arial" w:hAnsi="Arial"/>
        </w:rPr>
      </w:pPr>
      <w:r w:rsidRPr="00F618D8">
        <w:rPr>
          <w:rFonts w:ascii="Arial" w:hAnsi="Arial"/>
        </w:rPr>
        <w:t>Several respondents also described the negative assumptions people with ID/DD have faced regarding their ability to make their own decisions or the need by others to control their decisions</w:t>
      </w:r>
      <w:r w:rsidR="00AA1F92" w:rsidRPr="00F618D8">
        <w:rPr>
          <w:rFonts w:ascii="Arial" w:hAnsi="Arial"/>
        </w:rPr>
        <w:t xml:space="preserve">. </w:t>
      </w:r>
    </w:p>
    <w:p w14:paraId="54923CF0" w14:textId="77777777" w:rsidR="00717597" w:rsidRPr="00F618D8" w:rsidRDefault="00717597" w:rsidP="00A97A92">
      <w:pPr>
        <w:pStyle w:val="ListParagraph"/>
        <w:rPr>
          <w:rFonts w:ascii="Arial" w:hAnsi="Arial" w:cs="Arial"/>
        </w:rPr>
      </w:pPr>
      <w:r w:rsidRPr="00F618D8">
        <w:rPr>
          <w:rFonts w:ascii="Arial" w:hAnsi="Arial" w:cs="Arial"/>
        </w:rPr>
        <w:t>A person with ID/DD described the reactions he received after he purchased a house: “When I got the house . . . a lot of the people were shocked . . . [T]hey didn't think I deserve to have anything that they have because of my disability . . . But for the first two years I didn't think [the house was] mine</w:t>
      </w:r>
      <w:r w:rsidR="00AA1F92" w:rsidRPr="00F618D8">
        <w:rPr>
          <w:rFonts w:ascii="Arial" w:hAnsi="Arial" w:cs="Arial"/>
        </w:rPr>
        <w:t xml:space="preserve"> </w:t>
      </w:r>
      <w:r w:rsidRPr="00F618D8">
        <w:rPr>
          <w:rFonts w:ascii="Arial" w:hAnsi="Arial" w:cs="Arial"/>
        </w:rPr>
        <w:t>. . . I thought somebody is going to come to me and tell me ‘Get your retarded butt out of my house, it’s not yours.</w:t>
      </w:r>
      <w:r w:rsidR="00D5364C" w:rsidRPr="00F618D8">
        <w:rPr>
          <w:rFonts w:ascii="Arial" w:hAnsi="Arial" w:cs="Arial"/>
        </w:rPr>
        <w:t>’</w:t>
      </w:r>
      <w:r w:rsidRPr="00F618D8">
        <w:rPr>
          <w:rFonts w:ascii="Arial" w:hAnsi="Arial" w:cs="Arial"/>
        </w:rPr>
        <w:t xml:space="preserve"> . . . </w:t>
      </w:r>
      <w:r w:rsidR="009811BF" w:rsidRPr="00F618D8">
        <w:rPr>
          <w:rFonts w:ascii="Arial" w:hAnsi="Arial" w:cs="Arial"/>
        </w:rPr>
        <w:t xml:space="preserve"> </w:t>
      </w:r>
      <w:r w:rsidRPr="00F618D8">
        <w:rPr>
          <w:rFonts w:ascii="Arial" w:hAnsi="Arial" w:cs="Arial"/>
        </w:rPr>
        <w:t>And I was paying the mortgage and everything but because for so many years I was told what I couldn't have, what I couldn't do, I didn't believe the house was mine</w:t>
      </w:r>
      <w:r w:rsidR="00AA1F92" w:rsidRPr="00F618D8">
        <w:rPr>
          <w:rFonts w:ascii="Arial" w:hAnsi="Arial" w:cs="Arial"/>
        </w:rPr>
        <w:t xml:space="preserve">. </w:t>
      </w:r>
      <w:r w:rsidRPr="00F618D8">
        <w:rPr>
          <w:rFonts w:ascii="Arial" w:hAnsi="Arial" w:cs="Arial"/>
        </w:rPr>
        <w:t>And then when I realized the house was mine</w:t>
      </w:r>
      <w:r w:rsidR="00D5364C" w:rsidRPr="00F618D8">
        <w:rPr>
          <w:rFonts w:ascii="Arial" w:hAnsi="Arial" w:cs="Arial"/>
        </w:rPr>
        <w:t>,</w:t>
      </w:r>
      <w:r w:rsidRPr="00F618D8">
        <w:rPr>
          <w:rFonts w:ascii="Arial" w:hAnsi="Arial" w:cs="Arial"/>
        </w:rPr>
        <w:t xml:space="preserve"> I cried.”</w:t>
      </w:r>
    </w:p>
    <w:p w14:paraId="0938B54F" w14:textId="10D94D8B" w:rsidR="00717597" w:rsidRPr="00F618D8" w:rsidRDefault="00717597" w:rsidP="00A97A92">
      <w:pPr>
        <w:pStyle w:val="ListParagraph"/>
        <w:rPr>
          <w:rFonts w:ascii="Arial" w:hAnsi="Arial" w:cs="Arial"/>
        </w:rPr>
      </w:pPr>
      <w:r w:rsidRPr="00F618D8">
        <w:rPr>
          <w:rFonts w:ascii="Arial" w:hAnsi="Arial" w:cs="Arial"/>
        </w:rPr>
        <w:t xml:space="preserve">A parent explained: “Often people with visible </w:t>
      </w:r>
      <w:r w:rsidR="00411783" w:rsidRPr="00F618D8">
        <w:rPr>
          <w:rFonts w:ascii="Arial" w:hAnsi="Arial" w:cs="Arial"/>
        </w:rPr>
        <w:t>[ID/DD]</w:t>
      </w:r>
      <w:r w:rsidR="00194004" w:rsidRPr="00F618D8">
        <w:rPr>
          <w:rFonts w:ascii="Arial" w:hAnsi="Arial" w:cs="Arial"/>
        </w:rPr>
        <w:t xml:space="preserve"> </w:t>
      </w:r>
      <w:r w:rsidRPr="00F618D8">
        <w:rPr>
          <w:rFonts w:ascii="Arial" w:hAnsi="Arial" w:cs="Arial"/>
        </w:rPr>
        <w:t xml:space="preserve">are assumed to be less than whole and not capable of knowing what they want or what they're doing. For instance, a waiter will often address the companion of the person with </w:t>
      </w:r>
      <w:r w:rsidR="00D93024" w:rsidRPr="00F618D8">
        <w:rPr>
          <w:rFonts w:ascii="Arial" w:hAnsi="Arial" w:cs="Arial"/>
        </w:rPr>
        <w:t>[</w:t>
      </w:r>
      <w:r w:rsidRPr="00F618D8">
        <w:rPr>
          <w:rFonts w:ascii="Arial" w:hAnsi="Arial" w:cs="Arial"/>
        </w:rPr>
        <w:t>ID</w:t>
      </w:r>
      <w:r w:rsidR="00831A3C" w:rsidRPr="00F618D8">
        <w:rPr>
          <w:rFonts w:ascii="Arial" w:hAnsi="Arial" w:cs="Arial"/>
        </w:rPr>
        <w:t>/D</w:t>
      </w:r>
      <w:r w:rsidRPr="00F618D8">
        <w:rPr>
          <w:rFonts w:ascii="Arial" w:hAnsi="Arial" w:cs="Arial"/>
        </w:rPr>
        <w:t>D</w:t>
      </w:r>
      <w:r w:rsidR="00D93024" w:rsidRPr="00F618D8">
        <w:rPr>
          <w:rFonts w:ascii="Arial" w:hAnsi="Arial" w:cs="Arial"/>
        </w:rPr>
        <w:t>]</w:t>
      </w:r>
      <w:r w:rsidRPr="00F618D8">
        <w:rPr>
          <w:rFonts w:ascii="Arial" w:hAnsi="Arial" w:cs="Arial"/>
        </w:rPr>
        <w:t xml:space="preserve"> when taking an order in a restaurant, rather than asking the person directly.” </w:t>
      </w:r>
    </w:p>
    <w:p w14:paraId="5F903D50" w14:textId="77777777" w:rsidR="00717597" w:rsidRPr="00F618D8" w:rsidRDefault="00717597" w:rsidP="00A97A92">
      <w:pPr>
        <w:pStyle w:val="ListParagraph"/>
        <w:rPr>
          <w:rFonts w:ascii="Arial" w:hAnsi="Arial" w:cs="Arial"/>
        </w:rPr>
      </w:pPr>
      <w:r w:rsidRPr="00F618D8">
        <w:rPr>
          <w:rFonts w:ascii="Arial" w:hAnsi="Arial" w:cs="Arial"/>
        </w:rPr>
        <w:t>A self-advocate agreed: “[W]hen you have a disability, everybody sees themselves a bit above you and they see themselves a bit above me</w:t>
      </w:r>
      <w:r w:rsidR="00A71BDF" w:rsidRPr="00F618D8">
        <w:rPr>
          <w:rFonts w:ascii="Arial" w:hAnsi="Arial" w:cs="Arial"/>
        </w:rPr>
        <w:t>,</w:t>
      </w:r>
      <w:r w:rsidRPr="00F618D8">
        <w:rPr>
          <w:rFonts w:ascii="Arial" w:hAnsi="Arial" w:cs="Arial"/>
        </w:rPr>
        <w:t xml:space="preserve"> because</w:t>
      </w:r>
      <w:r w:rsidR="00A71BDF" w:rsidRPr="00F618D8">
        <w:rPr>
          <w:rFonts w:ascii="Arial" w:hAnsi="Arial" w:cs="Arial"/>
        </w:rPr>
        <w:t>,</w:t>
      </w:r>
      <w:r w:rsidRPr="00F618D8">
        <w:rPr>
          <w:rFonts w:ascii="Arial" w:hAnsi="Arial" w:cs="Arial"/>
        </w:rPr>
        <w:t xml:space="preserve"> even [in] my personal life, I have very close people who wanted to control me . . . </w:t>
      </w:r>
      <w:r w:rsidR="00A71BDF" w:rsidRPr="00F618D8">
        <w:rPr>
          <w:rFonts w:ascii="Arial" w:hAnsi="Arial" w:cs="Arial"/>
        </w:rPr>
        <w:t>[T]</w:t>
      </w:r>
      <w:r w:rsidRPr="00F618D8">
        <w:rPr>
          <w:rFonts w:ascii="Arial" w:hAnsi="Arial" w:cs="Arial"/>
        </w:rPr>
        <w:t>hen they disrespect you</w:t>
      </w:r>
      <w:r w:rsidR="00A71BDF" w:rsidRPr="00F618D8">
        <w:rPr>
          <w:rFonts w:ascii="Arial" w:hAnsi="Arial" w:cs="Arial"/>
        </w:rPr>
        <w:t>,</w:t>
      </w:r>
      <w:r w:rsidRPr="00F618D8">
        <w:rPr>
          <w:rFonts w:ascii="Arial" w:hAnsi="Arial" w:cs="Arial"/>
        </w:rPr>
        <w:t xml:space="preserve"> but they think they [are] doing something for you</w:t>
      </w:r>
      <w:r w:rsidR="00A71BDF" w:rsidRPr="00F618D8">
        <w:rPr>
          <w:rFonts w:ascii="Arial" w:hAnsi="Arial" w:cs="Arial"/>
        </w:rPr>
        <w:t>. [B]</w:t>
      </w:r>
      <w:r w:rsidRPr="00F618D8">
        <w:rPr>
          <w:rFonts w:ascii="Arial" w:hAnsi="Arial" w:cs="Arial"/>
        </w:rPr>
        <w:t>ut sometimes, people they want to control you.”</w:t>
      </w:r>
    </w:p>
    <w:p w14:paraId="3B8D06F2" w14:textId="77777777" w:rsidR="00717597" w:rsidRPr="00F618D8" w:rsidRDefault="00717597" w:rsidP="00A97A92">
      <w:pPr>
        <w:pStyle w:val="Heading2"/>
        <w:rPr>
          <w:rFonts w:ascii="Arial" w:hAnsi="Arial" w:cs="Arial"/>
        </w:rPr>
      </w:pPr>
      <w:bookmarkStart w:id="141" w:name="_Toc10290990"/>
      <w:r w:rsidRPr="00F618D8">
        <w:rPr>
          <w:rFonts w:ascii="Arial" w:hAnsi="Arial" w:cs="Arial"/>
        </w:rPr>
        <w:lastRenderedPageBreak/>
        <w:t>The Power of Communication in All Forms for People with ID/DD</w:t>
      </w:r>
      <w:bookmarkEnd w:id="141"/>
    </w:p>
    <w:p w14:paraId="2C50466F" w14:textId="77777777" w:rsidR="00717597" w:rsidRPr="00F618D8" w:rsidRDefault="00717597" w:rsidP="00717597">
      <w:pPr>
        <w:spacing w:line="360" w:lineRule="auto"/>
        <w:rPr>
          <w:rFonts w:ascii="Arial" w:hAnsi="Arial" w:cs="Arial"/>
          <w:sz w:val="24"/>
          <w:szCs w:val="24"/>
        </w:rPr>
      </w:pPr>
      <w:r w:rsidRPr="00F618D8">
        <w:rPr>
          <w:rFonts w:ascii="Arial" w:hAnsi="Arial" w:cs="Arial"/>
          <w:sz w:val="24"/>
          <w:szCs w:val="24"/>
        </w:rPr>
        <w:t>Communication is a vital part of decision-making, and some of the assumptions made about people with ID/DD may spring from</w:t>
      </w:r>
      <w:r w:rsidR="002F7648" w:rsidRPr="00F618D8">
        <w:rPr>
          <w:rFonts w:ascii="Arial" w:hAnsi="Arial" w:cs="Arial"/>
          <w:sz w:val="24"/>
          <w:szCs w:val="24"/>
        </w:rPr>
        <w:t xml:space="preserve"> their</w:t>
      </w:r>
      <w:r w:rsidRPr="00F618D8">
        <w:rPr>
          <w:rFonts w:ascii="Arial" w:hAnsi="Arial" w:cs="Arial"/>
          <w:sz w:val="24"/>
          <w:szCs w:val="24"/>
        </w:rPr>
        <w:t xml:space="preserve"> non-traditional method of communication</w:t>
      </w:r>
      <w:r w:rsidR="00AA1F92" w:rsidRPr="00F618D8">
        <w:rPr>
          <w:rFonts w:ascii="Arial" w:hAnsi="Arial" w:cs="Arial"/>
          <w:sz w:val="24"/>
          <w:szCs w:val="24"/>
        </w:rPr>
        <w:t xml:space="preserve">. </w:t>
      </w:r>
    </w:p>
    <w:p w14:paraId="1EAAE5F8" w14:textId="77777777" w:rsidR="00717597" w:rsidRPr="00F618D8" w:rsidRDefault="00717597" w:rsidP="00DB0FED">
      <w:pPr>
        <w:pStyle w:val="ListParagraph"/>
        <w:numPr>
          <w:ilvl w:val="0"/>
          <w:numId w:val="3"/>
        </w:numPr>
        <w:ind w:left="360"/>
        <w:rPr>
          <w:rFonts w:ascii="Arial" w:hAnsi="Arial" w:cs="Arial"/>
          <w:szCs w:val="24"/>
        </w:rPr>
      </w:pPr>
      <w:r w:rsidRPr="00F618D8">
        <w:rPr>
          <w:rFonts w:ascii="Arial" w:hAnsi="Arial" w:cs="Arial"/>
          <w:szCs w:val="24"/>
        </w:rPr>
        <w:t xml:space="preserve">As stated by a parent of an adult child with ID/DD, “[P]eople with </w:t>
      </w:r>
      <w:r w:rsidR="00A71BDF" w:rsidRPr="00F618D8">
        <w:rPr>
          <w:rFonts w:ascii="Arial" w:hAnsi="Arial" w:cs="Arial"/>
          <w:szCs w:val="24"/>
        </w:rPr>
        <w:t>[ID/DD]</w:t>
      </w:r>
      <w:r w:rsidRPr="00F618D8">
        <w:rPr>
          <w:rFonts w:ascii="Arial" w:hAnsi="Arial" w:cs="Arial"/>
          <w:szCs w:val="24"/>
        </w:rPr>
        <w:t xml:space="preserve"> who don't use words to communicate or whose language is hard for others to understand, are assumed to be less than capable of having their own opinions. Not true</w:t>
      </w:r>
      <w:r w:rsidR="00A71BDF" w:rsidRPr="00F618D8">
        <w:rPr>
          <w:rFonts w:ascii="Arial" w:hAnsi="Arial" w:cs="Arial"/>
          <w:szCs w:val="24"/>
        </w:rPr>
        <w:t xml:space="preserve"> .</w:t>
      </w:r>
      <w:r w:rsidRPr="00F618D8">
        <w:rPr>
          <w:rFonts w:ascii="Arial" w:hAnsi="Arial" w:cs="Arial"/>
          <w:szCs w:val="24"/>
        </w:rPr>
        <w:t xml:space="preserve"> . . </w:t>
      </w:r>
      <w:r w:rsidR="00A71BDF" w:rsidRPr="00F618D8">
        <w:rPr>
          <w:rFonts w:ascii="Arial" w:hAnsi="Arial" w:cs="Arial"/>
          <w:szCs w:val="24"/>
        </w:rPr>
        <w:t>[W]</w:t>
      </w:r>
      <w:r w:rsidRPr="00F618D8">
        <w:rPr>
          <w:rFonts w:ascii="Arial" w:hAnsi="Arial" w:cs="Arial"/>
          <w:szCs w:val="24"/>
        </w:rPr>
        <w:t xml:space="preserve">e need to understand how the individual with </w:t>
      </w:r>
      <w:r w:rsidR="00A71BDF" w:rsidRPr="00F618D8">
        <w:rPr>
          <w:rFonts w:ascii="Arial" w:hAnsi="Arial" w:cs="Arial"/>
          <w:szCs w:val="24"/>
        </w:rPr>
        <w:t xml:space="preserve">[ID/DD] </w:t>
      </w:r>
      <w:r w:rsidRPr="00F618D8">
        <w:rPr>
          <w:rFonts w:ascii="Arial" w:hAnsi="Arial" w:cs="Arial"/>
          <w:szCs w:val="24"/>
        </w:rPr>
        <w:t xml:space="preserve">communicates, and share that information, so that the voice of the person with </w:t>
      </w:r>
      <w:r w:rsidR="00A71BDF" w:rsidRPr="00F618D8">
        <w:rPr>
          <w:rFonts w:ascii="Arial" w:hAnsi="Arial" w:cs="Arial"/>
          <w:szCs w:val="24"/>
        </w:rPr>
        <w:t>[ID/DD]</w:t>
      </w:r>
      <w:r w:rsidRPr="00F618D8">
        <w:rPr>
          <w:rFonts w:ascii="Arial" w:hAnsi="Arial" w:cs="Arial"/>
          <w:szCs w:val="24"/>
        </w:rPr>
        <w:t xml:space="preserve"> will be heard</w:t>
      </w:r>
      <w:r w:rsidR="00AA1F92" w:rsidRPr="00F618D8">
        <w:rPr>
          <w:rFonts w:ascii="Arial" w:hAnsi="Arial" w:cs="Arial"/>
          <w:szCs w:val="24"/>
        </w:rPr>
        <w:t xml:space="preserve">.” </w:t>
      </w:r>
    </w:p>
    <w:p w14:paraId="1D45262D" w14:textId="77777777" w:rsidR="00717597" w:rsidRPr="00F618D8" w:rsidRDefault="00717597" w:rsidP="00DB0FED">
      <w:pPr>
        <w:pStyle w:val="ListParagraph"/>
        <w:numPr>
          <w:ilvl w:val="0"/>
          <w:numId w:val="2"/>
        </w:numPr>
        <w:spacing w:after="160"/>
        <w:ind w:left="360"/>
        <w:rPr>
          <w:rFonts w:ascii="Arial" w:hAnsi="Arial" w:cs="Arial"/>
          <w:szCs w:val="24"/>
        </w:rPr>
      </w:pPr>
      <w:r w:rsidRPr="00F618D8">
        <w:rPr>
          <w:rFonts w:ascii="Arial" w:hAnsi="Arial" w:cs="Arial"/>
          <w:szCs w:val="24"/>
        </w:rPr>
        <w:t>Another family member agreed: “Most people who have trouble with traditional communication because of the pace or complexity of the interaction are perceived as someone who needs help to make decisions.”</w:t>
      </w:r>
    </w:p>
    <w:p w14:paraId="00D63FFA" w14:textId="77777777" w:rsidR="00717597" w:rsidRPr="00F618D8" w:rsidRDefault="00717597" w:rsidP="00DB0FED">
      <w:pPr>
        <w:pStyle w:val="ListParagraph"/>
        <w:numPr>
          <w:ilvl w:val="0"/>
          <w:numId w:val="2"/>
        </w:numPr>
        <w:ind w:left="360"/>
        <w:rPr>
          <w:rFonts w:ascii="Arial" w:hAnsi="Arial" w:cs="Arial"/>
          <w:szCs w:val="24"/>
        </w:rPr>
      </w:pPr>
      <w:r w:rsidRPr="00F618D8">
        <w:rPr>
          <w:rFonts w:ascii="Arial" w:hAnsi="Arial" w:cs="Arial"/>
          <w:szCs w:val="24"/>
        </w:rPr>
        <w:t xml:space="preserve">A self-advocate told </w:t>
      </w:r>
      <w:r w:rsidR="00A71BDF" w:rsidRPr="00F618D8">
        <w:rPr>
          <w:rFonts w:ascii="Arial" w:hAnsi="Arial" w:cs="Arial"/>
          <w:szCs w:val="24"/>
        </w:rPr>
        <w:t>a story about how a</w:t>
      </w:r>
      <w:r w:rsidRPr="00F618D8">
        <w:rPr>
          <w:rFonts w:ascii="Arial" w:hAnsi="Arial" w:cs="Arial"/>
          <w:szCs w:val="24"/>
        </w:rPr>
        <w:t xml:space="preserve"> person who did not communicate through words</w:t>
      </w:r>
      <w:r w:rsidR="00A71BDF" w:rsidRPr="00F618D8">
        <w:rPr>
          <w:rFonts w:ascii="Arial" w:hAnsi="Arial" w:cs="Arial"/>
          <w:szCs w:val="24"/>
        </w:rPr>
        <w:t xml:space="preserve"> was treated:</w:t>
      </w:r>
      <w:r w:rsidRPr="00F618D8">
        <w:rPr>
          <w:rFonts w:ascii="Arial" w:hAnsi="Arial" w:cs="Arial"/>
          <w:szCs w:val="24"/>
        </w:rPr>
        <w:t xml:space="preserve"> “[S]omebody that I knew long time ago . . . </w:t>
      </w:r>
      <w:r w:rsidR="00A71BDF" w:rsidRPr="00F618D8">
        <w:rPr>
          <w:rFonts w:ascii="Arial" w:hAnsi="Arial" w:cs="Arial"/>
          <w:szCs w:val="24"/>
        </w:rPr>
        <w:t>he</w:t>
      </w:r>
      <w:r w:rsidRPr="00F618D8">
        <w:rPr>
          <w:rFonts w:ascii="Arial" w:hAnsi="Arial" w:cs="Arial"/>
          <w:szCs w:val="24"/>
        </w:rPr>
        <w:t xml:space="preserve"> was throwing a fit and was making noises and [the provider] thought that he was acting up . .</w:t>
      </w:r>
      <w:r w:rsidR="00A71BDF" w:rsidRPr="00F618D8">
        <w:rPr>
          <w:rFonts w:ascii="Arial" w:hAnsi="Arial" w:cs="Arial"/>
          <w:szCs w:val="24"/>
        </w:rPr>
        <w:t xml:space="preserve"> . [T]</w:t>
      </w:r>
      <w:r w:rsidRPr="00F618D8">
        <w:rPr>
          <w:rFonts w:ascii="Arial" w:hAnsi="Arial" w:cs="Arial"/>
          <w:szCs w:val="24"/>
        </w:rPr>
        <w:t>hey got mad at him and got ready to write him up</w:t>
      </w:r>
      <w:r w:rsidR="009811BF" w:rsidRPr="00F618D8">
        <w:rPr>
          <w:rFonts w:ascii="Arial" w:hAnsi="Arial" w:cs="Arial"/>
          <w:szCs w:val="24"/>
        </w:rPr>
        <w:t xml:space="preserve"> </w:t>
      </w:r>
      <w:r w:rsidRPr="00F618D8">
        <w:rPr>
          <w:rFonts w:ascii="Arial" w:hAnsi="Arial" w:cs="Arial"/>
          <w:szCs w:val="24"/>
        </w:rPr>
        <w:t>. . . [R]ather than enforcement, he is very intelligent</w:t>
      </w:r>
      <w:r w:rsidR="00C83D5C" w:rsidRPr="00F618D8">
        <w:rPr>
          <w:rFonts w:ascii="Arial" w:hAnsi="Arial" w:cs="Arial"/>
          <w:szCs w:val="24"/>
        </w:rPr>
        <w:t>. H</w:t>
      </w:r>
      <w:r w:rsidRPr="00F618D8">
        <w:rPr>
          <w:rFonts w:ascii="Arial" w:hAnsi="Arial" w:cs="Arial"/>
          <w:szCs w:val="24"/>
        </w:rPr>
        <w:t>e should’ve been able to [be supported to] communicate like [with] a notepad or a keyboard.”</w:t>
      </w:r>
    </w:p>
    <w:p w14:paraId="36611311" w14:textId="77777777" w:rsidR="00717597" w:rsidRPr="00F618D8" w:rsidRDefault="00717597" w:rsidP="00A97A92">
      <w:pPr>
        <w:pStyle w:val="ParaNoIndent"/>
        <w:rPr>
          <w:rFonts w:ascii="Arial" w:hAnsi="Arial"/>
        </w:rPr>
      </w:pPr>
      <w:r w:rsidRPr="00F618D8">
        <w:rPr>
          <w:rFonts w:ascii="Arial" w:hAnsi="Arial"/>
        </w:rPr>
        <w:t>When supporters and others learn how to effectively communicate, it can unlock the person’s decision-making ability</w:t>
      </w:r>
      <w:r w:rsidR="00AA1F92" w:rsidRPr="00F618D8">
        <w:rPr>
          <w:rFonts w:ascii="Arial" w:hAnsi="Arial"/>
        </w:rPr>
        <w:t xml:space="preserve">. </w:t>
      </w:r>
      <w:r w:rsidRPr="00F618D8">
        <w:rPr>
          <w:rFonts w:ascii="Arial" w:hAnsi="Arial"/>
        </w:rPr>
        <w:t>A self-advocate in DC recalled her experience of learning how to creatively communicate with a peer who did not communicate verbally: “When I was in school riding the school bus, I ran into this pretty young girl . . . I asked the bus driver who [she was]</w:t>
      </w:r>
      <w:r w:rsidR="009811BF" w:rsidRPr="00F618D8">
        <w:rPr>
          <w:rFonts w:ascii="Arial" w:hAnsi="Arial"/>
        </w:rPr>
        <w:t xml:space="preserve"> </w:t>
      </w:r>
      <w:r w:rsidRPr="00F618D8">
        <w:rPr>
          <w:rFonts w:ascii="Arial" w:hAnsi="Arial"/>
        </w:rPr>
        <w:t xml:space="preserve">. . . </w:t>
      </w:r>
      <w:r w:rsidR="00A71BDF" w:rsidRPr="00F618D8">
        <w:rPr>
          <w:rFonts w:ascii="Arial" w:hAnsi="Arial"/>
        </w:rPr>
        <w:t xml:space="preserve"> </w:t>
      </w:r>
      <w:r w:rsidRPr="00F618D8">
        <w:rPr>
          <w:rFonts w:ascii="Arial" w:hAnsi="Arial"/>
        </w:rPr>
        <w:t xml:space="preserve">He said she can't walk or talk, and I said . . . </w:t>
      </w:r>
      <w:r w:rsidR="005C5CD9" w:rsidRPr="00F618D8">
        <w:rPr>
          <w:rFonts w:ascii="Arial" w:hAnsi="Arial"/>
        </w:rPr>
        <w:t>‘</w:t>
      </w:r>
      <w:r w:rsidRPr="00F618D8">
        <w:rPr>
          <w:rFonts w:ascii="Arial" w:hAnsi="Arial"/>
        </w:rPr>
        <w:t xml:space="preserve">Not now, but she will.’ and by the end of that school year . . . me and her came up with a way of talking. She talks [with] her eyes [by blinking] . . . It's just a different form or way of talking.” </w:t>
      </w:r>
    </w:p>
    <w:p w14:paraId="45254453" w14:textId="77777777" w:rsidR="00717597" w:rsidRPr="00F618D8" w:rsidRDefault="00717597" w:rsidP="00A97A92">
      <w:pPr>
        <w:pStyle w:val="Heading2"/>
        <w:rPr>
          <w:rFonts w:ascii="Arial" w:hAnsi="Arial" w:cs="Arial"/>
        </w:rPr>
      </w:pPr>
      <w:bookmarkStart w:id="142" w:name="_Toc10290991"/>
      <w:r w:rsidRPr="00F618D8">
        <w:rPr>
          <w:rFonts w:ascii="Arial" w:hAnsi="Arial" w:cs="Arial"/>
        </w:rPr>
        <w:t>The Impact of a Lack of Opportunity to Make Decisions on People with ID/DD</w:t>
      </w:r>
      <w:bookmarkEnd w:id="142"/>
      <w:r w:rsidRPr="00F618D8">
        <w:rPr>
          <w:rFonts w:ascii="Arial" w:hAnsi="Arial" w:cs="Arial"/>
        </w:rPr>
        <w:t xml:space="preserve"> </w:t>
      </w:r>
    </w:p>
    <w:p w14:paraId="41BAFE97" w14:textId="77777777" w:rsidR="00717597" w:rsidRPr="00F618D8" w:rsidRDefault="00717597" w:rsidP="00A97A92">
      <w:pPr>
        <w:pStyle w:val="ParaNoIndent"/>
        <w:rPr>
          <w:rFonts w:ascii="Arial" w:hAnsi="Arial"/>
        </w:rPr>
      </w:pPr>
      <w:r w:rsidRPr="00F618D8">
        <w:rPr>
          <w:rFonts w:ascii="Arial" w:hAnsi="Arial"/>
        </w:rPr>
        <w:t>Multiple respondents discussed how a lack of education on decision-making negatively impact</w:t>
      </w:r>
      <w:r w:rsidR="00A71BDF" w:rsidRPr="00F618D8">
        <w:rPr>
          <w:rFonts w:ascii="Arial" w:hAnsi="Arial"/>
        </w:rPr>
        <w:t>s</w:t>
      </w:r>
      <w:r w:rsidRPr="00F618D8">
        <w:rPr>
          <w:rFonts w:ascii="Arial" w:hAnsi="Arial"/>
        </w:rPr>
        <w:t xml:space="preserve"> people with ID/DD</w:t>
      </w:r>
      <w:r w:rsidR="00AA1F92" w:rsidRPr="00F618D8">
        <w:rPr>
          <w:rFonts w:ascii="Arial" w:hAnsi="Arial"/>
        </w:rPr>
        <w:t xml:space="preserve">. </w:t>
      </w:r>
      <w:r w:rsidRPr="00F618D8">
        <w:rPr>
          <w:rFonts w:ascii="Arial" w:hAnsi="Arial"/>
        </w:rPr>
        <w:t>For example:</w:t>
      </w:r>
    </w:p>
    <w:p w14:paraId="3DC5C9E9" w14:textId="77777777" w:rsidR="00717597" w:rsidRPr="00F618D8" w:rsidRDefault="00717597" w:rsidP="00A97A92">
      <w:pPr>
        <w:pStyle w:val="ListParagraph"/>
        <w:rPr>
          <w:rFonts w:ascii="Arial" w:hAnsi="Arial" w:cs="Arial"/>
        </w:rPr>
      </w:pPr>
      <w:r w:rsidRPr="00F618D8">
        <w:rPr>
          <w:rFonts w:ascii="Arial" w:hAnsi="Arial" w:cs="Arial"/>
        </w:rPr>
        <w:lastRenderedPageBreak/>
        <w:t xml:space="preserve">One parent of an adult child described her feeling that people with ID/DD are not always encouraged or asked to weigh in on their own decisions or encouraged to advocate for themselves: “[M]any </w:t>
      </w:r>
      <w:r w:rsidR="006601D5" w:rsidRPr="00F618D8">
        <w:rPr>
          <w:rFonts w:ascii="Arial" w:hAnsi="Arial" w:cs="Arial"/>
        </w:rPr>
        <w:t xml:space="preserve">people] </w:t>
      </w:r>
      <w:r w:rsidRPr="00F618D8">
        <w:rPr>
          <w:rFonts w:ascii="Arial" w:hAnsi="Arial" w:cs="Arial"/>
        </w:rPr>
        <w:t xml:space="preserve">with </w:t>
      </w:r>
      <w:r w:rsidR="006601D5" w:rsidRPr="00F618D8">
        <w:rPr>
          <w:rFonts w:ascii="Arial" w:hAnsi="Arial" w:cs="Arial"/>
        </w:rPr>
        <w:t>[ID/DD]</w:t>
      </w:r>
      <w:r w:rsidRPr="00F618D8">
        <w:rPr>
          <w:rFonts w:ascii="Arial" w:hAnsi="Arial" w:cs="Arial"/>
        </w:rPr>
        <w:t xml:space="preserve"> are not taught to make their own decisions or given the go-ahead to do so. We need to teach all children, including those with </w:t>
      </w:r>
      <w:r w:rsidR="006601D5" w:rsidRPr="00F618D8">
        <w:rPr>
          <w:rFonts w:ascii="Arial" w:hAnsi="Arial" w:cs="Arial"/>
        </w:rPr>
        <w:t>[ID/DD]</w:t>
      </w:r>
      <w:r w:rsidRPr="00F618D8">
        <w:rPr>
          <w:rFonts w:ascii="Arial" w:hAnsi="Arial" w:cs="Arial"/>
        </w:rPr>
        <w:t>, about decision-making and the give and take that's sometimes involved</w:t>
      </w:r>
      <w:r w:rsidR="00AA1F92" w:rsidRPr="00F618D8">
        <w:rPr>
          <w:rFonts w:ascii="Arial" w:hAnsi="Arial" w:cs="Arial"/>
        </w:rPr>
        <w:t xml:space="preserve">. </w:t>
      </w:r>
      <w:r w:rsidRPr="00F618D8">
        <w:rPr>
          <w:rFonts w:ascii="Arial" w:hAnsi="Arial" w:cs="Arial"/>
        </w:rPr>
        <w:t xml:space="preserve">They need to learn to choose in small ways whenever possible.” </w:t>
      </w:r>
    </w:p>
    <w:p w14:paraId="67DFCE6D" w14:textId="77777777" w:rsidR="00717597" w:rsidRPr="00F618D8" w:rsidRDefault="00717597" w:rsidP="00A97A92">
      <w:pPr>
        <w:pStyle w:val="ListParagraph"/>
        <w:rPr>
          <w:rFonts w:ascii="Arial" w:hAnsi="Arial" w:cs="Arial"/>
        </w:rPr>
      </w:pPr>
      <w:r w:rsidRPr="00F618D8">
        <w:rPr>
          <w:rFonts w:ascii="Arial" w:hAnsi="Arial" w:cs="Arial"/>
        </w:rPr>
        <w:t>A self-advocate who regularly gives presentations to people with ID/DD told the following story</w:t>
      </w:r>
      <w:bookmarkStart w:id="143" w:name="_Hlk5278948"/>
      <w:r w:rsidRPr="00F618D8">
        <w:rPr>
          <w:rFonts w:ascii="Arial" w:hAnsi="Arial" w:cs="Arial"/>
        </w:rPr>
        <w:t xml:space="preserve">: “One year we was asking people what they wanted out of life and this one man, I think he was in his </w:t>
      </w:r>
      <w:r w:rsidR="009F7F59" w:rsidRPr="00F618D8">
        <w:rPr>
          <w:rFonts w:ascii="Arial" w:hAnsi="Arial" w:cs="Arial"/>
        </w:rPr>
        <w:t>fifties</w:t>
      </w:r>
      <w:r w:rsidRPr="00F618D8">
        <w:rPr>
          <w:rFonts w:ascii="Arial" w:hAnsi="Arial" w:cs="Arial"/>
        </w:rPr>
        <w:t>, he started crying, and we was asking him why, and he said that that was the first time anybody ever asked him what he wanted, and he grew up in the system and nobody cared about what he wanted.”</w:t>
      </w:r>
      <w:bookmarkEnd w:id="143"/>
    </w:p>
    <w:p w14:paraId="0FFF2330" w14:textId="77777777" w:rsidR="00717597" w:rsidRPr="00F618D8" w:rsidRDefault="00717597" w:rsidP="00A97A92">
      <w:pPr>
        <w:pStyle w:val="ListParagraph"/>
        <w:rPr>
          <w:rFonts w:ascii="Arial" w:hAnsi="Arial" w:cs="Arial"/>
        </w:rPr>
      </w:pPr>
      <w:r w:rsidRPr="00F618D8">
        <w:rPr>
          <w:rFonts w:ascii="Arial" w:hAnsi="Arial" w:cs="Arial"/>
        </w:rPr>
        <w:t>Another self-advocate with ID/DD, on the other hand, recalled the advice she received that not everyone does: “My mother always told me to speak up so that I won’t be left behind.”</w:t>
      </w:r>
    </w:p>
    <w:p w14:paraId="49F59804" w14:textId="7B9BE224" w:rsidR="00A97A92" w:rsidRPr="00F618D8" w:rsidRDefault="00717597" w:rsidP="00A97A92">
      <w:pPr>
        <w:pStyle w:val="ParaNoIndent"/>
        <w:rPr>
          <w:rFonts w:ascii="Arial" w:hAnsi="Arial"/>
        </w:rPr>
      </w:pPr>
      <w:r w:rsidRPr="00F618D8">
        <w:rPr>
          <w:rFonts w:ascii="Arial" w:hAnsi="Arial"/>
        </w:rPr>
        <w:t>Many respondents tied the lack of education on and opportunity for decision-making to the effects of living in a more restrictive community setting such as a group home</w:t>
      </w:r>
      <w:r w:rsidR="00AA1F92" w:rsidRPr="00F618D8">
        <w:rPr>
          <w:rFonts w:ascii="Arial" w:hAnsi="Arial"/>
        </w:rPr>
        <w:t xml:space="preserve">. </w:t>
      </w:r>
      <w:r w:rsidRPr="00F618D8">
        <w:rPr>
          <w:rFonts w:ascii="Arial" w:hAnsi="Arial"/>
        </w:rPr>
        <w:t>Several self-advocates described how such a living situation shaped their perspectives on decisio</w:t>
      </w:r>
      <w:r w:rsidR="00D863E5" w:rsidRPr="00F618D8">
        <w:rPr>
          <w:rFonts w:ascii="Arial" w:hAnsi="Arial"/>
        </w:rPr>
        <w:t xml:space="preserve">n-making and self-determination. </w:t>
      </w:r>
      <w:r w:rsidRPr="00F618D8">
        <w:rPr>
          <w:rFonts w:ascii="Arial" w:hAnsi="Arial"/>
        </w:rPr>
        <w:t>On</w:t>
      </w:r>
      <w:r w:rsidR="00A71BDF" w:rsidRPr="00F618D8">
        <w:rPr>
          <w:rFonts w:ascii="Arial" w:hAnsi="Arial"/>
        </w:rPr>
        <w:t>e</w:t>
      </w:r>
      <w:r w:rsidRPr="00F618D8">
        <w:rPr>
          <w:rFonts w:ascii="Arial" w:hAnsi="Arial"/>
        </w:rPr>
        <w:t xml:space="preserve"> person with ID/DD wondered how people would learn from their mistakes if they are not allowed to make any: “I feel like a group home is another small institution</w:t>
      </w:r>
      <w:r w:rsidR="005704DD" w:rsidRPr="00F618D8">
        <w:rPr>
          <w:rFonts w:ascii="Arial" w:hAnsi="Arial"/>
        </w:rPr>
        <w:t xml:space="preserve"> </w:t>
      </w:r>
      <w:r w:rsidRPr="00F618D8">
        <w:rPr>
          <w:rFonts w:ascii="Arial" w:hAnsi="Arial"/>
        </w:rPr>
        <w:t xml:space="preserve">. </w:t>
      </w:r>
      <w:r w:rsidR="00A71BDF" w:rsidRPr="00F618D8">
        <w:rPr>
          <w:rFonts w:ascii="Arial" w:hAnsi="Arial"/>
        </w:rPr>
        <w:t xml:space="preserve">. . [I]f somebody keeps telling you [not to] </w:t>
      </w:r>
      <w:r w:rsidRPr="00F618D8">
        <w:rPr>
          <w:rFonts w:ascii="Arial" w:hAnsi="Arial"/>
        </w:rPr>
        <w:t>do something, how are you going to learn from something?”</w:t>
      </w:r>
    </w:p>
    <w:p w14:paraId="263F8069" w14:textId="77777777" w:rsidR="00A97A92" w:rsidRPr="00F618D8" w:rsidRDefault="00A97A92">
      <w:pPr>
        <w:rPr>
          <w:rFonts w:ascii="Arial" w:hAnsi="Arial" w:cs="Arial"/>
          <w:sz w:val="24"/>
          <w:szCs w:val="20"/>
        </w:rPr>
      </w:pPr>
      <w:r w:rsidRPr="00F618D8">
        <w:rPr>
          <w:rFonts w:ascii="Arial" w:hAnsi="Arial" w:cs="Arial"/>
        </w:rPr>
        <w:br w:type="page"/>
      </w:r>
    </w:p>
    <w:bookmarkEnd w:id="132"/>
    <w:p w14:paraId="1CADF3D5" w14:textId="77777777" w:rsidR="001B3DDE" w:rsidRPr="00F618D8" w:rsidRDefault="001B3DDE">
      <w:pPr>
        <w:rPr>
          <w:rFonts w:ascii="Arial" w:eastAsia="Cambria" w:hAnsi="Arial" w:cs="Arial"/>
          <w:b/>
          <w:sz w:val="36"/>
          <w:szCs w:val="28"/>
        </w:rPr>
      </w:pPr>
      <w:r w:rsidRPr="00F618D8">
        <w:rPr>
          <w:rFonts w:ascii="Arial" w:hAnsi="Arial" w:cs="Arial"/>
        </w:rPr>
        <w:lastRenderedPageBreak/>
        <w:br w:type="page"/>
      </w:r>
    </w:p>
    <w:p w14:paraId="6DD5B867" w14:textId="726B627B" w:rsidR="00D82611" w:rsidRPr="00F618D8" w:rsidRDefault="00D82611" w:rsidP="00A97A92">
      <w:pPr>
        <w:pStyle w:val="Heading1"/>
        <w:rPr>
          <w:rFonts w:ascii="Arial" w:hAnsi="Arial" w:cs="Arial"/>
        </w:rPr>
      </w:pPr>
      <w:bookmarkStart w:id="144" w:name="_Toc10290992"/>
      <w:r w:rsidRPr="00F618D8">
        <w:rPr>
          <w:rFonts w:ascii="Arial" w:hAnsi="Arial" w:cs="Arial"/>
        </w:rPr>
        <w:lastRenderedPageBreak/>
        <w:t xml:space="preserve">Chapter </w:t>
      </w:r>
      <w:r w:rsidR="00521E4B" w:rsidRPr="00F618D8">
        <w:rPr>
          <w:rFonts w:ascii="Arial" w:hAnsi="Arial" w:cs="Arial"/>
        </w:rPr>
        <w:t>7</w:t>
      </w:r>
      <w:r w:rsidR="00DB2316" w:rsidRPr="00F618D8">
        <w:rPr>
          <w:rFonts w:ascii="Arial" w:hAnsi="Arial" w:cs="Arial"/>
        </w:rPr>
        <w:t xml:space="preserve">: </w:t>
      </w:r>
      <w:r w:rsidRPr="00F618D8">
        <w:rPr>
          <w:rFonts w:ascii="Arial" w:hAnsi="Arial" w:cs="Arial"/>
        </w:rPr>
        <w:t>Findings and Recommendations</w:t>
      </w:r>
      <w:bookmarkEnd w:id="144"/>
    </w:p>
    <w:p w14:paraId="7825CCB3" w14:textId="77777777" w:rsidR="003821AB" w:rsidRPr="00F618D8" w:rsidRDefault="003821AB" w:rsidP="00A97A92">
      <w:pPr>
        <w:pStyle w:val="ParaNoIndent"/>
        <w:rPr>
          <w:rFonts w:ascii="Arial" w:hAnsi="Arial"/>
        </w:rPr>
      </w:pPr>
      <w:r w:rsidRPr="00F618D8">
        <w:rPr>
          <w:rFonts w:ascii="Arial" w:hAnsi="Arial"/>
        </w:rPr>
        <w:t>As a supplement to the corresponding section in the 2018 NCD Report, below are additional findings and federal level recommendations designed to improve the experience of people with ID/DD in systems of guardianship and in the implementation of less-restrictive alternatives.</w:t>
      </w:r>
    </w:p>
    <w:p w14:paraId="5D2ADF6B" w14:textId="77777777" w:rsidR="003821AB" w:rsidRPr="00F618D8" w:rsidRDefault="003821AB" w:rsidP="00A97A92">
      <w:pPr>
        <w:pStyle w:val="ParaNoIndent"/>
        <w:rPr>
          <w:rFonts w:ascii="Arial" w:hAnsi="Arial"/>
        </w:rPr>
      </w:pPr>
      <w:r w:rsidRPr="00F618D8">
        <w:rPr>
          <w:rFonts w:ascii="Arial" w:hAnsi="Arial"/>
          <w:b/>
        </w:rPr>
        <w:t>Finding 1</w:t>
      </w:r>
      <w:r w:rsidRPr="00F618D8">
        <w:rPr>
          <w:rFonts w:ascii="Arial" w:hAnsi="Arial"/>
        </w:rPr>
        <w:t xml:space="preserve">: The lack of data on existing guardianships and newly filed guardianship includes </w:t>
      </w:r>
      <w:r w:rsidR="00961A90" w:rsidRPr="00F618D8">
        <w:rPr>
          <w:rFonts w:ascii="Arial" w:hAnsi="Arial"/>
        </w:rPr>
        <w:t xml:space="preserve">information on </w:t>
      </w:r>
      <w:r w:rsidRPr="00F618D8">
        <w:rPr>
          <w:rFonts w:ascii="Arial" w:hAnsi="Arial"/>
        </w:rPr>
        <w:t xml:space="preserve">the specific nature of the person’s disability, thus making it difficult to have reliable state and national information </w:t>
      </w:r>
      <w:r w:rsidR="00A71BDF" w:rsidRPr="00F618D8">
        <w:rPr>
          <w:rFonts w:ascii="Arial" w:hAnsi="Arial"/>
        </w:rPr>
        <w:t>on</w:t>
      </w:r>
      <w:r w:rsidRPr="00F618D8">
        <w:rPr>
          <w:rFonts w:ascii="Arial" w:hAnsi="Arial"/>
        </w:rPr>
        <w:t xml:space="preserve"> how guardianship systems impact people with ID/DD and whether </w:t>
      </w:r>
      <w:r w:rsidR="00A71BDF" w:rsidRPr="00F618D8">
        <w:rPr>
          <w:rFonts w:ascii="Arial" w:hAnsi="Arial"/>
        </w:rPr>
        <w:t xml:space="preserve">that population </w:t>
      </w:r>
      <w:r w:rsidR="005704DD" w:rsidRPr="00F618D8">
        <w:rPr>
          <w:rFonts w:ascii="Arial" w:hAnsi="Arial"/>
        </w:rPr>
        <w:t>is</w:t>
      </w:r>
      <w:r w:rsidR="00A71BDF" w:rsidRPr="00F618D8">
        <w:rPr>
          <w:rFonts w:ascii="Arial" w:hAnsi="Arial"/>
        </w:rPr>
        <w:t xml:space="preserve"> likely to be in</w:t>
      </w:r>
      <w:r w:rsidRPr="00F618D8">
        <w:rPr>
          <w:rFonts w:ascii="Arial" w:hAnsi="Arial"/>
        </w:rPr>
        <w:t xml:space="preserve"> limited or full guardianship</w:t>
      </w:r>
      <w:r w:rsidR="00A71BDF" w:rsidRPr="00F618D8">
        <w:rPr>
          <w:rFonts w:ascii="Arial" w:hAnsi="Arial"/>
        </w:rPr>
        <w:t xml:space="preserve"> than people with other disabilities</w:t>
      </w:r>
      <w:r w:rsidR="00AA1F92" w:rsidRPr="00F618D8">
        <w:rPr>
          <w:rFonts w:ascii="Arial" w:hAnsi="Arial"/>
        </w:rPr>
        <w:t xml:space="preserve">. </w:t>
      </w:r>
      <w:r w:rsidRPr="00F618D8">
        <w:rPr>
          <w:rFonts w:ascii="Arial" w:hAnsi="Arial"/>
        </w:rPr>
        <w:t>Recommendations include</w:t>
      </w:r>
      <w:r w:rsidR="00A71BDF" w:rsidRPr="00F618D8">
        <w:rPr>
          <w:rFonts w:ascii="Arial" w:hAnsi="Arial"/>
        </w:rPr>
        <w:t>:</w:t>
      </w:r>
    </w:p>
    <w:p w14:paraId="50C9F764" w14:textId="77777777" w:rsidR="003821AB" w:rsidRPr="00F618D8" w:rsidRDefault="003821AB" w:rsidP="00A97A92">
      <w:pPr>
        <w:pStyle w:val="ListParagraph"/>
        <w:rPr>
          <w:rFonts w:ascii="Arial" w:hAnsi="Arial" w:cs="Arial"/>
        </w:rPr>
      </w:pPr>
      <w:r w:rsidRPr="00F618D8">
        <w:rPr>
          <w:rFonts w:ascii="Arial" w:hAnsi="Arial" w:cs="Arial"/>
        </w:rPr>
        <w:t>The Social Security Administration has data based on disability-related eligibility Listings</w:t>
      </w:r>
      <w:r w:rsidR="00AA1F92" w:rsidRPr="00F618D8">
        <w:rPr>
          <w:rFonts w:ascii="Arial" w:hAnsi="Arial" w:cs="Arial"/>
        </w:rPr>
        <w:t xml:space="preserve">. </w:t>
      </w:r>
      <w:r w:rsidRPr="00F618D8">
        <w:rPr>
          <w:rFonts w:ascii="Arial" w:hAnsi="Arial" w:cs="Arial"/>
        </w:rPr>
        <w:t>Therefore</w:t>
      </w:r>
      <w:r w:rsidR="0070792D" w:rsidRPr="00F618D8">
        <w:rPr>
          <w:rFonts w:ascii="Arial" w:hAnsi="Arial" w:cs="Arial"/>
        </w:rPr>
        <w:t>,</w:t>
      </w:r>
      <w:r w:rsidRPr="00F618D8">
        <w:rPr>
          <w:rFonts w:ascii="Arial" w:hAnsi="Arial" w:cs="Arial"/>
        </w:rPr>
        <w:t xml:space="preserve"> it should not only conduct data on </w:t>
      </w:r>
      <w:r w:rsidR="005704DD" w:rsidRPr="00F618D8">
        <w:rPr>
          <w:rFonts w:ascii="Arial" w:hAnsi="Arial" w:cs="Arial"/>
        </w:rPr>
        <w:t>whether</w:t>
      </w:r>
      <w:r w:rsidRPr="00F618D8">
        <w:rPr>
          <w:rFonts w:ascii="Arial" w:hAnsi="Arial" w:cs="Arial"/>
        </w:rPr>
        <w:t xml:space="preserve"> individuals it serves are subject to guardianship, but trend it against </w:t>
      </w:r>
      <w:r w:rsidR="002D7FFB" w:rsidRPr="00F618D8">
        <w:rPr>
          <w:rFonts w:ascii="Arial" w:hAnsi="Arial" w:cs="Arial"/>
        </w:rPr>
        <w:t xml:space="preserve">the </w:t>
      </w:r>
      <w:r w:rsidRPr="00F618D8">
        <w:rPr>
          <w:rFonts w:ascii="Arial" w:hAnsi="Arial" w:cs="Arial"/>
        </w:rPr>
        <w:t xml:space="preserve">type of disability. </w:t>
      </w:r>
    </w:p>
    <w:p w14:paraId="6F24AA44" w14:textId="77777777" w:rsidR="003821AB" w:rsidRPr="00F618D8" w:rsidRDefault="002D7FFB" w:rsidP="00A97A92">
      <w:pPr>
        <w:pStyle w:val="ListParagraph"/>
        <w:rPr>
          <w:rFonts w:ascii="Arial" w:hAnsi="Arial" w:cs="Arial"/>
        </w:rPr>
      </w:pPr>
      <w:r w:rsidRPr="00F618D8">
        <w:rPr>
          <w:rFonts w:ascii="Arial" w:hAnsi="Arial" w:cs="Arial"/>
        </w:rPr>
        <w:t>Offer s</w:t>
      </w:r>
      <w:r w:rsidR="003821AB" w:rsidRPr="00F618D8">
        <w:rPr>
          <w:rFonts w:ascii="Arial" w:hAnsi="Arial" w:cs="Arial"/>
        </w:rPr>
        <w:t>tates incentives and technical assistance with developing electronic filing and reporting systems that collect basic information about guardianships, including the alleged disability of the person served</w:t>
      </w:r>
      <w:r w:rsidR="007F77C6" w:rsidRPr="00F618D8">
        <w:rPr>
          <w:rFonts w:ascii="Arial" w:hAnsi="Arial" w:cs="Arial"/>
        </w:rPr>
        <w:t>—</w:t>
      </w:r>
      <w:r w:rsidR="002A0689" w:rsidRPr="00F618D8">
        <w:rPr>
          <w:rFonts w:ascii="Arial" w:hAnsi="Arial" w:cs="Arial"/>
        </w:rPr>
        <w:t>as well as their age</w:t>
      </w:r>
      <w:r w:rsidR="007F77C6" w:rsidRPr="00F618D8">
        <w:rPr>
          <w:rFonts w:ascii="Arial" w:hAnsi="Arial" w:cs="Arial"/>
        </w:rPr>
        <w:t>—</w:t>
      </w:r>
      <w:r w:rsidR="002A0689" w:rsidRPr="00F618D8">
        <w:rPr>
          <w:rFonts w:ascii="Arial" w:hAnsi="Arial" w:cs="Arial"/>
        </w:rPr>
        <w:t>among the other information recommended in the 2018 NCD report.</w:t>
      </w:r>
      <w:r w:rsidR="003821AB" w:rsidRPr="00F618D8">
        <w:rPr>
          <w:rFonts w:ascii="Arial" w:hAnsi="Arial" w:cs="Arial"/>
        </w:rPr>
        <w:t xml:space="preserve"> </w:t>
      </w:r>
    </w:p>
    <w:p w14:paraId="6CA4E4F7" w14:textId="77777777" w:rsidR="0070792D" w:rsidRPr="00F618D8" w:rsidRDefault="0070792D" w:rsidP="00A97A92">
      <w:pPr>
        <w:pStyle w:val="ListParagraph"/>
        <w:rPr>
          <w:rFonts w:ascii="Arial" w:hAnsi="Arial" w:cs="Arial"/>
        </w:rPr>
      </w:pPr>
      <w:r w:rsidRPr="00F618D8">
        <w:rPr>
          <w:rFonts w:ascii="Arial" w:hAnsi="Arial" w:cs="Arial"/>
        </w:rPr>
        <w:t xml:space="preserve">The </w:t>
      </w:r>
      <w:r w:rsidR="005A246D" w:rsidRPr="00F618D8">
        <w:rPr>
          <w:rFonts w:ascii="Arial" w:hAnsi="Arial" w:cs="Arial"/>
        </w:rPr>
        <w:t xml:space="preserve">National Core Indicators (NCI) </w:t>
      </w:r>
      <w:r w:rsidRPr="00F618D8">
        <w:rPr>
          <w:rFonts w:ascii="Arial" w:hAnsi="Arial" w:cs="Arial"/>
        </w:rPr>
        <w:t>website should also specify, on a state-by-state basis, precisely to what population of people with ID/DD the state is administering its survey, so that one can assess whether the data collected is truly representative of the full population of people with ID/DD in that state</w:t>
      </w:r>
      <w:r w:rsidR="00AA1F92" w:rsidRPr="00F618D8">
        <w:rPr>
          <w:rFonts w:ascii="Arial" w:hAnsi="Arial" w:cs="Arial"/>
        </w:rPr>
        <w:t xml:space="preserve">. </w:t>
      </w:r>
      <w:r w:rsidRPr="00F618D8">
        <w:rPr>
          <w:rFonts w:ascii="Arial" w:hAnsi="Arial" w:cs="Arial"/>
        </w:rPr>
        <w:t xml:space="preserve"> </w:t>
      </w:r>
    </w:p>
    <w:p w14:paraId="0CF0D816" w14:textId="77777777" w:rsidR="003821AB" w:rsidRPr="00F618D8" w:rsidRDefault="003821AB" w:rsidP="00A97A92">
      <w:pPr>
        <w:pStyle w:val="ParaNoIndent"/>
        <w:rPr>
          <w:rFonts w:ascii="Arial" w:hAnsi="Arial"/>
        </w:rPr>
      </w:pPr>
      <w:r w:rsidRPr="00F618D8">
        <w:rPr>
          <w:rFonts w:ascii="Arial" w:hAnsi="Arial"/>
          <w:b/>
        </w:rPr>
        <w:t>Finding 2:</w:t>
      </w:r>
      <w:r w:rsidRPr="00F618D8">
        <w:rPr>
          <w:rFonts w:ascii="Arial" w:hAnsi="Arial"/>
        </w:rPr>
        <w:t xml:space="preserve"> People with ID/DD currently are at higher risk for guardianship because of the school-to-guardianship pipeline</w:t>
      </w:r>
      <w:r w:rsidR="00AA1F92" w:rsidRPr="00F618D8">
        <w:rPr>
          <w:rFonts w:ascii="Arial" w:hAnsi="Arial"/>
        </w:rPr>
        <w:t xml:space="preserve">. </w:t>
      </w:r>
      <w:r w:rsidRPr="00F618D8">
        <w:rPr>
          <w:rFonts w:ascii="Arial" w:hAnsi="Arial"/>
        </w:rPr>
        <w:t xml:space="preserve">Recommendations include: </w:t>
      </w:r>
    </w:p>
    <w:p w14:paraId="0E9E7D51" w14:textId="77777777" w:rsidR="00961A90" w:rsidRPr="00F618D8" w:rsidRDefault="003821AB" w:rsidP="00A97A92">
      <w:pPr>
        <w:pStyle w:val="ListParagraph"/>
        <w:rPr>
          <w:rFonts w:ascii="Arial" w:hAnsi="Arial" w:cs="Arial"/>
        </w:rPr>
      </w:pPr>
      <w:r w:rsidRPr="00F618D8">
        <w:rPr>
          <w:rFonts w:ascii="Arial" w:hAnsi="Arial" w:cs="Arial"/>
        </w:rPr>
        <w:t xml:space="preserve">The U.S. Department of Education OSERS </w:t>
      </w:r>
      <w:r w:rsidR="00961A90" w:rsidRPr="00F618D8">
        <w:rPr>
          <w:rFonts w:ascii="Arial" w:hAnsi="Arial" w:cs="Arial"/>
        </w:rPr>
        <w:t>renewed</w:t>
      </w:r>
      <w:r w:rsidRPr="00F618D8">
        <w:rPr>
          <w:rFonts w:ascii="Arial" w:hAnsi="Arial" w:cs="Arial"/>
        </w:rPr>
        <w:t xml:space="preserve"> its</w:t>
      </w:r>
      <w:r w:rsidR="00961A90" w:rsidRPr="00F618D8">
        <w:rPr>
          <w:rFonts w:ascii="Arial" w:hAnsi="Arial" w:cs="Arial"/>
        </w:rPr>
        <w:t xml:space="preserve"> previously</w:t>
      </w:r>
      <w:r w:rsidRPr="00F618D8">
        <w:rPr>
          <w:rFonts w:ascii="Arial" w:hAnsi="Arial" w:cs="Arial"/>
        </w:rPr>
        <w:t xml:space="preserve"> archived 2017 “Transition Guide to Postsecondary Education and Employment for Students and Youth with Disabilities,” </w:t>
      </w:r>
      <w:r w:rsidR="00961A90" w:rsidRPr="00F618D8">
        <w:rPr>
          <w:rFonts w:ascii="Arial" w:hAnsi="Arial" w:cs="Arial"/>
        </w:rPr>
        <w:t xml:space="preserve">which recognized the serious implications of guardianship and encouraged schools to recognize </w:t>
      </w:r>
      <w:r w:rsidR="008A7CDB" w:rsidRPr="00F618D8">
        <w:rPr>
          <w:rFonts w:ascii="Arial" w:hAnsi="Arial" w:cs="Arial"/>
        </w:rPr>
        <w:t>SDM</w:t>
      </w:r>
      <w:r w:rsidR="00961A90" w:rsidRPr="00F618D8">
        <w:rPr>
          <w:rFonts w:ascii="Arial" w:hAnsi="Arial" w:cs="Arial"/>
        </w:rPr>
        <w:t xml:space="preserve"> and other less restrictive decision-making support for adults in special education</w:t>
      </w:r>
      <w:r w:rsidR="00AA1F92" w:rsidRPr="00F618D8">
        <w:rPr>
          <w:rFonts w:ascii="Arial" w:hAnsi="Arial" w:cs="Arial"/>
        </w:rPr>
        <w:t xml:space="preserve">. </w:t>
      </w:r>
      <w:r w:rsidR="00961A90" w:rsidRPr="00F618D8">
        <w:rPr>
          <w:rFonts w:ascii="Arial" w:hAnsi="Arial" w:cs="Arial"/>
        </w:rPr>
        <w:t xml:space="preserve">OSERS should do more to promote </w:t>
      </w:r>
      <w:r w:rsidR="00961A90" w:rsidRPr="00F618D8">
        <w:rPr>
          <w:rFonts w:ascii="Arial" w:hAnsi="Arial" w:cs="Arial"/>
        </w:rPr>
        <w:lastRenderedPageBreak/>
        <w:t>implementation of this guide at the state and local level, including requiring State Educational Agencies to:</w:t>
      </w:r>
    </w:p>
    <w:p w14:paraId="713A3E2D" w14:textId="77777777" w:rsidR="00961A90" w:rsidRPr="00F618D8" w:rsidRDefault="00961A90" w:rsidP="00A97A92">
      <w:pPr>
        <w:pStyle w:val="ListParaLevel2"/>
        <w:rPr>
          <w:rFonts w:ascii="Arial" w:hAnsi="Arial" w:cs="Arial"/>
        </w:rPr>
      </w:pPr>
      <w:r w:rsidRPr="00F618D8">
        <w:rPr>
          <w:rFonts w:ascii="Arial" w:hAnsi="Arial" w:cs="Arial"/>
        </w:rPr>
        <w:t>Ensure robust and repeated trainings of educational professionals at the agency and school level on options for supporting the decision-making of adult students with disabilities, including people with ID/DD, that are less-restrictive than guardianship.</w:t>
      </w:r>
    </w:p>
    <w:p w14:paraId="62703590" w14:textId="77777777" w:rsidR="00961A90" w:rsidRPr="00F618D8" w:rsidRDefault="00961A90" w:rsidP="00A97A92">
      <w:pPr>
        <w:pStyle w:val="ListParaLevel2"/>
        <w:rPr>
          <w:rFonts w:ascii="Arial" w:hAnsi="Arial" w:cs="Arial"/>
        </w:rPr>
      </w:pPr>
      <w:r w:rsidRPr="00F618D8">
        <w:rPr>
          <w:rFonts w:ascii="Arial" w:hAnsi="Arial" w:cs="Arial"/>
        </w:rPr>
        <w:t xml:space="preserve">Create a modified FERPA form for the transition process that documents </w:t>
      </w:r>
      <w:r w:rsidR="006F09B4" w:rsidRPr="00F618D8">
        <w:rPr>
          <w:rFonts w:ascii="Arial" w:hAnsi="Arial" w:cs="Arial"/>
        </w:rPr>
        <w:t>SDM</w:t>
      </w:r>
      <w:r w:rsidRPr="00F618D8">
        <w:rPr>
          <w:rFonts w:ascii="Arial" w:hAnsi="Arial" w:cs="Arial"/>
        </w:rPr>
        <w:t xml:space="preserve"> arrangements that ensure parents and caregivers can support transition-age youth in making educational decisions after rights transfer to them.</w:t>
      </w:r>
    </w:p>
    <w:p w14:paraId="05C3C0D7" w14:textId="77777777" w:rsidR="00961A90" w:rsidRPr="00F618D8" w:rsidRDefault="00961A90" w:rsidP="00A97A92">
      <w:pPr>
        <w:pStyle w:val="ListParaLevel2"/>
        <w:rPr>
          <w:rFonts w:ascii="Arial" w:hAnsi="Arial" w:cs="Arial"/>
        </w:rPr>
      </w:pPr>
      <w:r w:rsidRPr="00F618D8">
        <w:rPr>
          <w:rFonts w:ascii="Arial" w:hAnsi="Arial" w:cs="Arial"/>
        </w:rPr>
        <w:t>Ensure local school systems do not unlawfully discriminate against adult students with disabilities who wish to exercise their civil right to execute a power of attorney under state law</w:t>
      </w:r>
      <w:r w:rsidR="00AA1F92" w:rsidRPr="00F618D8">
        <w:rPr>
          <w:rFonts w:ascii="Arial" w:hAnsi="Arial" w:cs="Arial"/>
        </w:rPr>
        <w:t xml:space="preserve">. </w:t>
      </w:r>
    </w:p>
    <w:p w14:paraId="41C99E52" w14:textId="77777777" w:rsidR="00961A90" w:rsidRPr="00F618D8" w:rsidRDefault="00961A90" w:rsidP="00A97A92">
      <w:pPr>
        <w:pStyle w:val="ListParaLevel2"/>
        <w:rPr>
          <w:rFonts w:ascii="Arial" w:hAnsi="Arial" w:cs="Arial"/>
        </w:rPr>
      </w:pPr>
      <w:r w:rsidRPr="00F618D8">
        <w:rPr>
          <w:rFonts w:ascii="Arial" w:hAnsi="Arial" w:cs="Arial"/>
        </w:rPr>
        <w:t>Develop tracking mechanisms to determine how decision-making rights are exercised by and/or for adult students in special education to assess and monitor the use of guardianship and alternatives by transition-age youth.</w:t>
      </w:r>
    </w:p>
    <w:p w14:paraId="0F550F38" w14:textId="77777777" w:rsidR="0070792D" w:rsidRPr="00F618D8" w:rsidRDefault="003821AB" w:rsidP="008053EC">
      <w:pPr>
        <w:pStyle w:val="ListParagraph"/>
        <w:rPr>
          <w:rFonts w:ascii="Arial" w:hAnsi="Arial" w:cs="Arial"/>
        </w:rPr>
      </w:pPr>
      <w:r w:rsidRPr="00F618D8">
        <w:rPr>
          <w:rFonts w:ascii="Arial" w:hAnsi="Arial" w:cs="Arial"/>
        </w:rPr>
        <w:t>OSEP should instruct its Parent Training and Information Centers to prioritize and provide meaningful training on school-to-adult transition and alternatives to guardianship.</w:t>
      </w:r>
    </w:p>
    <w:p w14:paraId="4D35899F" w14:textId="77777777" w:rsidR="00A91F78" w:rsidRPr="00F618D8" w:rsidRDefault="0070792D" w:rsidP="008053EC">
      <w:pPr>
        <w:pStyle w:val="ListParagraph"/>
        <w:rPr>
          <w:rFonts w:ascii="Arial" w:hAnsi="Arial" w:cs="Arial"/>
        </w:rPr>
      </w:pPr>
      <w:r w:rsidRPr="00F618D8">
        <w:rPr>
          <w:rFonts w:ascii="Arial" w:hAnsi="Arial" w:cs="Arial"/>
        </w:rPr>
        <w:t>The Department of Education should issue a “Dear Colleague” letter to all teacher education programs and vocational rehabilitation agencies urging them to cover the full range of decision-making options in their transition programming and instruction of accommodations for people with ID/DD.</w:t>
      </w:r>
    </w:p>
    <w:p w14:paraId="19ED6E08" w14:textId="77777777" w:rsidR="00F2097D" w:rsidRPr="00F618D8" w:rsidRDefault="00F2097D" w:rsidP="008053EC">
      <w:pPr>
        <w:pStyle w:val="ListParagraph"/>
        <w:rPr>
          <w:rFonts w:ascii="Arial" w:hAnsi="Arial" w:cs="Arial"/>
        </w:rPr>
      </w:pPr>
      <w:r w:rsidRPr="00F618D8">
        <w:rPr>
          <w:rFonts w:ascii="Arial" w:hAnsi="Arial" w:cs="Arial"/>
        </w:rPr>
        <w:t xml:space="preserve">The Department of Education should issue </w:t>
      </w:r>
      <w:r w:rsidR="00A91F78" w:rsidRPr="00F618D8">
        <w:rPr>
          <w:rFonts w:ascii="Arial" w:hAnsi="Arial" w:cs="Arial"/>
        </w:rPr>
        <w:t>regulations and/or guidance clarifying the requirements for states that</w:t>
      </w:r>
      <w:r w:rsidR="009F790B" w:rsidRPr="00F618D8">
        <w:rPr>
          <w:rFonts w:ascii="Arial" w:hAnsi="Arial" w:cs="Arial"/>
        </w:rPr>
        <w:t>, pursuant to their own state law,</w:t>
      </w:r>
      <w:r w:rsidRPr="00F618D8">
        <w:rPr>
          <w:rFonts w:ascii="Arial" w:hAnsi="Arial" w:cs="Arial"/>
        </w:rPr>
        <w:t xml:space="preserve"> </w:t>
      </w:r>
      <w:r w:rsidR="00A91F78" w:rsidRPr="00F618D8">
        <w:rPr>
          <w:rFonts w:ascii="Arial" w:hAnsi="Arial" w:cs="Arial"/>
        </w:rPr>
        <w:t xml:space="preserve">create </w:t>
      </w:r>
      <w:r w:rsidR="00E2761F" w:rsidRPr="00F618D8">
        <w:rPr>
          <w:rFonts w:ascii="Arial" w:hAnsi="Arial" w:cs="Arial"/>
        </w:rPr>
        <w:t xml:space="preserve">an </w:t>
      </w:r>
      <w:r w:rsidR="00A91F78" w:rsidRPr="00F618D8">
        <w:rPr>
          <w:rFonts w:ascii="Arial" w:hAnsi="Arial" w:cs="Arial"/>
        </w:rPr>
        <w:t>educational representative appointment option for adult students who cannot provide informed consent for their special education services, pursuant to IDEA (30 U.S.C. § 1415(m)(2)) and its regulations (34 C.F.R. § 300.520(b)). When such appointment is triggered by a parent’s request or an alleged certification of incapacity, states must</w:t>
      </w:r>
      <w:r w:rsidRPr="00F618D8">
        <w:rPr>
          <w:rStyle w:val="s1"/>
          <w:rFonts w:ascii="Arial" w:hAnsi="Arial" w:cs="Arial"/>
          <w:sz w:val="24"/>
          <w:szCs w:val="20"/>
        </w:rPr>
        <w:t xml:space="preserve"> require</w:t>
      </w:r>
      <w:r w:rsidR="00A91F78" w:rsidRPr="00F618D8">
        <w:rPr>
          <w:rStyle w:val="s1"/>
          <w:rFonts w:ascii="Arial" w:hAnsi="Arial" w:cs="Arial"/>
          <w:sz w:val="24"/>
          <w:szCs w:val="20"/>
        </w:rPr>
        <w:t xml:space="preserve"> that: (1)</w:t>
      </w:r>
      <w:r w:rsidRPr="00F618D8">
        <w:rPr>
          <w:rStyle w:val="s1"/>
          <w:rFonts w:ascii="Arial" w:hAnsi="Arial" w:cs="Arial"/>
          <w:sz w:val="24"/>
          <w:szCs w:val="20"/>
        </w:rPr>
        <w:t xml:space="preserve"> less-rest</w:t>
      </w:r>
      <w:r w:rsidR="00A91F78" w:rsidRPr="00F618D8">
        <w:rPr>
          <w:rStyle w:val="s1"/>
          <w:rFonts w:ascii="Arial" w:hAnsi="Arial" w:cs="Arial"/>
          <w:sz w:val="24"/>
          <w:szCs w:val="20"/>
        </w:rPr>
        <w:t xml:space="preserve">rictive </w:t>
      </w:r>
      <w:r w:rsidRPr="00F618D8">
        <w:rPr>
          <w:rStyle w:val="s1"/>
          <w:rFonts w:ascii="Arial" w:hAnsi="Arial" w:cs="Arial"/>
          <w:sz w:val="24"/>
          <w:szCs w:val="20"/>
        </w:rPr>
        <w:t>options, such as educational powers of attorney</w:t>
      </w:r>
      <w:r w:rsidR="00A91F78" w:rsidRPr="00F618D8">
        <w:rPr>
          <w:rStyle w:val="s1"/>
          <w:rFonts w:ascii="Arial" w:hAnsi="Arial" w:cs="Arial"/>
          <w:sz w:val="24"/>
          <w:szCs w:val="20"/>
        </w:rPr>
        <w:t xml:space="preserve"> or other voluntary delegation by the student are exhausted first; </w:t>
      </w:r>
      <w:r w:rsidRPr="00F618D8">
        <w:rPr>
          <w:rStyle w:val="s1"/>
          <w:rFonts w:ascii="Arial" w:hAnsi="Arial" w:cs="Arial"/>
          <w:sz w:val="24"/>
          <w:szCs w:val="20"/>
        </w:rPr>
        <w:t xml:space="preserve">and (b) </w:t>
      </w:r>
      <w:r w:rsidR="00A91F78" w:rsidRPr="00F618D8">
        <w:rPr>
          <w:rStyle w:val="s1"/>
          <w:rFonts w:ascii="Arial" w:hAnsi="Arial" w:cs="Arial"/>
          <w:sz w:val="24"/>
          <w:szCs w:val="20"/>
        </w:rPr>
        <w:t xml:space="preserve">such appointments are easily challengeable by the students involved through, for example, </w:t>
      </w:r>
      <w:r w:rsidRPr="00F618D8">
        <w:rPr>
          <w:rStyle w:val="s1"/>
          <w:rFonts w:ascii="Arial" w:hAnsi="Arial" w:cs="Arial"/>
          <w:sz w:val="24"/>
          <w:szCs w:val="20"/>
        </w:rPr>
        <w:lastRenderedPageBreak/>
        <w:t xml:space="preserve">a mere objection </w:t>
      </w:r>
      <w:r w:rsidR="00A91F78" w:rsidRPr="00F618D8">
        <w:rPr>
          <w:rStyle w:val="s1"/>
          <w:rFonts w:ascii="Arial" w:hAnsi="Arial" w:cs="Arial"/>
          <w:sz w:val="24"/>
          <w:szCs w:val="20"/>
        </w:rPr>
        <w:t>ra</w:t>
      </w:r>
      <w:r w:rsidRPr="00F618D8">
        <w:rPr>
          <w:rStyle w:val="s1"/>
          <w:rFonts w:ascii="Arial" w:hAnsi="Arial" w:cs="Arial"/>
          <w:sz w:val="24"/>
          <w:szCs w:val="20"/>
        </w:rPr>
        <w:t>ther than by a due process hearing before an administrative law judge.</w:t>
      </w:r>
      <w:r w:rsidRPr="00F618D8">
        <w:rPr>
          <w:rStyle w:val="apple-converted-space"/>
          <w:rFonts w:ascii="Arial" w:hAnsi="Arial" w:cs="Arial"/>
        </w:rPr>
        <w:t> </w:t>
      </w:r>
    </w:p>
    <w:p w14:paraId="44A2F782" w14:textId="77777777" w:rsidR="003821AB" w:rsidRPr="00F618D8" w:rsidRDefault="003821AB" w:rsidP="008053EC">
      <w:pPr>
        <w:pStyle w:val="ParaNoIndent"/>
        <w:rPr>
          <w:rFonts w:ascii="Arial" w:hAnsi="Arial"/>
        </w:rPr>
      </w:pPr>
      <w:r w:rsidRPr="00F618D8">
        <w:rPr>
          <w:rFonts w:ascii="Arial" w:hAnsi="Arial"/>
          <w:b/>
        </w:rPr>
        <w:t>Finding 3</w:t>
      </w:r>
      <w:r w:rsidRPr="00F618D8">
        <w:rPr>
          <w:rFonts w:ascii="Arial" w:hAnsi="Arial"/>
        </w:rPr>
        <w:t>: A minority</w:t>
      </w:r>
      <w:r w:rsidR="00717AD0" w:rsidRPr="00F618D8">
        <w:rPr>
          <w:rFonts w:ascii="Arial" w:hAnsi="Arial"/>
        </w:rPr>
        <w:t xml:space="preserve"> of</w:t>
      </w:r>
      <w:r w:rsidRPr="00F618D8">
        <w:rPr>
          <w:rFonts w:ascii="Arial" w:hAnsi="Arial"/>
        </w:rPr>
        <w:t xml:space="preserve"> states have guardianship provisions that are applicable solely to people with ID/DD, as opposed to other alleged disabilities</w:t>
      </w:r>
      <w:r w:rsidR="00AA1F92" w:rsidRPr="00F618D8">
        <w:rPr>
          <w:rFonts w:ascii="Arial" w:hAnsi="Arial"/>
        </w:rPr>
        <w:t xml:space="preserve">. </w:t>
      </w:r>
      <w:r w:rsidRPr="00F618D8">
        <w:rPr>
          <w:rFonts w:ascii="Arial" w:hAnsi="Arial"/>
        </w:rPr>
        <w:t>While some of these statutes incorporate additional procedural safeguards, there is not demonstrable proof that they are advancing the due process and substantive rights of people with ID/DD in practice and, in treating people with ID/DD uniquely, may be promoting unfavorable stereotypes about the inherent capacity or incapacity of this population</w:t>
      </w:r>
      <w:r w:rsidR="00AA1F92" w:rsidRPr="00F618D8">
        <w:rPr>
          <w:rFonts w:ascii="Arial" w:hAnsi="Arial"/>
        </w:rPr>
        <w:t xml:space="preserve">. </w:t>
      </w:r>
      <w:r w:rsidR="0070792D" w:rsidRPr="00F618D8">
        <w:rPr>
          <w:rFonts w:ascii="Arial" w:hAnsi="Arial"/>
        </w:rPr>
        <w:t xml:space="preserve">In addition, </w:t>
      </w:r>
      <w:r w:rsidR="00961A90" w:rsidRPr="00F618D8">
        <w:rPr>
          <w:rFonts w:ascii="Arial" w:hAnsi="Arial"/>
        </w:rPr>
        <w:t xml:space="preserve">these statutes </w:t>
      </w:r>
      <w:r w:rsidR="0070792D" w:rsidRPr="00F618D8">
        <w:rPr>
          <w:rFonts w:ascii="Arial" w:hAnsi="Arial"/>
        </w:rPr>
        <w:t>could represent an ADA violation</w:t>
      </w:r>
      <w:r w:rsidR="00F00990" w:rsidRPr="00F618D8">
        <w:rPr>
          <w:rFonts w:ascii="Arial" w:hAnsi="Arial"/>
        </w:rPr>
        <w:t xml:space="preserve"> for discriminating against</w:t>
      </w:r>
      <w:r w:rsidR="0070792D" w:rsidRPr="00F618D8">
        <w:rPr>
          <w:rFonts w:ascii="Arial" w:hAnsi="Arial"/>
        </w:rPr>
        <w:t xml:space="preserve"> people with different disabilities</w:t>
      </w:r>
      <w:r w:rsidR="00AA1F92" w:rsidRPr="00F618D8">
        <w:rPr>
          <w:rFonts w:ascii="Arial" w:hAnsi="Arial"/>
        </w:rPr>
        <w:t xml:space="preserve">. </w:t>
      </w:r>
      <w:r w:rsidR="00A71BDF" w:rsidRPr="00F618D8">
        <w:rPr>
          <w:rFonts w:ascii="Arial" w:hAnsi="Arial"/>
        </w:rPr>
        <w:t>Recommendations include:</w:t>
      </w:r>
    </w:p>
    <w:p w14:paraId="3AFDFE75" w14:textId="77777777" w:rsidR="003821AB" w:rsidRPr="00F618D8" w:rsidRDefault="003821AB" w:rsidP="008053EC">
      <w:pPr>
        <w:pStyle w:val="ListParagraph"/>
        <w:rPr>
          <w:rFonts w:ascii="Arial" w:hAnsi="Arial" w:cs="Arial"/>
        </w:rPr>
      </w:pPr>
      <w:r w:rsidRPr="00F618D8">
        <w:rPr>
          <w:rFonts w:ascii="Arial" w:hAnsi="Arial" w:cs="Arial"/>
        </w:rPr>
        <w:t xml:space="preserve">The </w:t>
      </w:r>
      <w:r w:rsidR="00AA61DA" w:rsidRPr="00F618D8">
        <w:rPr>
          <w:rFonts w:ascii="Arial" w:hAnsi="Arial" w:cs="Arial"/>
        </w:rPr>
        <w:t xml:space="preserve">U.S. Department of Justice </w:t>
      </w:r>
      <w:r w:rsidRPr="00F618D8">
        <w:rPr>
          <w:rFonts w:ascii="Arial" w:hAnsi="Arial" w:cs="Arial"/>
        </w:rPr>
        <w:t xml:space="preserve">should take the position that </w:t>
      </w:r>
      <w:r w:rsidR="00C256B2" w:rsidRPr="00F618D8">
        <w:rPr>
          <w:rFonts w:ascii="Arial" w:hAnsi="Arial" w:cs="Arial"/>
        </w:rPr>
        <w:t xml:space="preserve">the </w:t>
      </w:r>
      <w:r w:rsidRPr="00F618D8">
        <w:rPr>
          <w:rFonts w:ascii="Arial" w:hAnsi="Arial" w:cs="Arial"/>
        </w:rPr>
        <w:t xml:space="preserve">degree of due process in a guardianship matter </w:t>
      </w:r>
      <w:r w:rsidR="005924B9" w:rsidRPr="00F618D8">
        <w:rPr>
          <w:rFonts w:ascii="Arial" w:hAnsi="Arial" w:cs="Arial"/>
        </w:rPr>
        <w:t xml:space="preserve">under state law or practice </w:t>
      </w:r>
      <w:r w:rsidRPr="00F618D8">
        <w:rPr>
          <w:rFonts w:ascii="Arial" w:hAnsi="Arial" w:cs="Arial"/>
        </w:rPr>
        <w:t>should not be different for people with ID/DD</w:t>
      </w:r>
      <w:r w:rsidR="005924B9" w:rsidRPr="00F618D8">
        <w:rPr>
          <w:rFonts w:ascii="Arial" w:hAnsi="Arial" w:cs="Arial"/>
        </w:rPr>
        <w:t xml:space="preserve"> </w:t>
      </w:r>
      <w:r w:rsidRPr="00F618D8">
        <w:rPr>
          <w:rFonts w:ascii="Arial" w:hAnsi="Arial" w:cs="Arial"/>
        </w:rPr>
        <w:t xml:space="preserve">simply because of their diagnosis, and states </w:t>
      </w:r>
      <w:r w:rsidR="00C256B2" w:rsidRPr="00F618D8">
        <w:rPr>
          <w:rFonts w:ascii="Arial" w:hAnsi="Arial" w:cs="Arial"/>
        </w:rPr>
        <w:t>that</w:t>
      </w:r>
      <w:r w:rsidRPr="00F618D8">
        <w:rPr>
          <w:rFonts w:ascii="Arial" w:hAnsi="Arial" w:cs="Arial"/>
        </w:rPr>
        <w:t xml:space="preserve"> have such statutes or practices are engaging in discrimination under the ADA</w:t>
      </w:r>
      <w:r w:rsidR="00AA1F92" w:rsidRPr="00F618D8">
        <w:rPr>
          <w:rFonts w:ascii="Arial" w:hAnsi="Arial" w:cs="Arial"/>
        </w:rPr>
        <w:t xml:space="preserve">. </w:t>
      </w:r>
    </w:p>
    <w:p w14:paraId="3D17AC3D" w14:textId="77777777" w:rsidR="003821AB" w:rsidRPr="00F618D8" w:rsidRDefault="003821AB" w:rsidP="008053EC">
      <w:pPr>
        <w:pStyle w:val="ListParagraph"/>
        <w:rPr>
          <w:rFonts w:ascii="Arial" w:hAnsi="Arial" w:cs="Arial"/>
        </w:rPr>
      </w:pPr>
      <w:r w:rsidRPr="00F618D8">
        <w:rPr>
          <w:rFonts w:ascii="Arial" w:hAnsi="Arial" w:cs="Arial"/>
        </w:rPr>
        <w:t xml:space="preserve">The state adult guardianship court improvement program that </w:t>
      </w:r>
      <w:r w:rsidR="00BC7C0A" w:rsidRPr="00F618D8">
        <w:rPr>
          <w:rFonts w:ascii="Arial" w:hAnsi="Arial" w:cs="Arial"/>
        </w:rPr>
        <w:t>NCD recommends be created and funded in</w:t>
      </w:r>
      <w:r w:rsidRPr="00F618D8">
        <w:rPr>
          <w:rFonts w:ascii="Arial" w:hAnsi="Arial" w:cs="Arial"/>
        </w:rPr>
        <w:t xml:space="preserve"> the 2018 NCD report should require that guardianship be </w:t>
      </w:r>
      <w:r w:rsidR="002204AC" w:rsidRPr="00F618D8">
        <w:rPr>
          <w:rFonts w:ascii="Arial" w:hAnsi="Arial" w:cs="Arial"/>
        </w:rPr>
        <w:t>used</w:t>
      </w:r>
      <w:r w:rsidRPr="00F618D8">
        <w:rPr>
          <w:rFonts w:ascii="Arial" w:hAnsi="Arial" w:cs="Arial"/>
        </w:rPr>
        <w:t xml:space="preserve"> as a matter of last resort and that the person’s functional abilities be assessed on an individualized basis rather than on the basis of the person having a</w:t>
      </w:r>
      <w:r w:rsidR="002204AC" w:rsidRPr="00F618D8">
        <w:rPr>
          <w:rFonts w:ascii="Arial" w:hAnsi="Arial" w:cs="Arial"/>
        </w:rPr>
        <w:t>n</w:t>
      </w:r>
      <w:r w:rsidRPr="00F618D8">
        <w:rPr>
          <w:rFonts w:ascii="Arial" w:hAnsi="Arial" w:cs="Arial"/>
        </w:rPr>
        <w:t xml:space="preserve"> ID/DD, consistent with the </w:t>
      </w:r>
      <w:r w:rsidR="002204AC" w:rsidRPr="00F618D8">
        <w:rPr>
          <w:rFonts w:ascii="Arial" w:hAnsi="Arial" w:cs="Arial"/>
        </w:rPr>
        <w:t>Uniform Guardianship, Conservatorship &amp; Other Protective Arrangements Act.</w:t>
      </w:r>
      <w:r w:rsidR="00AA1F92" w:rsidRPr="00F618D8">
        <w:rPr>
          <w:rFonts w:ascii="Arial" w:hAnsi="Arial" w:cs="Arial"/>
        </w:rPr>
        <w:t xml:space="preserve"> </w:t>
      </w:r>
    </w:p>
    <w:p w14:paraId="503782EA" w14:textId="77777777" w:rsidR="00A71BDF" w:rsidRPr="00F618D8" w:rsidRDefault="00961A90" w:rsidP="008053EC">
      <w:pPr>
        <w:pStyle w:val="ParaNoIndent"/>
        <w:rPr>
          <w:rFonts w:ascii="Arial" w:hAnsi="Arial"/>
        </w:rPr>
      </w:pPr>
      <w:r w:rsidRPr="00F618D8">
        <w:rPr>
          <w:rFonts w:ascii="Arial" w:hAnsi="Arial"/>
          <w:b/>
        </w:rPr>
        <w:t>Finding 4</w:t>
      </w:r>
      <w:r w:rsidR="00A71BDF" w:rsidRPr="00F618D8">
        <w:rPr>
          <w:rFonts w:ascii="Arial" w:hAnsi="Arial"/>
          <w:b/>
        </w:rPr>
        <w:t>:</w:t>
      </w:r>
      <w:r w:rsidR="00A71BDF" w:rsidRPr="00F618D8">
        <w:rPr>
          <w:rFonts w:ascii="Arial" w:hAnsi="Arial"/>
        </w:rPr>
        <w:t xml:space="preserve"> While more states should advance alternatives to guardianship</w:t>
      </w:r>
      <w:r w:rsidRPr="00F618D8">
        <w:rPr>
          <w:rFonts w:ascii="Arial" w:hAnsi="Arial"/>
        </w:rPr>
        <w:t xml:space="preserve"> </w:t>
      </w:r>
      <w:r w:rsidR="00A71BDF" w:rsidRPr="00F618D8">
        <w:rPr>
          <w:rFonts w:ascii="Arial" w:hAnsi="Arial"/>
        </w:rPr>
        <w:t>in their state laws, regulations, and policies, more is required to ensure that these changes are fully implemented on the groun</w:t>
      </w:r>
      <w:r w:rsidRPr="00F618D8">
        <w:rPr>
          <w:rFonts w:ascii="Arial" w:hAnsi="Arial"/>
        </w:rPr>
        <w:t>d, creating a cultural shift at the judicial</w:t>
      </w:r>
      <w:r w:rsidR="007C08AD" w:rsidRPr="00F618D8">
        <w:rPr>
          <w:rFonts w:ascii="Arial" w:hAnsi="Arial"/>
        </w:rPr>
        <w:t>, governmental agency, and business levels</w:t>
      </w:r>
      <w:r w:rsidR="00A71BDF" w:rsidRPr="00F618D8">
        <w:rPr>
          <w:rFonts w:ascii="Arial" w:hAnsi="Arial"/>
        </w:rPr>
        <w:t xml:space="preserve"> that significantly </w:t>
      </w:r>
      <w:r w:rsidRPr="00F618D8">
        <w:rPr>
          <w:rFonts w:ascii="Arial" w:hAnsi="Arial"/>
        </w:rPr>
        <w:t xml:space="preserve">recognizes and </w:t>
      </w:r>
      <w:r w:rsidR="00A71BDF" w:rsidRPr="00F618D8">
        <w:rPr>
          <w:rFonts w:ascii="Arial" w:hAnsi="Arial"/>
        </w:rPr>
        <w:t>advances the decision-making rights of people with ID/DD</w:t>
      </w:r>
      <w:r w:rsidR="00AA1F92" w:rsidRPr="00F618D8">
        <w:rPr>
          <w:rFonts w:ascii="Arial" w:hAnsi="Arial"/>
        </w:rPr>
        <w:t xml:space="preserve">. </w:t>
      </w:r>
      <w:r w:rsidR="00A71BDF" w:rsidRPr="00F618D8">
        <w:rPr>
          <w:rFonts w:ascii="Arial" w:hAnsi="Arial"/>
        </w:rPr>
        <w:t>Recommendations include:</w:t>
      </w:r>
    </w:p>
    <w:p w14:paraId="7CA63447" w14:textId="77777777" w:rsidR="00A71BDF" w:rsidRPr="00F618D8" w:rsidRDefault="00961A90" w:rsidP="008053EC">
      <w:pPr>
        <w:pStyle w:val="ListParagraph"/>
        <w:rPr>
          <w:rFonts w:ascii="Arial" w:hAnsi="Arial" w:cs="Arial"/>
        </w:rPr>
      </w:pPr>
      <w:r w:rsidRPr="00F618D8">
        <w:rPr>
          <w:rFonts w:ascii="Arial" w:hAnsi="Arial" w:cs="Arial"/>
        </w:rPr>
        <w:t>D</w:t>
      </w:r>
      <w:r w:rsidR="002517FB" w:rsidRPr="00F618D8">
        <w:rPr>
          <w:rFonts w:ascii="Arial" w:hAnsi="Arial" w:cs="Arial"/>
        </w:rPr>
        <w:t xml:space="preserve">OJ </w:t>
      </w:r>
      <w:r w:rsidRPr="00F618D8">
        <w:rPr>
          <w:rFonts w:ascii="Arial" w:hAnsi="Arial" w:cs="Arial"/>
        </w:rPr>
        <w:t>should issue guidance to states on their legal obligations pursuant to the ADA in the context of ensuring</w:t>
      </w:r>
      <w:r w:rsidR="002517FB" w:rsidRPr="00F618D8">
        <w:rPr>
          <w:rFonts w:ascii="Arial" w:hAnsi="Arial" w:cs="Arial"/>
        </w:rPr>
        <w:t xml:space="preserve"> that</w:t>
      </w:r>
      <w:r w:rsidRPr="00F618D8">
        <w:rPr>
          <w:rFonts w:ascii="Arial" w:hAnsi="Arial" w:cs="Arial"/>
        </w:rPr>
        <w:t xml:space="preserve"> guardianship should be a last resort that is imposed only after less</w:t>
      </w:r>
      <w:r w:rsidR="002517FB" w:rsidRPr="00F618D8">
        <w:rPr>
          <w:rFonts w:ascii="Arial" w:hAnsi="Arial" w:cs="Arial"/>
        </w:rPr>
        <w:t>-</w:t>
      </w:r>
      <w:r w:rsidRPr="00F618D8">
        <w:rPr>
          <w:rFonts w:ascii="Arial" w:hAnsi="Arial" w:cs="Arial"/>
        </w:rPr>
        <w:t>restrictive alternatives have been determined to be inappropriate or ineffective</w:t>
      </w:r>
      <w:r w:rsidR="00AA1F92" w:rsidRPr="00F618D8">
        <w:rPr>
          <w:rFonts w:ascii="Arial" w:hAnsi="Arial" w:cs="Arial"/>
        </w:rPr>
        <w:t xml:space="preserve">. </w:t>
      </w:r>
      <w:r w:rsidRPr="00F618D8">
        <w:rPr>
          <w:rFonts w:ascii="Arial" w:hAnsi="Arial" w:cs="Arial"/>
        </w:rPr>
        <w:t xml:space="preserve">This guidance should include requirements that </w:t>
      </w:r>
      <w:r w:rsidR="007C103B" w:rsidRPr="00F618D8">
        <w:rPr>
          <w:rFonts w:ascii="Arial" w:hAnsi="Arial" w:cs="Arial"/>
        </w:rPr>
        <w:t>s</w:t>
      </w:r>
      <w:r w:rsidRPr="00F618D8">
        <w:rPr>
          <w:rFonts w:ascii="Arial" w:hAnsi="Arial" w:cs="Arial"/>
        </w:rPr>
        <w:t xml:space="preserve">tates consider </w:t>
      </w:r>
      <w:r w:rsidR="00A71BDF" w:rsidRPr="00F618D8">
        <w:rPr>
          <w:rFonts w:ascii="Arial" w:eastAsia="Times New Roman" w:hAnsi="Arial" w:cs="Arial"/>
        </w:rPr>
        <w:t>i</w:t>
      </w:r>
      <w:r w:rsidRPr="00F618D8">
        <w:rPr>
          <w:rFonts w:ascii="Arial" w:eastAsia="Times New Roman" w:hAnsi="Arial" w:cs="Arial"/>
        </w:rPr>
        <w:t>ncluding benchmarks related to S</w:t>
      </w:r>
      <w:r w:rsidR="002517FB" w:rsidRPr="00F618D8">
        <w:rPr>
          <w:rFonts w:ascii="Arial" w:eastAsia="Times New Roman" w:hAnsi="Arial" w:cs="Arial"/>
        </w:rPr>
        <w:t>DM</w:t>
      </w:r>
      <w:r w:rsidR="00A71BDF" w:rsidRPr="00F618D8">
        <w:rPr>
          <w:rFonts w:ascii="Arial" w:eastAsia="Times New Roman" w:hAnsi="Arial" w:cs="Arial"/>
        </w:rPr>
        <w:t xml:space="preserve"> in their </w:t>
      </w:r>
      <w:r w:rsidR="00A71BDF" w:rsidRPr="00F618D8">
        <w:rPr>
          <w:rFonts w:ascii="Arial" w:eastAsia="Times New Roman" w:hAnsi="Arial" w:cs="Arial"/>
          <w:i/>
          <w:iCs/>
        </w:rPr>
        <w:t>Olmstead</w:t>
      </w:r>
      <w:r w:rsidRPr="00F618D8">
        <w:rPr>
          <w:rFonts w:ascii="Arial" w:eastAsia="Times New Roman" w:hAnsi="Arial" w:cs="Arial"/>
        </w:rPr>
        <w:t xml:space="preserve"> P</w:t>
      </w:r>
      <w:r w:rsidR="00A71BDF" w:rsidRPr="00F618D8">
        <w:rPr>
          <w:rFonts w:ascii="Arial" w:eastAsia="Times New Roman" w:hAnsi="Arial" w:cs="Arial"/>
        </w:rPr>
        <w:t>lans.</w:t>
      </w:r>
    </w:p>
    <w:p w14:paraId="0F308FDE" w14:textId="77777777" w:rsidR="00961A90" w:rsidRPr="00F618D8" w:rsidRDefault="00961A90" w:rsidP="008053EC">
      <w:pPr>
        <w:pStyle w:val="ListParagraph"/>
        <w:rPr>
          <w:rStyle w:val="s1"/>
          <w:rFonts w:ascii="Arial" w:hAnsi="Arial" w:cs="Arial"/>
          <w:sz w:val="24"/>
          <w:szCs w:val="24"/>
        </w:rPr>
      </w:pPr>
      <w:r w:rsidRPr="00F618D8">
        <w:rPr>
          <w:rFonts w:ascii="Arial" w:hAnsi="Arial" w:cs="Arial"/>
          <w:szCs w:val="24"/>
        </w:rPr>
        <w:lastRenderedPageBreak/>
        <w:t xml:space="preserve">The state adult guardianship court improvement program </w:t>
      </w:r>
      <w:r w:rsidR="00AA1F92" w:rsidRPr="00F618D8">
        <w:rPr>
          <w:rFonts w:ascii="Arial" w:hAnsi="Arial" w:cs="Arial"/>
          <w:szCs w:val="24"/>
        </w:rPr>
        <w:t>referenced above</w:t>
      </w:r>
      <w:r w:rsidRPr="00F618D8">
        <w:rPr>
          <w:rFonts w:ascii="Arial" w:hAnsi="Arial" w:cs="Arial"/>
          <w:szCs w:val="24"/>
        </w:rPr>
        <w:t xml:space="preserve"> should require states to</w:t>
      </w:r>
      <w:r w:rsidR="007C103B" w:rsidRPr="00F618D8">
        <w:rPr>
          <w:rFonts w:ascii="Arial" w:hAnsi="Arial" w:cs="Arial"/>
          <w:szCs w:val="24"/>
        </w:rPr>
        <w:t>:</w:t>
      </w:r>
      <w:r w:rsidRPr="00F618D8">
        <w:rPr>
          <w:rStyle w:val="s1"/>
          <w:rFonts w:ascii="Arial" w:hAnsi="Arial" w:cs="Arial"/>
          <w:sz w:val="24"/>
          <w:szCs w:val="24"/>
        </w:rPr>
        <w:t xml:space="preserve"> </w:t>
      </w:r>
    </w:p>
    <w:p w14:paraId="550BE5BA" w14:textId="77777777" w:rsidR="00961A90" w:rsidRPr="00F618D8" w:rsidRDefault="00961A90" w:rsidP="001B3DDE">
      <w:pPr>
        <w:pStyle w:val="ListParaLevel2"/>
        <w:rPr>
          <w:rStyle w:val="apple-converted-space"/>
          <w:rFonts w:ascii="Arial" w:hAnsi="Arial" w:cs="Arial"/>
        </w:rPr>
      </w:pPr>
      <w:r w:rsidRPr="00F618D8">
        <w:rPr>
          <w:rStyle w:val="s1"/>
          <w:rFonts w:ascii="Arial" w:hAnsi="Arial" w:cs="Arial"/>
          <w:sz w:val="24"/>
          <w:szCs w:val="20"/>
        </w:rPr>
        <w:t>Not fund probate court resource centers that only provide pro</w:t>
      </w:r>
      <w:r w:rsidR="00F41707" w:rsidRPr="00F618D8">
        <w:rPr>
          <w:rStyle w:val="s1"/>
          <w:rFonts w:ascii="Arial" w:hAnsi="Arial" w:cs="Arial"/>
          <w:sz w:val="24"/>
          <w:szCs w:val="20"/>
        </w:rPr>
        <w:t xml:space="preserve"> </w:t>
      </w:r>
      <w:r w:rsidRPr="00F618D8">
        <w:rPr>
          <w:rStyle w:val="s1"/>
          <w:rFonts w:ascii="Arial" w:hAnsi="Arial" w:cs="Arial"/>
          <w:sz w:val="24"/>
          <w:szCs w:val="20"/>
        </w:rPr>
        <w:t>se assistance to people seeking guardianship</w:t>
      </w:r>
      <w:r w:rsidR="00AA1F92" w:rsidRPr="00F618D8">
        <w:rPr>
          <w:rStyle w:val="s1"/>
          <w:rFonts w:ascii="Arial" w:hAnsi="Arial" w:cs="Arial"/>
          <w:sz w:val="24"/>
          <w:szCs w:val="20"/>
        </w:rPr>
        <w:t xml:space="preserve">. </w:t>
      </w:r>
      <w:r w:rsidRPr="00F618D8">
        <w:rPr>
          <w:rStyle w:val="s1"/>
          <w:rFonts w:ascii="Arial" w:hAnsi="Arial" w:cs="Arial"/>
          <w:sz w:val="24"/>
          <w:szCs w:val="20"/>
        </w:rPr>
        <w:t xml:space="preserve">Those resource centers should also provide people with information about less-restrictive alternatives under state law, such as </w:t>
      </w:r>
      <w:r w:rsidR="00F41707" w:rsidRPr="00F618D8">
        <w:rPr>
          <w:rStyle w:val="s1"/>
          <w:rFonts w:ascii="Arial" w:hAnsi="Arial" w:cs="Arial"/>
          <w:sz w:val="24"/>
          <w:szCs w:val="20"/>
        </w:rPr>
        <w:t>SDM</w:t>
      </w:r>
      <w:r w:rsidRPr="00F618D8">
        <w:rPr>
          <w:rStyle w:val="s1"/>
          <w:rFonts w:ascii="Arial" w:hAnsi="Arial" w:cs="Arial"/>
          <w:sz w:val="24"/>
          <w:szCs w:val="20"/>
        </w:rPr>
        <w:t xml:space="preserve">, </w:t>
      </w:r>
      <w:r w:rsidR="007C103B" w:rsidRPr="00F618D8">
        <w:rPr>
          <w:rStyle w:val="s1"/>
          <w:rFonts w:ascii="Arial" w:hAnsi="Arial" w:cs="Arial"/>
          <w:sz w:val="24"/>
          <w:szCs w:val="20"/>
        </w:rPr>
        <w:t>p</w:t>
      </w:r>
      <w:r w:rsidRPr="00F618D8">
        <w:rPr>
          <w:rStyle w:val="s1"/>
          <w:rFonts w:ascii="Arial" w:hAnsi="Arial" w:cs="Arial"/>
          <w:sz w:val="24"/>
          <w:szCs w:val="20"/>
        </w:rPr>
        <w:t xml:space="preserve">owers of </w:t>
      </w:r>
      <w:r w:rsidR="007C103B" w:rsidRPr="00F618D8">
        <w:rPr>
          <w:rStyle w:val="s1"/>
          <w:rFonts w:ascii="Arial" w:hAnsi="Arial" w:cs="Arial"/>
          <w:sz w:val="24"/>
          <w:szCs w:val="20"/>
        </w:rPr>
        <w:t>a</w:t>
      </w:r>
      <w:r w:rsidRPr="00F618D8">
        <w:rPr>
          <w:rStyle w:val="s1"/>
          <w:rFonts w:ascii="Arial" w:hAnsi="Arial" w:cs="Arial"/>
          <w:sz w:val="24"/>
          <w:szCs w:val="20"/>
        </w:rPr>
        <w:t xml:space="preserve">ttorney, </w:t>
      </w:r>
      <w:r w:rsidR="005871EE" w:rsidRPr="00F618D8">
        <w:rPr>
          <w:rStyle w:val="s1"/>
          <w:rFonts w:ascii="Arial" w:hAnsi="Arial" w:cs="Arial"/>
          <w:sz w:val="24"/>
          <w:szCs w:val="20"/>
        </w:rPr>
        <w:t>r</w:t>
      </w:r>
      <w:r w:rsidRPr="00F618D8">
        <w:rPr>
          <w:rStyle w:val="s1"/>
          <w:rFonts w:ascii="Arial" w:hAnsi="Arial" w:cs="Arial"/>
          <w:sz w:val="24"/>
          <w:szCs w:val="20"/>
        </w:rPr>
        <w:t xml:space="preserve">epresentative </w:t>
      </w:r>
      <w:r w:rsidR="005871EE" w:rsidRPr="00F618D8">
        <w:rPr>
          <w:rStyle w:val="s1"/>
          <w:rFonts w:ascii="Arial" w:hAnsi="Arial" w:cs="Arial"/>
          <w:sz w:val="24"/>
          <w:szCs w:val="20"/>
        </w:rPr>
        <w:t>p</w:t>
      </w:r>
      <w:r w:rsidRPr="00F618D8">
        <w:rPr>
          <w:rStyle w:val="s1"/>
          <w:rFonts w:ascii="Arial" w:hAnsi="Arial" w:cs="Arial"/>
          <w:sz w:val="24"/>
          <w:szCs w:val="20"/>
        </w:rPr>
        <w:t xml:space="preserve">ayees, and </w:t>
      </w:r>
      <w:r w:rsidR="00BC7C0A" w:rsidRPr="00F618D8">
        <w:rPr>
          <w:rStyle w:val="s1"/>
          <w:rFonts w:ascii="Arial" w:hAnsi="Arial" w:cs="Arial"/>
          <w:sz w:val="24"/>
          <w:szCs w:val="20"/>
        </w:rPr>
        <w:t xml:space="preserve">substitute </w:t>
      </w:r>
      <w:r w:rsidRPr="00F618D8">
        <w:rPr>
          <w:rStyle w:val="s1"/>
          <w:rFonts w:ascii="Arial" w:hAnsi="Arial" w:cs="Arial"/>
          <w:sz w:val="24"/>
          <w:szCs w:val="20"/>
        </w:rPr>
        <w:t xml:space="preserve">or </w:t>
      </w:r>
      <w:r w:rsidR="00BC7C0A" w:rsidRPr="00F618D8">
        <w:rPr>
          <w:rStyle w:val="s1"/>
          <w:rFonts w:ascii="Arial" w:hAnsi="Arial" w:cs="Arial"/>
          <w:sz w:val="24"/>
          <w:szCs w:val="20"/>
        </w:rPr>
        <w:t>surrogate health care decision</w:t>
      </w:r>
      <w:r w:rsidRPr="00F618D8">
        <w:rPr>
          <w:rStyle w:val="s1"/>
          <w:rFonts w:ascii="Arial" w:hAnsi="Arial" w:cs="Arial"/>
          <w:sz w:val="24"/>
          <w:szCs w:val="20"/>
        </w:rPr>
        <w:t>-</w:t>
      </w:r>
      <w:r w:rsidR="00BC7C0A" w:rsidRPr="00F618D8">
        <w:rPr>
          <w:rStyle w:val="s1"/>
          <w:rFonts w:ascii="Arial" w:hAnsi="Arial" w:cs="Arial"/>
          <w:sz w:val="24"/>
          <w:szCs w:val="20"/>
        </w:rPr>
        <w:t>makers</w:t>
      </w:r>
      <w:r w:rsidR="00AA1F92" w:rsidRPr="00F618D8">
        <w:rPr>
          <w:rStyle w:val="s1"/>
          <w:rFonts w:ascii="Arial" w:hAnsi="Arial" w:cs="Arial"/>
          <w:sz w:val="24"/>
          <w:szCs w:val="20"/>
        </w:rPr>
        <w:t xml:space="preserve">. </w:t>
      </w:r>
    </w:p>
    <w:p w14:paraId="4479059C" w14:textId="77777777" w:rsidR="00961A90" w:rsidRPr="00F618D8" w:rsidRDefault="00961A90" w:rsidP="001B3DDE">
      <w:pPr>
        <w:pStyle w:val="ListParaLevel2"/>
        <w:rPr>
          <w:rStyle w:val="s1"/>
          <w:rFonts w:ascii="Arial" w:hAnsi="Arial" w:cs="Arial"/>
          <w:sz w:val="24"/>
          <w:szCs w:val="20"/>
        </w:rPr>
      </w:pPr>
      <w:r w:rsidRPr="00F618D8">
        <w:rPr>
          <w:rStyle w:val="apple-converted-space"/>
          <w:rFonts w:ascii="Arial" w:hAnsi="Arial" w:cs="Arial"/>
        </w:rPr>
        <w:t xml:space="preserve">Ensure that </w:t>
      </w:r>
      <w:r w:rsidRPr="00F618D8">
        <w:rPr>
          <w:rStyle w:val="s1"/>
          <w:rFonts w:ascii="Arial" w:hAnsi="Arial" w:cs="Arial"/>
          <w:sz w:val="24"/>
          <w:szCs w:val="20"/>
        </w:rPr>
        <w:t>there is an unconditional right to counsel for people in initial and post-appointment guardianship proceedings and that counsel is expressly required to zealously advocate for their clients' expressed wishes.</w:t>
      </w:r>
    </w:p>
    <w:p w14:paraId="71D900DE" w14:textId="77777777" w:rsidR="00961A90" w:rsidRPr="00F618D8" w:rsidRDefault="00961A90" w:rsidP="001B3DDE">
      <w:pPr>
        <w:pStyle w:val="ListParaLevel2"/>
        <w:rPr>
          <w:rStyle w:val="s1"/>
          <w:rFonts w:ascii="Arial" w:hAnsi="Arial" w:cs="Arial"/>
          <w:sz w:val="24"/>
          <w:szCs w:val="20"/>
        </w:rPr>
      </w:pPr>
      <w:r w:rsidRPr="00F618D8">
        <w:rPr>
          <w:rStyle w:val="s1"/>
          <w:rFonts w:ascii="Arial" w:hAnsi="Arial" w:cs="Arial"/>
          <w:sz w:val="24"/>
          <w:szCs w:val="20"/>
        </w:rPr>
        <w:t>Provide judicial and attorney trainings on the availability of less-restrictive options for decision-making support under state law</w:t>
      </w:r>
      <w:r w:rsidR="00AA1F92" w:rsidRPr="00F618D8">
        <w:rPr>
          <w:rStyle w:val="s1"/>
          <w:rFonts w:ascii="Arial" w:hAnsi="Arial" w:cs="Arial"/>
          <w:sz w:val="24"/>
          <w:szCs w:val="20"/>
        </w:rPr>
        <w:t xml:space="preserve">. </w:t>
      </w:r>
    </w:p>
    <w:p w14:paraId="2D0344A1" w14:textId="77777777" w:rsidR="00961A90" w:rsidRPr="00F618D8" w:rsidRDefault="00961A90" w:rsidP="008053EC">
      <w:pPr>
        <w:pStyle w:val="ListParagraph"/>
        <w:rPr>
          <w:rFonts w:ascii="Arial" w:hAnsi="Arial" w:cs="Arial"/>
        </w:rPr>
      </w:pPr>
      <w:r w:rsidRPr="00F618D8">
        <w:rPr>
          <w:rStyle w:val="s1"/>
          <w:rFonts w:ascii="Arial" w:hAnsi="Arial" w:cs="Arial"/>
          <w:sz w:val="24"/>
          <w:szCs w:val="24"/>
        </w:rPr>
        <w:t xml:space="preserve">The DOJ should issue guidance to states on how to minimize </w:t>
      </w:r>
      <w:r w:rsidRPr="00F618D8">
        <w:rPr>
          <w:rFonts w:ascii="Arial" w:hAnsi="Arial" w:cs="Arial"/>
        </w:rPr>
        <w:t>the risk of overuse or misuse of involuntary, non-judicial alternatives to guardianship, such as those in educational or health matters, which raise due process concerns</w:t>
      </w:r>
      <w:r w:rsidR="00AA1F92" w:rsidRPr="00F618D8">
        <w:rPr>
          <w:rFonts w:ascii="Arial" w:hAnsi="Arial" w:cs="Arial"/>
        </w:rPr>
        <w:t xml:space="preserve">. </w:t>
      </w:r>
      <w:r w:rsidRPr="00F618D8">
        <w:rPr>
          <w:rFonts w:ascii="Arial" w:hAnsi="Arial" w:cs="Arial"/>
        </w:rPr>
        <w:t>States should legally require ruling out voluntary options</w:t>
      </w:r>
      <w:r w:rsidR="00F41707" w:rsidRPr="00F618D8">
        <w:rPr>
          <w:rFonts w:ascii="Arial" w:hAnsi="Arial" w:cs="Arial"/>
        </w:rPr>
        <w:t>—</w:t>
      </w:r>
      <w:r w:rsidRPr="00F618D8">
        <w:rPr>
          <w:rFonts w:ascii="Arial" w:hAnsi="Arial" w:cs="Arial"/>
        </w:rPr>
        <w:t xml:space="preserve">such as </w:t>
      </w:r>
      <w:r w:rsidR="00F41707" w:rsidRPr="00F618D8">
        <w:rPr>
          <w:rFonts w:ascii="Arial" w:hAnsi="Arial" w:cs="Arial"/>
        </w:rPr>
        <w:t>SDM</w:t>
      </w:r>
      <w:r w:rsidRPr="00F618D8">
        <w:rPr>
          <w:rFonts w:ascii="Arial" w:hAnsi="Arial" w:cs="Arial"/>
        </w:rPr>
        <w:t xml:space="preserve"> and </w:t>
      </w:r>
      <w:r w:rsidR="004A5310" w:rsidRPr="00F618D8">
        <w:rPr>
          <w:rFonts w:ascii="Arial" w:hAnsi="Arial" w:cs="Arial"/>
        </w:rPr>
        <w:t>p</w:t>
      </w:r>
      <w:r w:rsidRPr="00F618D8">
        <w:rPr>
          <w:rFonts w:ascii="Arial" w:hAnsi="Arial" w:cs="Arial"/>
        </w:rPr>
        <w:t xml:space="preserve">owers of </w:t>
      </w:r>
      <w:r w:rsidR="004A5310" w:rsidRPr="00F618D8">
        <w:rPr>
          <w:rFonts w:ascii="Arial" w:hAnsi="Arial" w:cs="Arial"/>
        </w:rPr>
        <w:t>a</w:t>
      </w:r>
      <w:r w:rsidRPr="00F618D8">
        <w:rPr>
          <w:rFonts w:ascii="Arial" w:hAnsi="Arial" w:cs="Arial"/>
        </w:rPr>
        <w:t>ttorney</w:t>
      </w:r>
      <w:r w:rsidR="00F41707" w:rsidRPr="00F618D8">
        <w:rPr>
          <w:rFonts w:ascii="Arial" w:hAnsi="Arial" w:cs="Arial"/>
        </w:rPr>
        <w:t>—</w:t>
      </w:r>
      <w:r w:rsidRPr="00F618D8">
        <w:rPr>
          <w:rFonts w:ascii="Arial" w:hAnsi="Arial" w:cs="Arial"/>
        </w:rPr>
        <w:t>before such involuntary options can be</w:t>
      </w:r>
      <w:r w:rsidR="004A5310" w:rsidRPr="00F618D8">
        <w:rPr>
          <w:rFonts w:ascii="Arial" w:hAnsi="Arial" w:cs="Arial"/>
        </w:rPr>
        <w:t xml:space="preserve"> used</w:t>
      </w:r>
      <w:r w:rsidR="00AA1F92" w:rsidRPr="00F618D8">
        <w:rPr>
          <w:rFonts w:ascii="Arial" w:hAnsi="Arial" w:cs="Arial"/>
        </w:rPr>
        <w:t xml:space="preserve">. </w:t>
      </w:r>
      <w:r w:rsidRPr="00F618D8">
        <w:rPr>
          <w:rFonts w:ascii="Arial" w:hAnsi="Arial" w:cs="Arial"/>
        </w:rPr>
        <w:t>Those involuntary options should also be easily challenged by the person</w:t>
      </w:r>
      <w:r w:rsidR="00AA1F92" w:rsidRPr="00F618D8">
        <w:rPr>
          <w:rFonts w:ascii="Arial" w:hAnsi="Arial" w:cs="Arial"/>
        </w:rPr>
        <w:t xml:space="preserve">. </w:t>
      </w:r>
    </w:p>
    <w:p w14:paraId="716C9141" w14:textId="77777777" w:rsidR="007C08AD" w:rsidRPr="00F618D8" w:rsidRDefault="007C08AD" w:rsidP="008053EC">
      <w:pPr>
        <w:pStyle w:val="ListParagraph"/>
        <w:rPr>
          <w:rFonts w:ascii="Arial" w:hAnsi="Arial" w:cs="Arial"/>
        </w:rPr>
      </w:pPr>
      <w:r w:rsidRPr="00F618D8">
        <w:rPr>
          <w:rFonts w:ascii="Arial" w:hAnsi="Arial" w:cs="Arial"/>
        </w:rPr>
        <w:t>The U.S. Department of Health and Human Services should explore ways to facilitate decision-making support for people with ID/DD, particularly for those who may not have a large network of trusted family members and friends</w:t>
      </w:r>
      <w:r w:rsidR="00AA1F92" w:rsidRPr="00F618D8">
        <w:rPr>
          <w:rFonts w:ascii="Arial" w:hAnsi="Arial" w:cs="Arial"/>
        </w:rPr>
        <w:t xml:space="preserve">. </w:t>
      </w:r>
      <w:r w:rsidRPr="00F618D8">
        <w:rPr>
          <w:rFonts w:ascii="Arial" w:hAnsi="Arial" w:cs="Arial"/>
        </w:rPr>
        <w:t>This should include providing funding to support:</w:t>
      </w:r>
    </w:p>
    <w:p w14:paraId="6D0D505D" w14:textId="77777777" w:rsidR="007C08AD" w:rsidRPr="00F618D8" w:rsidRDefault="007C08AD" w:rsidP="008053EC">
      <w:pPr>
        <w:pStyle w:val="ListParaLevel2"/>
        <w:rPr>
          <w:rFonts w:ascii="Arial" w:hAnsi="Arial" w:cs="Arial"/>
        </w:rPr>
      </w:pPr>
      <w:r w:rsidRPr="00F618D8">
        <w:rPr>
          <w:rFonts w:ascii="Arial" w:hAnsi="Arial" w:cs="Arial"/>
        </w:rPr>
        <w:t xml:space="preserve">Community services such as </w:t>
      </w:r>
      <w:r w:rsidR="007322C4" w:rsidRPr="00F618D8">
        <w:rPr>
          <w:rFonts w:ascii="Arial" w:hAnsi="Arial" w:cs="Arial"/>
        </w:rPr>
        <w:t xml:space="preserve">health advocate </w:t>
      </w:r>
      <w:r w:rsidRPr="00F618D8">
        <w:rPr>
          <w:rFonts w:ascii="Arial" w:hAnsi="Arial" w:cs="Arial"/>
        </w:rPr>
        <w:t>programs, in which a supporter attends medical appointments, assists the supported person with understanding and making major medical decisions, and acts as a facilitator between the supported person and his or her doctor.</w:t>
      </w:r>
    </w:p>
    <w:p w14:paraId="32D0F367" w14:textId="77777777" w:rsidR="007C08AD" w:rsidRPr="00F618D8" w:rsidRDefault="007C08AD" w:rsidP="008053EC">
      <w:pPr>
        <w:pStyle w:val="ListParaLevel2"/>
        <w:rPr>
          <w:rFonts w:ascii="Arial" w:hAnsi="Arial" w:cs="Arial"/>
        </w:rPr>
      </w:pPr>
      <w:r w:rsidRPr="00F618D8">
        <w:rPr>
          <w:rFonts w:ascii="Arial" w:hAnsi="Arial" w:cs="Arial"/>
        </w:rPr>
        <w:t xml:space="preserve">Financial case management services, including regular meetings with supported individuals to discuss budgeting, establishing direct debit and deposits, and assisting in the management and recertification of public benefits. </w:t>
      </w:r>
    </w:p>
    <w:p w14:paraId="15167463" w14:textId="77777777" w:rsidR="007C08AD" w:rsidRPr="00F618D8" w:rsidRDefault="007C08AD" w:rsidP="008053EC">
      <w:pPr>
        <w:pStyle w:val="ListParaLevel2"/>
        <w:rPr>
          <w:rFonts w:ascii="Arial" w:hAnsi="Arial" w:cs="Arial"/>
        </w:rPr>
      </w:pPr>
      <w:r w:rsidRPr="00F618D8">
        <w:rPr>
          <w:rFonts w:ascii="Arial" w:hAnsi="Arial" w:cs="Arial"/>
        </w:rPr>
        <w:lastRenderedPageBreak/>
        <w:t>Educational advocate services to help adult students with ID/DD understand and make educational decisions</w:t>
      </w:r>
      <w:r w:rsidR="00AA1F92" w:rsidRPr="00F618D8">
        <w:rPr>
          <w:rFonts w:ascii="Arial" w:hAnsi="Arial" w:cs="Arial"/>
        </w:rPr>
        <w:t xml:space="preserve">. </w:t>
      </w:r>
      <w:r w:rsidRPr="00F618D8">
        <w:rPr>
          <w:rFonts w:ascii="Arial" w:hAnsi="Arial" w:cs="Arial"/>
        </w:rPr>
        <w:t xml:space="preserve">Examples of this type of support could include attending IEP meetings, assisting with transition planning, and facilitating communication between the supported person and education officials. </w:t>
      </w:r>
    </w:p>
    <w:p w14:paraId="197BB5C3" w14:textId="77777777" w:rsidR="005924B9" w:rsidRPr="00F618D8" w:rsidRDefault="00961A90" w:rsidP="008053EC">
      <w:pPr>
        <w:pStyle w:val="ParaNoIndent"/>
        <w:rPr>
          <w:rFonts w:ascii="Arial" w:hAnsi="Arial"/>
        </w:rPr>
      </w:pPr>
      <w:r w:rsidRPr="00F618D8">
        <w:rPr>
          <w:rFonts w:ascii="Arial" w:hAnsi="Arial"/>
          <w:b/>
        </w:rPr>
        <w:t>Finding 5</w:t>
      </w:r>
      <w:r w:rsidR="005924B9" w:rsidRPr="00F618D8">
        <w:rPr>
          <w:rFonts w:ascii="Arial" w:hAnsi="Arial"/>
        </w:rPr>
        <w:t xml:space="preserve">: </w:t>
      </w:r>
      <w:r w:rsidRPr="00F618D8">
        <w:rPr>
          <w:rFonts w:ascii="Arial" w:hAnsi="Arial"/>
        </w:rPr>
        <w:t xml:space="preserve">Despite the existence of </w:t>
      </w:r>
      <w:r w:rsidR="005924B9" w:rsidRPr="00F618D8">
        <w:rPr>
          <w:rFonts w:ascii="Arial" w:hAnsi="Arial"/>
        </w:rPr>
        <w:t xml:space="preserve">restoration of rights procedures in many state laws, many people with ID/DD and their families are unaware of </w:t>
      </w:r>
      <w:r w:rsidRPr="00F618D8">
        <w:rPr>
          <w:rFonts w:ascii="Arial" w:hAnsi="Arial"/>
        </w:rPr>
        <w:t xml:space="preserve">those </w:t>
      </w:r>
      <w:r w:rsidR="005924B9" w:rsidRPr="00F618D8">
        <w:rPr>
          <w:rFonts w:ascii="Arial" w:hAnsi="Arial"/>
        </w:rPr>
        <w:t>options</w:t>
      </w:r>
      <w:r w:rsidRPr="00F618D8">
        <w:rPr>
          <w:rFonts w:ascii="Arial" w:hAnsi="Arial"/>
        </w:rPr>
        <w:t>,</w:t>
      </w:r>
      <w:r w:rsidR="005924B9" w:rsidRPr="00F618D8">
        <w:rPr>
          <w:rFonts w:ascii="Arial" w:hAnsi="Arial"/>
        </w:rPr>
        <w:t xml:space="preserve"> let alone the broad array of less-restrictive options</w:t>
      </w:r>
      <w:r w:rsidR="00AA1F92" w:rsidRPr="00F618D8">
        <w:rPr>
          <w:rFonts w:ascii="Arial" w:hAnsi="Arial"/>
        </w:rPr>
        <w:t xml:space="preserve">. </w:t>
      </w:r>
      <w:r w:rsidR="005924B9" w:rsidRPr="00F618D8">
        <w:rPr>
          <w:rFonts w:ascii="Arial" w:hAnsi="Arial"/>
        </w:rPr>
        <w:t>People with ID/DD may therefore remain in guardianships that are overbroad or undue</w:t>
      </w:r>
      <w:r w:rsidRPr="00F618D8">
        <w:rPr>
          <w:rFonts w:ascii="Arial" w:hAnsi="Arial"/>
        </w:rPr>
        <w:t xml:space="preserve"> for most of their lives</w:t>
      </w:r>
      <w:r w:rsidR="00AA1F92" w:rsidRPr="00F618D8">
        <w:rPr>
          <w:rFonts w:ascii="Arial" w:hAnsi="Arial"/>
        </w:rPr>
        <w:t xml:space="preserve">. </w:t>
      </w:r>
      <w:r w:rsidR="005924B9" w:rsidRPr="00F618D8">
        <w:rPr>
          <w:rFonts w:ascii="Arial" w:hAnsi="Arial"/>
        </w:rPr>
        <w:t>Recommendations include:</w:t>
      </w:r>
    </w:p>
    <w:p w14:paraId="39F8AB5E" w14:textId="77777777" w:rsidR="00961A90" w:rsidRPr="00F618D8" w:rsidRDefault="005924B9" w:rsidP="008053EC">
      <w:pPr>
        <w:pStyle w:val="ListParagraph"/>
        <w:rPr>
          <w:rFonts w:ascii="Arial" w:hAnsi="Arial" w:cs="Arial"/>
        </w:rPr>
      </w:pPr>
      <w:r w:rsidRPr="00F618D8">
        <w:rPr>
          <w:rFonts w:ascii="Arial" w:hAnsi="Arial" w:cs="Arial"/>
        </w:rPr>
        <w:t xml:space="preserve">The state adult guardianship court improvement program </w:t>
      </w:r>
      <w:r w:rsidR="00AA1F92" w:rsidRPr="00F618D8">
        <w:rPr>
          <w:rFonts w:ascii="Arial" w:hAnsi="Arial" w:cs="Arial"/>
        </w:rPr>
        <w:t>referenced above</w:t>
      </w:r>
      <w:r w:rsidR="00961A90" w:rsidRPr="00F618D8">
        <w:rPr>
          <w:rFonts w:ascii="Arial" w:hAnsi="Arial" w:cs="Arial"/>
        </w:rPr>
        <w:t xml:space="preserve"> should require states to:</w:t>
      </w:r>
    </w:p>
    <w:p w14:paraId="13D31177" w14:textId="77777777" w:rsidR="00961A90" w:rsidRPr="00F618D8" w:rsidRDefault="00961A90" w:rsidP="00CD5808">
      <w:pPr>
        <w:pStyle w:val="ListParaLevel2"/>
        <w:rPr>
          <w:rFonts w:ascii="Arial" w:hAnsi="Arial" w:cs="Arial"/>
        </w:rPr>
      </w:pPr>
      <w:r w:rsidRPr="00F618D8">
        <w:rPr>
          <w:rFonts w:ascii="Arial" w:hAnsi="Arial" w:cs="Arial"/>
        </w:rPr>
        <w:t>R</w:t>
      </w:r>
      <w:r w:rsidR="005924B9" w:rsidRPr="00F618D8">
        <w:rPr>
          <w:rFonts w:ascii="Arial" w:hAnsi="Arial" w:cs="Arial"/>
        </w:rPr>
        <w:t>egularly notify people in guardianships, their guardians, and other interested parties in their life that guardianship need not be permanent and that there are concrete ways to pursue restoration of rights</w:t>
      </w:r>
      <w:r w:rsidR="00AA1F92" w:rsidRPr="00F618D8">
        <w:rPr>
          <w:rFonts w:ascii="Arial" w:hAnsi="Arial" w:cs="Arial"/>
        </w:rPr>
        <w:t xml:space="preserve">. </w:t>
      </w:r>
    </w:p>
    <w:p w14:paraId="2351AD51" w14:textId="77777777" w:rsidR="00961A90" w:rsidRPr="00F618D8" w:rsidRDefault="00961A90" w:rsidP="00CD5808">
      <w:pPr>
        <w:pStyle w:val="ListParaLevel2"/>
        <w:rPr>
          <w:rFonts w:ascii="Arial" w:hAnsi="Arial" w:cs="Arial"/>
        </w:rPr>
      </w:pPr>
      <w:r w:rsidRPr="00F618D8">
        <w:rPr>
          <w:rFonts w:ascii="Arial" w:hAnsi="Arial" w:cs="Arial"/>
        </w:rPr>
        <w:t>P</w:t>
      </w:r>
      <w:r w:rsidR="005924B9" w:rsidRPr="00F618D8">
        <w:rPr>
          <w:rFonts w:ascii="Arial" w:hAnsi="Arial" w:cs="Arial"/>
        </w:rPr>
        <w:t xml:space="preserve">eriodically review guardianships to determine </w:t>
      </w:r>
      <w:r w:rsidR="00F41707" w:rsidRPr="00F618D8">
        <w:rPr>
          <w:rFonts w:ascii="Arial" w:hAnsi="Arial" w:cs="Arial"/>
        </w:rPr>
        <w:t>whether</w:t>
      </w:r>
      <w:r w:rsidR="005924B9" w:rsidRPr="00F618D8">
        <w:rPr>
          <w:rFonts w:ascii="Arial" w:hAnsi="Arial" w:cs="Arial"/>
        </w:rPr>
        <w:t xml:space="preserve"> they remain the least restrictive option or should be modified or terminated.</w:t>
      </w:r>
    </w:p>
    <w:p w14:paraId="0F72C0EA" w14:textId="77777777" w:rsidR="00961A90" w:rsidRPr="00F618D8" w:rsidRDefault="00961A90" w:rsidP="00CD5808">
      <w:pPr>
        <w:pStyle w:val="ListParaLevel2"/>
        <w:rPr>
          <w:rFonts w:ascii="Arial" w:hAnsi="Arial" w:cs="Arial"/>
        </w:rPr>
      </w:pPr>
      <w:r w:rsidRPr="00F618D8">
        <w:rPr>
          <w:rFonts w:ascii="Arial" w:hAnsi="Arial" w:cs="Arial"/>
        </w:rPr>
        <w:t xml:space="preserve">Train </w:t>
      </w:r>
      <w:r w:rsidRPr="00F618D8">
        <w:rPr>
          <w:rFonts w:ascii="Arial" w:eastAsia="Times New Roman" w:hAnsi="Arial" w:cs="Arial"/>
        </w:rPr>
        <w:t xml:space="preserve">family and professional guardians on using </w:t>
      </w:r>
      <w:r w:rsidR="00BA2359" w:rsidRPr="00F618D8">
        <w:rPr>
          <w:rFonts w:ascii="Arial" w:eastAsia="Times New Roman" w:hAnsi="Arial" w:cs="Arial"/>
        </w:rPr>
        <w:t>SDM</w:t>
      </w:r>
      <w:r w:rsidRPr="00F618D8">
        <w:rPr>
          <w:rFonts w:ascii="Arial" w:eastAsia="Times New Roman" w:hAnsi="Arial" w:cs="Arial"/>
        </w:rPr>
        <w:t xml:space="preserve"> within a court-appointed guardianship to increase self-determination and the potential for restoration of rights.</w:t>
      </w:r>
    </w:p>
    <w:p w14:paraId="405F853C" w14:textId="77777777" w:rsidR="00961A90" w:rsidRPr="00F618D8" w:rsidRDefault="00961A90" w:rsidP="00CD5808">
      <w:pPr>
        <w:pStyle w:val="ListParaLevel2"/>
        <w:rPr>
          <w:rFonts w:ascii="Arial" w:hAnsi="Arial" w:cs="Arial"/>
        </w:rPr>
      </w:pPr>
      <w:r w:rsidRPr="00F618D8">
        <w:rPr>
          <w:rFonts w:ascii="Arial" w:eastAsia="Times New Roman" w:hAnsi="Arial" w:cs="Arial"/>
        </w:rPr>
        <w:t>Train people in guardianship on ways in which they can complain about their guardian and initiate restoration of rights proceedings</w:t>
      </w:r>
    </w:p>
    <w:p w14:paraId="2B87196D" w14:textId="77777777" w:rsidR="00961A90" w:rsidRPr="00F618D8" w:rsidRDefault="00961A90" w:rsidP="00CD5808">
      <w:pPr>
        <w:pStyle w:val="ParaNoIndent"/>
        <w:rPr>
          <w:rFonts w:ascii="Arial" w:hAnsi="Arial"/>
        </w:rPr>
      </w:pPr>
      <w:r w:rsidRPr="00F618D8">
        <w:rPr>
          <w:rFonts w:ascii="Arial" w:hAnsi="Arial"/>
          <w:b/>
        </w:rPr>
        <w:t xml:space="preserve">Finding 6: </w:t>
      </w:r>
      <w:r w:rsidRPr="00F618D8">
        <w:rPr>
          <w:rFonts w:ascii="Arial" w:hAnsi="Arial"/>
        </w:rPr>
        <w:t>There is a dearth of reliable data on the number of adult abuse, neglect, or exploitation cases in which the perpetrator is the court-appointed guardian or other substitute decision-maker of the victim</w:t>
      </w:r>
      <w:r w:rsidR="00AA1F92" w:rsidRPr="00F618D8">
        <w:rPr>
          <w:rFonts w:ascii="Arial" w:hAnsi="Arial"/>
        </w:rPr>
        <w:t xml:space="preserve">. </w:t>
      </w:r>
      <w:r w:rsidRPr="00F618D8">
        <w:rPr>
          <w:rFonts w:ascii="Arial" w:hAnsi="Arial"/>
        </w:rPr>
        <w:t>According to the National Adult Maltreatment Reporting System (NAMRS), eighteen states do not collect any perpetrator information.</w:t>
      </w:r>
      <w:r w:rsidRPr="00F618D8">
        <w:rPr>
          <w:rStyle w:val="EndnoteReference"/>
          <w:rFonts w:ascii="Arial" w:hAnsi="Arial"/>
          <w:szCs w:val="24"/>
        </w:rPr>
        <w:endnoteReference w:id="139"/>
      </w:r>
      <w:r w:rsidRPr="00F618D8">
        <w:rPr>
          <w:rFonts w:ascii="Arial" w:hAnsi="Arial"/>
        </w:rPr>
        <w:t xml:space="preserve"> Of the states that do track general perpetrator information, the vast majority do not collect specific information regarding a perpetrator’s role as the court-appointed guardian or other substitute decision-maker.</w:t>
      </w:r>
      <w:r w:rsidRPr="00F618D8">
        <w:rPr>
          <w:rStyle w:val="EndnoteReference"/>
          <w:rFonts w:ascii="Arial" w:hAnsi="Arial"/>
          <w:szCs w:val="24"/>
        </w:rPr>
        <w:endnoteReference w:id="140"/>
      </w:r>
      <w:r w:rsidRPr="00F618D8">
        <w:rPr>
          <w:rFonts w:ascii="Arial" w:hAnsi="Arial"/>
        </w:rPr>
        <w:t xml:space="preserve"> Although the NAMRS</w:t>
      </w:r>
      <w:r w:rsidR="005A246D" w:rsidRPr="00F618D8">
        <w:rPr>
          <w:rFonts w:ascii="Arial" w:hAnsi="Arial"/>
        </w:rPr>
        <w:t xml:space="preserve"> </w:t>
      </w:r>
      <w:r w:rsidRPr="00F618D8">
        <w:rPr>
          <w:rFonts w:ascii="Arial" w:hAnsi="Arial"/>
        </w:rPr>
        <w:t xml:space="preserve">requests data from states about the perpetrators’ role as the victims’ court-appointed guardian or other substitute decision-maker, in 2017 only four states submitted data for </w:t>
      </w:r>
      <w:r w:rsidRPr="00F618D8">
        <w:rPr>
          <w:rFonts w:ascii="Arial" w:hAnsi="Arial"/>
        </w:rPr>
        <w:lastRenderedPageBreak/>
        <w:t>the start of the investigation. No state has ever submitted data to NAMRS for the end of the investigation.</w:t>
      </w:r>
      <w:r w:rsidRPr="00F618D8">
        <w:rPr>
          <w:rStyle w:val="EndnoteReference"/>
          <w:rFonts w:ascii="Arial" w:hAnsi="Arial"/>
          <w:szCs w:val="24"/>
        </w:rPr>
        <w:endnoteReference w:id="141"/>
      </w:r>
      <w:r w:rsidRPr="00F618D8">
        <w:rPr>
          <w:rFonts w:ascii="Arial" w:hAnsi="Arial"/>
        </w:rPr>
        <w:t xml:space="preserve"> Recommendations include:</w:t>
      </w:r>
    </w:p>
    <w:p w14:paraId="78E74123" w14:textId="77777777" w:rsidR="00961A90" w:rsidRPr="00F618D8" w:rsidRDefault="00961A90" w:rsidP="00CD5808">
      <w:pPr>
        <w:pStyle w:val="ListParagraph"/>
        <w:rPr>
          <w:rFonts w:ascii="Arial" w:hAnsi="Arial" w:cs="Arial"/>
        </w:rPr>
      </w:pPr>
      <w:r w:rsidRPr="00F618D8">
        <w:rPr>
          <w:rFonts w:ascii="Arial" w:hAnsi="Arial" w:cs="Arial"/>
        </w:rPr>
        <w:t>States should continue to be encouraged through the N</w:t>
      </w:r>
      <w:r w:rsidR="00F41707" w:rsidRPr="00F618D8">
        <w:rPr>
          <w:rFonts w:ascii="Arial" w:hAnsi="Arial" w:cs="Arial"/>
        </w:rPr>
        <w:t>AMRS</w:t>
      </w:r>
      <w:r w:rsidRPr="00F618D8">
        <w:rPr>
          <w:rFonts w:ascii="Arial" w:hAnsi="Arial" w:cs="Arial"/>
        </w:rPr>
        <w:t xml:space="preserve"> and other mechanisms to collect, track, and report the number of cases in which perpetrators are the victims’ court-appointed guardian or other substitute decision-maker</w:t>
      </w:r>
      <w:r w:rsidR="00AA1F92" w:rsidRPr="00F618D8">
        <w:rPr>
          <w:rFonts w:ascii="Arial" w:hAnsi="Arial" w:cs="Arial"/>
        </w:rPr>
        <w:t xml:space="preserve">. </w:t>
      </w:r>
    </w:p>
    <w:p w14:paraId="5ABAD40C" w14:textId="6C43B353" w:rsidR="00277F85" w:rsidRPr="00F618D8" w:rsidRDefault="00961A90" w:rsidP="00CD5808">
      <w:pPr>
        <w:pStyle w:val="ListParagraph"/>
        <w:rPr>
          <w:rFonts w:ascii="Arial" w:hAnsi="Arial" w:cs="Arial"/>
        </w:rPr>
        <w:sectPr w:rsidR="00277F85" w:rsidRPr="00F618D8" w:rsidSect="00962C10">
          <w:endnotePr>
            <w:numFmt w:val="decimal"/>
          </w:endnotePr>
          <w:pgSz w:w="12240" w:h="15840"/>
          <w:pgMar w:top="1170" w:right="1440" w:bottom="1440" w:left="1440" w:header="720" w:footer="720" w:gutter="0"/>
          <w:cols w:space="720"/>
          <w:docGrid w:linePitch="360"/>
        </w:sectPr>
      </w:pPr>
      <w:r w:rsidRPr="00F618D8">
        <w:rPr>
          <w:rFonts w:ascii="Arial" w:hAnsi="Arial" w:cs="Arial"/>
        </w:rPr>
        <w:t xml:space="preserve">The state adult guardianship court improvement program </w:t>
      </w:r>
      <w:r w:rsidR="00AA1F92" w:rsidRPr="00F618D8">
        <w:rPr>
          <w:rFonts w:ascii="Arial" w:hAnsi="Arial" w:cs="Arial"/>
        </w:rPr>
        <w:t>referenced above</w:t>
      </w:r>
      <w:r w:rsidRPr="00F618D8">
        <w:rPr>
          <w:rFonts w:ascii="Arial" w:hAnsi="Arial" w:cs="Arial"/>
        </w:rPr>
        <w:t xml:space="preserve"> should require that state courts review the annual reports of guardians for signs of unusual or deficient accounting and signs of abuse and neglect</w:t>
      </w:r>
      <w:r w:rsidR="00AA1F92" w:rsidRPr="00F618D8">
        <w:rPr>
          <w:rFonts w:ascii="Arial" w:hAnsi="Arial" w:cs="Arial"/>
        </w:rPr>
        <w:t>.</w:t>
      </w:r>
      <w:r w:rsidR="00DB2316" w:rsidRPr="00F618D8">
        <w:rPr>
          <w:rFonts w:ascii="Arial" w:hAnsi="Arial" w:cs="Arial"/>
        </w:rPr>
        <w:br w:type="page"/>
      </w:r>
    </w:p>
    <w:p w14:paraId="4C65C5C6" w14:textId="77777777" w:rsidR="000E1301" w:rsidRPr="00F618D8" w:rsidRDefault="00AA1F92" w:rsidP="00CD5808">
      <w:pPr>
        <w:pStyle w:val="Heading1"/>
        <w:rPr>
          <w:rFonts w:ascii="Arial" w:hAnsi="Arial" w:cs="Arial"/>
        </w:rPr>
      </w:pPr>
      <w:bookmarkStart w:id="145" w:name="_Toc10290993"/>
      <w:bookmarkStart w:id="146" w:name="_Hlk528764997"/>
      <w:r w:rsidRPr="00F618D8">
        <w:rPr>
          <w:rFonts w:ascii="Arial" w:hAnsi="Arial" w:cs="Arial"/>
        </w:rPr>
        <w:lastRenderedPageBreak/>
        <w:t xml:space="preserve">Appendix A: </w:t>
      </w:r>
      <w:r w:rsidR="000E1301" w:rsidRPr="00F618D8">
        <w:rPr>
          <w:rFonts w:ascii="Arial" w:hAnsi="Arial" w:cs="Arial"/>
        </w:rPr>
        <w:t>Analysis of ID/DD Specific Guardianship/Conservatorship Statutory Provisions</w:t>
      </w:r>
      <w:bookmarkEnd w:id="145"/>
    </w:p>
    <w:tbl>
      <w:tblPr>
        <w:tblStyle w:val="TableGrid7"/>
        <w:tblW w:w="9445" w:type="dxa"/>
        <w:tblLayout w:type="fixed"/>
        <w:tblLook w:val="0400" w:firstRow="0" w:lastRow="0" w:firstColumn="0" w:lastColumn="0" w:noHBand="0" w:noVBand="1"/>
        <w:tblCaption w:val=" , "/>
      </w:tblPr>
      <w:tblGrid>
        <w:gridCol w:w="2515"/>
        <w:gridCol w:w="6930"/>
      </w:tblGrid>
      <w:tr w:rsidR="009F790B" w:rsidRPr="00F618D8" w14:paraId="636891AE" w14:textId="77777777" w:rsidTr="006B20FF">
        <w:trPr>
          <w:trHeight w:val="620"/>
          <w:tblHeader/>
        </w:trPr>
        <w:tc>
          <w:tcPr>
            <w:tcW w:w="2515" w:type="dxa"/>
          </w:tcPr>
          <w:p w14:paraId="60940DAE" w14:textId="77777777" w:rsidR="00303A2F" w:rsidRPr="00F618D8" w:rsidRDefault="00303A2F" w:rsidP="00CD5808">
            <w:pPr>
              <w:pStyle w:val="TableHeader"/>
              <w:rPr>
                <w:rFonts w:ascii="Arial" w:hAnsi="Arial"/>
              </w:rPr>
            </w:pPr>
            <w:r w:rsidRPr="00F618D8">
              <w:rPr>
                <w:rFonts w:ascii="Arial" w:hAnsi="Arial"/>
              </w:rPr>
              <w:t>State</w:t>
            </w:r>
          </w:p>
        </w:tc>
        <w:tc>
          <w:tcPr>
            <w:tcW w:w="6930" w:type="dxa"/>
          </w:tcPr>
          <w:p w14:paraId="2ADDB14A" w14:textId="77777777" w:rsidR="00303A2F" w:rsidRPr="00F618D8" w:rsidRDefault="00303A2F" w:rsidP="00303A2F">
            <w:pPr>
              <w:jc w:val="center"/>
              <w:rPr>
                <w:rFonts w:ascii="Arial" w:eastAsia="Arial" w:hAnsi="Arial" w:cs="Arial"/>
                <w:b/>
              </w:rPr>
            </w:pPr>
            <w:r w:rsidRPr="00F618D8">
              <w:rPr>
                <w:rFonts w:ascii="Arial" w:eastAsia="Arial" w:hAnsi="Arial" w:cs="Arial"/>
                <w:b/>
              </w:rPr>
              <w:t>Main Distinctions Compared to</w:t>
            </w:r>
          </w:p>
          <w:p w14:paraId="15E73F00" w14:textId="77777777" w:rsidR="00303A2F" w:rsidRPr="00F618D8" w:rsidRDefault="00303A2F" w:rsidP="00CD5808">
            <w:pPr>
              <w:pStyle w:val="TableHeader"/>
              <w:rPr>
                <w:rFonts w:ascii="Arial" w:hAnsi="Arial"/>
              </w:rPr>
            </w:pPr>
            <w:r w:rsidRPr="00F618D8">
              <w:rPr>
                <w:rFonts w:ascii="Arial" w:hAnsi="Arial"/>
              </w:rPr>
              <w:t>Non-ID/DD Guardianship Provisions</w:t>
            </w:r>
          </w:p>
        </w:tc>
      </w:tr>
      <w:tr w:rsidR="009F790B" w:rsidRPr="00F618D8" w14:paraId="2AF8907C" w14:textId="77777777" w:rsidTr="004F301D">
        <w:tc>
          <w:tcPr>
            <w:tcW w:w="2515" w:type="dxa"/>
          </w:tcPr>
          <w:p w14:paraId="3DA9A045" w14:textId="77777777" w:rsidR="00303A2F" w:rsidRPr="00F618D8" w:rsidRDefault="00303A2F" w:rsidP="00CD5808">
            <w:pPr>
              <w:pStyle w:val="TableBody"/>
              <w:rPr>
                <w:rFonts w:ascii="Arial" w:hAnsi="Arial" w:cs="Arial"/>
                <w:b/>
              </w:rPr>
            </w:pPr>
            <w:r w:rsidRPr="00F618D8">
              <w:rPr>
                <w:rFonts w:ascii="Arial" w:hAnsi="Arial" w:cs="Arial"/>
                <w:b/>
              </w:rPr>
              <w:t>Alabama</w:t>
            </w:r>
          </w:p>
          <w:p w14:paraId="2F764BA9" w14:textId="77777777" w:rsidR="00303A2F" w:rsidRPr="00F618D8" w:rsidRDefault="00303A2F" w:rsidP="00CD5808">
            <w:pPr>
              <w:pStyle w:val="TableBody"/>
              <w:rPr>
                <w:rFonts w:ascii="Arial" w:hAnsi="Arial" w:cs="Arial"/>
              </w:rPr>
            </w:pPr>
            <w:r w:rsidRPr="00F618D8">
              <w:rPr>
                <w:rFonts w:ascii="Arial" w:hAnsi="Arial" w:cs="Arial"/>
              </w:rPr>
              <w:t>Ala. Code § 12-13-21 et seq.</w:t>
            </w:r>
          </w:p>
          <w:p w14:paraId="68416F01" w14:textId="77777777" w:rsidR="00303A2F" w:rsidRPr="00F618D8" w:rsidRDefault="00303A2F" w:rsidP="001A27F6">
            <w:pPr>
              <w:jc w:val="center"/>
              <w:rPr>
                <w:rFonts w:ascii="Arial" w:eastAsia="Arial" w:hAnsi="Arial" w:cs="Arial"/>
              </w:rPr>
            </w:pPr>
          </w:p>
        </w:tc>
        <w:tc>
          <w:tcPr>
            <w:tcW w:w="6930" w:type="dxa"/>
          </w:tcPr>
          <w:p w14:paraId="314C66AF" w14:textId="77777777" w:rsidR="00303A2F" w:rsidRPr="00F618D8" w:rsidRDefault="00303A2F" w:rsidP="00CD5808">
            <w:pPr>
              <w:pStyle w:val="ListParagraph"/>
              <w:rPr>
                <w:rFonts w:ascii="Arial" w:hAnsi="Arial" w:cs="Arial"/>
              </w:rPr>
            </w:pPr>
            <w:r w:rsidRPr="00F618D8">
              <w:rPr>
                <w:rFonts w:ascii="Arial" w:hAnsi="Arial" w:cs="Arial"/>
              </w:rPr>
              <w:t>Defines “developmentally disabled” person as a person “whose impairment of general intellectual functioning or adaptive behavior meets the following criteria: (1) It has continued since its origination or can be expected to continue indefinitely; (2) it constitutes a substantial burden to the impaired person’s ability to “perform normally in society”; (3) it is attributed to one or more of the following</w:t>
            </w:r>
            <w:r w:rsidR="00637F8D" w:rsidRPr="00F618D8">
              <w:rPr>
                <w:rFonts w:ascii="Arial" w:hAnsi="Arial" w:cs="Arial"/>
              </w:rPr>
              <w:t>:</w:t>
            </w:r>
            <w:r w:rsidRPr="00F618D8">
              <w:rPr>
                <w:rFonts w:ascii="Arial" w:hAnsi="Arial" w:cs="Arial"/>
              </w:rPr>
              <w:t xml:space="preserve"> </w:t>
            </w:r>
            <w:r w:rsidR="00637F8D" w:rsidRPr="00F618D8">
              <w:rPr>
                <w:rFonts w:ascii="Arial" w:hAnsi="Arial" w:cs="Arial"/>
              </w:rPr>
              <w:t>“</w:t>
            </w:r>
            <w:r w:rsidRPr="00F618D8">
              <w:rPr>
                <w:rFonts w:ascii="Arial" w:hAnsi="Arial" w:cs="Arial"/>
              </w:rPr>
              <w:t xml:space="preserve">including intellectual disability, cerebral palsy, epilepsy, autism, a condition found to be </w:t>
            </w:r>
            <w:r w:rsidR="00637F8D" w:rsidRPr="00F618D8">
              <w:rPr>
                <w:rFonts w:ascii="Arial" w:hAnsi="Arial" w:cs="Arial"/>
              </w:rPr>
              <w:t>‘</w:t>
            </w:r>
            <w:r w:rsidRPr="00F618D8">
              <w:rPr>
                <w:rFonts w:ascii="Arial" w:hAnsi="Arial" w:cs="Arial"/>
              </w:rPr>
              <w:t>closely related</w:t>
            </w:r>
            <w:r w:rsidR="00637F8D" w:rsidRPr="00F618D8">
              <w:rPr>
                <w:rFonts w:ascii="Arial" w:hAnsi="Arial" w:cs="Arial"/>
              </w:rPr>
              <w:t>’</w:t>
            </w:r>
            <w:r w:rsidRPr="00F618D8">
              <w:rPr>
                <w:rFonts w:ascii="Arial" w:hAnsi="Arial" w:cs="Arial"/>
              </w:rPr>
              <w:t xml:space="preserve">  to intellectual disability because it </w:t>
            </w:r>
            <w:r w:rsidR="00637F8D" w:rsidRPr="00F618D8">
              <w:rPr>
                <w:rFonts w:ascii="Arial" w:hAnsi="Arial" w:cs="Arial"/>
              </w:rPr>
              <w:t>‘</w:t>
            </w:r>
            <w:r w:rsidRPr="00F618D8">
              <w:rPr>
                <w:rFonts w:ascii="Arial" w:hAnsi="Arial" w:cs="Arial"/>
              </w:rPr>
              <w:t>produces a similar impairment</w:t>
            </w:r>
            <w:r w:rsidR="00637F8D" w:rsidRPr="00F618D8">
              <w:rPr>
                <w:rFonts w:ascii="Arial" w:hAnsi="Arial" w:cs="Arial"/>
              </w:rPr>
              <w:t>’</w:t>
            </w:r>
            <w:r w:rsidRPr="00F618D8">
              <w:rPr>
                <w:rFonts w:ascii="Arial" w:hAnsi="Arial" w:cs="Arial"/>
              </w:rPr>
              <w:t xml:space="preserve">” or requires similar treatment or services, or dyslexia related to these conditions. </w:t>
            </w:r>
          </w:p>
          <w:p w14:paraId="5B0C21F0" w14:textId="77777777" w:rsidR="00303A2F" w:rsidRPr="00F618D8" w:rsidRDefault="00303A2F" w:rsidP="00CD5808">
            <w:pPr>
              <w:pStyle w:val="ListParagraph"/>
              <w:rPr>
                <w:rFonts w:ascii="Arial" w:hAnsi="Arial" w:cs="Arial"/>
              </w:rPr>
            </w:pPr>
            <w:r w:rsidRPr="00F618D8">
              <w:rPr>
                <w:rFonts w:ascii="Arial" w:hAnsi="Arial" w:cs="Arial"/>
              </w:rPr>
              <w:t>“Perform normally in society” is not defined by the statute, and the language used in the statute to refer to specific disabilities is outdated.</w:t>
            </w:r>
          </w:p>
          <w:p w14:paraId="7B7ED045" w14:textId="77777777" w:rsidR="00303A2F" w:rsidRPr="00F618D8" w:rsidRDefault="00303A2F" w:rsidP="00CD5808">
            <w:pPr>
              <w:pStyle w:val="ListParagraph"/>
              <w:rPr>
                <w:rFonts w:ascii="Arial" w:hAnsi="Arial" w:cs="Arial"/>
              </w:rPr>
            </w:pPr>
            <w:r w:rsidRPr="00F618D8">
              <w:rPr>
                <w:rFonts w:ascii="Arial" w:hAnsi="Arial" w:cs="Arial"/>
              </w:rPr>
              <w:t>Guardianship for a developmentally disabled person shall be</w:t>
            </w:r>
            <w:r w:rsidR="00B1691C" w:rsidRPr="00F618D8">
              <w:rPr>
                <w:rFonts w:ascii="Arial" w:hAnsi="Arial" w:cs="Arial"/>
              </w:rPr>
              <w:t xml:space="preserve"> used</w:t>
            </w:r>
            <w:r w:rsidRPr="00F618D8">
              <w:rPr>
                <w:rFonts w:ascii="Arial" w:hAnsi="Arial" w:cs="Arial"/>
              </w:rPr>
              <w:t xml:space="preserve"> “only as is necessary to promote and protect the well</w:t>
            </w:r>
            <w:r w:rsidR="00AE4AE7" w:rsidRPr="00F618D8">
              <w:rPr>
                <w:rFonts w:ascii="Arial" w:hAnsi="Arial" w:cs="Arial"/>
              </w:rPr>
              <w:t>-</w:t>
            </w:r>
            <w:r w:rsidRPr="00F618D8">
              <w:rPr>
                <w:rFonts w:ascii="Arial" w:hAnsi="Arial" w:cs="Arial"/>
              </w:rPr>
              <w:t>being of the person, including protection from neglect, exploitation, and abuse; shall be designed to encourage the development of maximum self-reliance and independence in the person; and shall be ordered only to the extent necessitated by the person’s actual mental and adaptive limitations.”</w:t>
            </w:r>
          </w:p>
          <w:p w14:paraId="4B08F056" w14:textId="77777777" w:rsidR="00303A2F" w:rsidRPr="00F618D8" w:rsidRDefault="00303A2F" w:rsidP="00CD5808">
            <w:pPr>
              <w:pStyle w:val="ListParagraph"/>
              <w:rPr>
                <w:rFonts w:ascii="Arial" w:hAnsi="Arial" w:cs="Arial"/>
              </w:rPr>
            </w:pPr>
            <w:r w:rsidRPr="00F618D8">
              <w:rPr>
                <w:rFonts w:ascii="Arial" w:hAnsi="Arial" w:cs="Arial"/>
              </w:rPr>
              <w:t xml:space="preserve">The court may appoint as guardian for a developmentally disabled person “any suitable person or agency, public or </w:t>
            </w:r>
            <w:r w:rsidRPr="00F618D8">
              <w:rPr>
                <w:rFonts w:ascii="Arial" w:hAnsi="Arial" w:cs="Arial"/>
              </w:rPr>
              <w:lastRenderedPageBreak/>
              <w:t>private, including a private association or nonprofit corporation capable of conducting an active guardianship program for a developmentally disabled person.” The court cannot appoint the Department of Mental Health as guardian or any other agency that directly provides services to the person with I</w:t>
            </w:r>
            <w:r w:rsidR="007C0EA7" w:rsidRPr="00F618D8">
              <w:rPr>
                <w:rFonts w:ascii="Arial" w:hAnsi="Arial" w:cs="Arial"/>
              </w:rPr>
              <w:t>D</w:t>
            </w:r>
            <w:r w:rsidRPr="00F618D8">
              <w:rPr>
                <w:rFonts w:ascii="Arial" w:hAnsi="Arial" w:cs="Arial"/>
              </w:rPr>
              <w:t xml:space="preserve">/DD. </w:t>
            </w:r>
          </w:p>
          <w:p w14:paraId="30F8E417" w14:textId="77777777" w:rsidR="00303A2F" w:rsidRPr="00F618D8" w:rsidRDefault="00303A2F" w:rsidP="00CD5808">
            <w:pPr>
              <w:pStyle w:val="ListParagraph"/>
              <w:rPr>
                <w:rFonts w:ascii="Arial" w:hAnsi="Arial" w:cs="Arial"/>
              </w:rPr>
            </w:pPr>
            <w:r w:rsidRPr="00F618D8">
              <w:rPr>
                <w:rFonts w:ascii="Arial" w:hAnsi="Arial" w:cs="Arial"/>
              </w:rPr>
              <w:t xml:space="preserve">A petition for the appointment of a guardian may be filed by “an interested person or entity,” or “by the individual.” “Interested person or entity” means an adult relative or friend, an official or private agency, corporation, or association “concerned with the person’s welfare,” or any other person the court found suitable. </w:t>
            </w:r>
          </w:p>
          <w:p w14:paraId="57531FD2" w14:textId="77777777" w:rsidR="00303A2F" w:rsidRPr="00F618D8" w:rsidRDefault="00303A2F" w:rsidP="00CD5808">
            <w:pPr>
              <w:pStyle w:val="ListParagraph"/>
              <w:rPr>
                <w:rFonts w:ascii="Arial" w:hAnsi="Arial" w:cs="Arial"/>
              </w:rPr>
            </w:pPr>
            <w:r w:rsidRPr="00F618D8">
              <w:rPr>
                <w:rFonts w:ascii="Arial" w:hAnsi="Arial" w:cs="Arial"/>
              </w:rPr>
              <w:t>While it does not specifically cross-reference the standard Alabama guardianship statute, this provision does not set forth separate and specific procedures for the appointment of a guardian. The impact of the two provisions above on guardianship for persons with I</w:t>
            </w:r>
            <w:r w:rsidR="002151E7" w:rsidRPr="00F618D8">
              <w:rPr>
                <w:rFonts w:ascii="Arial" w:hAnsi="Arial" w:cs="Arial"/>
              </w:rPr>
              <w:t>D</w:t>
            </w:r>
            <w:r w:rsidRPr="00F618D8">
              <w:rPr>
                <w:rFonts w:ascii="Arial" w:hAnsi="Arial" w:cs="Arial"/>
              </w:rPr>
              <w:t xml:space="preserve">/DD is not evident from the text. </w:t>
            </w:r>
          </w:p>
        </w:tc>
      </w:tr>
      <w:tr w:rsidR="009F790B" w:rsidRPr="00F618D8" w14:paraId="232DBEB7" w14:textId="77777777" w:rsidTr="004F301D">
        <w:tc>
          <w:tcPr>
            <w:tcW w:w="2515" w:type="dxa"/>
          </w:tcPr>
          <w:p w14:paraId="1CCBACAE" w14:textId="77777777" w:rsidR="00303A2F" w:rsidRPr="00F618D8" w:rsidRDefault="00303A2F" w:rsidP="00CD5808">
            <w:pPr>
              <w:pStyle w:val="TableBody"/>
              <w:rPr>
                <w:rFonts w:ascii="Arial" w:hAnsi="Arial" w:cs="Arial"/>
                <w:b/>
                <w:lang w:val="fr-FR"/>
              </w:rPr>
            </w:pPr>
            <w:r w:rsidRPr="00F618D8">
              <w:rPr>
                <w:rFonts w:ascii="Arial" w:hAnsi="Arial" w:cs="Arial"/>
                <w:b/>
                <w:lang w:val="fr-FR"/>
              </w:rPr>
              <w:lastRenderedPageBreak/>
              <w:t>Arizona</w:t>
            </w:r>
          </w:p>
          <w:p w14:paraId="4CAC5B90" w14:textId="77777777" w:rsidR="00303A2F" w:rsidRPr="00F618D8" w:rsidRDefault="00303A2F" w:rsidP="00CD5808">
            <w:pPr>
              <w:pStyle w:val="TableBody"/>
              <w:rPr>
                <w:rFonts w:ascii="Arial" w:hAnsi="Arial" w:cs="Arial"/>
                <w:lang w:val="fr-FR"/>
              </w:rPr>
            </w:pPr>
            <w:r w:rsidRPr="00F618D8">
              <w:rPr>
                <w:rFonts w:ascii="Arial" w:hAnsi="Arial" w:cs="Arial"/>
                <w:lang w:val="fr-FR"/>
              </w:rPr>
              <w:t>Ariz. Rev. Stat. § 36-564 et seq.</w:t>
            </w:r>
          </w:p>
          <w:p w14:paraId="67AC0C5B" w14:textId="77777777" w:rsidR="00303A2F" w:rsidRPr="00F618D8" w:rsidRDefault="00303A2F" w:rsidP="00E141D3">
            <w:pPr>
              <w:pStyle w:val="TableBody"/>
              <w:rPr>
                <w:rFonts w:ascii="Arial" w:eastAsia="Arial" w:hAnsi="Arial" w:cs="Arial"/>
              </w:rPr>
            </w:pPr>
          </w:p>
        </w:tc>
        <w:tc>
          <w:tcPr>
            <w:tcW w:w="6930" w:type="dxa"/>
          </w:tcPr>
          <w:p w14:paraId="4E62DEE4" w14:textId="77777777" w:rsidR="00303A2F" w:rsidRPr="00F618D8" w:rsidRDefault="00303A2F" w:rsidP="00CD5808">
            <w:pPr>
              <w:pStyle w:val="ListParagraph"/>
              <w:rPr>
                <w:rFonts w:ascii="Arial" w:hAnsi="Arial" w:cs="Arial"/>
              </w:rPr>
            </w:pPr>
            <w:r w:rsidRPr="00F618D8">
              <w:rPr>
                <w:rFonts w:ascii="Arial" w:hAnsi="Arial" w:cs="Arial"/>
              </w:rPr>
              <w:t>Appointed under and governed by the same procedures, with clarification that guardianship and conservatorship “shall be utilized only as necessary to promote the well-being of the individual . . . and shall be ordered only to the extent necessitated by the individual’s actual mental, physical and adaptive limitations.”</w:t>
            </w:r>
          </w:p>
          <w:p w14:paraId="420DB6E1" w14:textId="77777777" w:rsidR="00303A2F" w:rsidRPr="00F618D8" w:rsidRDefault="00303A2F" w:rsidP="00CD5808">
            <w:pPr>
              <w:pStyle w:val="ListParagraph"/>
              <w:rPr>
                <w:rFonts w:ascii="Arial" w:hAnsi="Arial" w:cs="Arial"/>
              </w:rPr>
            </w:pPr>
            <w:r w:rsidRPr="00F618D8">
              <w:rPr>
                <w:rFonts w:ascii="Arial" w:hAnsi="Arial" w:cs="Arial"/>
              </w:rPr>
              <w:t xml:space="preserve">Department of Economic Security may request the appointment of a guardian if it feels a guardian would be in the person’s best interest. When no one is available to act as the guardian, the Department must notify the public fiduciary in the county where the person receives services </w:t>
            </w:r>
            <w:r w:rsidRPr="00F618D8">
              <w:rPr>
                <w:rFonts w:ascii="Arial" w:hAnsi="Arial" w:cs="Arial"/>
              </w:rPr>
              <w:lastRenderedPageBreak/>
              <w:t xml:space="preserve">of “the need for a guardian.” </w:t>
            </w:r>
          </w:p>
        </w:tc>
      </w:tr>
      <w:tr w:rsidR="009F790B" w:rsidRPr="00F618D8" w14:paraId="0B2299B1" w14:textId="77777777" w:rsidTr="004F301D">
        <w:tc>
          <w:tcPr>
            <w:tcW w:w="2515" w:type="dxa"/>
          </w:tcPr>
          <w:p w14:paraId="2CFA3851" w14:textId="77777777" w:rsidR="00303A2F" w:rsidRPr="00F618D8" w:rsidRDefault="00303A2F" w:rsidP="00CD5808">
            <w:pPr>
              <w:pStyle w:val="TableBody"/>
              <w:rPr>
                <w:rFonts w:ascii="Arial" w:hAnsi="Arial" w:cs="Arial"/>
                <w:b/>
              </w:rPr>
            </w:pPr>
            <w:r w:rsidRPr="00F618D8">
              <w:rPr>
                <w:rFonts w:ascii="Arial" w:hAnsi="Arial" w:cs="Arial"/>
                <w:b/>
              </w:rPr>
              <w:lastRenderedPageBreak/>
              <w:t>California</w:t>
            </w:r>
          </w:p>
          <w:p w14:paraId="164F39FE" w14:textId="77777777" w:rsidR="00303A2F" w:rsidRPr="00F618D8" w:rsidRDefault="00303A2F" w:rsidP="00CD5808">
            <w:pPr>
              <w:pStyle w:val="TableBody"/>
              <w:rPr>
                <w:rFonts w:ascii="Arial" w:hAnsi="Arial" w:cs="Arial"/>
              </w:rPr>
            </w:pPr>
            <w:r w:rsidRPr="00F618D8">
              <w:rPr>
                <w:rFonts w:ascii="Arial" w:hAnsi="Arial" w:cs="Arial"/>
              </w:rPr>
              <w:t>Cal. Health &amp; Safety Code Div.1, Pt. 1, Ch. 2, Art. 7.5, §§416 to 416.23</w:t>
            </w:r>
          </w:p>
          <w:p w14:paraId="14C6156C" w14:textId="2A617F0A" w:rsidR="00303A2F" w:rsidRPr="00F618D8" w:rsidRDefault="00303A2F" w:rsidP="00CD5808">
            <w:pPr>
              <w:rPr>
                <w:rFonts w:ascii="Arial" w:eastAsia="Arial" w:hAnsi="Arial" w:cs="Arial"/>
              </w:rPr>
            </w:pPr>
          </w:p>
        </w:tc>
        <w:tc>
          <w:tcPr>
            <w:tcW w:w="6930" w:type="dxa"/>
          </w:tcPr>
          <w:p w14:paraId="0E309F36" w14:textId="77777777" w:rsidR="00303A2F" w:rsidRPr="00F618D8" w:rsidRDefault="00303A2F" w:rsidP="00CD5808">
            <w:pPr>
              <w:pStyle w:val="ListParagraph"/>
              <w:rPr>
                <w:rFonts w:ascii="Arial" w:hAnsi="Arial" w:cs="Arial"/>
              </w:rPr>
            </w:pPr>
            <w:r w:rsidRPr="00F618D8">
              <w:rPr>
                <w:rFonts w:ascii="Arial" w:hAnsi="Arial" w:cs="Arial"/>
              </w:rPr>
              <w:t>Governed by the same procedures, with main exceptions listed below.</w:t>
            </w:r>
          </w:p>
          <w:p w14:paraId="7A589F53" w14:textId="77777777" w:rsidR="00303A2F" w:rsidRPr="00F618D8" w:rsidRDefault="00303A2F" w:rsidP="00CD5808">
            <w:pPr>
              <w:pStyle w:val="ListParagraph"/>
              <w:rPr>
                <w:rFonts w:ascii="Arial" w:hAnsi="Arial" w:cs="Arial"/>
              </w:rPr>
            </w:pPr>
            <w:r w:rsidRPr="00F618D8">
              <w:rPr>
                <w:rFonts w:ascii="Arial" w:hAnsi="Arial" w:cs="Arial"/>
              </w:rPr>
              <w:t xml:space="preserve">Provides that the court may appoint the Director Developmental Disabilities as guardian or conservator of the person and estate, stating that the typical order of preferences for that appointment do not apply. </w:t>
            </w:r>
          </w:p>
          <w:p w14:paraId="34E522A6" w14:textId="63DB3630" w:rsidR="00303A2F" w:rsidRPr="00F618D8" w:rsidRDefault="00303A2F" w:rsidP="00CD5808">
            <w:pPr>
              <w:pStyle w:val="ListParagraph"/>
              <w:rPr>
                <w:rFonts w:ascii="Arial" w:hAnsi="Arial" w:cs="Arial"/>
              </w:rPr>
            </w:pPr>
            <w:r w:rsidRPr="00F618D8">
              <w:rPr>
                <w:rFonts w:ascii="Arial" w:hAnsi="Arial" w:cs="Arial"/>
              </w:rPr>
              <w:t>Sets forth unique requirements for the Director, such (a) payment of a single official bond, rather than bonds per individual; (b) responsibilities to maintain close contact with the person, no matter where they live in the state; “act as a wise parent would act in caring for his developmentally disabled child”; and “permit and encourage maximum self-reliance” on the part of the person; (c) provide at least an annual review in writing of the physical, mental, and social condition of the person</w:t>
            </w:r>
            <w:r w:rsidR="00AA1F92" w:rsidRPr="00F618D8">
              <w:rPr>
                <w:rFonts w:ascii="Arial" w:hAnsi="Arial" w:cs="Arial"/>
              </w:rPr>
              <w:t xml:space="preserve">. </w:t>
            </w:r>
            <w:r w:rsidRPr="00F618D8">
              <w:rPr>
                <w:rFonts w:ascii="Arial" w:hAnsi="Arial" w:cs="Arial"/>
              </w:rPr>
              <w:t>The Director may receive reasonable fees for such services</w:t>
            </w:r>
            <w:r w:rsidR="000D0F75" w:rsidRPr="00F618D8">
              <w:rPr>
                <w:rFonts w:ascii="Arial" w:hAnsi="Arial" w:cs="Arial"/>
              </w:rPr>
              <w:t>.</w:t>
            </w:r>
          </w:p>
          <w:p w14:paraId="556EF892" w14:textId="77777777" w:rsidR="00303A2F" w:rsidRPr="00F618D8" w:rsidRDefault="00303A2F" w:rsidP="00CD5808">
            <w:pPr>
              <w:pStyle w:val="ListParagraph"/>
              <w:rPr>
                <w:rFonts w:ascii="Arial" w:hAnsi="Arial" w:cs="Arial"/>
              </w:rPr>
            </w:pPr>
            <w:r w:rsidRPr="00F618D8">
              <w:rPr>
                <w:rFonts w:ascii="Arial" w:hAnsi="Arial" w:cs="Arial"/>
              </w:rPr>
              <w:t>Provides additional requirement that regional centers provide the court with a “complete evaluation” of the person, including “current diagnosis of his physical condition prepared under the direction of a licensed medical practitioner and a report of his current mental condition and social adjustment prepared by a licensed and qualified social worker or psychologist</w:t>
            </w:r>
            <w:r w:rsidR="00AA1F92" w:rsidRPr="00F618D8">
              <w:rPr>
                <w:rFonts w:ascii="Arial" w:hAnsi="Arial" w:cs="Arial"/>
              </w:rPr>
              <w:t xml:space="preserve">.” </w:t>
            </w:r>
            <w:r w:rsidRPr="00F618D8">
              <w:rPr>
                <w:rFonts w:ascii="Arial" w:hAnsi="Arial" w:cs="Arial"/>
              </w:rPr>
              <w:t xml:space="preserve"> </w:t>
            </w:r>
          </w:p>
          <w:p w14:paraId="1D42D0B5" w14:textId="77777777" w:rsidR="00303A2F" w:rsidRPr="00F618D8" w:rsidRDefault="00303A2F" w:rsidP="00CD5808">
            <w:pPr>
              <w:pStyle w:val="ListParagraph"/>
              <w:rPr>
                <w:rFonts w:ascii="Arial" w:hAnsi="Arial" w:cs="Arial"/>
              </w:rPr>
            </w:pPr>
            <w:r w:rsidRPr="00F618D8">
              <w:rPr>
                <w:rFonts w:ascii="Arial" w:hAnsi="Arial" w:cs="Arial"/>
              </w:rPr>
              <w:t>Requires the court to appoint an attorney to represent the person if he or she does not have attorney, with the person paying the cost if able</w:t>
            </w:r>
            <w:r w:rsidR="00AA1F92" w:rsidRPr="00F618D8">
              <w:rPr>
                <w:rFonts w:ascii="Arial" w:hAnsi="Arial" w:cs="Arial"/>
              </w:rPr>
              <w:t xml:space="preserve">. </w:t>
            </w:r>
            <w:r w:rsidRPr="00F618D8">
              <w:rPr>
                <w:rFonts w:ascii="Arial" w:hAnsi="Arial" w:cs="Arial"/>
              </w:rPr>
              <w:t>In non-</w:t>
            </w:r>
            <w:r w:rsidR="007C0EA7" w:rsidRPr="00F618D8">
              <w:rPr>
                <w:rFonts w:ascii="Arial" w:hAnsi="Arial" w:cs="Arial"/>
              </w:rPr>
              <w:t>I</w:t>
            </w:r>
            <w:r w:rsidRPr="00F618D8">
              <w:rPr>
                <w:rFonts w:ascii="Arial" w:hAnsi="Arial" w:cs="Arial"/>
              </w:rPr>
              <w:t>D</w:t>
            </w:r>
            <w:r w:rsidR="00845E72" w:rsidRPr="00F618D8">
              <w:rPr>
                <w:rFonts w:ascii="Arial" w:hAnsi="Arial" w:cs="Arial"/>
              </w:rPr>
              <w:t>/D</w:t>
            </w:r>
            <w:r w:rsidRPr="00F618D8">
              <w:rPr>
                <w:rFonts w:ascii="Arial" w:hAnsi="Arial" w:cs="Arial"/>
              </w:rPr>
              <w:t>D cases, appointment of an attorney for the person is at the court</w:t>
            </w:r>
            <w:r w:rsidR="00091C2C" w:rsidRPr="00F618D8">
              <w:rPr>
                <w:rFonts w:ascii="Arial" w:hAnsi="Arial" w:cs="Arial"/>
              </w:rPr>
              <w:t>’</w:t>
            </w:r>
            <w:r w:rsidRPr="00F618D8">
              <w:rPr>
                <w:rFonts w:ascii="Arial" w:hAnsi="Arial" w:cs="Arial"/>
              </w:rPr>
              <w:t xml:space="preserve">s discretion, unless the person requests one. </w:t>
            </w:r>
          </w:p>
          <w:p w14:paraId="274D772A" w14:textId="77777777" w:rsidR="00303A2F" w:rsidRPr="00F618D8" w:rsidRDefault="00303A2F" w:rsidP="00CD5808">
            <w:pPr>
              <w:pStyle w:val="ListParagraph"/>
              <w:rPr>
                <w:rFonts w:ascii="Arial" w:hAnsi="Arial" w:cs="Arial"/>
              </w:rPr>
            </w:pPr>
            <w:r w:rsidRPr="00F618D8">
              <w:rPr>
                <w:rFonts w:ascii="Arial" w:hAnsi="Arial" w:cs="Arial"/>
              </w:rPr>
              <w:lastRenderedPageBreak/>
              <w:t>Allows for exceptions to person’s attendance at the hearing that</w:t>
            </w:r>
            <w:r w:rsidR="00594E4D" w:rsidRPr="00F618D8">
              <w:rPr>
                <w:rFonts w:ascii="Arial" w:hAnsi="Arial" w:cs="Arial"/>
              </w:rPr>
              <w:t xml:space="preserve"> is</w:t>
            </w:r>
            <w:r w:rsidRPr="00F618D8">
              <w:rPr>
                <w:rFonts w:ascii="Arial" w:hAnsi="Arial" w:cs="Arial"/>
              </w:rPr>
              <w:t xml:space="preserve"> similar to those in non-</w:t>
            </w:r>
            <w:r w:rsidR="007C0EA7" w:rsidRPr="00F618D8">
              <w:rPr>
                <w:rFonts w:ascii="Arial" w:hAnsi="Arial" w:cs="Arial"/>
              </w:rPr>
              <w:t>ID</w:t>
            </w:r>
            <w:r w:rsidR="00845E72" w:rsidRPr="00F618D8">
              <w:rPr>
                <w:rFonts w:ascii="Arial" w:hAnsi="Arial" w:cs="Arial"/>
              </w:rPr>
              <w:t>/</w:t>
            </w:r>
            <w:r w:rsidRPr="00F618D8">
              <w:rPr>
                <w:rFonts w:ascii="Arial" w:hAnsi="Arial" w:cs="Arial"/>
              </w:rPr>
              <w:t xml:space="preserve">DD cases. </w:t>
            </w:r>
          </w:p>
          <w:p w14:paraId="61E13DB4" w14:textId="77777777" w:rsidR="00303A2F" w:rsidRPr="00F618D8" w:rsidRDefault="00303A2F" w:rsidP="00CD5808">
            <w:pPr>
              <w:pStyle w:val="ListParagraph"/>
              <w:rPr>
                <w:rFonts w:ascii="Arial" w:hAnsi="Arial" w:cs="Arial"/>
              </w:rPr>
            </w:pPr>
            <w:r w:rsidRPr="00F618D8">
              <w:rPr>
                <w:rFonts w:ascii="Arial" w:hAnsi="Arial" w:cs="Arial"/>
              </w:rPr>
              <w:t>Requires that when a person will not be present at the hearing, that the psychologist or social worker who evaluated the person visit and “be prepared to testify as to his or her present condition.” However, the psychologist or social worker in question is required to consult the person to determine the person’s opinion concerning the appointment” and must be prepared to testify as to the “person’s opinion, if any.” In non-</w:t>
            </w:r>
            <w:r w:rsidR="007C0EA7" w:rsidRPr="00F618D8">
              <w:rPr>
                <w:rFonts w:ascii="Arial" w:hAnsi="Arial" w:cs="Arial"/>
              </w:rPr>
              <w:t>ID/</w:t>
            </w:r>
            <w:r w:rsidRPr="00F618D8">
              <w:rPr>
                <w:rFonts w:ascii="Arial" w:hAnsi="Arial" w:cs="Arial"/>
              </w:rPr>
              <w:t xml:space="preserve">DD cases, a court investigator is required to interview the person, petitioner(s), and proposed conservator(s), spouses/domestic partners, and certain relatives; make investigative findings; and submit a report to the court. </w:t>
            </w:r>
          </w:p>
          <w:p w14:paraId="19090C1E" w14:textId="77777777" w:rsidR="00303A2F" w:rsidRPr="00F618D8" w:rsidRDefault="00303A2F" w:rsidP="00CD5808">
            <w:pPr>
              <w:pStyle w:val="ListParagraph"/>
              <w:rPr>
                <w:rFonts w:ascii="Arial" w:hAnsi="Arial" w:cs="Arial"/>
              </w:rPr>
            </w:pPr>
            <w:r w:rsidRPr="00F618D8">
              <w:rPr>
                <w:rFonts w:ascii="Arial" w:hAnsi="Arial" w:cs="Arial"/>
              </w:rPr>
              <w:t>No costs or fees may be charged or received by the county clerk for any official services performed, including the filing of the conservatorship or guardianship petition.</w:t>
            </w:r>
          </w:p>
        </w:tc>
      </w:tr>
      <w:tr w:rsidR="009F790B" w:rsidRPr="00F618D8" w14:paraId="607D7C03" w14:textId="77777777" w:rsidTr="004F301D">
        <w:tc>
          <w:tcPr>
            <w:tcW w:w="2515" w:type="dxa"/>
          </w:tcPr>
          <w:p w14:paraId="3C3BABBD" w14:textId="77777777" w:rsidR="00303A2F" w:rsidRPr="00F618D8" w:rsidRDefault="00303A2F" w:rsidP="00CD5808">
            <w:pPr>
              <w:pStyle w:val="TableBody"/>
              <w:rPr>
                <w:rFonts w:ascii="Arial" w:hAnsi="Arial" w:cs="Arial"/>
                <w:b/>
              </w:rPr>
            </w:pPr>
            <w:r w:rsidRPr="00F618D8">
              <w:rPr>
                <w:rFonts w:ascii="Arial" w:hAnsi="Arial" w:cs="Arial"/>
                <w:b/>
              </w:rPr>
              <w:lastRenderedPageBreak/>
              <w:t>Connecticut</w:t>
            </w:r>
          </w:p>
          <w:p w14:paraId="58385217" w14:textId="77777777" w:rsidR="00303A2F" w:rsidRPr="00F618D8" w:rsidRDefault="00303A2F" w:rsidP="00CD5808">
            <w:pPr>
              <w:pStyle w:val="TableBody"/>
              <w:rPr>
                <w:rFonts w:ascii="Arial" w:hAnsi="Arial" w:cs="Arial"/>
              </w:rPr>
            </w:pPr>
            <w:r w:rsidRPr="00F618D8">
              <w:rPr>
                <w:rFonts w:ascii="Arial" w:hAnsi="Arial" w:cs="Arial"/>
              </w:rPr>
              <w:t>Conn. Gen. State Ann. 45a 802h §§-669 to -693</w:t>
            </w:r>
          </w:p>
          <w:p w14:paraId="03B233CC" w14:textId="77777777" w:rsidR="00303A2F" w:rsidRPr="00F618D8" w:rsidRDefault="00303A2F" w:rsidP="001A27F6">
            <w:pPr>
              <w:jc w:val="center"/>
              <w:rPr>
                <w:rFonts w:ascii="Arial" w:eastAsia="Arial" w:hAnsi="Arial" w:cs="Arial"/>
              </w:rPr>
            </w:pPr>
          </w:p>
        </w:tc>
        <w:tc>
          <w:tcPr>
            <w:tcW w:w="6930" w:type="dxa"/>
          </w:tcPr>
          <w:p w14:paraId="6679BAC0" w14:textId="77777777" w:rsidR="00303A2F" w:rsidRPr="00F618D8" w:rsidRDefault="00303A2F" w:rsidP="00CD5808">
            <w:pPr>
              <w:pStyle w:val="ListParagraph"/>
              <w:rPr>
                <w:rFonts w:ascii="Arial" w:hAnsi="Arial" w:cs="Arial"/>
              </w:rPr>
            </w:pPr>
            <w:r w:rsidRPr="00F618D8">
              <w:rPr>
                <w:rFonts w:ascii="Arial" w:hAnsi="Arial" w:cs="Arial"/>
              </w:rPr>
              <w:t>Intellectual disability diagnosis is part of standard for appointment of</w:t>
            </w:r>
            <w:r w:rsidR="0018301F" w:rsidRPr="00F618D8">
              <w:rPr>
                <w:rFonts w:ascii="Arial" w:hAnsi="Arial" w:cs="Arial"/>
              </w:rPr>
              <w:t xml:space="preserve"> a</w:t>
            </w:r>
            <w:r w:rsidRPr="00F618D8">
              <w:rPr>
                <w:rFonts w:ascii="Arial" w:hAnsi="Arial" w:cs="Arial"/>
              </w:rPr>
              <w:t xml:space="preserve"> guardian, but the person must also be found to be unable to meet essential requirements of physical health and safety and unable to make informed decisions about matters related to their care</w:t>
            </w:r>
            <w:r w:rsidR="00AA1F92" w:rsidRPr="00F618D8">
              <w:rPr>
                <w:rFonts w:ascii="Arial" w:hAnsi="Arial" w:cs="Arial"/>
              </w:rPr>
              <w:t xml:space="preserve">. </w:t>
            </w:r>
          </w:p>
          <w:p w14:paraId="66FE46F1" w14:textId="77777777" w:rsidR="00303A2F" w:rsidRPr="00F618D8" w:rsidRDefault="00303A2F" w:rsidP="00CD5808">
            <w:pPr>
              <w:pStyle w:val="ListParagraph"/>
              <w:rPr>
                <w:rFonts w:ascii="Arial" w:hAnsi="Arial" w:cs="Arial"/>
              </w:rPr>
            </w:pPr>
            <w:r w:rsidRPr="00F618D8">
              <w:rPr>
                <w:rFonts w:ascii="Arial" w:hAnsi="Arial" w:cs="Arial"/>
              </w:rPr>
              <w:t>There is a stronger requirement for counsel for the person “Unless the respondent is represented by counsel, the court shall immediately appoint counsel for the respondent” paid through the state if the person is indigent</w:t>
            </w:r>
            <w:r w:rsidR="00AA1F92" w:rsidRPr="00F618D8">
              <w:rPr>
                <w:rFonts w:ascii="Arial" w:hAnsi="Arial" w:cs="Arial"/>
              </w:rPr>
              <w:t xml:space="preserve">. </w:t>
            </w:r>
            <w:r w:rsidRPr="00F618D8">
              <w:rPr>
                <w:rFonts w:ascii="Arial" w:hAnsi="Arial" w:cs="Arial"/>
              </w:rPr>
              <w:t>The non-ID</w:t>
            </w:r>
            <w:r w:rsidR="007C0EA7" w:rsidRPr="00F618D8">
              <w:rPr>
                <w:rFonts w:ascii="Arial" w:hAnsi="Arial" w:cs="Arial"/>
              </w:rPr>
              <w:t>/DD</w:t>
            </w:r>
            <w:r w:rsidRPr="00F618D8">
              <w:rPr>
                <w:rFonts w:ascii="Arial" w:hAnsi="Arial" w:cs="Arial"/>
              </w:rPr>
              <w:t xml:space="preserve"> statute allows a person to knowingly waive counsel. </w:t>
            </w:r>
          </w:p>
          <w:p w14:paraId="43F47AAB" w14:textId="77777777" w:rsidR="00303A2F" w:rsidRPr="00F618D8" w:rsidRDefault="00303A2F" w:rsidP="00CD5808">
            <w:pPr>
              <w:pStyle w:val="ListParagraph"/>
              <w:rPr>
                <w:rFonts w:ascii="Arial" w:hAnsi="Arial" w:cs="Arial"/>
              </w:rPr>
            </w:pPr>
            <w:r w:rsidRPr="00F618D8">
              <w:rPr>
                <w:rFonts w:ascii="Arial" w:hAnsi="Arial" w:cs="Arial"/>
              </w:rPr>
              <w:t xml:space="preserve">The person will be present at the hearing, except that </w:t>
            </w:r>
            <w:r w:rsidRPr="00F618D8">
              <w:rPr>
                <w:rFonts w:ascii="Arial" w:hAnsi="Arial" w:cs="Arial"/>
                <w:sz w:val="20"/>
              </w:rPr>
              <w:t>“</w:t>
            </w:r>
            <w:r w:rsidRPr="00F618D8">
              <w:rPr>
                <w:rFonts w:ascii="Arial" w:hAnsi="Arial" w:cs="Arial"/>
              </w:rPr>
              <w:t xml:space="preserve">the court may exclude the respondent from such portions of the </w:t>
            </w:r>
            <w:r w:rsidRPr="00F618D8">
              <w:rPr>
                <w:rFonts w:ascii="Arial" w:hAnsi="Arial" w:cs="Arial"/>
              </w:rPr>
              <w:lastRenderedPageBreak/>
              <w:t>hearing at which testimony is given which the court determines would be seriously detrimental to his or her emotional or mental condition.”</w:t>
            </w:r>
          </w:p>
          <w:p w14:paraId="1512DA46" w14:textId="77777777" w:rsidR="00303A2F" w:rsidRPr="00F618D8" w:rsidRDefault="00303A2F" w:rsidP="00CD5808">
            <w:pPr>
              <w:pStyle w:val="ListParagraph"/>
              <w:rPr>
                <w:rFonts w:ascii="Arial" w:hAnsi="Arial" w:cs="Arial"/>
              </w:rPr>
            </w:pPr>
            <w:r w:rsidRPr="00F618D8">
              <w:rPr>
                <w:rFonts w:ascii="Arial" w:hAnsi="Arial" w:cs="Arial"/>
              </w:rPr>
              <w:t>The statute uses a “clear and convincing evidence” standard of proof</w:t>
            </w:r>
            <w:r w:rsidR="00AA1F92" w:rsidRPr="00F618D8">
              <w:rPr>
                <w:rFonts w:ascii="Arial" w:hAnsi="Arial" w:cs="Arial"/>
              </w:rPr>
              <w:t xml:space="preserve">. </w:t>
            </w:r>
          </w:p>
          <w:p w14:paraId="0F4C7557" w14:textId="77777777" w:rsidR="00303A2F" w:rsidRPr="00F618D8" w:rsidRDefault="00303A2F" w:rsidP="00CD5808">
            <w:pPr>
              <w:pStyle w:val="ListParagraph"/>
              <w:rPr>
                <w:rFonts w:ascii="Arial" w:hAnsi="Arial" w:cs="Arial"/>
              </w:rPr>
            </w:pPr>
            <w:r w:rsidRPr="00F618D8">
              <w:rPr>
                <w:rFonts w:ascii="Arial" w:hAnsi="Arial" w:cs="Arial"/>
              </w:rPr>
              <w:t>Neither plenary nor limited guardians can: (1) admit the person to a mental institution, except under specific provisions of law at 17a; (b) admit the person to any “training school or other facility provided for the care and training of persons with intellectual disability” if there is a conflict between the guardian and the protected person, or their next of kin; (c)</w:t>
            </w:r>
            <w:r w:rsidR="0018301F" w:rsidRPr="00F618D8">
              <w:rPr>
                <w:rFonts w:ascii="Arial" w:hAnsi="Arial" w:cs="Arial"/>
              </w:rPr>
              <w:t xml:space="preserve"> </w:t>
            </w:r>
            <w:r w:rsidRPr="00F618D8">
              <w:rPr>
                <w:rFonts w:ascii="Arial" w:hAnsi="Arial" w:cs="Arial"/>
              </w:rPr>
              <w:t xml:space="preserve">sterilize the person, perform “psychosurgery” on the person, terminate the protected person’s parental rights, prohibit the person’s marriage, or consent on the person’s behalf to the removal of an organ, except under specific provisions of law at 17a and 45a; (d) consent to any experimental medical procedure, except under specific circumstances in which the procedure is necessary to preserve the person’s life or endorsed by a court, an institutional review board, or the person’s physician. </w:t>
            </w:r>
          </w:p>
          <w:p w14:paraId="033E5025" w14:textId="77777777" w:rsidR="00303A2F" w:rsidRPr="00F618D8" w:rsidRDefault="00303A2F" w:rsidP="00CD5808">
            <w:pPr>
              <w:pStyle w:val="ListParagraph"/>
              <w:rPr>
                <w:rFonts w:ascii="Arial" w:hAnsi="Arial" w:cs="Arial"/>
              </w:rPr>
            </w:pPr>
            <w:r w:rsidRPr="00F618D8">
              <w:rPr>
                <w:rFonts w:ascii="Arial" w:hAnsi="Arial" w:cs="Arial"/>
              </w:rPr>
              <w:t>If the person is eligible for</w:t>
            </w:r>
            <w:r w:rsidR="007C0EA7" w:rsidRPr="00F618D8">
              <w:rPr>
                <w:rFonts w:ascii="Arial" w:hAnsi="Arial" w:cs="Arial"/>
              </w:rPr>
              <w:t xml:space="preserve"> Department of </w:t>
            </w:r>
            <w:r w:rsidR="00845E72" w:rsidRPr="00F618D8">
              <w:rPr>
                <w:rFonts w:ascii="Arial" w:hAnsi="Arial" w:cs="Arial"/>
              </w:rPr>
              <w:t>Disability</w:t>
            </w:r>
            <w:r w:rsidR="007C0EA7" w:rsidRPr="00F618D8">
              <w:rPr>
                <w:rFonts w:ascii="Arial" w:hAnsi="Arial" w:cs="Arial"/>
              </w:rPr>
              <w:t xml:space="preserve"> Services</w:t>
            </w:r>
            <w:r w:rsidR="000402C0" w:rsidRPr="00F618D8">
              <w:rPr>
                <w:rFonts w:ascii="Arial" w:hAnsi="Arial" w:cs="Arial"/>
              </w:rPr>
              <w:t xml:space="preserve"> (DDS)</w:t>
            </w:r>
            <w:r w:rsidRPr="00F618D8">
              <w:rPr>
                <w:rFonts w:ascii="Arial" w:hAnsi="Arial" w:cs="Arial"/>
              </w:rPr>
              <w:t xml:space="preserve"> s, a written report or testimony must be provided from a DDS assessment team on the severity of the ID</w:t>
            </w:r>
            <w:r w:rsidR="007C0EA7" w:rsidRPr="00F618D8">
              <w:rPr>
                <w:rFonts w:ascii="Arial" w:hAnsi="Arial" w:cs="Arial"/>
              </w:rPr>
              <w:t>/DD</w:t>
            </w:r>
            <w:r w:rsidRPr="00F618D8">
              <w:rPr>
                <w:rFonts w:ascii="Arial" w:hAnsi="Arial" w:cs="Arial"/>
              </w:rPr>
              <w:t xml:space="preserve"> and the specific areas, if any, where supervision and protection of a guardian is needed</w:t>
            </w:r>
            <w:r w:rsidR="00AA1F92" w:rsidRPr="00F618D8">
              <w:rPr>
                <w:rFonts w:ascii="Arial" w:hAnsi="Arial" w:cs="Arial"/>
              </w:rPr>
              <w:t xml:space="preserve">. </w:t>
            </w:r>
          </w:p>
          <w:p w14:paraId="08953E23" w14:textId="77777777" w:rsidR="00303A2F" w:rsidRPr="00F618D8" w:rsidRDefault="00303A2F" w:rsidP="00CD5808">
            <w:pPr>
              <w:pStyle w:val="ListParagraph"/>
              <w:rPr>
                <w:rFonts w:ascii="Arial" w:hAnsi="Arial" w:cs="Arial"/>
              </w:rPr>
            </w:pPr>
            <w:r w:rsidRPr="00F618D8">
              <w:rPr>
                <w:rFonts w:ascii="Arial" w:hAnsi="Arial" w:cs="Arial"/>
              </w:rPr>
              <w:t>The court is required to review each guardianship at least every three years and shall either continue, modify, or terminate the order of guardianship</w:t>
            </w:r>
            <w:r w:rsidR="00AA1F92" w:rsidRPr="00F618D8">
              <w:rPr>
                <w:rFonts w:ascii="Arial" w:hAnsi="Arial" w:cs="Arial"/>
              </w:rPr>
              <w:t xml:space="preserve">. </w:t>
            </w:r>
            <w:r w:rsidRPr="00F618D8">
              <w:rPr>
                <w:rFonts w:ascii="Arial" w:hAnsi="Arial" w:cs="Arial"/>
              </w:rPr>
              <w:t xml:space="preserve">Written reports on the </w:t>
            </w:r>
            <w:r w:rsidRPr="00F618D8">
              <w:rPr>
                <w:rFonts w:ascii="Arial" w:hAnsi="Arial" w:cs="Arial"/>
              </w:rPr>
              <w:lastRenderedPageBreak/>
              <w:t>condition of guardianship are required on the person’s condition, with less mandated reports for people within the severe or profound range of intellectual disability</w:t>
            </w:r>
            <w:r w:rsidR="00AA1F92" w:rsidRPr="00F618D8">
              <w:rPr>
                <w:rFonts w:ascii="Arial" w:hAnsi="Arial" w:cs="Arial"/>
              </w:rPr>
              <w:t xml:space="preserve">. </w:t>
            </w:r>
            <w:r w:rsidRPr="00F618D8">
              <w:rPr>
                <w:rFonts w:ascii="Arial" w:hAnsi="Arial" w:cs="Arial"/>
              </w:rPr>
              <w:t>The person has a right to counsel.</w:t>
            </w:r>
          </w:p>
        </w:tc>
      </w:tr>
      <w:tr w:rsidR="009F790B" w:rsidRPr="00F618D8" w14:paraId="7D8B5DD9" w14:textId="77777777" w:rsidTr="004F301D">
        <w:tc>
          <w:tcPr>
            <w:tcW w:w="2515" w:type="dxa"/>
          </w:tcPr>
          <w:p w14:paraId="490B71DF" w14:textId="77777777" w:rsidR="00303A2F" w:rsidRPr="00F618D8" w:rsidRDefault="00303A2F" w:rsidP="00CD5808">
            <w:pPr>
              <w:pStyle w:val="TableBody"/>
              <w:rPr>
                <w:rFonts w:ascii="Arial" w:hAnsi="Arial" w:cs="Arial"/>
                <w:b/>
              </w:rPr>
            </w:pPr>
            <w:r w:rsidRPr="00F618D8">
              <w:rPr>
                <w:rFonts w:ascii="Arial" w:hAnsi="Arial" w:cs="Arial"/>
                <w:b/>
              </w:rPr>
              <w:lastRenderedPageBreak/>
              <w:t>Florida</w:t>
            </w:r>
          </w:p>
          <w:p w14:paraId="571C4D0E" w14:textId="77777777" w:rsidR="00303A2F" w:rsidRPr="00F618D8" w:rsidRDefault="00303A2F" w:rsidP="00CD5808">
            <w:pPr>
              <w:pStyle w:val="TableBody"/>
              <w:rPr>
                <w:rFonts w:ascii="Arial" w:hAnsi="Arial" w:cs="Arial"/>
              </w:rPr>
            </w:pPr>
            <w:r w:rsidRPr="00F618D8">
              <w:rPr>
                <w:rFonts w:ascii="Arial" w:hAnsi="Arial" w:cs="Arial"/>
              </w:rPr>
              <w:t>Fla. Stat. Ann. §§ 393.12, 744.3085</w:t>
            </w:r>
          </w:p>
          <w:p w14:paraId="1F9183B5" w14:textId="048B9F27" w:rsidR="00303A2F" w:rsidRPr="00F618D8" w:rsidRDefault="00303A2F" w:rsidP="00CD5808">
            <w:pPr>
              <w:pStyle w:val="TableBody"/>
              <w:rPr>
                <w:rFonts w:ascii="Arial" w:hAnsi="Arial" w:cs="Arial"/>
              </w:rPr>
            </w:pPr>
          </w:p>
        </w:tc>
        <w:tc>
          <w:tcPr>
            <w:tcW w:w="6930" w:type="dxa"/>
          </w:tcPr>
          <w:p w14:paraId="2C766CDB" w14:textId="77777777" w:rsidR="00303A2F" w:rsidRPr="00F618D8" w:rsidRDefault="00303A2F" w:rsidP="00F5324F">
            <w:pPr>
              <w:pStyle w:val="ListParagraph"/>
              <w:rPr>
                <w:rFonts w:ascii="Arial" w:hAnsi="Arial" w:cs="Arial"/>
              </w:rPr>
            </w:pPr>
            <w:r w:rsidRPr="00F618D8">
              <w:rPr>
                <w:rFonts w:ascii="Arial" w:hAnsi="Arial" w:cs="Arial"/>
              </w:rPr>
              <w:t xml:space="preserve">Guardian advocates are only appointed for individuals with developmental disabilities. The court considers them a “less restrictive form of guardianship,” even though the guardian advocates have the same powers, duties, and responsibilities required of a guardian under chapter 744.” </w:t>
            </w:r>
          </w:p>
          <w:p w14:paraId="563AC694" w14:textId="77777777" w:rsidR="00303A2F" w:rsidRPr="00F618D8" w:rsidRDefault="00303A2F" w:rsidP="00F5324F">
            <w:pPr>
              <w:pStyle w:val="ListParagraph"/>
              <w:rPr>
                <w:rFonts w:ascii="Arial" w:hAnsi="Arial" w:cs="Arial"/>
              </w:rPr>
            </w:pPr>
            <w:r w:rsidRPr="00F618D8">
              <w:rPr>
                <w:rFonts w:ascii="Arial" w:hAnsi="Arial" w:cs="Arial"/>
              </w:rPr>
              <w:t>Guardian advocate may be appointed, without an adjudication of incapacity, if the person lacks some, but not all, decision</w:t>
            </w:r>
            <w:r w:rsidR="000402C0" w:rsidRPr="00F618D8">
              <w:rPr>
                <w:rFonts w:ascii="Arial" w:hAnsi="Arial" w:cs="Arial"/>
              </w:rPr>
              <w:t>-</w:t>
            </w:r>
            <w:r w:rsidRPr="00F618D8">
              <w:rPr>
                <w:rFonts w:ascii="Arial" w:hAnsi="Arial" w:cs="Arial"/>
              </w:rPr>
              <w:t xml:space="preserve">making capacity to take care of person or property or if the person voluntarily petitioned for appointment. The guardian advocate is qualified to act as a guardian with the same powers, duties, and responsibilities. </w:t>
            </w:r>
          </w:p>
          <w:p w14:paraId="27E0FE60" w14:textId="77777777" w:rsidR="00303A2F" w:rsidRPr="00F618D8" w:rsidRDefault="00303A2F" w:rsidP="00F5324F">
            <w:pPr>
              <w:pStyle w:val="ListParagraph"/>
              <w:rPr>
                <w:rFonts w:ascii="Arial" w:hAnsi="Arial" w:cs="Arial"/>
              </w:rPr>
            </w:pPr>
            <w:r w:rsidRPr="00F618D8">
              <w:rPr>
                <w:rFonts w:ascii="Arial" w:hAnsi="Arial" w:cs="Arial"/>
              </w:rPr>
              <w:t xml:space="preserve">Restoration of rights procedures are detailed under this subsection, but appear substantially similar to those in other guardianship statutes. </w:t>
            </w:r>
          </w:p>
        </w:tc>
      </w:tr>
      <w:tr w:rsidR="009F790B" w:rsidRPr="00F618D8" w14:paraId="3AA09156" w14:textId="77777777" w:rsidTr="004F301D">
        <w:tc>
          <w:tcPr>
            <w:tcW w:w="2515" w:type="dxa"/>
          </w:tcPr>
          <w:p w14:paraId="669C37C7" w14:textId="77777777" w:rsidR="00303A2F" w:rsidRPr="00F618D8" w:rsidRDefault="00303A2F" w:rsidP="00F5324F">
            <w:pPr>
              <w:pStyle w:val="TableBody"/>
              <w:rPr>
                <w:rFonts w:ascii="Arial" w:hAnsi="Arial" w:cs="Arial"/>
                <w:b/>
              </w:rPr>
            </w:pPr>
            <w:r w:rsidRPr="00F618D8">
              <w:rPr>
                <w:rFonts w:ascii="Arial" w:hAnsi="Arial" w:cs="Arial"/>
                <w:b/>
              </w:rPr>
              <w:t>Hawaii</w:t>
            </w:r>
          </w:p>
          <w:p w14:paraId="1214C781" w14:textId="77777777" w:rsidR="00303A2F" w:rsidRPr="00F618D8" w:rsidRDefault="00303A2F" w:rsidP="00F5324F">
            <w:pPr>
              <w:pStyle w:val="TableBody"/>
              <w:rPr>
                <w:rFonts w:ascii="Arial" w:hAnsi="Arial" w:cs="Arial"/>
              </w:rPr>
            </w:pPr>
            <w:r w:rsidRPr="00F618D8">
              <w:rPr>
                <w:rFonts w:ascii="Arial" w:hAnsi="Arial" w:cs="Arial"/>
              </w:rPr>
              <w:t>Haw. Rev. Stat. Ann. §§ 333F-11</w:t>
            </w:r>
          </w:p>
        </w:tc>
        <w:tc>
          <w:tcPr>
            <w:tcW w:w="6930" w:type="dxa"/>
          </w:tcPr>
          <w:p w14:paraId="42365D28" w14:textId="77777777" w:rsidR="00303A2F" w:rsidRPr="00F618D8" w:rsidRDefault="00303A2F" w:rsidP="00F5324F">
            <w:pPr>
              <w:pStyle w:val="ListParagraph"/>
              <w:rPr>
                <w:rFonts w:ascii="Arial" w:hAnsi="Arial" w:cs="Arial"/>
              </w:rPr>
            </w:pPr>
            <w:r w:rsidRPr="00F618D8">
              <w:rPr>
                <w:rFonts w:ascii="Arial" w:hAnsi="Arial" w:cs="Arial"/>
              </w:rPr>
              <w:t xml:space="preserve">Director of health may be appointed guardian of a person with an intellectual or developmental disability if: (a) there is no other suitable guardian; (b) the person is expected to need treatment in a residential facility; (c) the person was found “incapacitated” as defined in the guardianship statute; (d) the person is intellectually or developmentally disabled. </w:t>
            </w:r>
          </w:p>
        </w:tc>
      </w:tr>
      <w:tr w:rsidR="009F790B" w:rsidRPr="00F618D8" w14:paraId="12975070" w14:textId="77777777" w:rsidTr="004F301D">
        <w:tc>
          <w:tcPr>
            <w:tcW w:w="2515" w:type="dxa"/>
          </w:tcPr>
          <w:p w14:paraId="3CF466DC" w14:textId="77777777" w:rsidR="00303A2F" w:rsidRPr="00F618D8" w:rsidRDefault="00303A2F" w:rsidP="00F5324F">
            <w:pPr>
              <w:pStyle w:val="TableBody"/>
              <w:rPr>
                <w:rFonts w:ascii="Arial" w:hAnsi="Arial" w:cs="Arial"/>
                <w:b/>
                <w:lang w:val="fr-FR"/>
              </w:rPr>
            </w:pPr>
            <w:r w:rsidRPr="00F618D8">
              <w:rPr>
                <w:rFonts w:ascii="Arial" w:hAnsi="Arial" w:cs="Arial"/>
                <w:b/>
                <w:lang w:val="fr-FR"/>
              </w:rPr>
              <w:t>Idaho</w:t>
            </w:r>
          </w:p>
          <w:p w14:paraId="071ADEDE" w14:textId="77777777" w:rsidR="00303A2F" w:rsidRPr="00F618D8" w:rsidRDefault="00303A2F" w:rsidP="00F5324F">
            <w:pPr>
              <w:pStyle w:val="TableBody"/>
              <w:rPr>
                <w:rFonts w:ascii="Arial" w:hAnsi="Arial" w:cs="Arial"/>
                <w:lang w:val="fr-FR"/>
              </w:rPr>
            </w:pPr>
            <w:r w:rsidRPr="00F618D8">
              <w:rPr>
                <w:rFonts w:ascii="Arial" w:hAnsi="Arial" w:cs="Arial"/>
                <w:lang w:val="fr-FR"/>
              </w:rPr>
              <w:t>Idaho Code Ann § 66-404 et seq.</w:t>
            </w:r>
          </w:p>
          <w:p w14:paraId="2CE48F11" w14:textId="77777777" w:rsidR="00303A2F" w:rsidRPr="00F618D8" w:rsidRDefault="00303A2F" w:rsidP="001A27F6">
            <w:pPr>
              <w:jc w:val="center"/>
              <w:rPr>
                <w:rFonts w:ascii="Arial" w:eastAsia="Arial" w:hAnsi="Arial" w:cs="Arial"/>
                <w:lang w:val="fr-FR"/>
              </w:rPr>
            </w:pPr>
          </w:p>
        </w:tc>
        <w:tc>
          <w:tcPr>
            <w:tcW w:w="6930" w:type="dxa"/>
          </w:tcPr>
          <w:p w14:paraId="57513D4A" w14:textId="77777777" w:rsidR="00303A2F" w:rsidRPr="00F618D8" w:rsidRDefault="00303A2F" w:rsidP="00F5324F">
            <w:pPr>
              <w:pStyle w:val="ListParagraph"/>
              <w:rPr>
                <w:rFonts w:ascii="Arial" w:hAnsi="Arial" w:cs="Arial"/>
              </w:rPr>
            </w:pPr>
            <w:r w:rsidRPr="00F618D8">
              <w:rPr>
                <w:rFonts w:ascii="Arial" w:hAnsi="Arial" w:cs="Arial"/>
              </w:rPr>
              <w:lastRenderedPageBreak/>
              <w:t xml:space="preserve">Determination of the presence of a developmental disability is part </w:t>
            </w:r>
            <w:r w:rsidR="005A7962" w:rsidRPr="00F618D8">
              <w:rPr>
                <w:rFonts w:ascii="Arial" w:hAnsi="Arial" w:cs="Arial"/>
              </w:rPr>
              <w:t xml:space="preserve">of </w:t>
            </w:r>
            <w:r w:rsidRPr="00F618D8">
              <w:rPr>
                <w:rFonts w:ascii="Arial" w:hAnsi="Arial" w:cs="Arial"/>
              </w:rPr>
              <w:t xml:space="preserve">the required findings for appointment of a guardian, but so is the person’s “ability to meet essential </w:t>
            </w:r>
            <w:r w:rsidRPr="00F618D8">
              <w:rPr>
                <w:rFonts w:ascii="Arial" w:hAnsi="Arial" w:cs="Arial"/>
              </w:rPr>
              <w:lastRenderedPageBreak/>
              <w:t xml:space="preserve">requirements of physical health or safety and manage financial resources.” </w:t>
            </w:r>
            <w:r w:rsidR="00A01D00" w:rsidRPr="00F618D8">
              <w:rPr>
                <w:rFonts w:ascii="Arial" w:hAnsi="Arial" w:cs="Arial"/>
              </w:rPr>
              <w:t xml:space="preserve">Additionally, </w:t>
            </w:r>
            <w:r w:rsidRPr="00F618D8">
              <w:rPr>
                <w:rFonts w:ascii="Arial" w:hAnsi="Arial" w:cs="Arial"/>
              </w:rPr>
              <w:t xml:space="preserve">, “developmental disability” is defined in such a way that substantial adaptive functioning services and a continuing need for services are part of the definition. </w:t>
            </w:r>
          </w:p>
          <w:p w14:paraId="62A92FF9" w14:textId="77777777" w:rsidR="00303A2F" w:rsidRPr="00F618D8" w:rsidRDefault="00303A2F" w:rsidP="00F5324F">
            <w:pPr>
              <w:pStyle w:val="ListParagraph"/>
              <w:rPr>
                <w:rFonts w:ascii="Arial" w:hAnsi="Arial" w:cs="Arial"/>
              </w:rPr>
            </w:pPr>
            <w:r w:rsidRPr="00F618D8">
              <w:rPr>
                <w:rFonts w:ascii="Arial" w:hAnsi="Arial" w:cs="Arial"/>
              </w:rPr>
              <w:t xml:space="preserve">Institutional commitment proceedings and guardianship appointment procedures are part of the same series of statutes entitled “Treatment and Care of the Developmentally Disabled.” </w:t>
            </w:r>
          </w:p>
          <w:p w14:paraId="0FA25979" w14:textId="77777777" w:rsidR="00303A2F" w:rsidRPr="00F618D8" w:rsidRDefault="00303A2F" w:rsidP="00F5324F">
            <w:pPr>
              <w:pStyle w:val="ListParagraph"/>
              <w:rPr>
                <w:rFonts w:ascii="Arial" w:hAnsi="Arial" w:cs="Arial"/>
              </w:rPr>
            </w:pPr>
            <w:r w:rsidRPr="00F618D8">
              <w:rPr>
                <w:rFonts w:ascii="Arial" w:hAnsi="Arial" w:cs="Arial"/>
              </w:rPr>
              <w:t>Legislative intent that “the citizens of Idaho who have developmental disabilities are entitled to be diagnosed, cared for, and treated in a manner consistent with their legal rights in a manner no more restrictive than for their protection and the protection of society, for a period no longer than reasonably necessary for diagnosis, care, treatment and protection, and to remain at liberty or be cared for privately except when necessary for their protection or the protection of society.”</w:t>
            </w:r>
          </w:p>
          <w:p w14:paraId="624F2DA7" w14:textId="77777777" w:rsidR="00303A2F" w:rsidRPr="00F618D8" w:rsidRDefault="00303A2F" w:rsidP="00F5324F">
            <w:pPr>
              <w:pStyle w:val="ListParagraph"/>
              <w:rPr>
                <w:rFonts w:ascii="Arial" w:hAnsi="Arial" w:cs="Arial"/>
              </w:rPr>
            </w:pPr>
            <w:r w:rsidRPr="00F618D8">
              <w:rPr>
                <w:rFonts w:ascii="Arial" w:hAnsi="Arial" w:cs="Arial"/>
              </w:rPr>
              <w:t>Evaluation committee must be appointed to evaluate the individual’s needs for a guardian and the appropriateness of the potential guardianship</w:t>
            </w:r>
            <w:r w:rsidR="00AA1F92" w:rsidRPr="00F618D8">
              <w:rPr>
                <w:rFonts w:ascii="Arial" w:hAnsi="Arial" w:cs="Arial"/>
              </w:rPr>
              <w:t xml:space="preserve">. </w:t>
            </w:r>
            <w:r w:rsidRPr="00F618D8">
              <w:rPr>
                <w:rFonts w:ascii="Arial" w:hAnsi="Arial" w:cs="Arial"/>
              </w:rPr>
              <w:t xml:space="preserve">The committee is made up of persons associated with the Idaho Department of Health and Welfare’s Bureau of Developmental Disabilities Services. In its report, the committee should state what specific skills the person has and suggest ways to limit the guardian, among other things. </w:t>
            </w:r>
          </w:p>
        </w:tc>
      </w:tr>
      <w:tr w:rsidR="009F790B" w:rsidRPr="00F618D8" w14:paraId="72A8F534" w14:textId="77777777" w:rsidTr="004F301D">
        <w:tc>
          <w:tcPr>
            <w:tcW w:w="2515" w:type="dxa"/>
          </w:tcPr>
          <w:p w14:paraId="51F59A53" w14:textId="77777777" w:rsidR="00303A2F" w:rsidRPr="00F618D8" w:rsidRDefault="00303A2F" w:rsidP="00F5324F">
            <w:pPr>
              <w:pStyle w:val="TableBody"/>
              <w:rPr>
                <w:rFonts w:ascii="Arial" w:hAnsi="Arial" w:cs="Arial"/>
                <w:b/>
                <w:lang w:val="fr-FR"/>
              </w:rPr>
            </w:pPr>
            <w:r w:rsidRPr="00F618D8">
              <w:rPr>
                <w:rFonts w:ascii="Arial" w:hAnsi="Arial" w:cs="Arial"/>
                <w:b/>
                <w:lang w:val="fr-FR"/>
              </w:rPr>
              <w:lastRenderedPageBreak/>
              <w:t>Iowa</w:t>
            </w:r>
          </w:p>
          <w:p w14:paraId="562E407C" w14:textId="77777777" w:rsidR="00303A2F" w:rsidRPr="00F618D8" w:rsidRDefault="00303A2F" w:rsidP="00F5324F">
            <w:pPr>
              <w:pStyle w:val="TableBody"/>
              <w:rPr>
                <w:rFonts w:ascii="Arial" w:hAnsi="Arial" w:cs="Arial"/>
                <w:i/>
                <w:lang w:val="fr-FR"/>
              </w:rPr>
            </w:pPr>
            <w:r w:rsidRPr="00F618D8">
              <w:rPr>
                <w:rFonts w:ascii="Arial" w:hAnsi="Arial" w:cs="Arial"/>
                <w:lang w:val="fr-FR"/>
              </w:rPr>
              <w:t xml:space="preserve">Iowa Code §§ 222.34 </w:t>
            </w:r>
            <w:r w:rsidRPr="00F618D8">
              <w:rPr>
                <w:rFonts w:ascii="Arial" w:hAnsi="Arial" w:cs="Arial"/>
                <w:lang w:val="fr-FR"/>
              </w:rPr>
              <w:lastRenderedPageBreak/>
              <w:t>et seq.</w:t>
            </w:r>
          </w:p>
          <w:p w14:paraId="476CC930" w14:textId="77777777" w:rsidR="00303A2F" w:rsidRPr="00F618D8" w:rsidRDefault="00303A2F" w:rsidP="001A27F6">
            <w:pPr>
              <w:jc w:val="center"/>
              <w:rPr>
                <w:rFonts w:ascii="Arial" w:eastAsia="Arial" w:hAnsi="Arial" w:cs="Arial"/>
                <w:lang w:val="fr-FR"/>
              </w:rPr>
            </w:pPr>
          </w:p>
        </w:tc>
        <w:tc>
          <w:tcPr>
            <w:tcW w:w="6930" w:type="dxa"/>
          </w:tcPr>
          <w:p w14:paraId="336EFEBF" w14:textId="77777777" w:rsidR="00303A2F" w:rsidRPr="00F618D8" w:rsidRDefault="00303A2F" w:rsidP="00F5324F">
            <w:pPr>
              <w:pStyle w:val="ListParagraph"/>
              <w:rPr>
                <w:rFonts w:ascii="Arial" w:hAnsi="Arial" w:cs="Arial"/>
              </w:rPr>
            </w:pPr>
            <w:r w:rsidRPr="00F618D8">
              <w:rPr>
                <w:rFonts w:ascii="Arial" w:hAnsi="Arial" w:cs="Arial"/>
              </w:rPr>
              <w:lastRenderedPageBreak/>
              <w:t xml:space="preserve">Statutory provision states, “if a guardianship is proposed for a person with an intellectual disability, guardianship proceedings shall be initiated and conducted” pursuant to </w:t>
            </w:r>
            <w:r w:rsidRPr="00F618D8">
              <w:rPr>
                <w:rFonts w:ascii="Arial" w:hAnsi="Arial" w:cs="Arial"/>
              </w:rPr>
              <w:lastRenderedPageBreak/>
              <w:t xml:space="preserve">Iowa’s standard guardianship statute (Iowa Code § 222.34). </w:t>
            </w:r>
          </w:p>
          <w:p w14:paraId="442FA3BA" w14:textId="77777777" w:rsidR="00303A2F" w:rsidRPr="00F618D8" w:rsidRDefault="00303A2F" w:rsidP="00F5324F">
            <w:pPr>
              <w:pStyle w:val="ListParagraph"/>
              <w:rPr>
                <w:rFonts w:ascii="Arial" w:hAnsi="Arial" w:cs="Arial"/>
              </w:rPr>
            </w:pPr>
            <w:r w:rsidRPr="00F618D8">
              <w:rPr>
                <w:rFonts w:ascii="Arial" w:hAnsi="Arial" w:cs="Arial"/>
              </w:rPr>
              <w:t>However, “[i]f the court appoints a guardian based upon mental incapacity of the proposed ward because the proposed ward is a person with an intellectual disability . . . the court shall make a separate determination as to the ward’s competency to vote. The court shall find a ward incompetent to vote only upon determining that the person lacks sufficient mental capacity to comprehend and exercise the right to vote” (Iowa Code § 633.556(1)).</w:t>
            </w:r>
          </w:p>
        </w:tc>
      </w:tr>
      <w:tr w:rsidR="009F790B" w:rsidRPr="00F618D8" w14:paraId="06A96AFF" w14:textId="77777777" w:rsidTr="004F301D">
        <w:tc>
          <w:tcPr>
            <w:tcW w:w="2515" w:type="dxa"/>
          </w:tcPr>
          <w:p w14:paraId="56D3B58A" w14:textId="77777777" w:rsidR="00303A2F" w:rsidRPr="00F618D8" w:rsidRDefault="00303A2F" w:rsidP="00F5324F">
            <w:pPr>
              <w:pStyle w:val="TableBody"/>
              <w:rPr>
                <w:rFonts w:ascii="Arial" w:hAnsi="Arial" w:cs="Arial"/>
                <w:b/>
              </w:rPr>
            </w:pPr>
            <w:r w:rsidRPr="00F618D8">
              <w:rPr>
                <w:rFonts w:ascii="Arial" w:hAnsi="Arial" w:cs="Arial"/>
                <w:b/>
              </w:rPr>
              <w:lastRenderedPageBreak/>
              <w:t>Kentucky</w:t>
            </w:r>
          </w:p>
          <w:p w14:paraId="12E84D78" w14:textId="77777777" w:rsidR="00303A2F" w:rsidRPr="00F618D8" w:rsidRDefault="00303A2F" w:rsidP="00F5324F">
            <w:pPr>
              <w:pStyle w:val="TableBody"/>
              <w:rPr>
                <w:rFonts w:ascii="Arial" w:hAnsi="Arial" w:cs="Arial"/>
              </w:rPr>
            </w:pPr>
            <w:r w:rsidRPr="00F618D8">
              <w:rPr>
                <w:rFonts w:ascii="Arial" w:hAnsi="Arial" w:cs="Arial"/>
              </w:rPr>
              <w:t>Ky. Rev. Stat. Ann 33 §§ 387.550 to .880</w:t>
            </w:r>
          </w:p>
          <w:p w14:paraId="74F0C25E" w14:textId="77777777" w:rsidR="00303A2F" w:rsidRPr="00F618D8" w:rsidRDefault="00303A2F" w:rsidP="001A27F6">
            <w:pPr>
              <w:jc w:val="center"/>
              <w:rPr>
                <w:rFonts w:ascii="Arial" w:eastAsia="Arial" w:hAnsi="Arial" w:cs="Arial"/>
              </w:rPr>
            </w:pPr>
          </w:p>
        </w:tc>
        <w:tc>
          <w:tcPr>
            <w:tcW w:w="6930" w:type="dxa"/>
          </w:tcPr>
          <w:p w14:paraId="535D7ED1" w14:textId="77777777" w:rsidR="00303A2F" w:rsidRPr="00F618D8" w:rsidRDefault="00303A2F" w:rsidP="00F5324F">
            <w:pPr>
              <w:pStyle w:val="ListParagraph"/>
              <w:rPr>
                <w:rFonts w:ascii="Arial" w:hAnsi="Arial" w:cs="Arial"/>
              </w:rPr>
            </w:pPr>
            <w:r w:rsidRPr="00F618D8">
              <w:rPr>
                <w:rFonts w:ascii="Arial" w:hAnsi="Arial" w:cs="Arial"/>
              </w:rPr>
              <w:t>Kentucky’s “Guardianship and Conservatorship for Disabled Persons” refer</w:t>
            </w:r>
            <w:r w:rsidR="00BD49DF" w:rsidRPr="00F618D8">
              <w:rPr>
                <w:rFonts w:ascii="Arial" w:hAnsi="Arial" w:cs="Arial"/>
              </w:rPr>
              <w:t>s</w:t>
            </w:r>
            <w:r w:rsidRPr="00F618D8">
              <w:rPr>
                <w:rFonts w:ascii="Arial" w:hAnsi="Arial" w:cs="Arial"/>
              </w:rPr>
              <w:t xml:space="preserve"> to those who may be appointed a guardian as “having a legal disability</w:t>
            </w:r>
            <w:r w:rsidR="00AA1F92" w:rsidRPr="00F618D8">
              <w:rPr>
                <w:rFonts w:ascii="Arial" w:hAnsi="Arial" w:cs="Arial"/>
              </w:rPr>
              <w:t xml:space="preserve">.” </w:t>
            </w:r>
            <w:r w:rsidRPr="00F618D8">
              <w:rPr>
                <w:rFonts w:ascii="Arial" w:hAnsi="Arial" w:cs="Arial"/>
              </w:rPr>
              <w:t>The definition of “developmental disability” from the state’s general definitions of “disability” in this statute and uses the federal definition to define the former. However, nowhere else in the statute is the term “developmental disability” used, so it is not statutorily clear how this may impact people with ID/DD</w:t>
            </w:r>
            <w:r w:rsidR="00AA1F92" w:rsidRPr="00F618D8">
              <w:rPr>
                <w:rFonts w:ascii="Arial" w:hAnsi="Arial" w:cs="Arial"/>
              </w:rPr>
              <w:t xml:space="preserve">. </w:t>
            </w:r>
            <w:r w:rsidR="0067525C" w:rsidRPr="00F618D8">
              <w:rPr>
                <w:rFonts w:ascii="Arial" w:hAnsi="Arial" w:cs="Arial"/>
              </w:rPr>
              <w:t xml:space="preserve">Concerns may be raised </w:t>
            </w:r>
            <w:r w:rsidRPr="00F618D8">
              <w:rPr>
                <w:rFonts w:ascii="Arial" w:hAnsi="Arial" w:cs="Arial"/>
              </w:rPr>
              <w:t xml:space="preserve">that a person with a developmental disability could be presumed to need a guardian. </w:t>
            </w:r>
          </w:p>
          <w:p w14:paraId="44D6FCB4" w14:textId="77777777" w:rsidR="00303A2F" w:rsidRPr="00F618D8" w:rsidRDefault="00303A2F" w:rsidP="00F5324F">
            <w:pPr>
              <w:pStyle w:val="ListParagraph"/>
              <w:rPr>
                <w:rFonts w:ascii="Arial" w:hAnsi="Arial" w:cs="Arial"/>
              </w:rPr>
            </w:pPr>
            <w:r w:rsidRPr="00F618D8">
              <w:rPr>
                <w:rFonts w:ascii="Arial" w:hAnsi="Arial" w:cs="Arial"/>
              </w:rPr>
              <w:t>The Kentucky statute otherwise appears to pertain to all people with disabilities (who do not fall into some other category, such as minors or people under the jurisdiction of Veterans Affairs), rather than specifically people with I</w:t>
            </w:r>
            <w:r w:rsidR="00574157" w:rsidRPr="00F618D8">
              <w:rPr>
                <w:rFonts w:ascii="Arial" w:hAnsi="Arial" w:cs="Arial"/>
              </w:rPr>
              <w:t>D</w:t>
            </w:r>
            <w:r w:rsidRPr="00F618D8">
              <w:rPr>
                <w:rFonts w:ascii="Arial" w:hAnsi="Arial" w:cs="Arial"/>
              </w:rPr>
              <w:t>/DD</w:t>
            </w:r>
            <w:r w:rsidR="00AA1F92" w:rsidRPr="00F618D8">
              <w:rPr>
                <w:rFonts w:ascii="Arial" w:hAnsi="Arial" w:cs="Arial"/>
              </w:rPr>
              <w:t xml:space="preserve">. </w:t>
            </w:r>
          </w:p>
        </w:tc>
      </w:tr>
      <w:tr w:rsidR="009F790B" w:rsidRPr="00F618D8" w14:paraId="6A0B13AF" w14:textId="77777777" w:rsidTr="004F301D">
        <w:tc>
          <w:tcPr>
            <w:tcW w:w="2515" w:type="dxa"/>
          </w:tcPr>
          <w:p w14:paraId="2C7A77CE" w14:textId="77777777" w:rsidR="00303A2F" w:rsidRPr="00F618D8" w:rsidRDefault="00303A2F" w:rsidP="00F5324F">
            <w:pPr>
              <w:pStyle w:val="TableBody"/>
              <w:rPr>
                <w:rFonts w:ascii="Arial" w:hAnsi="Arial" w:cs="Arial"/>
                <w:b/>
              </w:rPr>
            </w:pPr>
            <w:r w:rsidRPr="00F618D8">
              <w:rPr>
                <w:rFonts w:ascii="Arial" w:hAnsi="Arial" w:cs="Arial"/>
                <w:b/>
              </w:rPr>
              <w:t>Michigan</w:t>
            </w:r>
          </w:p>
          <w:p w14:paraId="7152D208" w14:textId="77777777" w:rsidR="00303A2F" w:rsidRPr="00F618D8" w:rsidRDefault="00303A2F" w:rsidP="00F5324F">
            <w:pPr>
              <w:pStyle w:val="TableBody"/>
              <w:rPr>
                <w:rFonts w:ascii="Arial" w:hAnsi="Arial" w:cs="Arial"/>
              </w:rPr>
            </w:pPr>
            <w:r w:rsidRPr="00F618D8">
              <w:rPr>
                <w:rFonts w:ascii="Arial" w:hAnsi="Arial" w:cs="Arial"/>
              </w:rPr>
              <w:t xml:space="preserve">Mich. Comp Laws </w:t>
            </w:r>
            <w:r w:rsidRPr="00F618D8">
              <w:rPr>
                <w:rFonts w:ascii="Arial" w:hAnsi="Arial" w:cs="Arial"/>
              </w:rPr>
              <w:lastRenderedPageBreak/>
              <w:t>Ch. 4 330.1600 et seq.</w:t>
            </w:r>
          </w:p>
          <w:p w14:paraId="536FDFDF" w14:textId="77777777" w:rsidR="00303A2F" w:rsidRPr="00F618D8" w:rsidRDefault="00303A2F" w:rsidP="00F5324F">
            <w:pPr>
              <w:rPr>
                <w:rFonts w:ascii="Arial" w:eastAsia="Arial" w:hAnsi="Arial" w:cs="Arial"/>
              </w:rPr>
            </w:pPr>
          </w:p>
        </w:tc>
        <w:tc>
          <w:tcPr>
            <w:tcW w:w="6930" w:type="dxa"/>
          </w:tcPr>
          <w:p w14:paraId="05EC5AD0" w14:textId="77777777" w:rsidR="00303A2F" w:rsidRPr="00F618D8" w:rsidRDefault="00303A2F" w:rsidP="00F5324F">
            <w:pPr>
              <w:pStyle w:val="ListParagraph"/>
              <w:rPr>
                <w:rFonts w:ascii="Arial" w:hAnsi="Arial" w:cs="Arial"/>
              </w:rPr>
            </w:pPr>
            <w:r w:rsidRPr="00F618D8">
              <w:rPr>
                <w:rFonts w:ascii="Arial" w:hAnsi="Arial" w:cs="Arial"/>
              </w:rPr>
              <w:lastRenderedPageBreak/>
              <w:t xml:space="preserve">Guardianship of adults with </w:t>
            </w:r>
            <w:r w:rsidR="00574157" w:rsidRPr="00F618D8">
              <w:rPr>
                <w:rFonts w:ascii="Arial" w:hAnsi="Arial" w:cs="Arial"/>
              </w:rPr>
              <w:t>ID/</w:t>
            </w:r>
            <w:r w:rsidRPr="00F618D8">
              <w:rPr>
                <w:rFonts w:ascii="Arial" w:hAnsi="Arial" w:cs="Arial"/>
              </w:rPr>
              <w:t xml:space="preserve">DD can only be appointed under this chapter. </w:t>
            </w:r>
          </w:p>
          <w:p w14:paraId="57648726" w14:textId="77777777" w:rsidR="00303A2F" w:rsidRPr="00F618D8" w:rsidRDefault="00303A2F" w:rsidP="00F5324F">
            <w:pPr>
              <w:pStyle w:val="ListParagraph"/>
              <w:rPr>
                <w:rFonts w:ascii="Arial" w:hAnsi="Arial" w:cs="Arial"/>
              </w:rPr>
            </w:pPr>
            <w:r w:rsidRPr="00F618D8">
              <w:rPr>
                <w:rFonts w:ascii="Arial" w:hAnsi="Arial" w:cs="Arial"/>
              </w:rPr>
              <w:lastRenderedPageBreak/>
              <w:t>Petition must be accompanied by a report that contains (1) a description of the person's developmental disability, (b) current evaluations of the person's mental, physical, social, and educational condition, adaptive behavior, and social skills, (c) an opinion whether guardianship is needed, the type and scope of the guardianship, and the reasons for the guardianship, (d) a recommendation concerning appropriate rehabilitation and living arrangements, (e) the signatures of those who performed the evaluations, one being a physician or psychologist who is competent in evaluating persons with developmental disabilities, and (f) a list of the person's medications.</w:t>
            </w:r>
          </w:p>
          <w:p w14:paraId="46A18F60" w14:textId="77777777" w:rsidR="00303A2F" w:rsidRPr="00F618D8" w:rsidRDefault="00303A2F" w:rsidP="00F5324F">
            <w:pPr>
              <w:pStyle w:val="ListParagraph"/>
              <w:rPr>
                <w:rFonts w:ascii="Arial" w:hAnsi="Arial" w:cs="Arial"/>
              </w:rPr>
            </w:pPr>
            <w:r w:rsidRPr="00F618D8">
              <w:rPr>
                <w:rFonts w:ascii="Arial" w:hAnsi="Arial" w:cs="Arial"/>
              </w:rPr>
              <w:t>Appointment requires specific court findings on the record</w:t>
            </w:r>
            <w:r w:rsidR="00574157" w:rsidRPr="00F618D8">
              <w:rPr>
                <w:rFonts w:ascii="Arial" w:hAnsi="Arial" w:cs="Arial"/>
              </w:rPr>
              <w:t xml:space="preserve"> regarding </w:t>
            </w:r>
            <w:r w:rsidRPr="00F618D8">
              <w:rPr>
                <w:rFonts w:ascii="Arial" w:hAnsi="Arial" w:cs="Arial"/>
              </w:rPr>
              <w:t xml:space="preserve">the nature and extent of the person's impairment, the person's capacity to care for himself, the person's ability to manage his financial affairs, and the appropriateness of the proposed living arrangement. </w:t>
            </w:r>
          </w:p>
          <w:p w14:paraId="3F063629" w14:textId="77777777" w:rsidR="00303A2F" w:rsidRPr="00F618D8" w:rsidRDefault="00303A2F" w:rsidP="00F5324F">
            <w:pPr>
              <w:pStyle w:val="ListParagraph"/>
              <w:rPr>
                <w:rFonts w:ascii="Arial" w:hAnsi="Arial" w:cs="Arial"/>
              </w:rPr>
            </w:pPr>
            <w:r w:rsidRPr="00F618D8">
              <w:rPr>
                <w:rFonts w:ascii="Arial" w:hAnsi="Arial" w:cs="Arial"/>
              </w:rPr>
              <w:t xml:space="preserve">To appoint a guardian there must be a finding on the extent of the person’s ability to make and communicate “responsible decisions concerning his or her person.” It is not clear from the context what a “responsible decision” would be. </w:t>
            </w:r>
          </w:p>
          <w:p w14:paraId="6C588607" w14:textId="77777777" w:rsidR="00303A2F" w:rsidRPr="00F618D8" w:rsidRDefault="00303A2F" w:rsidP="00F5324F">
            <w:pPr>
              <w:pStyle w:val="ListParagraph"/>
              <w:rPr>
                <w:rFonts w:ascii="Arial" w:hAnsi="Arial" w:cs="Arial"/>
              </w:rPr>
            </w:pPr>
            <w:r w:rsidRPr="00F618D8">
              <w:rPr>
                <w:rFonts w:ascii="Arial" w:hAnsi="Arial" w:cs="Arial"/>
              </w:rPr>
              <w:t>Any limited guardianship established for developmentally disabled persons must be substantially and specifically limited in scope only to the extent necessitated by the individual's actual mental and adaptive limitations</w:t>
            </w:r>
            <w:r w:rsidR="00333D2E" w:rsidRPr="00F618D8">
              <w:rPr>
                <w:rFonts w:ascii="Arial" w:hAnsi="Arial" w:cs="Arial"/>
              </w:rPr>
              <w:t>.</w:t>
            </w:r>
          </w:p>
          <w:p w14:paraId="1B1AB128" w14:textId="77777777" w:rsidR="00303A2F" w:rsidRPr="00F618D8" w:rsidRDefault="00333D2E" w:rsidP="00F5324F">
            <w:pPr>
              <w:pStyle w:val="ListParagraph"/>
              <w:rPr>
                <w:rFonts w:ascii="Arial" w:hAnsi="Arial" w:cs="Arial"/>
              </w:rPr>
            </w:pPr>
            <w:r w:rsidRPr="00F618D8">
              <w:rPr>
                <w:rFonts w:ascii="Arial" w:hAnsi="Arial" w:cs="Arial"/>
              </w:rPr>
              <w:t>T</w:t>
            </w:r>
            <w:r w:rsidR="00303A2F" w:rsidRPr="00F618D8">
              <w:rPr>
                <w:rFonts w:ascii="Arial" w:hAnsi="Arial" w:cs="Arial"/>
              </w:rPr>
              <w:t>he probate court need</w:t>
            </w:r>
            <w:r w:rsidR="00E86641" w:rsidRPr="00F618D8">
              <w:rPr>
                <w:rFonts w:ascii="Arial" w:hAnsi="Arial" w:cs="Arial"/>
              </w:rPr>
              <w:t>s</w:t>
            </w:r>
            <w:r w:rsidR="00303A2F" w:rsidRPr="00F618D8">
              <w:rPr>
                <w:rFonts w:ascii="Arial" w:hAnsi="Arial" w:cs="Arial"/>
              </w:rPr>
              <w:t xml:space="preserve"> only give "due consideration" to the individual’s preference regarding the person to be appointed guardian, rather than being required to appoint </w:t>
            </w:r>
            <w:r w:rsidR="00303A2F" w:rsidRPr="00F618D8">
              <w:rPr>
                <w:rFonts w:ascii="Arial" w:hAnsi="Arial" w:cs="Arial"/>
              </w:rPr>
              <w:lastRenderedPageBreak/>
              <w:t>that designee unless he or she is unsuitable or unwilling to serve as guardian.</w:t>
            </w:r>
          </w:p>
        </w:tc>
      </w:tr>
      <w:tr w:rsidR="009F790B" w:rsidRPr="00F618D8" w14:paraId="11B36153" w14:textId="77777777" w:rsidTr="004F301D">
        <w:tc>
          <w:tcPr>
            <w:tcW w:w="2515" w:type="dxa"/>
          </w:tcPr>
          <w:p w14:paraId="45FF1DB4" w14:textId="77777777" w:rsidR="00303A2F" w:rsidRPr="00F618D8" w:rsidRDefault="00303A2F" w:rsidP="00F5324F">
            <w:pPr>
              <w:pStyle w:val="TableBody"/>
              <w:rPr>
                <w:rFonts w:ascii="Arial" w:hAnsi="Arial" w:cs="Arial"/>
                <w:b/>
                <w:lang w:val="fr-FR"/>
              </w:rPr>
            </w:pPr>
            <w:r w:rsidRPr="00F618D8">
              <w:rPr>
                <w:rFonts w:ascii="Arial" w:hAnsi="Arial" w:cs="Arial"/>
                <w:b/>
                <w:lang w:val="fr-FR"/>
              </w:rPr>
              <w:lastRenderedPageBreak/>
              <w:t>Minnesota</w:t>
            </w:r>
          </w:p>
          <w:p w14:paraId="67236944" w14:textId="77777777" w:rsidR="00303A2F" w:rsidRPr="00F618D8" w:rsidRDefault="00303A2F" w:rsidP="00F5324F">
            <w:pPr>
              <w:pStyle w:val="TableBody"/>
              <w:rPr>
                <w:rFonts w:ascii="Arial" w:hAnsi="Arial" w:cs="Arial"/>
                <w:lang w:val="fr-FR"/>
              </w:rPr>
            </w:pPr>
            <w:r w:rsidRPr="00F618D8">
              <w:rPr>
                <w:rFonts w:ascii="Arial" w:hAnsi="Arial" w:cs="Arial"/>
                <w:lang w:val="fr-FR"/>
              </w:rPr>
              <w:t>Minn. Stat. §§.252a.01-252a.21.</w:t>
            </w:r>
          </w:p>
          <w:p w14:paraId="502C4814" w14:textId="77777777" w:rsidR="00303A2F" w:rsidRPr="00E141D3" w:rsidRDefault="00303A2F" w:rsidP="006F4A50">
            <w:pPr>
              <w:pStyle w:val="TableBody"/>
              <w:rPr>
                <w:rFonts w:ascii="Arial" w:eastAsia="Arial" w:hAnsi="Arial" w:cs="Arial"/>
                <w:lang w:val="fr-FR"/>
              </w:rPr>
            </w:pPr>
          </w:p>
        </w:tc>
        <w:tc>
          <w:tcPr>
            <w:tcW w:w="6930" w:type="dxa"/>
          </w:tcPr>
          <w:p w14:paraId="4DD6079F" w14:textId="77777777" w:rsidR="00303A2F" w:rsidRPr="00F618D8" w:rsidRDefault="00303A2F" w:rsidP="00F5324F">
            <w:pPr>
              <w:pStyle w:val="ListParagraph"/>
              <w:rPr>
                <w:rFonts w:ascii="Arial" w:hAnsi="Arial" w:cs="Arial"/>
              </w:rPr>
            </w:pPr>
            <w:r w:rsidRPr="00F618D8">
              <w:rPr>
                <w:rFonts w:ascii="Arial" w:hAnsi="Arial" w:cs="Arial"/>
              </w:rPr>
              <w:t xml:space="preserve">Allows for the Commissioner of Human Services to be named as public guardian for an individual with a developmental disability if no other person is willing to become the person's guardian. </w:t>
            </w:r>
          </w:p>
          <w:p w14:paraId="26EF4F3B" w14:textId="77777777" w:rsidR="00303A2F" w:rsidRPr="00F618D8" w:rsidRDefault="00303A2F" w:rsidP="00F5324F">
            <w:pPr>
              <w:pStyle w:val="ListParagraph"/>
              <w:rPr>
                <w:rFonts w:ascii="Arial" w:hAnsi="Arial" w:cs="Arial"/>
              </w:rPr>
            </w:pPr>
            <w:r w:rsidRPr="00F618D8">
              <w:rPr>
                <w:rFonts w:ascii="Arial" w:hAnsi="Arial" w:cs="Arial"/>
              </w:rPr>
              <w:t xml:space="preserve">Whether the individual has a defined developmental disability is relevant to the proceedings. </w:t>
            </w:r>
          </w:p>
          <w:p w14:paraId="45BF5690" w14:textId="77777777" w:rsidR="00303A2F" w:rsidRPr="00F618D8" w:rsidRDefault="00303A2F" w:rsidP="00F5324F">
            <w:pPr>
              <w:pStyle w:val="ListParagraph"/>
              <w:rPr>
                <w:rFonts w:ascii="Arial" w:hAnsi="Arial" w:cs="Arial"/>
              </w:rPr>
            </w:pPr>
            <w:r w:rsidRPr="00F618D8">
              <w:rPr>
                <w:rFonts w:ascii="Arial" w:hAnsi="Arial" w:cs="Arial"/>
              </w:rPr>
              <w:t xml:space="preserve">For people subject to </w:t>
            </w:r>
            <w:r w:rsidR="00300D00" w:rsidRPr="00F618D8">
              <w:rPr>
                <w:rFonts w:ascii="Arial" w:hAnsi="Arial" w:cs="Arial"/>
              </w:rPr>
              <w:t>ID/</w:t>
            </w:r>
            <w:r w:rsidRPr="00F618D8">
              <w:rPr>
                <w:rFonts w:ascii="Arial" w:hAnsi="Arial" w:cs="Arial"/>
              </w:rPr>
              <w:t xml:space="preserve">DD guardianship, an annual review of physical, mental, and social adjustment and progress is required. </w:t>
            </w:r>
          </w:p>
          <w:p w14:paraId="58689AC4" w14:textId="77777777" w:rsidR="00303A2F" w:rsidRPr="00F618D8" w:rsidRDefault="00303A2F" w:rsidP="00F5324F">
            <w:pPr>
              <w:pStyle w:val="ListParagraph"/>
              <w:rPr>
                <w:rFonts w:ascii="Arial" w:hAnsi="Arial" w:cs="Arial"/>
              </w:rPr>
            </w:pPr>
            <w:r w:rsidRPr="00F618D8">
              <w:rPr>
                <w:rFonts w:ascii="Arial" w:hAnsi="Arial" w:cs="Arial"/>
              </w:rPr>
              <w:t xml:space="preserve">If the Commissioner determines the person no longer needs public guardianship, the commissioner or local agency shall petition the court to restore capacity and modify the court's previous order. </w:t>
            </w:r>
          </w:p>
          <w:p w14:paraId="400643D8" w14:textId="77777777" w:rsidR="00303A2F" w:rsidRPr="00F618D8" w:rsidRDefault="00303A2F" w:rsidP="00F5324F">
            <w:pPr>
              <w:pStyle w:val="ListParagraph"/>
              <w:rPr>
                <w:rFonts w:ascii="Arial" w:hAnsi="Arial" w:cs="Arial"/>
              </w:rPr>
            </w:pPr>
            <w:r w:rsidRPr="00F618D8">
              <w:rPr>
                <w:rFonts w:ascii="Arial" w:hAnsi="Arial" w:cs="Arial"/>
              </w:rPr>
              <w:t>The person has certain rights including the right to petition the court for termination or modification of the guardianship and to be represented by an attorney in any proceeding.</w:t>
            </w:r>
          </w:p>
          <w:p w14:paraId="4B658BDC" w14:textId="77777777" w:rsidR="00303A2F" w:rsidRPr="00F618D8" w:rsidRDefault="00303A2F" w:rsidP="00F5324F">
            <w:pPr>
              <w:pStyle w:val="ListParagraph"/>
              <w:rPr>
                <w:rFonts w:ascii="Arial" w:hAnsi="Arial" w:cs="Arial"/>
              </w:rPr>
            </w:pPr>
            <w:r w:rsidRPr="00F618D8">
              <w:rPr>
                <w:rFonts w:ascii="Arial" w:hAnsi="Arial" w:cs="Arial"/>
              </w:rPr>
              <w:t>As public guardian, the commissioner is required to take actions and make decisions on behalf of the person that encourage</w:t>
            </w:r>
            <w:r w:rsidR="00E86641" w:rsidRPr="00F618D8">
              <w:rPr>
                <w:rFonts w:ascii="Arial" w:hAnsi="Arial" w:cs="Arial"/>
              </w:rPr>
              <w:t>s</w:t>
            </w:r>
            <w:r w:rsidRPr="00F618D8">
              <w:rPr>
                <w:rFonts w:ascii="Arial" w:hAnsi="Arial" w:cs="Arial"/>
              </w:rPr>
              <w:t xml:space="preserve"> and allow</w:t>
            </w:r>
            <w:r w:rsidR="00E86641" w:rsidRPr="00F618D8">
              <w:rPr>
                <w:rFonts w:ascii="Arial" w:hAnsi="Arial" w:cs="Arial"/>
              </w:rPr>
              <w:t>s</w:t>
            </w:r>
            <w:r w:rsidRPr="00F618D8">
              <w:rPr>
                <w:rFonts w:ascii="Arial" w:hAnsi="Arial" w:cs="Arial"/>
              </w:rPr>
              <w:t xml:space="preserve"> the maximum level of independent functioning in a manner least restrictive to personal freedom “consistent with the need for supervision and protection” and permit and encourage maximum self-reliance and input by the person’s nearest relative.</w:t>
            </w:r>
          </w:p>
        </w:tc>
      </w:tr>
      <w:tr w:rsidR="009F790B" w:rsidRPr="00F618D8" w14:paraId="221C180A" w14:textId="77777777" w:rsidTr="004F301D">
        <w:tc>
          <w:tcPr>
            <w:tcW w:w="2515" w:type="dxa"/>
          </w:tcPr>
          <w:p w14:paraId="29A95DEF" w14:textId="77777777" w:rsidR="00303A2F" w:rsidRPr="00F618D8" w:rsidRDefault="00303A2F" w:rsidP="00F5324F">
            <w:pPr>
              <w:pStyle w:val="TableBody"/>
              <w:rPr>
                <w:rFonts w:ascii="Arial" w:hAnsi="Arial" w:cs="Arial"/>
                <w:b/>
              </w:rPr>
            </w:pPr>
            <w:r w:rsidRPr="00F618D8">
              <w:rPr>
                <w:rFonts w:ascii="Arial" w:hAnsi="Arial" w:cs="Arial"/>
              </w:rPr>
              <w:br w:type="page"/>
            </w:r>
            <w:r w:rsidRPr="00F618D8">
              <w:rPr>
                <w:rFonts w:ascii="Arial" w:hAnsi="Arial" w:cs="Arial"/>
                <w:b/>
              </w:rPr>
              <w:t>New York</w:t>
            </w:r>
          </w:p>
          <w:p w14:paraId="618556D0" w14:textId="77777777" w:rsidR="00303A2F" w:rsidRPr="00F618D8" w:rsidRDefault="00303A2F" w:rsidP="00F5324F">
            <w:pPr>
              <w:pStyle w:val="TableBody"/>
              <w:rPr>
                <w:rFonts w:ascii="Arial" w:hAnsi="Arial" w:cs="Arial"/>
              </w:rPr>
            </w:pPr>
            <w:r w:rsidRPr="00F618D8">
              <w:rPr>
                <w:rFonts w:ascii="Arial" w:hAnsi="Arial" w:cs="Arial"/>
              </w:rPr>
              <w:t>NY Surr. Ct. Pro. Act Law §§ 1750-1761</w:t>
            </w:r>
          </w:p>
          <w:p w14:paraId="33F19F72" w14:textId="77777777" w:rsidR="00303A2F" w:rsidRPr="00F618D8" w:rsidRDefault="00303A2F" w:rsidP="001A27F6">
            <w:pPr>
              <w:jc w:val="center"/>
              <w:rPr>
                <w:rFonts w:ascii="Arial" w:eastAsia="Arial" w:hAnsi="Arial" w:cs="Arial"/>
              </w:rPr>
            </w:pPr>
          </w:p>
        </w:tc>
        <w:tc>
          <w:tcPr>
            <w:tcW w:w="6930" w:type="dxa"/>
          </w:tcPr>
          <w:p w14:paraId="577EAFDB" w14:textId="77777777" w:rsidR="00303A2F" w:rsidRPr="00F618D8" w:rsidRDefault="00303A2F" w:rsidP="00F5324F">
            <w:pPr>
              <w:pStyle w:val="ListParagraph"/>
              <w:rPr>
                <w:rFonts w:ascii="Arial" w:hAnsi="Arial" w:cs="Arial"/>
              </w:rPr>
            </w:pPr>
            <w:r w:rsidRPr="00F618D8">
              <w:rPr>
                <w:rFonts w:ascii="Arial" w:hAnsi="Arial" w:cs="Arial"/>
              </w:rPr>
              <w:lastRenderedPageBreak/>
              <w:t xml:space="preserve">Appointments are driven by diagnosis (intellectual disability and developmental disability) rather than function, relying on a finding by health care professionals of the presence of </w:t>
            </w:r>
            <w:r w:rsidRPr="00F618D8">
              <w:rPr>
                <w:rFonts w:ascii="Arial" w:hAnsi="Arial" w:cs="Arial"/>
              </w:rPr>
              <w:lastRenderedPageBreak/>
              <w:t>certain developmental disabilities</w:t>
            </w:r>
            <w:r w:rsidR="002B1F05" w:rsidRPr="00F618D8">
              <w:rPr>
                <w:rFonts w:ascii="Arial" w:hAnsi="Arial" w:cs="Arial"/>
              </w:rPr>
              <w:t>.</w:t>
            </w:r>
          </w:p>
          <w:p w14:paraId="322D3D6D" w14:textId="77777777" w:rsidR="00303A2F" w:rsidRPr="00F618D8" w:rsidRDefault="00303A2F" w:rsidP="00F5324F">
            <w:pPr>
              <w:pStyle w:val="ListParagraph"/>
              <w:rPr>
                <w:rFonts w:ascii="Arial" w:hAnsi="Arial" w:cs="Arial"/>
              </w:rPr>
            </w:pPr>
            <w:r w:rsidRPr="00F618D8">
              <w:rPr>
                <w:rFonts w:ascii="Arial" w:hAnsi="Arial" w:cs="Arial"/>
              </w:rPr>
              <w:t>A hearing on the guardianship petition is not required in all cases</w:t>
            </w:r>
            <w:r w:rsidR="00AA1F92" w:rsidRPr="00F618D8">
              <w:rPr>
                <w:rFonts w:ascii="Arial" w:hAnsi="Arial" w:cs="Arial"/>
              </w:rPr>
              <w:t xml:space="preserve">. </w:t>
            </w:r>
            <w:r w:rsidRPr="00F618D8">
              <w:rPr>
                <w:rFonts w:ascii="Arial" w:hAnsi="Arial" w:cs="Arial"/>
              </w:rPr>
              <w:t>For guardianship brought by parents, or another person with the consent of the parents, the court may dispense with the hearing</w:t>
            </w:r>
            <w:r w:rsidR="00AA1F92" w:rsidRPr="00F618D8">
              <w:rPr>
                <w:rFonts w:ascii="Arial" w:hAnsi="Arial" w:cs="Arial"/>
              </w:rPr>
              <w:t xml:space="preserve">. </w:t>
            </w:r>
          </w:p>
          <w:p w14:paraId="0C9A4269" w14:textId="77777777" w:rsidR="00303A2F" w:rsidRPr="00F618D8" w:rsidRDefault="00303A2F" w:rsidP="00F5324F">
            <w:pPr>
              <w:pStyle w:val="ListParagraph"/>
              <w:rPr>
                <w:rFonts w:ascii="Arial" w:hAnsi="Arial" w:cs="Arial"/>
              </w:rPr>
            </w:pPr>
            <w:r w:rsidRPr="00F618D8">
              <w:rPr>
                <w:rFonts w:ascii="Arial" w:hAnsi="Arial" w:cs="Arial"/>
              </w:rPr>
              <w:t xml:space="preserve">Where there is a hearing, the person’s presence may be more easily dispensed (if “likely to result in physical harm,” or the person is “medically incapable” of attendance, or there are “such other circumstances which the court finds would not be in the best interest” of the person). </w:t>
            </w:r>
          </w:p>
          <w:p w14:paraId="14F27862" w14:textId="77777777" w:rsidR="00303A2F" w:rsidRPr="00F618D8" w:rsidRDefault="002B1F05" w:rsidP="00F5324F">
            <w:pPr>
              <w:pStyle w:val="ListParagraph"/>
              <w:rPr>
                <w:rFonts w:ascii="Arial" w:hAnsi="Arial" w:cs="Arial"/>
              </w:rPr>
            </w:pPr>
            <w:r w:rsidRPr="00F618D8">
              <w:rPr>
                <w:rFonts w:ascii="Arial" w:hAnsi="Arial" w:cs="Arial"/>
              </w:rPr>
              <w:t>The b</w:t>
            </w:r>
            <w:r w:rsidR="00303A2F" w:rsidRPr="00F618D8">
              <w:rPr>
                <w:rFonts w:ascii="Arial" w:hAnsi="Arial" w:cs="Arial"/>
              </w:rPr>
              <w:t>urden of proof is lower</w:t>
            </w:r>
            <w:r w:rsidR="00300D00" w:rsidRPr="00F618D8">
              <w:rPr>
                <w:rFonts w:ascii="Arial" w:hAnsi="Arial" w:cs="Arial"/>
              </w:rPr>
              <w:t>—</w:t>
            </w:r>
            <w:r w:rsidRPr="00F618D8">
              <w:rPr>
                <w:rFonts w:ascii="Arial" w:hAnsi="Arial" w:cs="Arial"/>
              </w:rPr>
              <w:t>u</w:t>
            </w:r>
            <w:r w:rsidR="00303A2F" w:rsidRPr="00F618D8">
              <w:rPr>
                <w:rFonts w:ascii="Arial" w:hAnsi="Arial" w:cs="Arial"/>
              </w:rPr>
              <w:t>nlike the non-</w:t>
            </w:r>
            <w:r w:rsidR="00300D00" w:rsidRPr="00F618D8">
              <w:rPr>
                <w:rFonts w:ascii="Arial" w:hAnsi="Arial" w:cs="Arial"/>
              </w:rPr>
              <w:t>ID/</w:t>
            </w:r>
            <w:r w:rsidR="00303A2F" w:rsidRPr="00F618D8">
              <w:rPr>
                <w:rFonts w:ascii="Arial" w:hAnsi="Arial" w:cs="Arial"/>
              </w:rPr>
              <w:t>DD statute (clear and convincing evidence of three-prong criteria)</w:t>
            </w:r>
            <w:r w:rsidRPr="00F618D8">
              <w:rPr>
                <w:rFonts w:ascii="Arial" w:hAnsi="Arial" w:cs="Arial"/>
              </w:rPr>
              <w:t xml:space="preserve"> —and </w:t>
            </w:r>
            <w:r w:rsidR="00303A2F" w:rsidRPr="00F618D8">
              <w:rPr>
                <w:rFonts w:ascii="Arial" w:hAnsi="Arial" w:cs="Arial"/>
              </w:rPr>
              <w:t xml:space="preserve">there is no indication of the burden of proof; </w:t>
            </w:r>
            <w:r w:rsidRPr="00F618D8">
              <w:rPr>
                <w:rFonts w:ascii="Arial" w:hAnsi="Arial" w:cs="Arial"/>
              </w:rPr>
              <w:t xml:space="preserve">and </w:t>
            </w:r>
            <w:r w:rsidR="00303A2F" w:rsidRPr="00F618D8">
              <w:rPr>
                <w:rFonts w:ascii="Arial" w:hAnsi="Arial" w:cs="Arial"/>
              </w:rPr>
              <w:t>as a civil proceeding, it is presumptively preponderance of the evidence.</w:t>
            </w:r>
          </w:p>
          <w:p w14:paraId="350110F5" w14:textId="77777777" w:rsidR="00303A2F" w:rsidRPr="00F618D8" w:rsidRDefault="002B1F05" w:rsidP="00F5324F">
            <w:pPr>
              <w:pStyle w:val="ListParagraph"/>
              <w:rPr>
                <w:rFonts w:ascii="Arial" w:hAnsi="Arial" w:cs="Arial"/>
              </w:rPr>
            </w:pPr>
            <w:r w:rsidRPr="00F618D8">
              <w:rPr>
                <w:rFonts w:ascii="Arial" w:hAnsi="Arial" w:cs="Arial"/>
              </w:rPr>
              <w:t>There is n</w:t>
            </w:r>
            <w:r w:rsidR="00303A2F" w:rsidRPr="00F618D8">
              <w:rPr>
                <w:rFonts w:ascii="Arial" w:hAnsi="Arial" w:cs="Arial"/>
              </w:rPr>
              <w:t>o clear right to counsel</w:t>
            </w:r>
            <w:r w:rsidRPr="00F618D8">
              <w:rPr>
                <w:rFonts w:ascii="Arial" w:hAnsi="Arial" w:cs="Arial"/>
              </w:rPr>
              <w:t>.</w:t>
            </w:r>
          </w:p>
          <w:p w14:paraId="04F45A2E" w14:textId="77777777" w:rsidR="00303A2F" w:rsidRPr="00F618D8" w:rsidRDefault="002B1F05" w:rsidP="00F5324F">
            <w:pPr>
              <w:pStyle w:val="ListParagraph"/>
              <w:rPr>
                <w:rFonts w:ascii="Arial" w:hAnsi="Arial" w:cs="Arial"/>
              </w:rPr>
            </w:pPr>
            <w:r w:rsidRPr="00F618D8">
              <w:rPr>
                <w:rFonts w:ascii="Arial" w:hAnsi="Arial" w:cs="Arial"/>
              </w:rPr>
              <w:t>There is no</w:t>
            </w:r>
            <w:r w:rsidR="00303A2F" w:rsidRPr="00F618D8">
              <w:rPr>
                <w:rFonts w:ascii="Arial" w:hAnsi="Arial" w:cs="Arial"/>
              </w:rPr>
              <w:t xml:space="preserve"> clear right to cross-examine</w:t>
            </w:r>
            <w:r w:rsidRPr="00F618D8">
              <w:rPr>
                <w:rFonts w:ascii="Arial" w:hAnsi="Arial" w:cs="Arial"/>
              </w:rPr>
              <w:t>.</w:t>
            </w:r>
          </w:p>
          <w:p w14:paraId="2D343BA7" w14:textId="77777777" w:rsidR="00303A2F" w:rsidRPr="00F618D8" w:rsidRDefault="002B1F05" w:rsidP="00F5324F">
            <w:pPr>
              <w:pStyle w:val="ListParagraph"/>
              <w:rPr>
                <w:rFonts w:ascii="Arial" w:hAnsi="Arial" w:cs="Arial"/>
              </w:rPr>
            </w:pPr>
            <w:r w:rsidRPr="00F618D8">
              <w:rPr>
                <w:rFonts w:ascii="Arial" w:hAnsi="Arial" w:cs="Arial"/>
              </w:rPr>
              <w:t>There is no</w:t>
            </w:r>
            <w:r w:rsidR="00303A2F" w:rsidRPr="00F618D8">
              <w:rPr>
                <w:rFonts w:ascii="Arial" w:hAnsi="Arial" w:cs="Arial"/>
              </w:rPr>
              <w:t xml:space="preserve"> requirement for court findings after a hearing</w:t>
            </w:r>
            <w:r w:rsidRPr="00F618D8">
              <w:rPr>
                <w:rFonts w:ascii="Arial" w:hAnsi="Arial" w:cs="Arial"/>
              </w:rPr>
              <w:t>.</w:t>
            </w:r>
          </w:p>
          <w:p w14:paraId="47E13E33" w14:textId="77777777" w:rsidR="00303A2F" w:rsidRPr="00F618D8" w:rsidRDefault="002B1F05" w:rsidP="00F5324F">
            <w:pPr>
              <w:pStyle w:val="ListParagraph"/>
              <w:rPr>
                <w:rFonts w:ascii="Arial" w:hAnsi="Arial" w:cs="Arial"/>
              </w:rPr>
            </w:pPr>
            <w:r w:rsidRPr="00F618D8">
              <w:rPr>
                <w:rFonts w:ascii="Arial" w:eastAsia="Arial" w:hAnsi="Arial" w:cs="Arial"/>
              </w:rPr>
              <w:t>There are no</w:t>
            </w:r>
            <w:r w:rsidR="00303A2F" w:rsidRPr="00F618D8">
              <w:rPr>
                <w:rFonts w:ascii="Arial" w:eastAsia="Arial" w:hAnsi="Arial" w:cs="Arial"/>
              </w:rPr>
              <w:t xml:space="preserve"> provisions for considerations to be taken by the court as to the eligibility and qualification of the guardian to be appointed.</w:t>
            </w:r>
          </w:p>
          <w:p w14:paraId="271BFDC6" w14:textId="77777777" w:rsidR="00303A2F" w:rsidRPr="00F618D8" w:rsidRDefault="00303A2F" w:rsidP="00F5324F">
            <w:pPr>
              <w:pStyle w:val="ListParagraph"/>
              <w:rPr>
                <w:rFonts w:ascii="Arial" w:hAnsi="Arial" w:cs="Arial"/>
              </w:rPr>
            </w:pPr>
            <w:r w:rsidRPr="00F618D8">
              <w:rPr>
                <w:rFonts w:ascii="Arial" w:eastAsia="Arial" w:hAnsi="Arial" w:cs="Arial"/>
              </w:rPr>
              <w:t>Upon determination of diagnosis and “best interest” finding, no less restrictive alternatives are required to be considered.</w:t>
            </w:r>
          </w:p>
          <w:p w14:paraId="77E36733" w14:textId="77777777" w:rsidR="00303A2F" w:rsidRPr="00F618D8" w:rsidRDefault="00303A2F" w:rsidP="00F5324F">
            <w:pPr>
              <w:pStyle w:val="ListParagraph"/>
              <w:rPr>
                <w:rFonts w:ascii="Arial" w:hAnsi="Arial" w:cs="Arial"/>
              </w:rPr>
            </w:pPr>
            <w:r w:rsidRPr="00F618D8">
              <w:rPr>
                <w:rFonts w:ascii="Arial" w:eastAsia="Arial" w:hAnsi="Arial" w:cs="Arial"/>
              </w:rPr>
              <w:t>Guardianship cannot be limited.</w:t>
            </w:r>
          </w:p>
          <w:p w14:paraId="69FAFA4C" w14:textId="77777777" w:rsidR="00303A2F" w:rsidRPr="00F618D8" w:rsidRDefault="002B1F05" w:rsidP="00F5324F">
            <w:pPr>
              <w:pStyle w:val="ListParagraph"/>
              <w:rPr>
                <w:rFonts w:ascii="Arial" w:hAnsi="Arial" w:cs="Arial"/>
              </w:rPr>
            </w:pPr>
            <w:r w:rsidRPr="00F618D8">
              <w:rPr>
                <w:rFonts w:ascii="Arial" w:eastAsia="Arial" w:hAnsi="Arial" w:cs="Arial"/>
              </w:rPr>
              <w:t>It o</w:t>
            </w:r>
            <w:r w:rsidR="00303A2F" w:rsidRPr="00F618D8">
              <w:rPr>
                <w:rFonts w:ascii="Arial" w:eastAsia="Arial" w:hAnsi="Arial" w:cs="Arial"/>
              </w:rPr>
              <w:t>nly requires annual financial reports by a guardian of property</w:t>
            </w:r>
            <w:r w:rsidRPr="00F618D8">
              <w:rPr>
                <w:rFonts w:ascii="Arial" w:eastAsia="Arial" w:hAnsi="Arial" w:cs="Arial"/>
              </w:rPr>
              <w:t>.</w:t>
            </w:r>
          </w:p>
          <w:p w14:paraId="5C612FAB" w14:textId="77777777" w:rsidR="00303A2F" w:rsidRPr="00F618D8" w:rsidRDefault="00303A2F" w:rsidP="00F5324F">
            <w:pPr>
              <w:pStyle w:val="ListParagraph"/>
              <w:rPr>
                <w:rFonts w:ascii="Arial" w:hAnsi="Arial" w:cs="Arial"/>
              </w:rPr>
            </w:pPr>
            <w:r w:rsidRPr="00F618D8">
              <w:rPr>
                <w:rFonts w:ascii="Arial" w:eastAsia="Arial" w:hAnsi="Arial" w:cs="Arial"/>
              </w:rPr>
              <w:t xml:space="preserve">Guardianship presumptively continues for the life of the person and can be modified to protect the person’s </w:t>
            </w:r>
            <w:r w:rsidRPr="00F618D8">
              <w:rPr>
                <w:rFonts w:ascii="Arial" w:eastAsia="Arial" w:hAnsi="Arial" w:cs="Arial"/>
              </w:rPr>
              <w:lastRenderedPageBreak/>
              <w:t xml:space="preserve">“financial situation and/or his or her personal interests” without a hearing. </w:t>
            </w:r>
          </w:p>
          <w:p w14:paraId="176E88D8" w14:textId="77777777" w:rsidR="00303A2F" w:rsidRPr="00F618D8" w:rsidRDefault="002B1F05" w:rsidP="00F5324F">
            <w:pPr>
              <w:pStyle w:val="ListParagraph"/>
              <w:rPr>
                <w:rFonts w:ascii="Arial" w:hAnsi="Arial" w:cs="Arial"/>
              </w:rPr>
            </w:pPr>
            <w:r w:rsidRPr="00F618D8">
              <w:rPr>
                <w:rFonts w:ascii="Arial" w:eastAsia="Arial" w:hAnsi="Arial" w:cs="Arial"/>
              </w:rPr>
              <w:t>The d</w:t>
            </w:r>
            <w:r w:rsidR="00303A2F" w:rsidRPr="00F618D8">
              <w:rPr>
                <w:rFonts w:ascii="Arial" w:eastAsia="Arial" w:hAnsi="Arial" w:cs="Arial"/>
              </w:rPr>
              <w:t>ecisions of a guardian are based on “best interest</w:t>
            </w:r>
            <w:r w:rsidRPr="00F618D8">
              <w:rPr>
                <w:rFonts w:ascii="Arial" w:eastAsia="Arial" w:hAnsi="Arial" w:cs="Arial"/>
              </w:rPr>
              <w:t>.</w:t>
            </w:r>
            <w:r w:rsidR="00303A2F" w:rsidRPr="00F618D8">
              <w:rPr>
                <w:rFonts w:ascii="Arial" w:eastAsia="Arial" w:hAnsi="Arial" w:cs="Arial"/>
              </w:rPr>
              <w:t xml:space="preserve">” </w:t>
            </w:r>
          </w:p>
          <w:p w14:paraId="06847228" w14:textId="77777777" w:rsidR="00303A2F" w:rsidRPr="00F618D8" w:rsidRDefault="00303A2F" w:rsidP="00F5324F">
            <w:pPr>
              <w:pStyle w:val="ListParagraph"/>
              <w:rPr>
                <w:rFonts w:ascii="Arial" w:eastAsia="Arial" w:hAnsi="Arial" w:cs="Arial"/>
              </w:rPr>
            </w:pPr>
            <w:r w:rsidRPr="00F618D8">
              <w:rPr>
                <w:rFonts w:ascii="Arial" w:eastAsia="Arial" w:hAnsi="Arial" w:cs="Arial"/>
              </w:rPr>
              <w:t>The guardian can make “any and all health care decisions” for the person with a disability</w:t>
            </w:r>
            <w:r w:rsidR="0017494A" w:rsidRPr="00F618D8">
              <w:rPr>
                <w:rFonts w:ascii="Arial" w:hAnsi="Arial" w:cs="Arial"/>
              </w:rPr>
              <w:t>—</w:t>
            </w:r>
            <w:r w:rsidRPr="00F618D8">
              <w:rPr>
                <w:rFonts w:ascii="Arial" w:eastAsia="Arial" w:hAnsi="Arial" w:cs="Arial"/>
              </w:rPr>
              <w:t>including those decisions which are typically prohibited by other states unless the person or next of kin directly consents</w:t>
            </w:r>
            <w:r w:rsidR="0017494A" w:rsidRPr="00F618D8">
              <w:rPr>
                <w:rFonts w:ascii="Arial" w:hAnsi="Arial" w:cs="Arial"/>
              </w:rPr>
              <w:t>—</w:t>
            </w:r>
            <w:r w:rsidRPr="00F618D8">
              <w:rPr>
                <w:rFonts w:ascii="Arial" w:eastAsia="Arial" w:hAnsi="Arial" w:cs="Arial"/>
              </w:rPr>
              <w:t xml:space="preserve">or </w:t>
            </w:r>
            <w:r w:rsidR="0017494A" w:rsidRPr="00F618D8">
              <w:rPr>
                <w:rFonts w:ascii="Arial" w:eastAsia="Arial" w:hAnsi="Arial" w:cs="Arial"/>
              </w:rPr>
              <w:t>is</w:t>
            </w:r>
            <w:r w:rsidRPr="00F618D8">
              <w:rPr>
                <w:rFonts w:ascii="Arial" w:eastAsia="Arial" w:hAnsi="Arial" w:cs="Arial"/>
              </w:rPr>
              <w:t xml:space="preserve"> limited to only being authorized under very specific circumstances (such as withholding of life-saving care). </w:t>
            </w:r>
          </w:p>
        </w:tc>
      </w:tr>
      <w:tr w:rsidR="009F790B" w:rsidRPr="00F618D8" w14:paraId="6F5AE603" w14:textId="77777777" w:rsidTr="004F301D">
        <w:tc>
          <w:tcPr>
            <w:tcW w:w="2515" w:type="dxa"/>
          </w:tcPr>
          <w:p w14:paraId="2AD2F141" w14:textId="77777777" w:rsidR="00303A2F" w:rsidRPr="00F618D8" w:rsidRDefault="00303A2F" w:rsidP="00F5324F">
            <w:pPr>
              <w:pStyle w:val="TableBody"/>
              <w:rPr>
                <w:rFonts w:ascii="Arial" w:hAnsi="Arial" w:cs="Arial"/>
                <w:b/>
              </w:rPr>
            </w:pPr>
            <w:r w:rsidRPr="00F618D8">
              <w:rPr>
                <w:rFonts w:ascii="Arial" w:hAnsi="Arial" w:cs="Arial"/>
                <w:b/>
              </w:rPr>
              <w:lastRenderedPageBreak/>
              <w:t>South Dakota</w:t>
            </w:r>
          </w:p>
          <w:p w14:paraId="797E183C" w14:textId="77777777" w:rsidR="00303A2F" w:rsidRPr="00F618D8" w:rsidRDefault="00303A2F" w:rsidP="00F5324F">
            <w:pPr>
              <w:pStyle w:val="TableBody"/>
              <w:rPr>
                <w:rFonts w:ascii="Arial" w:hAnsi="Arial" w:cs="Arial"/>
              </w:rPr>
            </w:pPr>
            <w:r w:rsidRPr="00F618D8">
              <w:rPr>
                <w:rFonts w:ascii="Arial" w:hAnsi="Arial" w:cs="Arial"/>
              </w:rPr>
              <w:t>S.D. Cod. Laws 27B-3-1 to 3-52 &amp; 29A-5-110</w:t>
            </w:r>
          </w:p>
          <w:p w14:paraId="7574BCE4" w14:textId="77777777" w:rsidR="00303A2F" w:rsidRPr="00F618D8" w:rsidRDefault="00303A2F" w:rsidP="001A27F6">
            <w:pPr>
              <w:jc w:val="center"/>
              <w:rPr>
                <w:rFonts w:ascii="Arial" w:eastAsia="Arial" w:hAnsi="Arial" w:cs="Arial"/>
              </w:rPr>
            </w:pPr>
          </w:p>
        </w:tc>
        <w:tc>
          <w:tcPr>
            <w:tcW w:w="6930" w:type="dxa"/>
          </w:tcPr>
          <w:p w14:paraId="1A7F63DA" w14:textId="77777777" w:rsidR="00303A2F" w:rsidRPr="00F618D8" w:rsidRDefault="00303A2F" w:rsidP="00F5324F">
            <w:pPr>
              <w:pStyle w:val="ListParagraph"/>
              <w:rPr>
                <w:rFonts w:ascii="Arial" w:hAnsi="Arial" w:cs="Arial"/>
              </w:rPr>
            </w:pPr>
            <w:r w:rsidRPr="00F618D8">
              <w:rPr>
                <w:rFonts w:ascii="Arial" w:hAnsi="Arial" w:cs="Arial"/>
              </w:rPr>
              <w:t xml:space="preserve">Allows state institutions for people with developmental disabilities to file a guardianship petition if an individual they are serving cannot consent to being institutionalized. </w:t>
            </w:r>
          </w:p>
          <w:p w14:paraId="242660C3" w14:textId="77777777" w:rsidR="00303A2F" w:rsidRPr="00F618D8" w:rsidRDefault="00303A2F" w:rsidP="00F5324F">
            <w:pPr>
              <w:pStyle w:val="ListParagraph"/>
              <w:rPr>
                <w:rFonts w:ascii="Arial" w:hAnsi="Arial" w:cs="Arial"/>
              </w:rPr>
            </w:pPr>
            <w:r w:rsidRPr="00F618D8">
              <w:rPr>
                <w:rFonts w:ascii="Arial" w:hAnsi="Arial" w:cs="Arial"/>
              </w:rPr>
              <w:t xml:space="preserve">An employee of the institution </w:t>
            </w:r>
            <w:r w:rsidRPr="00F618D8">
              <w:rPr>
                <w:rFonts w:ascii="Arial" w:hAnsi="Arial" w:cs="Arial"/>
                <w:i/>
              </w:rPr>
              <w:t xml:space="preserve">can </w:t>
            </w:r>
            <w:r w:rsidRPr="00F618D8">
              <w:rPr>
                <w:rFonts w:ascii="Arial" w:hAnsi="Arial" w:cs="Arial"/>
              </w:rPr>
              <w:t>be appointed as guardian “if the court finds the appointment is in the best interest of the minor or protected person.”</w:t>
            </w:r>
          </w:p>
        </w:tc>
      </w:tr>
    </w:tbl>
    <w:p w14:paraId="0D3704BE" w14:textId="77777777" w:rsidR="000E1301" w:rsidRPr="00F618D8" w:rsidRDefault="000E1301" w:rsidP="000E1301">
      <w:pPr>
        <w:jc w:val="center"/>
        <w:rPr>
          <w:rFonts w:ascii="Arial" w:hAnsi="Arial" w:cs="Arial"/>
          <w:b/>
        </w:rPr>
        <w:sectPr w:rsidR="000E1301" w:rsidRPr="00F618D8" w:rsidSect="00277F85">
          <w:endnotePr>
            <w:numFmt w:val="decimal"/>
          </w:endnotePr>
          <w:pgSz w:w="12240" w:h="15840"/>
          <w:pgMar w:top="1440" w:right="1440" w:bottom="1440" w:left="1440" w:header="720" w:footer="720" w:gutter="0"/>
          <w:cols w:space="720"/>
          <w:docGrid w:linePitch="360"/>
        </w:sectPr>
      </w:pPr>
    </w:p>
    <w:p w14:paraId="12BDA60C" w14:textId="77777777" w:rsidR="002542D3" w:rsidRPr="00F618D8" w:rsidRDefault="00AA1F92" w:rsidP="00387358">
      <w:pPr>
        <w:pStyle w:val="Heading1"/>
        <w:rPr>
          <w:rFonts w:ascii="Arial" w:hAnsi="Arial" w:cs="Arial"/>
        </w:rPr>
      </w:pPr>
      <w:bookmarkStart w:id="147" w:name="_Toc10290994"/>
      <w:bookmarkEnd w:id="146"/>
      <w:r w:rsidRPr="00F618D8">
        <w:rPr>
          <w:rFonts w:ascii="Arial" w:hAnsi="Arial" w:cs="Arial"/>
        </w:rPr>
        <w:lastRenderedPageBreak/>
        <w:t>Appendix B:</w:t>
      </w:r>
      <w:r w:rsidR="00BD788E" w:rsidRPr="00F618D8">
        <w:rPr>
          <w:rFonts w:ascii="Arial" w:hAnsi="Arial" w:cs="Arial"/>
        </w:rPr>
        <w:t xml:space="preserve"> [SIGNIFICANTLY UPDATED BUT NOT REDLINED BECAUSE OF IMPACT ON FORMATTING]</w:t>
      </w:r>
      <w:bookmarkEnd w:id="147"/>
    </w:p>
    <w:p w14:paraId="1097D69B" w14:textId="77777777" w:rsidR="002542D3" w:rsidRPr="00F618D8" w:rsidRDefault="00AA1F92" w:rsidP="00F5324F">
      <w:pPr>
        <w:pStyle w:val="Heading2"/>
        <w:rPr>
          <w:rFonts w:ascii="Arial" w:hAnsi="Arial" w:cs="Arial"/>
        </w:rPr>
      </w:pPr>
      <w:bookmarkStart w:id="148" w:name="_Toc10290995"/>
      <w:r w:rsidRPr="00F618D8">
        <w:rPr>
          <w:rFonts w:ascii="Arial" w:hAnsi="Arial" w:cs="Arial"/>
        </w:rPr>
        <w:t>Table of Analysis of NCI Data for States &amp; Guardianship for People with ID/DD</w:t>
      </w:r>
      <w:bookmarkEnd w:id="148"/>
    </w:p>
    <w:p w14:paraId="2C10AD49" w14:textId="77777777" w:rsidR="00AA1F92" w:rsidRPr="00F618D8" w:rsidRDefault="00AA1F92" w:rsidP="002542D3">
      <w:pPr>
        <w:spacing w:after="0" w:line="240" w:lineRule="auto"/>
        <w:jc w:val="center"/>
        <w:rPr>
          <w:rFonts w:ascii="Arial" w:hAnsi="Arial" w:cs="Arial"/>
          <w:b/>
          <w:sz w:val="10"/>
          <w:szCs w:val="10"/>
        </w:rPr>
      </w:pPr>
    </w:p>
    <w:p w14:paraId="16D48D1C" w14:textId="61797EB7" w:rsidR="002542D3" w:rsidRPr="00F618D8" w:rsidRDefault="002542D3" w:rsidP="00F5324F">
      <w:pPr>
        <w:pStyle w:val="AppendixParaNoIndent"/>
        <w:rPr>
          <w:rFonts w:ascii="Arial" w:hAnsi="Arial"/>
        </w:rPr>
      </w:pPr>
      <w:r w:rsidRPr="00F618D8">
        <w:rPr>
          <w:rFonts w:ascii="Arial" w:hAnsi="Arial"/>
          <w:u w:val="single"/>
        </w:rPr>
        <w:t>Source of Data</w:t>
      </w:r>
      <w:r w:rsidRPr="00F618D8">
        <w:rPr>
          <w:rFonts w:ascii="Arial" w:hAnsi="Arial"/>
        </w:rPr>
        <w:t xml:space="preserve">: National Core Indicators, Chart Generator 2014-15, National Association of State Directors of Developmental Disabilities Services and Human Services Research Institute. Retrieved from the National Core Indicators </w:t>
      </w:r>
      <w:r w:rsidR="00177F1B" w:rsidRPr="00F618D8">
        <w:rPr>
          <w:rFonts w:ascii="Arial" w:hAnsi="Arial"/>
        </w:rPr>
        <w:t>w</w:t>
      </w:r>
      <w:r w:rsidRPr="00F618D8">
        <w:rPr>
          <w:rFonts w:ascii="Arial" w:hAnsi="Arial"/>
        </w:rPr>
        <w:t>ebsite (</w:t>
      </w:r>
      <w:hyperlink r:id="rId28" w:tooltip="http://www.nationalcoreindicators.org/charts/" w:history="1">
        <w:r w:rsidRPr="00F618D8">
          <w:rPr>
            <w:rStyle w:val="Hyperlink"/>
            <w:sz w:val="24"/>
          </w:rPr>
          <w:t>http://www.nationalcoreindicators.org/charts/</w:t>
        </w:r>
      </w:hyperlink>
      <w:r w:rsidRPr="00F618D8">
        <w:rPr>
          <w:rFonts w:ascii="Arial" w:hAnsi="Arial"/>
          <w:u w:val="single"/>
        </w:rPr>
        <w:t>)</w:t>
      </w:r>
      <w:r w:rsidRPr="00F618D8">
        <w:rPr>
          <w:rFonts w:ascii="Arial" w:hAnsi="Arial"/>
        </w:rPr>
        <w:t xml:space="preserve"> on </w:t>
      </w:r>
      <w:r w:rsidR="0004451D" w:rsidRPr="00F618D8">
        <w:rPr>
          <w:rFonts w:ascii="Arial" w:hAnsi="Arial"/>
        </w:rPr>
        <w:t xml:space="preserve">October 31, 2018 (for 2008-9 to 2014-15 data) and January 18, 2019 (for 2015-16 data) </w:t>
      </w:r>
      <w:r w:rsidR="004F3DA8" w:rsidRPr="00F618D8">
        <w:rPr>
          <w:rFonts w:ascii="Arial" w:hAnsi="Arial"/>
        </w:rPr>
        <w:t xml:space="preserve">and </w:t>
      </w:r>
      <w:r w:rsidR="005E3058" w:rsidRPr="00F618D8">
        <w:rPr>
          <w:rFonts w:ascii="Arial" w:hAnsi="Arial"/>
        </w:rPr>
        <w:t>National Core Indicators, In</w:t>
      </w:r>
      <w:r w:rsidR="00810C4A" w:rsidRPr="00F618D8">
        <w:rPr>
          <w:rFonts w:ascii="Arial" w:hAnsi="Arial"/>
        </w:rPr>
        <w:t>-</w:t>
      </w:r>
      <w:r w:rsidR="005E3058" w:rsidRPr="00F618D8">
        <w:rPr>
          <w:rFonts w:ascii="Arial" w:hAnsi="Arial"/>
        </w:rPr>
        <w:t xml:space="preserve">Person Survey, 2016-17 </w:t>
      </w:r>
      <w:r w:rsidR="00CA5839" w:rsidRPr="00F618D8">
        <w:rPr>
          <w:rFonts w:ascii="Arial" w:hAnsi="Arial"/>
        </w:rPr>
        <w:t xml:space="preserve">and </w:t>
      </w:r>
      <w:r w:rsidR="005E3058" w:rsidRPr="00F618D8">
        <w:rPr>
          <w:rFonts w:ascii="Arial" w:hAnsi="Arial"/>
        </w:rPr>
        <w:t xml:space="preserve">2017-18 </w:t>
      </w:r>
      <w:r w:rsidR="00CA5839" w:rsidRPr="00F618D8">
        <w:rPr>
          <w:rFonts w:ascii="Arial" w:hAnsi="Arial"/>
        </w:rPr>
        <w:t xml:space="preserve">National </w:t>
      </w:r>
      <w:r w:rsidR="005E3058" w:rsidRPr="00F618D8">
        <w:rPr>
          <w:rFonts w:ascii="Arial" w:hAnsi="Arial"/>
        </w:rPr>
        <w:t>Report</w:t>
      </w:r>
      <w:r w:rsidR="00CA5839" w:rsidRPr="00F618D8">
        <w:rPr>
          <w:rFonts w:ascii="Arial" w:hAnsi="Arial"/>
        </w:rPr>
        <w:t>s</w:t>
      </w:r>
      <w:r w:rsidRPr="00F618D8">
        <w:rPr>
          <w:rFonts w:ascii="Arial" w:hAnsi="Arial"/>
        </w:rPr>
        <w:t xml:space="preserve"> </w:t>
      </w:r>
    </w:p>
    <w:p w14:paraId="73361880" w14:textId="77777777" w:rsidR="002542D3" w:rsidRPr="00F618D8" w:rsidRDefault="002542D3" w:rsidP="002542D3">
      <w:pPr>
        <w:spacing w:after="0" w:line="240" w:lineRule="auto"/>
        <w:jc w:val="center"/>
        <w:rPr>
          <w:rFonts w:ascii="Arial" w:hAnsi="Arial" w:cs="Arial"/>
          <w:sz w:val="10"/>
          <w:szCs w:val="10"/>
        </w:rPr>
      </w:pPr>
    </w:p>
    <w:p w14:paraId="7D56E294" w14:textId="77777777" w:rsidR="00E24947" w:rsidRPr="00F618D8" w:rsidRDefault="002542D3" w:rsidP="00F5324F">
      <w:pPr>
        <w:pStyle w:val="AppendixParaNoIndent"/>
        <w:rPr>
          <w:rFonts w:ascii="Arial" w:hAnsi="Arial"/>
        </w:rPr>
      </w:pPr>
      <w:r w:rsidRPr="00F618D8">
        <w:rPr>
          <w:rFonts w:ascii="Arial" w:hAnsi="Arial"/>
        </w:rPr>
        <w:t xml:space="preserve">Key: G = Limited Guardianship, Full Guardianship, or Has a </w:t>
      </w:r>
      <w:r w:rsidR="00E24947" w:rsidRPr="00F618D8">
        <w:rPr>
          <w:rFonts w:ascii="Arial" w:hAnsi="Arial"/>
        </w:rPr>
        <w:t>g</w:t>
      </w:r>
      <w:r w:rsidRPr="00F618D8">
        <w:rPr>
          <w:rFonts w:ascii="Arial" w:hAnsi="Arial"/>
        </w:rPr>
        <w:t xml:space="preserve">uardian but unable to distinguish level; F = Full Guardianship; </w:t>
      </w:r>
    </w:p>
    <w:p w14:paraId="093F402E" w14:textId="77777777" w:rsidR="002542D3" w:rsidRPr="00F618D8" w:rsidRDefault="001C5774" w:rsidP="00F5324F">
      <w:pPr>
        <w:pStyle w:val="AppendixParaNoIndent"/>
        <w:rPr>
          <w:rFonts w:ascii="Arial" w:hAnsi="Arial"/>
        </w:rPr>
      </w:pPr>
      <w:r w:rsidRPr="00F618D8">
        <w:rPr>
          <w:rFonts w:ascii="Arial" w:hAnsi="Arial"/>
        </w:rPr>
        <w:t xml:space="preserve">L = Limited Guardianship; UTD = Has a Guardian but unable to distinguish level (only </w:t>
      </w:r>
      <w:r w:rsidR="00E24947" w:rsidRPr="00F618D8">
        <w:rPr>
          <w:rFonts w:ascii="Arial" w:hAnsi="Arial"/>
        </w:rPr>
        <w:t xml:space="preserve">available </w:t>
      </w:r>
      <w:r w:rsidRPr="00F618D8">
        <w:rPr>
          <w:rFonts w:ascii="Arial" w:hAnsi="Arial"/>
        </w:rPr>
        <w:t xml:space="preserve">for 2015-16, 2016-17, 2017-18); </w:t>
      </w:r>
      <w:r w:rsidR="002542D3" w:rsidRPr="00F618D8">
        <w:rPr>
          <w:rFonts w:ascii="Arial" w:hAnsi="Arial"/>
        </w:rPr>
        <w:t xml:space="preserve">DK = Don’t </w:t>
      </w:r>
      <w:r w:rsidR="00810C4A" w:rsidRPr="00F618D8">
        <w:rPr>
          <w:rFonts w:ascii="Arial" w:hAnsi="Arial"/>
        </w:rPr>
        <w:t>k</w:t>
      </w:r>
      <w:r w:rsidR="002542D3" w:rsidRPr="00F618D8">
        <w:rPr>
          <w:rFonts w:ascii="Arial" w:hAnsi="Arial"/>
        </w:rPr>
        <w:t xml:space="preserve">now; N/A = Chart not available; </w:t>
      </w:r>
      <w:r w:rsidR="00CA5839" w:rsidRPr="00F618D8">
        <w:rPr>
          <w:rFonts w:ascii="Arial" w:hAnsi="Arial"/>
        </w:rPr>
        <w:t>MEORC = Mid East Ohio Regional Council</w:t>
      </w:r>
    </w:p>
    <w:p w14:paraId="5A8DD44A" w14:textId="77777777" w:rsidR="0004451D" w:rsidRPr="00F618D8" w:rsidRDefault="0004451D" w:rsidP="002542D3">
      <w:pPr>
        <w:spacing w:after="0" w:line="240" w:lineRule="auto"/>
        <w:jc w:val="center"/>
        <w:rPr>
          <w:rFonts w:ascii="Arial" w:hAnsi="Arial" w:cs="Arial"/>
          <w:sz w:val="10"/>
          <w:szCs w:val="10"/>
        </w:rPr>
      </w:pPr>
    </w:p>
    <w:tbl>
      <w:tblPr>
        <w:tblStyle w:val="TableGrid"/>
        <w:tblW w:w="13500" w:type="dxa"/>
        <w:tblInd w:w="-5" w:type="dxa"/>
        <w:tblLayout w:type="fixed"/>
        <w:tblLook w:val="04A0" w:firstRow="1" w:lastRow="0" w:firstColumn="1" w:lastColumn="0" w:noHBand="0" w:noVBand="1"/>
        <w:tblCaption w:val=" , "/>
      </w:tblPr>
      <w:tblGrid>
        <w:gridCol w:w="1800"/>
        <w:gridCol w:w="990"/>
        <w:gridCol w:w="1080"/>
        <w:gridCol w:w="990"/>
        <w:gridCol w:w="990"/>
        <w:gridCol w:w="990"/>
        <w:gridCol w:w="990"/>
        <w:gridCol w:w="990"/>
        <w:gridCol w:w="1170"/>
        <w:gridCol w:w="1170"/>
        <w:gridCol w:w="1080"/>
        <w:gridCol w:w="1260"/>
      </w:tblGrid>
      <w:tr w:rsidR="004D3AE0" w:rsidRPr="00F618D8" w14:paraId="3F46BA9D" w14:textId="77777777" w:rsidTr="006B20FF">
        <w:trPr>
          <w:trHeight w:val="485"/>
          <w:tblHeader/>
        </w:trPr>
        <w:tc>
          <w:tcPr>
            <w:tcW w:w="1800" w:type="dxa"/>
            <w:shd w:val="clear" w:color="auto" w:fill="DBE5F1" w:themeFill="accent1" w:themeFillTint="33"/>
          </w:tcPr>
          <w:p w14:paraId="0E1601D6" w14:textId="77777777" w:rsidR="004D3AE0" w:rsidRPr="00F618D8" w:rsidRDefault="004D3AE0" w:rsidP="00F5324F">
            <w:pPr>
              <w:pStyle w:val="TableHeader"/>
              <w:rPr>
                <w:rFonts w:ascii="Arial" w:hAnsi="Arial"/>
                <w:sz w:val="20"/>
                <w:szCs w:val="20"/>
              </w:rPr>
            </w:pPr>
            <w:r w:rsidRPr="00F618D8">
              <w:rPr>
                <w:rFonts w:ascii="Arial" w:hAnsi="Arial"/>
                <w:sz w:val="20"/>
                <w:szCs w:val="20"/>
              </w:rPr>
              <w:t>State</w:t>
            </w:r>
          </w:p>
        </w:tc>
        <w:tc>
          <w:tcPr>
            <w:tcW w:w="990" w:type="dxa"/>
            <w:shd w:val="clear" w:color="auto" w:fill="DBE5F1" w:themeFill="accent1" w:themeFillTint="33"/>
          </w:tcPr>
          <w:p w14:paraId="7D51383E" w14:textId="77777777" w:rsidR="004D3AE0" w:rsidRPr="00F618D8" w:rsidRDefault="004D3AE0" w:rsidP="00F5324F">
            <w:pPr>
              <w:pStyle w:val="TableHeader"/>
              <w:rPr>
                <w:rFonts w:ascii="Arial" w:hAnsi="Arial"/>
                <w:sz w:val="20"/>
                <w:szCs w:val="20"/>
              </w:rPr>
            </w:pPr>
            <w:r w:rsidRPr="00F618D8">
              <w:rPr>
                <w:rFonts w:ascii="Arial" w:hAnsi="Arial"/>
                <w:sz w:val="20"/>
                <w:szCs w:val="20"/>
              </w:rPr>
              <w:t>2008-09</w:t>
            </w:r>
          </w:p>
        </w:tc>
        <w:tc>
          <w:tcPr>
            <w:tcW w:w="1080" w:type="dxa"/>
            <w:shd w:val="clear" w:color="auto" w:fill="DBE5F1" w:themeFill="accent1" w:themeFillTint="33"/>
          </w:tcPr>
          <w:p w14:paraId="2FE7A9FF" w14:textId="77777777" w:rsidR="004D3AE0" w:rsidRPr="00F618D8" w:rsidRDefault="004D3AE0" w:rsidP="00F5324F">
            <w:pPr>
              <w:pStyle w:val="TableHeader"/>
              <w:rPr>
                <w:rFonts w:ascii="Arial" w:hAnsi="Arial"/>
                <w:sz w:val="20"/>
                <w:szCs w:val="20"/>
              </w:rPr>
            </w:pPr>
            <w:r w:rsidRPr="00F618D8">
              <w:rPr>
                <w:rFonts w:ascii="Arial" w:hAnsi="Arial"/>
                <w:sz w:val="20"/>
                <w:szCs w:val="20"/>
              </w:rPr>
              <w:t>2009-10</w:t>
            </w:r>
          </w:p>
        </w:tc>
        <w:tc>
          <w:tcPr>
            <w:tcW w:w="990" w:type="dxa"/>
            <w:shd w:val="clear" w:color="auto" w:fill="DBE5F1" w:themeFill="accent1" w:themeFillTint="33"/>
          </w:tcPr>
          <w:p w14:paraId="65715EB2" w14:textId="77777777" w:rsidR="004D3AE0" w:rsidRPr="00F618D8" w:rsidRDefault="004D3AE0" w:rsidP="00F5324F">
            <w:pPr>
              <w:pStyle w:val="TableHeader"/>
              <w:rPr>
                <w:rFonts w:ascii="Arial" w:hAnsi="Arial"/>
                <w:sz w:val="20"/>
                <w:szCs w:val="20"/>
              </w:rPr>
            </w:pPr>
            <w:r w:rsidRPr="00F618D8">
              <w:rPr>
                <w:rFonts w:ascii="Arial" w:hAnsi="Arial"/>
                <w:sz w:val="20"/>
                <w:szCs w:val="20"/>
              </w:rPr>
              <w:t>2010-11</w:t>
            </w:r>
          </w:p>
        </w:tc>
        <w:tc>
          <w:tcPr>
            <w:tcW w:w="990" w:type="dxa"/>
            <w:shd w:val="clear" w:color="auto" w:fill="DBE5F1" w:themeFill="accent1" w:themeFillTint="33"/>
          </w:tcPr>
          <w:p w14:paraId="494AC24F" w14:textId="77777777" w:rsidR="004D3AE0" w:rsidRPr="00F618D8" w:rsidRDefault="004D3AE0" w:rsidP="00F5324F">
            <w:pPr>
              <w:pStyle w:val="TableHeader"/>
              <w:rPr>
                <w:rFonts w:ascii="Arial" w:hAnsi="Arial"/>
                <w:sz w:val="20"/>
                <w:szCs w:val="20"/>
              </w:rPr>
            </w:pPr>
            <w:r w:rsidRPr="00F618D8">
              <w:rPr>
                <w:rFonts w:ascii="Arial" w:hAnsi="Arial"/>
                <w:sz w:val="20"/>
                <w:szCs w:val="20"/>
              </w:rPr>
              <w:t>2011-12</w:t>
            </w:r>
          </w:p>
        </w:tc>
        <w:tc>
          <w:tcPr>
            <w:tcW w:w="990" w:type="dxa"/>
            <w:shd w:val="clear" w:color="auto" w:fill="DBE5F1" w:themeFill="accent1" w:themeFillTint="33"/>
          </w:tcPr>
          <w:p w14:paraId="540D1CE7" w14:textId="77777777" w:rsidR="004D3AE0" w:rsidRPr="00F618D8" w:rsidRDefault="004D3AE0" w:rsidP="00F5324F">
            <w:pPr>
              <w:pStyle w:val="TableHeader"/>
              <w:rPr>
                <w:rFonts w:ascii="Arial" w:hAnsi="Arial"/>
                <w:sz w:val="20"/>
                <w:szCs w:val="20"/>
              </w:rPr>
            </w:pPr>
            <w:r w:rsidRPr="00F618D8">
              <w:rPr>
                <w:rFonts w:ascii="Arial" w:hAnsi="Arial"/>
                <w:sz w:val="20"/>
                <w:szCs w:val="20"/>
              </w:rPr>
              <w:t>2012-13</w:t>
            </w:r>
          </w:p>
        </w:tc>
        <w:tc>
          <w:tcPr>
            <w:tcW w:w="990" w:type="dxa"/>
            <w:shd w:val="clear" w:color="auto" w:fill="DBE5F1" w:themeFill="accent1" w:themeFillTint="33"/>
          </w:tcPr>
          <w:p w14:paraId="161A9958" w14:textId="77777777" w:rsidR="004D3AE0" w:rsidRPr="00F618D8" w:rsidRDefault="004D3AE0" w:rsidP="00F5324F">
            <w:pPr>
              <w:pStyle w:val="TableHeader"/>
              <w:rPr>
                <w:rFonts w:ascii="Arial" w:hAnsi="Arial"/>
                <w:sz w:val="20"/>
                <w:szCs w:val="20"/>
              </w:rPr>
            </w:pPr>
            <w:r w:rsidRPr="00F618D8">
              <w:rPr>
                <w:rFonts w:ascii="Arial" w:hAnsi="Arial"/>
                <w:sz w:val="20"/>
                <w:szCs w:val="20"/>
              </w:rPr>
              <w:t>2013-14</w:t>
            </w:r>
          </w:p>
        </w:tc>
        <w:tc>
          <w:tcPr>
            <w:tcW w:w="990" w:type="dxa"/>
            <w:shd w:val="clear" w:color="auto" w:fill="DBE5F1" w:themeFill="accent1" w:themeFillTint="33"/>
          </w:tcPr>
          <w:p w14:paraId="15798D21" w14:textId="77777777" w:rsidR="004D3AE0" w:rsidRPr="00F618D8" w:rsidRDefault="004D3AE0" w:rsidP="00F5324F">
            <w:pPr>
              <w:pStyle w:val="TableHeader"/>
              <w:rPr>
                <w:rFonts w:ascii="Arial" w:hAnsi="Arial"/>
                <w:sz w:val="20"/>
                <w:szCs w:val="20"/>
              </w:rPr>
            </w:pPr>
            <w:r w:rsidRPr="00F618D8">
              <w:rPr>
                <w:rFonts w:ascii="Arial" w:hAnsi="Arial"/>
                <w:sz w:val="20"/>
                <w:szCs w:val="20"/>
              </w:rPr>
              <w:t>2014-15</w:t>
            </w:r>
          </w:p>
        </w:tc>
        <w:tc>
          <w:tcPr>
            <w:tcW w:w="1170" w:type="dxa"/>
            <w:shd w:val="clear" w:color="auto" w:fill="DBE5F1" w:themeFill="accent1" w:themeFillTint="33"/>
          </w:tcPr>
          <w:p w14:paraId="7327DB64" w14:textId="77777777" w:rsidR="004D3AE0" w:rsidRPr="00F618D8" w:rsidRDefault="004D3AE0" w:rsidP="00F5324F">
            <w:pPr>
              <w:pStyle w:val="TableHeader"/>
              <w:rPr>
                <w:rFonts w:ascii="Arial" w:hAnsi="Arial"/>
                <w:sz w:val="20"/>
                <w:szCs w:val="20"/>
              </w:rPr>
            </w:pPr>
            <w:r w:rsidRPr="00F618D8">
              <w:rPr>
                <w:rFonts w:ascii="Arial" w:hAnsi="Arial"/>
                <w:sz w:val="20"/>
                <w:szCs w:val="20"/>
              </w:rPr>
              <w:t>2015-16</w:t>
            </w:r>
          </w:p>
        </w:tc>
        <w:tc>
          <w:tcPr>
            <w:tcW w:w="1170" w:type="dxa"/>
            <w:shd w:val="clear" w:color="auto" w:fill="DBE5F1" w:themeFill="accent1" w:themeFillTint="33"/>
          </w:tcPr>
          <w:p w14:paraId="5B187234" w14:textId="77777777" w:rsidR="004D3AE0" w:rsidRPr="00F618D8" w:rsidRDefault="004D3AE0" w:rsidP="00F5324F">
            <w:pPr>
              <w:pStyle w:val="TableHeader"/>
              <w:rPr>
                <w:rFonts w:ascii="Arial" w:hAnsi="Arial"/>
                <w:sz w:val="20"/>
                <w:szCs w:val="20"/>
              </w:rPr>
            </w:pPr>
            <w:r w:rsidRPr="00F618D8">
              <w:rPr>
                <w:rFonts w:ascii="Arial" w:hAnsi="Arial"/>
                <w:sz w:val="20"/>
                <w:szCs w:val="20"/>
              </w:rPr>
              <w:t>2016-17</w:t>
            </w:r>
          </w:p>
        </w:tc>
        <w:tc>
          <w:tcPr>
            <w:tcW w:w="1080" w:type="dxa"/>
            <w:shd w:val="clear" w:color="auto" w:fill="DBE5F1" w:themeFill="accent1" w:themeFillTint="33"/>
          </w:tcPr>
          <w:p w14:paraId="53E21DDD" w14:textId="77777777" w:rsidR="004D3AE0" w:rsidRPr="00F618D8" w:rsidRDefault="004D3AE0" w:rsidP="00F5324F">
            <w:pPr>
              <w:pStyle w:val="TableHeader"/>
              <w:rPr>
                <w:rFonts w:ascii="Arial" w:hAnsi="Arial"/>
                <w:sz w:val="20"/>
                <w:szCs w:val="20"/>
              </w:rPr>
            </w:pPr>
            <w:r w:rsidRPr="00F618D8">
              <w:rPr>
                <w:rFonts w:ascii="Arial" w:hAnsi="Arial"/>
                <w:sz w:val="20"/>
                <w:szCs w:val="20"/>
              </w:rPr>
              <w:t>2017-18</w:t>
            </w:r>
          </w:p>
        </w:tc>
        <w:tc>
          <w:tcPr>
            <w:tcW w:w="1260" w:type="dxa"/>
            <w:shd w:val="clear" w:color="auto" w:fill="F2DBDB" w:themeFill="accent2" w:themeFillTint="33"/>
          </w:tcPr>
          <w:p w14:paraId="24A0937C" w14:textId="77777777" w:rsidR="004D3AE0" w:rsidRPr="00F618D8" w:rsidRDefault="00810C4A" w:rsidP="00F5324F">
            <w:pPr>
              <w:pStyle w:val="TableHeader"/>
              <w:rPr>
                <w:rFonts w:ascii="Arial" w:hAnsi="Arial"/>
                <w:sz w:val="20"/>
                <w:szCs w:val="20"/>
              </w:rPr>
            </w:pPr>
            <w:r w:rsidRPr="00F618D8">
              <w:rPr>
                <w:rFonts w:ascii="Arial" w:hAnsi="Arial"/>
                <w:sz w:val="20"/>
                <w:szCs w:val="20"/>
              </w:rPr>
              <w:t>Average of Annual %</w:t>
            </w:r>
          </w:p>
        </w:tc>
      </w:tr>
      <w:tr w:rsidR="004D3AE0" w:rsidRPr="00F618D8" w14:paraId="38F247A9" w14:textId="77777777" w:rsidTr="00810C4A">
        <w:trPr>
          <w:trHeight w:val="782"/>
        </w:trPr>
        <w:tc>
          <w:tcPr>
            <w:tcW w:w="1800" w:type="dxa"/>
            <w:shd w:val="clear" w:color="auto" w:fill="DBE5F1" w:themeFill="accent1" w:themeFillTint="33"/>
          </w:tcPr>
          <w:p w14:paraId="1771E637"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AL</w:t>
            </w:r>
          </w:p>
        </w:tc>
        <w:tc>
          <w:tcPr>
            <w:tcW w:w="990" w:type="dxa"/>
            <w:shd w:val="clear" w:color="auto" w:fill="FFFFFF" w:themeFill="background1"/>
          </w:tcPr>
          <w:p w14:paraId="079982E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27% G</w:t>
            </w:r>
          </w:p>
          <w:p w14:paraId="273FB73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26% F</w:t>
            </w:r>
          </w:p>
          <w:p w14:paraId="526507B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L</w:t>
            </w:r>
          </w:p>
          <w:p w14:paraId="08E58A3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080" w:type="dxa"/>
            <w:shd w:val="clear" w:color="auto" w:fill="FFFFFF" w:themeFill="background1"/>
          </w:tcPr>
          <w:p w14:paraId="68F4233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23% G</w:t>
            </w:r>
          </w:p>
          <w:p w14:paraId="78F6E60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20% F</w:t>
            </w:r>
          </w:p>
          <w:p w14:paraId="32E311C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4C2DCF8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147FCF9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20% G</w:t>
            </w:r>
          </w:p>
          <w:p w14:paraId="064B309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18% F</w:t>
            </w:r>
          </w:p>
          <w:p w14:paraId="0D92EF5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L</w:t>
            </w:r>
          </w:p>
          <w:p w14:paraId="58F3923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133D7D7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40% G</w:t>
            </w:r>
          </w:p>
          <w:p w14:paraId="3902C8C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39% F</w:t>
            </w:r>
          </w:p>
          <w:p w14:paraId="3ADE050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L</w:t>
            </w:r>
          </w:p>
          <w:p w14:paraId="72741CA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6B7D4D6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23% G</w:t>
            </w:r>
          </w:p>
          <w:p w14:paraId="41101F2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22% F</w:t>
            </w:r>
          </w:p>
          <w:p w14:paraId="2287B27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L</w:t>
            </w:r>
          </w:p>
          <w:p w14:paraId="4AD6923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24B5168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25% G</w:t>
            </w:r>
          </w:p>
          <w:p w14:paraId="522E609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23% F</w:t>
            </w:r>
          </w:p>
          <w:p w14:paraId="583C13A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L</w:t>
            </w:r>
          </w:p>
          <w:p w14:paraId="13CB2AF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743B0C4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170" w:type="dxa"/>
            <w:shd w:val="clear" w:color="auto" w:fill="FFFFFF" w:themeFill="background1"/>
          </w:tcPr>
          <w:p w14:paraId="185310D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22% G</w:t>
            </w:r>
          </w:p>
          <w:p w14:paraId="45BA6E3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19% F</w:t>
            </w:r>
          </w:p>
          <w:p w14:paraId="1C22E07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L</w:t>
            </w:r>
          </w:p>
          <w:p w14:paraId="010AF13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UTD</w:t>
            </w:r>
          </w:p>
          <w:p w14:paraId="1BD430E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1170" w:type="dxa"/>
            <w:shd w:val="clear" w:color="auto" w:fill="FFFFFF" w:themeFill="background1"/>
          </w:tcPr>
          <w:p w14:paraId="3665060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24% G</w:t>
            </w:r>
          </w:p>
          <w:p w14:paraId="5CA5266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19% F</w:t>
            </w:r>
          </w:p>
          <w:p w14:paraId="46BF162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L</w:t>
            </w:r>
          </w:p>
          <w:p w14:paraId="2BC0F29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UTD</w:t>
            </w:r>
          </w:p>
          <w:p w14:paraId="2427555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DK</w:t>
            </w:r>
          </w:p>
        </w:tc>
        <w:tc>
          <w:tcPr>
            <w:tcW w:w="1080" w:type="dxa"/>
            <w:shd w:val="clear" w:color="auto" w:fill="FFFFFF" w:themeFill="background1"/>
          </w:tcPr>
          <w:p w14:paraId="14018CD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28% G</w:t>
            </w:r>
          </w:p>
          <w:p w14:paraId="1A853B0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25% F</w:t>
            </w:r>
          </w:p>
          <w:p w14:paraId="0437098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L</w:t>
            </w:r>
          </w:p>
          <w:p w14:paraId="4E74AB6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UTD</w:t>
            </w:r>
          </w:p>
          <w:p w14:paraId="6CDF51F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260" w:type="dxa"/>
            <w:shd w:val="clear" w:color="auto" w:fill="F2DBDB" w:themeFill="accent2" w:themeFillTint="33"/>
          </w:tcPr>
          <w:p w14:paraId="4E589DF7"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26% G</w:t>
            </w:r>
          </w:p>
          <w:p w14:paraId="38B0E4C6"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23% F</w:t>
            </w:r>
          </w:p>
          <w:p w14:paraId="754543D0"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2% L</w:t>
            </w:r>
          </w:p>
          <w:p w14:paraId="7D477221"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 DK</w:t>
            </w:r>
          </w:p>
        </w:tc>
      </w:tr>
      <w:tr w:rsidR="004D3AE0" w:rsidRPr="00F618D8" w14:paraId="7A03C475" w14:textId="77777777" w:rsidTr="00810C4A">
        <w:trPr>
          <w:trHeight w:val="759"/>
        </w:trPr>
        <w:tc>
          <w:tcPr>
            <w:tcW w:w="1800" w:type="dxa"/>
            <w:shd w:val="clear" w:color="auto" w:fill="DBE5F1" w:themeFill="accent1" w:themeFillTint="33"/>
          </w:tcPr>
          <w:p w14:paraId="41B3F8FC"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lastRenderedPageBreak/>
              <w:t>AR</w:t>
            </w:r>
          </w:p>
        </w:tc>
        <w:tc>
          <w:tcPr>
            <w:tcW w:w="990" w:type="dxa"/>
            <w:shd w:val="clear" w:color="auto" w:fill="FFFFFF" w:themeFill="background1"/>
          </w:tcPr>
          <w:p w14:paraId="3063A62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42% G</w:t>
            </w:r>
          </w:p>
          <w:p w14:paraId="79EAE2E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33% F</w:t>
            </w:r>
          </w:p>
          <w:p w14:paraId="430F16C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9% L</w:t>
            </w:r>
          </w:p>
          <w:p w14:paraId="34EA858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080" w:type="dxa"/>
            <w:shd w:val="clear" w:color="auto" w:fill="FFFFFF" w:themeFill="background1"/>
          </w:tcPr>
          <w:p w14:paraId="2411315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54% G</w:t>
            </w:r>
          </w:p>
          <w:p w14:paraId="429F5B6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35% F</w:t>
            </w:r>
          </w:p>
          <w:p w14:paraId="76836FF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19% L</w:t>
            </w:r>
          </w:p>
          <w:p w14:paraId="2B6B2AE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4958AC9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54% G</w:t>
            </w:r>
          </w:p>
          <w:p w14:paraId="69E2E9A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31% F</w:t>
            </w:r>
          </w:p>
          <w:p w14:paraId="412BD8E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23% L</w:t>
            </w:r>
          </w:p>
          <w:p w14:paraId="4A2E140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64C41EA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60% G</w:t>
            </w:r>
          </w:p>
          <w:p w14:paraId="52D89DA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43% F</w:t>
            </w:r>
          </w:p>
          <w:p w14:paraId="5B25A16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17% L</w:t>
            </w:r>
          </w:p>
          <w:p w14:paraId="4DACF48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7F2DEDA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60% G</w:t>
            </w:r>
          </w:p>
          <w:p w14:paraId="20022CB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45% F</w:t>
            </w:r>
          </w:p>
          <w:p w14:paraId="0E7AC38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15% L</w:t>
            </w:r>
          </w:p>
          <w:p w14:paraId="16AAB68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2E2844C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62% G</w:t>
            </w:r>
          </w:p>
          <w:p w14:paraId="59E2B4C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45% F</w:t>
            </w:r>
          </w:p>
          <w:p w14:paraId="693DD1C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17% L</w:t>
            </w:r>
          </w:p>
          <w:p w14:paraId="03A625A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17FE2C8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60% G</w:t>
            </w:r>
          </w:p>
          <w:p w14:paraId="0CFF739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43% F</w:t>
            </w:r>
          </w:p>
          <w:p w14:paraId="3F01357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17% L</w:t>
            </w:r>
          </w:p>
          <w:p w14:paraId="2C6C6A5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1170" w:type="dxa"/>
            <w:shd w:val="clear" w:color="auto" w:fill="FFFFFF" w:themeFill="background1"/>
          </w:tcPr>
          <w:p w14:paraId="5637BB0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63% G</w:t>
            </w:r>
          </w:p>
          <w:p w14:paraId="330FFE2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44% F</w:t>
            </w:r>
          </w:p>
          <w:p w14:paraId="0796C20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18% L</w:t>
            </w:r>
          </w:p>
          <w:p w14:paraId="3D9DD9B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UTD</w:t>
            </w:r>
          </w:p>
          <w:p w14:paraId="6BB6E9A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1170" w:type="dxa"/>
            <w:shd w:val="clear" w:color="auto" w:fill="FFFFFF" w:themeFill="background1"/>
          </w:tcPr>
          <w:p w14:paraId="632F464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56% G</w:t>
            </w:r>
          </w:p>
          <w:p w14:paraId="27A8B12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49% F</w:t>
            </w:r>
          </w:p>
          <w:p w14:paraId="0DA0A2A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L</w:t>
            </w:r>
          </w:p>
          <w:p w14:paraId="668B80D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UTD</w:t>
            </w:r>
          </w:p>
          <w:p w14:paraId="10DB3C4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080" w:type="dxa"/>
            <w:shd w:val="clear" w:color="auto" w:fill="FFFFFF" w:themeFill="background1"/>
          </w:tcPr>
          <w:p w14:paraId="45A37CA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54% G</w:t>
            </w:r>
          </w:p>
          <w:p w14:paraId="2BF0FF5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47% F</w:t>
            </w:r>
          </w:p>
          <w:p w14:paraId="5781423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 L</w:t>
            </w:r>
          </w:p>
          <w:p w14:paraId="14D6110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UTD</w:t>
            </w:r>
          </w:p>
          <w:p w14:paraId="7356D86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1260" w:type="dxa"/>
            <w:shd w:val="clear" w:color="auto" w:fill="F2DBDB" w:themeFill="accent2" w:themeFillTint="33"/>
          </w:tcPr>
          <w:p w14:paraId="65B807F5"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57% G</w:t>
            </w:r>
          </w:p>
          <w:p w14:paraId="6016329F"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42% F</w:t>
            </w:r>
          </w:p>
          <w:p w14:paraId="4EA0D7D3"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14% L</w:t>
            </w:r>
          </w:p>
          <w:p w14:paraId="0B84A03C"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 DK</w:t>
            </w:r>
          </w:p>
        </w:tc>
      </w:tr>
      <w:tr w:rsidR="004D3AE0" w:rsidRPr="00F618D8" w14:paraId="5FEA29AE" w14:textId="77777777" w:rsidTr="00810C4A">
        <w:trPr>
          <w:trHeight w:val="665"/>
        </w:trPr>
        <w:tc>
          <w:tcPr>
            <w:tcW w:w="1800" w:type="dxa"/>
            <w:shd w:val="clear" w:color="auto" w:fill="DBE5F1" w:themeFill="accent1" w:themeFillTint="33"/>
          </w:tcPr>
          <w:p w14:paraId="7D94B236"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AZ</w:t>
            </w:r>
          </w:p>
        </w:tc>
        <w:tc>
          <w:tcPr>
            <w:tcW w:w="990" w:type="dxa"/>
            <w:shd w:val="clear" w:color="auto" w:fill="FFFFFF" w:themeFill="background1"/>
          </w:tcPr>
          <w:p w14:paraId="4C85CF9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080" w:type="dxa"/>
            <w:shd w:val="clear" w:color="auto" w:fill="FFFFFF" w:themeFill="background1"/>
          </w:tcPr>
          <w:p w14:paraId="447A4F3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233EC08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396C23E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54% G</w:t>
            </w:r>
          </w:p>
          <w:p w14:paraId="04AA253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51% F</w:t>
            </w:r>
          </w:p>
          <w:p w14:paraId="0E638A9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1BC7F51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DK</w:t>
            </w:r>
          </w:p>
        </w:tc>
        <w:tc>
          <w:tcPr>
            <w:tcW w:w="990" w:type="dxa"/>
            <w:shd w:val="clear" w:color="auto" w:fill="FFFFFF" w:themeFill="background1"/>
          </w:tcPr>
          <w:p w14:paraId="6111EBA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0789B13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56% G</w:t>
            </w:r>
          </w:p>
          <w:p w14:paraId="4860857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55% F</w:t>
            </w:r>
          </w:p>
          <w:p w14:paraId="39EDE59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L</w:t>
            </w:r>
          </w:p>
          <w:p w14:paraId="768D181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DK</w:t>
            </w:r>
          </w:p>
        </w:tc>
        <w:tc>
          <w:tcPr>
            <w:tcW w:w="990" w:type="dxa"/>
            <w:shd w:val="clear" w:color="auto" w:fill="FFFFFF" w:themeFill="background1"/>
          </w:tcPr>
          <w:p w14:paraId="1DE1DC1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170" w:type="dxa"/>
            <w:shd w:val="clear" w:color="auto" w:fill="FFFFFF" w:themeFill="background1"/>
          </w:tcPr>
          <w:p w14:paraId="7CC5E90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59% G</w:t>
            </w:r>
          </w:p>
          <w:p w14:paraId="4F8976A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53% F</w:t>
            </w:r>
          </w:p>
          <w:p w14:paraId="6798C43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L</w:t>
            </w:r>
          </w:p>
          <w:p w14:paraId="6AAD82D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UTD</w:t>
            </w:r>
          </w:p>
          <w:p w14:paraId="1D81902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1170" w:type="dxa"/>
            <w:shd w:val="clear" w:color="auto" w:fill="FFFFFF" w:themeFill="background1"/>
          </w:tcPr>
          <w:p w14:paraId="0E831EE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p w14:paraId="57454062" w14:textId="77777777" w:rsidR="004D3AE0" w:rsidRPr="00F618D8" w:rsidRDefault="004D3AE0" w:rsidP="00F5324F">
            <w:pPr>
              <w:pStyle w:val="TableBody"/>
              <w:rPr>
                <w:rFonts w:ascii="Arial" w:hAnsi="Arial" w:cs="Arial"/>
                <w:sz w:val="20"/>
                <w:szCs w:val="20"/>
              </w:rPr>
            </w:pPr>
          </w:p>
        </w:tc>
        <w:tc>
          <w:tcPr>
            <w:tcW w:w="1080" w:type="dxa"/>
            <w:shd w:val="clear" w:color="auto" w:fill="FFFFFF" w:themeFill="background1"/>
          </w:tcPr>
          <w:p w14:paraId="16C3DFD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65% G</w:t>
            </w:r>
          </w:p>
          <w:p w14:paraId="736F3F0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58% F</w:t>
            </w:r>
          </w:p>
          <w:p w14:paraId="0DD2D0E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L</w:t>
            </w:r>
          </w:p>
          <w:p w14:paraId="6BA51F6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UTD</w:t>
            </w:r>
          </w:p>
          <w:p w14:paraId="38B3C64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1260" w:type="dxa"/>
            <w:shd w:val="clear" w:color="auto" w:fill="F2DBDB" w:themeFill="accent2" w:themeFillTint="33"/>
          </w:tcPr>
          <w:p w14:paraId="63CA93CB"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59% G</w:t>
            </w:r>
          </w:p>
          <w:p w14:paraId="6D94B234"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54% F</w:t>
            </w:r>
          </w:p>
          <w:p w14:paraId="7C855E76"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3% L</w:t>
            </w:r>
          </w:p>
          <w:p w14:paraId="2385D286"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2% DK</w:t>
            </w:r>
          </w:p>
        </w:tc>
      </w:tr>
      <w:tr w:rsidR="004D3AE0" w:rsidRPr="00F618D8" w14:paraId="2B06BE29" w14:textId="77777777" w:rsidTr="00810C4A">
        <w:trPr>
          <w:trHeight w:val="683"/>
        </w:trPr>
        <w:tc>
          <w:tcPr>
            <w:tcW w:w="1800" w:type="dxa"/>
            <w:shd w:val="clear" w:color="auto" w:fill="DBE5F1" w:themeFill="accent1" w:themeFillTint="33"/>
          </w:tcPr>
          <w:p w14:paraId="354DF199"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CA</w:t>
            </w:r>
          </w:p>
        </w:tc>
        <w:tc>
          <w:tcPr>
            <w:tcW w:w="990" w:type="dxa"/>
            <w:shd w:val="clear" w:color="auto" w:fill="FFFFFF" w:themeFill="background1"/>
          </w:tcPr>
          <w:p w14:paraId="0A3A37F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080" w:type="dxa"/>
            <w:shd w:val="clear" w:color="auto" w:fill="FFFFFF" w:themeFill="background1"/>
          </w:tcPr>
          <w:p w14:paraId="7681360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16% G</w:t>
            </w:r>
          </w:p>
          <w:p w14:paraId="5603633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 F</w:t>
            </w:r>
          </w:p>
          <w:p w14:paraId="5B0234B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9% L</w:t>
            </w:r>
          </w:p>
          <w:p w14:paraId="7EADDE8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 DK</w:t>
            </w:r>
          </w:p>
        </w:tc>
        <w:tc>
          <w:tcPr>
            <w:tcW w:w="990" w:type="dxa"/>
            <w:shd w:val="clear" w:color="auto" w:fill="FFFFFF" w:themeFill="background1"/>
          </w:tcPr>
          <w:p w14:paraId="6F3E866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4CB81C6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25% G</w:t>
            </w:r>
          </w:p>
          <w:p w14:paraId="4E2576C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12% F</w:t>
            </w:r>
          </w:p>
          <w:p w14:paraId="0E4B6DD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13% L</w:t>
            </w:r>
          </w:p>
          <w:p w14:paraId="7EC1A30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21% DK</w:t>
            </w:r>
          </w:p>
        </w:tc>
        <w:tc>
          <w:tcPr>
            <w:tcW w:w="990" w:type="dxa"/>
            <w:shd w:val="clear" w:color="auto" w:fill="FFFFFF" w:themeFill="background1"/>
          </w:tcPr>
          <w:p w14:paraId="6597254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727E967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7D5F6CD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31% G</w:t>
            </w:r>
          </w:p>
          <w:p w14:paraId="50DF0F4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11% F</w:t>
            </w:r>
          </w:p>
          <w:p w14:paraId="185AFAC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18% L</w:t>
            </w:r>
          </w:p>
          <w:p w14:paraId="75537D2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 DK</w:t>
            </w:r>
          </w:p>
        </w:tc>
        <w:tc>
          <w:tcPr>
            <w:tcW w:w="1170" w:type="dxa"/>
            <w:shd w:val="clear" w:color="auto" w:fill="FFFFFF" w:themeFill="background1"/>
          </w:tcPr>
          <w:p w14:paraId="1EF551B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170" w:type="dxa"/>
            <w:shd w:val="clear" w:color="auto" w:fill="FFFFFF" w:themeFill="background1"/>
          </w:tcPr>
          <w:p w14:paraId="444C4F1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080" w:type="dxa"/>
            <w:shd w:val="clear" w:color="auto" w:fill="FFFFFF" w:themeFill="background1"/>
          </w:tcPr>
          <w:p w14:paraId="3E820F8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21% G</w:t>
            </w:r>
          </w:p>
          <w:p w14:paraId="1E99708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F</w:t>
            </w:r>
          </w:p>
          <w:p w14:paraId="7F7F9CE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21% L</w:t>
            </w:r>
          </w:p>
          <w:p w14:paraId="5DB30EE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UTD</w:t>
            </w:r>
          </w:p>
          <w:p w14:paraId="39507F2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260" w:type="dxa"/>
            <w:shd w:val="clear" w:color="auto" w:fill="F2DBDB" w:themeFill="accent2" w:themeFillTint="33"/>
          </w:tcPr>
          <w:p w14:paraId="602BBC75"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23% G</w:t>
            </w:r>
          </w:p>
          <w:p w14:paraId="08E9CFEA"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8% F</w:t>
            </w:r>
          </w:p>
          <w:p w14:paraId="0CD9FDB5"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15% L</w:t>
            </w:r>
          </w:p>
          <w:p w14:paraId="21E6B6FD"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8% DK</w:t>
            </w:r>
          </w:p>
        </w:tc>
      </w:tr>
      <w:tr w:rsidR="004D3AE0" w:rsidRPr="00F618D8" w14:paraId="24115EC2" w14:textId="77777777" w:rsidTr="00810C4A">
        <w:trPr>
          <w:trHeight w:val="1160"/>
        </w:trPr>
        <w:tc>
          <w:tcPr>
            <w:tcW w:w="1800" w:type="dxa"/>
            <w:shd w:val="clear" w:color="auto" w:fill="DBE5F1" w:themeFill="accent1" w:themeFillTint="33"/>
          </w:tcPr>
          <w:p w14:paraId="3CB9F1DA"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lastRenderedPageBreak/>
              <w:t>CO</w:t>
            </w:r>
          </w:p>
        </w:tc>
        <w:tc>
          <w:tcPr>
            <w:tcW w:w="990" w:type="dxa"/>
            <w:shd w:val="clear" w:color="auto" w:fill="FFFFFF" w:themeFill="background1"/>
          </w:tcPr>
          <w:p w14:paraId="4480128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080" w:type="dxa"/>
            <w:shd w:val="clear" w:color="auto" w:fill="FFFFFF" w:themeFill="background1"/>
          </w:tcPr>
          <w:p w14:paraId="0054D40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5157402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1B45CF3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602A990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5D3CFED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43% G</w:t>
            </w:r>
          </w:p>
          <w:p w14:paraId="0809C73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39% F</w:t>
            </w:r>
          </w:p>
          <w:p w14:paraId="7A2C508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L</w:t>
            </w:r>
          </w:p>
          <w:p w14:paraId="111A838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4134409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46% G</w:t>
            </w:r>
          </w:p>
          <w:p w14:paraId="0C9E87F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46% F</w:t>
            </w:r>
          </w:p>
          <w:p w14:paraId="38D307E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L</w:t>
            </w:r>
          </w:p>
          <w:p w14:paraId="12E284A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170" w:type="dxa"/>
            <w:shd w:val="clear" w:color="auto" w:fill="FFFFFF" w:themeFill="background1"/>
          </w:tcPr>
          <w:p w14:paraId="1707D7C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47% G</w:t>
            </w:r>
          </w:p>
          <w:p w14:paraId="22EECB3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41% F</w:t>
            </w:r>
          </w:p>
          <w:p w14:paraId="3DF6942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L</w:t>
            </w:r>
          </w:p>
          <w:p w14:paraId="379DBB1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UTD</w:t>
            </w:r>
          </w:p>
          <w:p w14:paraId="391E1F1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170" w:type="dxa"/>
            <w:shd w:val="clear" w:color="auto" w:fill="FFFFFF" w:themeFill="background1"/>
          </w:tcPr>
          <w:p w14:paraId="539AA93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54% G</w:t>
            </w:r>
          </w:p>
          <w:p w14:paraId="6F5B6FB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48% F</w:t>
            </w:r>
          </w:p>
          <w:p w14:paraId="21DA72B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L</w:t>
            </w:r>
          </w:p>
          <w:p w14:paraId="546E994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UTD</w:t>
            </w:r>
          </w:p>
          <w:p w14:paraId="31FB6D1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1080" w:type="dxa"/>
            <w:shd w:val="clear" w:color="auto" w:fill="FFFFFF" w:themeFill="background1"/>
          </w:tcPr>
          <w:p w14:paraId="1594266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41% G</w:t>
            </w:r>
          </w:p>
          <w:p w14:paraId="6F930A1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37% F</w:t>
            </w:r>
          </w:p>
          <w:p w14:paraId="76F74D8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L</w:t>
            </w:r>
          </w:p>
          <w:p w14:paraId="0865216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UTD</w:t>
            </w:r>
          </w:p>
          <w:p w14:paraId="2ABF810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12% DK</w:t>
            </w:r>
          </w:p>
        </w:tc>
        <w:tc>
          <w:tcPr>
            <w:tcW w:w="1260" w:type="dxa"/>
            <w:shd w:val="clear" w:color="auto" w:fill="F2DBDB" w:themeFill="accent2" w:themeFillTint="33"/>
          </w:tcPr>
          <w:p w14:paraId="0FC4BE43"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46% G</w:t>
            </w:r>
          </w:p>
          <w:p w14:paraId="09C3BAFA"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42% F</w:t>
            </w:r>
          </w:p>
          <w:p w14:paraId="34E8C9DC"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2% L</w:t>
            </w:r>
          </w:p>
          <w:p w14:paraId="6194C9DF"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3% DK</w:t>
            </w:r>
          </w:p>
        </w:tc>
      </w:tr>
      <w:tr w:rsidR="0004451D" w:rsidRPr="00F618D8" w14:paraId="016EF47C" w14:textId="77777777" w:rsidTr="0012383D">
        <w:trPr>
          <w:trHeight w:val="530"/>
        </w:trPr>
        <w:tc>
          <w:tcPr>
            <w:tcW w:w="1800" w:type="dxa"/>
            <w:shd w:val="clear" w:color="auto" w:fill="DBE5F1"/>
          </w:tcPr>
          <w:p w14:paraId="496CFDC9" w14:textId="77777777" w:rsidR="0004451D" w:rsidRPr="00F618D8" w:rsidRDefault="0004451D" w:rsidP="00F5324F">
            <w:pPr>
              <w:pStyle w:val="TableBody"/>
              <w:rPr>
                <w:rFonts w:ascii="Arial" w:hAnsi="Arial" w:cs="Arial"/>
                <w:b/>
                <w:sz w:val="20"/>
                <w:szCs w:val="20"/>
              </w:rPr>
            </w:pPr>
            <w:r w:rsidRPr="00F618D8">
              <w:rPr>
                <w:rFonts w:ascii="Arial" w:hAnsi="Arial" w:cs="Arial"/>
                <w:b/>
                <w:sz w:val="20"/>
                <w:szCs w:val="20"/>
              </w:rPr>
              <w:br w:type="page"/>
              <w:t>State</w:t>
            </w:r>
          </w:p>
        </w:tc>
        <w:tc>
          <w:tcPr>
            <w:tcW w:w="990" w:type="dxa"/>
            <w:shd w:val="clear" w:color="auto" w:fill="DBE5F1"/>
          </w:tcPr>
          <w:p w14:paraId="7550E288" w14:textId="77777777" w:rsidR="0004451D" w:rsidRPr="00F618D8" w:rsidRDefault="0004451D" w:rsidP="00F5324F">
            <w:pPr>
              <w:pStyle w:val="TableBody"/>
              <w:rPr>
                <w:rFonts w:ascii="Arial" w:hAnsi="Arial" w:cs="Arial"/>
                <w:sz w:val="20"/>
                <w:szCs w:val="20"/>
              </w:rPr>
            </w:pPr>
            <w:r w:rsidRPr="00F618D8">
              <w:rPr>
                <w:rFonts w:ascii="Arial" w:hAnsi="Arial" w:cs="Arial"/>
                <w:sz w:val="20"/>
                <w:szCs w:val="20"/>
              </w:rPr>
              <w:t>2008-09</w:t>
            </w:r>
          </w:p>
        </w:tc>
        <w:tc>
          <w:tcPr>
            <w:tcW w:w="1080" w:type="dxa"/>
            <w:shd w:val="clear" w:color="auto" w:fill="DBE5F1"/>
          </w:tcPr>
          <w:p w14:paraId="3B0F656E" w14:textId="77777777" w:rsidR="0004451D" w:rsidRPr="00F618D8" w:rsidRDefault="0004451D" w:rsidP="00F5324F">
            <w:pPr>
              <w:pStyle w:val="TableBody"/>
              <w:rPr>
                <w:rFonts w:ascii="Arial" w:hAnsi="Arial" w:cs="Arial"/>
                <w:sz w:val="20"/>
                <w:szCs w:val="20"/>
              </w:rPr>
            </w:pPr>
            <w:r w:rsidRPr="00F618D8">
              <w:rPr>
                <w:rFonts w:ascii="Arial" w:hAnsi="Arial" w:cs="Arial"/>
                <w:sz w:val="20"/>
                <w:szCs w:val="20"/>
              </w:rPr>
              <w:t>2009-10</w:t>
            </w:r>
          </w:p>
        </w:tc>
        <w:tc>
          <w:tcPr>
            <w:tcW w:w="990" w:type="dxa"/>
            <w:shd w:val="clear" w:color="auto" w:fill="DBE5F1"/>
          </w:tcPr>
          <w:p w14:paraId="58B307B3" w14:textId="77777777" w:rsidR="0004451D" w:rsidRPr="00F618D8" w:rsidRDefault="0004451D" w:rsidP="00F5324F">
            <w:pPr>
              <w:pStyle w:val="TableBody"/>
              <w:rPr>
                <w:rFonts w:ascii="Arial" w:hAnsi="Arial" w:cs="Arial"/>
                <w:sz w:val="20"/>
                <w:szCs w:val="20"/>
              </w:rPr>
            </w:pPr>
            <w:r w:rsidRPr="00F618D8">
              <w:rPr>
                <w:rFonts w:ascii="Arial" w:hAnsi="Arial" w:cs="Arial"/>
                <w:sz w:val="20"/>
                <w:szCs w:val="20"/>
              </w:rPr>
              <w:t>2010-11</w:t>
            </w:r>
          </w:p>
        </w:tc>
        <w:tc>
          <w:tcPr>
            <w:tcW w:w="990" w:type="dxa"/>
            <w:shd w:val="clear" w:color="auto" w:fill="DBE5F1"/>
          </w:tcPr>
          <w:p w14:paraId="673B3697" w14:textId="77777777" w:rsidR="0004451D" w:rsidRPr="00F618D8" w:rsidRDefault="0004451D" w:rsidP="00F5324F">
            <w:pPr>
              <w:pStyle w:val="TableBody"/>
              <w:rPr>
                <w:rFonts w:ascii="Arial" w:hAnsi="Arial" w:cs="Arial"/>
                <w:sz w:val="20"/>
                <w:szCs w:val="20"/>
              </w:rPr>
            </w:pPr>
            <w:r w:rsidRPr="00F618D8">
              <w:rPr>
                <w:rFonts w:ascii="Arial" w:hAnsi="Arial" w:cs="Arial"/>
                <w:sz w:val="20"/>
                <w:szCs w:val="20"/>
              </w:rPr>
              <w:t>2011-12</w:t>
            </w:r>
          </w:p>
        </w:tc>
        <w:tc>
          <w:tcPr>
            <w:tcW w:w="990" w:type="dxa"/>
            <w:shd w:val="clear" w:color="auto" w:fill="DBE5F1"/>
          </w:tcPr>
          <w:p w14:paraId="65AA3384" w14:textId="77777777" w:rsidR="0004451D" w:rsidRPr="00F618D8" w:rsidRDefault="0004451D" w:rsidP="00F5324F">
            <w:pPr>
              <w:pStyle w:val="TableBody"/>
              <w:rPr>
                <w:rFonts w:ascii="Arial" w:hAnsi="Arial" w:cs="Arial"/>
                <w:sz w:val="20"/>
                <w:szCs w:val="20"/>
              </w:rPr>
            </w:pPr>
            <w:r w:rsidRPr="00F618D8">
              <w:rPr>
                <w:rFonts w:ascii="Arial" w:hAnsi="Arial" w:cs="Arial"/>
                <w:sz w:val="20"/>
                <w:szCs w:val="20"/>
              </w:rPr>
              <w:t>2012-13</w:t>
            </w:r>
          </w:p>
        </w:tc>
        <w:tc>
          <w:tcPr>
            <w:tcW w:w="990" w:type="dxa"/>
            <w:shd w:val="clear" w:color="auto" w:fill="DBE5F1"/>
          </w:tcPr>
          <w:p w14:paraId="4D874809" w14:textId="77777777" w:rsidR="0004451D" w:rsidRPr="00F618D8" w:rsidRDefault="0004451D" w:rsidP="00F5324F">
            <w:pPr>
              <w:pStyle w:val="TableBody"/>
              <w:rPr>
                <w:rFonts w:ascii="Arial" w:hAnsi="Arial" w:cs="Arial"/>
                <w:sz w:val="20"/>
                <w:szCs w:val="20"/>
              </w:rPr>
            </w:pPr>
            <w:r w:rsidRPr="00F618D8">
              <w:rPr>
                <w:rFonts w:ascii="Arial" w:hAnsi="Arial" w:cs="Arial"/>
                <w:sz w:val="20"/>
                <w:szCs w:val="20"/>
              </w:rPr>
              <w:t>2013-14</w:t>
            </w:r>
          </w:p>
        </w:tc>
        <w:tc>
          <w:tcPr>
            <w:tcW w:w="990" w:type="dxa"/>
            <w:shd w:val="clear" w:color="auto" w:fill="DBE5F1"/>
          </w:tcPr>
          <w:p w14:paraId="59E36F7D" w14:textId="77777777" w:rsidR="0004451D" w:rsidRPr="00F618D8" w:rsidRDefault="0004451D" w:rsidP="00F5324F">
            <w:pPr>
              <w:pStyle w:val="TableBody"/>
              <w:rPr>
                <w:rFonts w:ascii="Arial" w:hAnsi="Arial" w:cs="Arial"/>
                <w:sz w:val="20"/>
                <w:szCs w:val="20"/>
              </w:rPr>
            </w:pPr>
            <w:r w:rsidRPr="00F618D8">
              <w:rPr>
                <w:rFonts w:ascii="Arial" w:hAnsi="Arial" w:cs="Arial"/>
                <w:sz w:val="20"/>
                <w:szCs w:val="20"/>
              </w:rPr>
              <w:t>2014-15</w:t>
            </w:r>
          </w:p>
        </w:tc>
        <w:tc>
          <w:tcPr>
            <w:tcW w:w="1170" w:type="dxa"/>
            <w:shd w:val="clear" w:color="auto" w:fill="DBE5F1"/>
          </w:tcPr>
          <w:p w14:paraId="0538EFAC" w14:textId="77777777" w:rsidR="0004451D" w:rsidRPr="00F618D8" w:rsidRDefault="0004451D" w:rsidP="00F5324F">
            <w:pPr>
              <w:pStyle w:val="TableBody"/>
              <w:rPr>
                <w:rFonts w:ascii="Arial" w:hAnsi="Arial" w:cs="Arial"/>
                <w:sz w:val="20"/>
                <w:szCs w:val="20"/>
              </w:rPr>
            </w:pPr>
            <w:r w:rsidRPr="00F618D8">
              <w:rPr>
                <w:rFonts w:ascii="Arial" w:hAnsi="Arial" w:cs="Arial"/>
                <w:sz w:val="20"/>
                <w:szCs w:val="20"/>
              </w:rPr>
              <w:t>2015-16</w:t>
            </w:r>
          </w:p>
        </w:tc>
        <w:tc>
          <w:tcPr>
            <w:tcW w:w="1170" w:type="dxa"/>
            <w:shd w:val="clear" w:color="auto" w:fill="DBE5F1"/>
          </w:tcPr>
          <w:p w14:paraId="744F441E" w14:textId="77777777" w:rsidR="0004451D" w:rsidRPr="00F618D8" w:rsidRDefault="0004451D" w:rsidP="00F5324F">
            <w:pPr>
              <w:pStyle w:val="TableBody"/>
              <w:rPr>
                <w:rFonts w:ascii="Arial" w:hAnsi="Arial" w:cs="Arial"/>
                <w:sz w:val="20"/>
                <w:szCs w:val="20"/>
              </w:rPr>
            </w:pPr>
            <w:r w:rsidRPr="00F618D8">
              <w:rPr>
                <w:rFonts w:ascii="Arial" w:hAnsi="Arial" w:cs="Arial"/>
                <w:sz w:val="20"/>
                <w:szCs w:val="20"/>
              </w:rPr>
              <w:t>2016-17</w:t>
            </w:r>
          </w:p>
        </w:tc>
        <w:tc>
          <w:tcPr>
            <w:tcW w:w="1080" w:type="dxa"/>
            <w:shd w:val="clear" w:color="auto" w:fill="DBE5F1"/>
          </w:tcPr>
          <w:p w14:paraId="1FF51A4D" w14:textId="77777777" w:rsidR="0004451D" w:rsidRPr="00F618D8" w:rsidRDefault="0004451D" w:rsidP="00F5324F">
            <w:pPr>
              <w:pStyle w:val="TableBody"/>
              <w:rPr>
                <w:rFonts w:ascii="Arial" w:hAnsi="Arial" w:cs="Arial"/>
                <w:sz w:val="20"/>
                <w:szCs w:val="20"/>
              </w:rPr>
            </w:pPr>
            <w:r w:rsidRPr="00F618D8">
              <w:rPr>
                <w:rFonts w:ascii="Arial" w:hAnsi="Arial" w:cs="Arial"/>
                <w:sz w:val="20"/>
                <w:szCs w:val="20"/>
              </w:rPr>
              <w:t>2017-18</w:t>
            </w:r>
          </w:p>
        </w:tc>
        <w:tc>
          <w:tcPr>
            <w:tcW w:w="1260" w:type="dxa"/>
            <w:shd w:val="clear" w:color="auto" w:fill="F2DBDB" w:themeFill="accent2" w:themeFillTint="33"/>
          </w:tcPr>
          <w:p w14:paraId="18FEC8ED" w14:textId="77777777" w:rsidR="0004451D" w:rsidRPr="00F618D8" w:rsidRDefault="0004451D" w:rsidP="00F5324F">
            <w:pPr>
              <w:pStyle w:val="TableBody"/>
              <w:rPr>
                <w:rFonts w:ascii="Arial" w:hAnsi="Arial" w:cs="Arial"/>
                <w:b/>
                <w:sz w:val="20"/>
                <w:szCs w:val="20"/>
              </w:rPr>
            </w:pPr>
            <w:r w:rsidRPr="00F618D8">
              <w:rPr>
                <w:rFonts w:ascii="Arial" w:hAnsi="Arial" w:cs="Arial"/>
                <w:b/>
                <w:sz w:val="20"/>
                <w:szCs w:val="20"/>
              </w:rPr>
              <w:t>Average of Annual %</w:t>
            </w:r>
          </w:p>
        </w:tc>
      </w:tr>
      <w:tr w:rsidR="004D3AE0" w:rsidRPr="00F618D8" w14:paraId="10F5E49C" w14:textId="77777777" w:rsidTr="00810C4A">
        <w:trPr>
          <w:trHeight w:val="737"/>
        </w:trPr>
        <w:tc>
          <w:tcPr>
            <w:tcW w:w="1800" w:type="dxa"/>
            <w:shd w:val="clear" w:color="auto" w:fill="DBE5F1" w:themeFill="accent1" w:themeFillTint="33"/>
          </w:tcPr>
          <w:p w14:paraId="18A5D7FF"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CT</w:t>
            </w:r>
          </w:p>
        </w:tc>
        <w:tc>
          <w:tcPr>
            <w:tcW w:w="990" w:type="dxa"/>
            <w:shd w:val="clear" w:color="auto" w:fill="FFFFFF" w:themeFill="background1"/>
          </w:tcPr>
          <w:p w14:paraId="2D5C05C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78% G</w:t>
            </w:r>
          </w:p>
          <w:p w14:paraId="3E56E58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64% F</w:t>
            </w:r>
          </w:p>
          <w:p w14:paraId="26B0EEC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14% L</w:t>
            </w:r>
          </w:p>
          <w:p w14:paraId="6CC64D2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080" w:type="dxa"/>
            <w:shd w:val="clear" w:color="auto" w:fill="FFFFFF" w:themeFill="background1"/>
          </w:tcPr>
          <w:p w14:paraId="0E8B5FE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13EA454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1D70AF6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80% G</w:t>
            </w:r>
          </w:p>
          <w:p w14:paraId="0704D60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67% F</w:t>
            </w:r>
          </w:p>
          <w:p w14:paraId="5F92E64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13% L</w:t>
            </w:r>
          </w:p>
          <w:p w14:paraId="21997D6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186B933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77% G</w:t>
            </w:r>
          </w:p>
          <w:p w14:paraId="71FB2F1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67% F</w:t>
            </w:r>
          </w:p>
          <w:p w14:paraId="4C4A999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10% L</w:t>
            </w:r>
          </w:p>
          <w:p w14:paraId="64F20E3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35192DB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79% G</w:t>
            </w:r>
          </w:p>
          <w:p w14:paraId="21FB095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69% F</w:t>
            </w:r>
          </w:p>
          <w:p w14:paraId="36A1215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10% L</w:t>
            </w:r>
          </w:p>
          <w:p w14:paraId="5E8A152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725A324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79% G</w:t>
            </w:r>
          </w:p>
          <w:p w14:paraId="09471DE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72% F</w:t>
            </w:r>
          </w:p>
          <w:p w14:paraId="0853714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 L</w:t>
            </w:r>
          </w:p>
          <w:p w14:paraId="042E61E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170" w:type="dxa"/>
            <w:shd w:val="clear" w:color="auto" w:fill="FFFFFF" w:themeFill="background1"/>
          </w:tcPr>
          <w:p w14:paraId="026EA6F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83% G</w:t>
            </w:r>
          </w:p>
          <w:p w14:paraId="6A085FF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75% F</w:t>
            </w:r>
          </w:p>
          <w:p w14:paraId="5E55975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 L</w:t>
            </w:r>
          </w:p>
          <w:p w14:paraId="149AC51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UTD</w:t>
            </w:r>
          </w:p>
          <w:p w14:paraId="10879B7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1170" w:type="dxa"/>
            <w:shd w:val="clear" w:color="auto" w:fill="FFFFFF" w:themeFill="background1"/>
          </w:tcPr>
          <w:p w14:paraId="3D64AA4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79% G</w:t>
            </w:r>
          </w:p>
          <w:p w14:paraId="59E4610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69% F</w:t>
            </w:r>
          </w:p>
          <w:p w14:paraId="296ADBC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10% L</w:t>
            </w:r>
          </w:p>
          <w:p w14:paraId="037D33E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UTD</w:t>
            </w:r>
          </w:p>
          <w:p w14:paraId="753D3F5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080" w:type="dxa"/>
            <w:shd w:val="clear" w:color="auto" w:fill="FFFFFF" w:themeFill="background1"/>
          </w:tcPr>
          <w:p w14:paraId="49B3FAA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84% G</w:t>
            </w:r>
          </w:p>
          <w:p w14:paraId="18A45AF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73% F</w:t>
            </w:r>
          </w:p>
          <w:p w14:paraId="7441D42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11% L</w:t>
            </w:r>
          </w:p>
          <w:p w14:paraId="1C75892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UTD</w:t>
            </w:r>
          </w:p>
          <w:p w14:paraId="641B900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260" w:type="dxa"/>
            <w:shd w:val="clear" w:color="auto" w:fill="F2DBDB" w:themeFill="accent2" w:themeFillTint="33"/>
          </w:tcPr>
          <w:p w14:paraId="10716E35"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80% G</w:t>
            </w:r>
          </w:p>
          <w:p w14:paraId="6A9D9EEC"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70% F</w:t>
            </w:r>
          </w:p>
          <w:p w14:paraId="3BE6C25D"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10% L</w:t>
            </w:r>
          </w:p>
          <w:p w14:paraId="1EBB4294"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0% DK</w:t>
            </w:r>
          </w:p>
        </w:tc>
      </w:tr>
      <w:tr w:rsidR="004D3AE0" w:rsidRPr="00F618D8" w14:paraId="0109BCE1" w14:textId="77777777" w:rsidTr="00810C4A">
        <w:trPr>
          <w:trHeight w:val="759"/>
        </w:trPr>
        <w:tc>
          <w:tcPr>
            <w:tcW w:w="1800" w:type="dxa"/>
            <w:shd w:val="clear" w:color="auto" w:fill="DBE5F1" w:themeFill="accent1" w:themeFillTint="33"/>
          </w:tcPr>
          <w:p w14:paraId="444FFB08"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DC</w:t>
            </w:r>
          </w:p>
        </w:tc>
        <w:tc>
          <w:tcPr>
            <w:tcW w:w="990" w:type="dxa"/>
            <w:shd w:val="clear" w:color="auto" w:fill="FFFFFF" w:themeFill="background1"/>
          </w:tcPr>
          <w:p w14:paraId="4B5E2AE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080" w:type="dxa"/>
            <w:shd w:val="clear" w:color="auto" w:fill="FFFFFF" w:themeFill="background1"/>
          </w:tcPr>
          <w:p w14:paraId="76A01D2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42% G</w:t>
            </w:r>
          </w:p>
          <w:p w14:paraId="778B677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14% F</w:t>
            </w:r>
          </w:p>
          <w:p w14:paraId="3A0C20B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28% L</w:t>
            </w:r>
          </w:p>
          <w:p w14:paraId="7E4FA4A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 DK</w:t>
            </w:r>
          </w:p>
        </w:tc>
        <w:tc>
          <w:tcPr>
            <w:tcW w:w="990" w:type="dxa"/>
            <w:shd w:val="clear" w:color="auto" w:fill="FFFFFF" w:themeFill="background1"/>
          </w:tcPr>
          <w:p w14:paraId="506D9AC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17D6953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1E26195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36A6322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37% G</w:t>
            </w:r>
          </w:p>
          <w:p w14:paraId="20E0154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14% F</w:t>
            </w:r>
          </w:p>
          <w:p w14:paraId="4F9D4DB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23% L</w:t>
            </w:r>
          </w:p>
          <w:p w14:paraId="60BA2D4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10% DK</w:t>
            </w:r>
          </w:p>
        </w:tc>
        <w:tc>
          <w:tcPr>
            <w:tcW w:w="990" w:type="dxa"/>
            <w:shd w:val="clear" w:color="auto" w:fill="FFFFFF" w:themeFill="background1"/>
          </w:tcPr>
          <w:p w14:paraId="6168F76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33% G</w:t>
            </w:r>
          </w:p>
          <w:p w14:paraId="12E8241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14% F</w:t>
            </w:r>
          </w:p>
          <w:p w14:paraId="6EBDD2A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19% L</w:t>
            </w:r>
          </w:p>
          <w:p w14:paraId="03486A3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36% DK</w:t>
            </w:r>
          </w:p>
        </w:tc>
        <w:tc>
          <w:tcPr>
            <w:tcW w:w="1170" w:type="dxa"/>
            <w:shd w:val="clear" w:color="auto" w:fill="FFFFFF" w:themeFill="background1"/>
          </w:tcPr>
          <w:p w14:paraId="0C20073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54% G</w:t>
            </w:r>
          </w:p>
          <w:p w14:paraId="43C1A22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17% F</w:t>
            </w:r>
          </w:p>
          <w:p w14:paraId="76765C1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31% L</w:t>
            </w:r>
          </w:p>
          <w:p w14:paraId="35B8D10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 UTD</w:t>
            </w:r>
          </w:p>
          <w:p w14:paraId="0E37C33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11% DK</w:t>
            </w:r>
          </w:p>
        </w:tc>
        <w:tc>
          <w:tcPr>
            <w:tcW w:w="1170" w:type="dxa"/>
            <w:shd w:val="clear" w:color="auto" w:fill="FFFFFF" w:themeFill="background1"/>
          </w:tcPr>
          <w:p w14:paraId="0C48443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71% G</w:t>
            </w:r>
          </w:p>
          <w:p w14:paraId="4B6D866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33% F</w:t>
            </w:r>
          </w:p>
          <w:p w14:paraId="43CB40B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31% L</w:t>
            </w:r>
          </w:p>
          <w:p w14:paraId="677E980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 UTD</w:t>
            </w:r>
          </w:p>
          <w:p w14:paraId="7E9A2AF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 DK</w:t>
            </w:r>
          </w:p>
        </w:tc>
        <w:tc>
          <w:tcPr>
            <w:tcW w:w="1080" w:type="dxa"/>
            <w:shd w:val="clear" w:color="auto" w:fill="FFFFFF" w:themeFill="background1"/>
          </w:tcPr>
          <w:p w14:paraId="7B6E2B7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71% G</w:t>
            </w:r>
          </w:p>
          <w:p w14:paraId="4C85DB2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27% F</w:t>
            </w:r>
          </w:p>
          <w:p w14:paraId="463460A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23% L</w:t>
            </w:r>
          </w:p>
          <w:p w14:paraId="626D7E9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21% UTD</w:t>
            </w:r>
          </w:p>
          <w:p w14:paraId="1D9EA4C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8% DK</w:t>
            </w:r>
          </w:p>
        </w:tc>
        <w:tc>
          <w:tcPr>
            <w:tcW w:w="1260" w:type="dxa"/>
            <w:shd w:val="clear" w:color="auto" w:fill="F2DBDB" w:themeFill="accent2" w:themeFillTint="33"/>
          </w:tcPr>
          <w:p w14:paraId="6A25118E"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lastRenderedPageBreak/>
              <w:t>51% G</w:t>
            </w:r>
          </w:p>
          <w:p w14:paraId="2B1F608F"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20% F</w:t>
            </w:r>
          </w:p>
          <w:p w14:paraId="6DC81DF8"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26% L</w:t>
            </w:r>
          </w:p>
          <w:p w14:paraId="3132B2FF"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14% DK</w:t>
            </w:r>
          </w:p>
        </w:tc>
      </w:tr>
      <w:tr w:rsidR="004D3AE0" w:rsidRPr="00F618D8" w14:paraId="78B35726" w14:textId="77777777" w:rsidTr="00810C4A">
        <w:trPr>
          <w:trHeight w:val="759"/>
        </w:trPr>
        <w:tc>
          <w:tcPr>
            <w:tcW w:w="1800" w:type="dxa"/>
            <w:shd w:val="clear" w:color="auto" w:fill="DBE5F1" w:themeFill="accent1" w:themeFillTint="33"/>
          </w:tcPr>
          <w:p w14:paraId="6D9FA7DA"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DE</w:t>
            </w:r>
          </w:p>
        </w:tc>
        <w:tc>
          <w:tcPr>
            <w:tcW w:w="990" w:type="dxa"/>
            <w:shd w:val="clear" w:color="auto" w:fill="FFFFFF" w:themeFill="background1"/>
          </w:tcPr>
          <w:p w14:paraId="20F7452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29% G</w:t>
            </w:r>
          </w:p>
          <w:p w14:paraId="4925421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24% F</w:t>
            </w:r>
          </w:p>
          <w:p w14:paraId="35651A1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 L</w:t>
            </w:r>
          </w:p>
          <w:p w14:paraId="02A5AA0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 DK</w:t>
            </w:r>
          </w:p>
        </w:tc>
        <w:tc>
          <w:tcPr>
            <w:tcW w:w="1080" w:type="dxa"/>
            <w:shd w:val="clear" w:color="auto" w:fill="FFFFFF" w:themeFill="background1"/>
          </w:tcPr>
          <w:p w14:paraId="2877F28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1CA0232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46714E2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03D131B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0B6C649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585BB00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14% G</w:t>
            </w:r>
          </w:p>
          <w:p w14:paraId="507DA93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9% F</w:t>
            </w:r>
          </w:p>
          <w:p w14:paraId="7FD2135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 L</w:t>
            </w:r>
          </w:p>
          <w:p w14:paraId="393D322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DK</w:t>
            </w:r>
          </w:p>
        </w:tc>
        <w:tc>
          <w:tcPr>
            <w:tcW w:w="1170" w:type="dxa"/>
            <w:shd w:val="clear" w:color="auto" w:fill="auto"/>
          </w:tcPr>
          <w:p w14:paraId="7BB9962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24% G</w:t>
            </w:r>
          </w:p>
          <w:p w14:paraId="19C302E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11% F</w:t>
            </w:r>
          </w:p>
          <w:p w14:paraId="6954427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12% L</w:t>
            </w:r>
          </w:p>
          <w:p w14:paraId="6087DA6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UTD</w:t>
            </w:r>
          </w:p>
          <w:p w14:paraId="56D27A3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DK</w:t>
            </w:r>
          </w:p>
        </w:tc>
        <w:tc>
          <w:tcPr>
            <w:tcW w:w="1170" w:type="dxa"/>
          </w:tcPr>
          <w:p w14:paraId="63A7267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21% G</w:t>
            </w:r>
          </w:p>
          <w:p w14:paraId="1E7B433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13% F</w:t>
            </w:r>
          </w:p>
          <w:p w14:paraId="79CED10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 L</w:t>
            </w:r>
          </w:p>
          <w:p w14:paraId="0E36B66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UTD</w:t>
            </w:r>
          </w:p>
          <w:p w14:paraId="6400E07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080" w:type="dxa"/>
          </w:tcPr>
          <w:p w14:paraId="10B10F6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 G</w:t>
            </w:r>
          </w:p>
          <w:p w14:paraId="73A89CC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 F</w:t>
            </w:r>
          </w:p>
          <w:p w14:paraId="2693B7F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L</w:t>
            </w:r>
          </w:p>
          <w:p w14:paraId="0C055CC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UTD</w:t>
            </w:r>
          </w:p>
          <w:p w14:paraId="44C4A37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260" w:type="dxa"/>
            <w:shd w:val="clear" w:color="auto" w:fill="F2DBDB" w:themeFill="accent2" w:themeFillTint="33"/>
          </w:tcPr>
          <w:p w14:paraId="46C00B62"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19% G</w:t>
            </w:r>
          </w:p>
          <w:p w14:paraId="508191CE"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12% F</w:t>
            </w:r>
          </w:p>
          <w:p w14:paraId="15C3788F"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16% L</w:t>
            </w:r>
          </w:p>
          <w:p w14:paraId="06F4CEEF"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2% DK</w:t>
            </w:r>
          </w:p>
        </w:tc>
      </w:tr>
      <w:tr w:rsidR="004D3AE0" w:rsidRPr="00F618D8" w14:paraId="7F52AD68" w14:textId="77777777" w:rsidTr="00810C4A">
        <w:trPr>
          <w:trHeight w:val="759"/>
        </w:trPr>
        <w:tc>
          <w:tcPr>
            <w:tcW w:w="1800" w:type="dxa"/>
            <w:shd w:val="clear" w:color="auto" w:fill="DBE5F1" w:themeFill="accent1" w:themeFillTint="33"/>
          </w:tcPr>
          <w:p w14:paraId="13235314"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FL</w:t>
            </w:r>
          </w:p>
        </w:tc>
        <w:tc>
          <w:tcPr>
            <w:tcW w:w="990" w:type="dxa"/>
            <w:shd w:val="clear" w:color="auto" w:fill="FFFFFF" w:themeFill="background1"/>
          </w:tcPr>
          <w:p w14:paraId="4D36ECE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080" w:type="dxa"/>
            <w:shd w:val="clear" w:color="auto" w:fill="FFFFFF" w:themeFill="background1"/>
          </w:tcPr>
          <w:p w14:paraId="4F2BFE9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65D2AD1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25% G</w:t>
            </w:r>
          </w:p>
          <w:p w14:paraId="5E46203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20% F</w:t>
            </w:r>
          </w:p>
          <w:p w14:paraId="434EE34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 L</w:t>
            </w:r>
          </w:p>
          <w:p w14:paraId="4471F9F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638ED35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27% G</w:t>
            </w:r>
          </w:p>
          <w:p w14:paraId="794E984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19% F</w:t>
            </w:r>
          </w:p>
          <w:p w14:paraId="5735D12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 L</w:t>
            </w:r>
          </w:p>
          <w:p w14:paraId="46A5F03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66FDD53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28% G</w:t>
            </w:r>
          </w:p>
          <w:p w14:paraId="32E940E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21% F</w:t>
            </w:r>
          </w:p>
          <w:p w14:paraId="396C827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 L</w:t>
            </w:r>
          </w:p>
          <w:p w14:paraId="12D4E15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0BD4F07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28% G</w:t>
            </w:r>
          </w:p>
          <w:p w14:paraId="0318D6E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20% F</w:t>
            </w:r>
          </w:p>
          <w:p w14:paraId="6AF80F3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 L</w:t>
            </w:r>
          </w:p>
          <w:p w14:paraId="496C818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62B2130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29% G</w:t>
            </w:r>
          </w:p>
          <w:p w14:paraId="648FC39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19% F</w:t>
            </w:r>
          </w:p>
          <w:p w14:paraId="7A5024F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10% L</w:t>
            </w:r>
          </w:p>
          <w:p w14:paraId="6FA7FEA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1170" w:type="dxa"/>
            <w:shd w:val="clear" w:color="auto" w:fill="FFFFFF" w:themeFill="background1"/>
          </w:tcPr>
          <w:p w14:paraId="1AE08F7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30% G</w:t>
            </w:r>
          </w:p>
          <w:p w14:paraId="33EC1FB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20% F</w:t>
            </w:r>
          </w:p>
          <w:p w14:paraId="0488BF3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9% L</w:t>
            </w:r>
          </w:p>
          <w:p w14:paraId="0D1D5D4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UTD</w:t>
            </w:r>
          </w:p>
          <w:p w14:paraId="3A8F552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1170" w:type="dxa"/>
            <w:shd w:val="clear" w:color="auto" w:fill="FFFFFF" w:themeFill="background1"/>
          </w:tcPr>
          <w:p w14:paraId="27C2075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33% G</w:t>
            </w:r>
          </w:p>
          <w:p w14:paraId="59A0767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19% F</w:t>
            </w:r>
          </w:p>
          <w:p w14:paraId="7BED6F3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13% L</w:t>
            </w:r>
          </w:p>
          <w:p w14:paraId="5ED1B0A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UTD</w:t>
            </w:r>
          </w:p>
          <w:p w14:paraId="2D73F98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1080" w:type="dxa"/>
            <w:shd w:val="clear" w:color="auto" w:fill="FFFFFF" w:themeFill="background1"/>
          </w:tcPr>
          <w:p w14:paraId="55385C4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22% G</w:t>
            </w:r>
          </w:p>
          <w:p w14:paraId="6E37E38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19% F</w:t>
            </w:r>
          </w:p>
          <w:p w14:paraId="7120C1E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13% L</w:t>
            </w:r>
          </w:p>
          <w:p w14:paraId="10BBB18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UTD</w:t>
            </w:r>
          </w:p>
          <w:p w14:paraId="0B96769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260" w:type="dxa"/>
            <w:shd w:val="clear" w:color="auto" w:fill="F2DBDB" w:themeFill="accent2" w:themeFillTint="33"/>
          </w:tcPr>
          <w:p w14:paraId="264F4915"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28% G</w:t>
            </w:r>
          </w:p>
          <w:p w14:paraId="4AB36B24"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20% F</w:t>
            </w:r>
          </w:p>
          <w:p w14:paraId="60222CFA"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9% L</w:t>
            </w:r>
          </w:p>
          <w:p w14:paraId="1A24580D"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 DK</w:t>
            </w:r>
          </w:p>
        </w:tc>
      </w:tr>
      <w:tr w:rsidR="004D3AE0" w:rsidRPr="00F618D8" w14:paraId="22914183" w14:textId="77777777" w:rsidTr="00810C4A">
        <w:trPr>
          <w:trHeight w:val="759"/>
        </w:trPr>
        <w:tc>
          <w:tcPr>
            <w:tcW w:w="1800" w:type="dxa"/>
            <w:shd w:val="clear" w:color="auto" w:fill="DBE5F1" w:themeFill="accent1" w:themeFillTint="33"/>
          </w:tcPr>
          <w:p w14:paraId="21D361F3"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GA</w:t>
            </w:r>
          </w:p>
        </w:tc>
        <w:tc>
          <w:tcPr>
            <w:tcW w:w="990" w:type="dxa"/>
            <w:shd w:val="clear" w:color="auto" w:fill="FFFFFF" w:themeFill="background1"/>
          </w:tcPr>
          <w:p w14:paraId="456161C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11% G</w:t>
            </w:r>
          </w:p>
          <w:p w14:paraId="43F1A3A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9% F</w:t>
            </w:r>
          </w:p>
          <w:p w14:paraId="281F2D2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L</w:t>
            </w:r>
          </w:p>
          <w:p w14:paraId="4F133C6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1080" w:type="dxa"/>
            <w:shd w:val="clear" w:color="auto" w:fill="FFFFFF" w:themeFill="background1"/>
          </w:tcPr>
          <w:p w14:paraId="300221F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14% G</w:t>
            </w:r>
          </w:p>
          <w:p w14:paraId="5CDD46E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11% F</w:t>
            </w:r>
          </w:p>
          <w:p w14:paraId="2FF5439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6F2FAD0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DK</w:t>
            </w:r>
          </w:p>
        </w:tc>
        <w:tc>
          <w:tcPr>
            <w:tcW w:w="990" w:type="dxa"/>
            <w:shd w:val="clear" w:color="auto" w:fill="FFFFFF" w:themeFill="background1"/>
          </w:tcPr>
          <w:p w14:paraId="130D10C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14% G</w:t>
            </w:r>
          </w:p>
          <w:p w14:paraId="774A51A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11% F</w:t>
            </w:r>
          </w:p>
          <w:p w14:paraId="792C457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3270F9F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33321A3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17% G</w:t>
            </w:r>
          </w:p>
          <w:p w14:paraId="2424DDF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14% F</w:t>
            </w:r>
          </w:p>
          <w:p w14:paraId="35641DB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5CD54FF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7E69D06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17% G</w:t>
            </w:r>
          </w:p>
          <w:p w14:paraId="3C6D148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15% F</w:t>
            </w:r>
          </w:p>
          <w:p w14:paraId="3FB9448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L</w:t>
            </w:r>
          </w:p>
          <w:p w14:paraId="4185CAF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44C7AE0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17% G</w:t>
            </w:r>
          </w:p>
          <w:p w14:paraId="3B6D50D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14% F</w:t>
            </w:r>
          </w:p>
          <w:p w14:paraId="6BC3F8D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582E1FA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7C822C7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12% G</w:t>
            </w:r>
          </w:p>
          <w:p w14:paraId="28F03A9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11% F</w:t>
            </w:r>
          </w:p>
          <w:p w14:paraId="2305057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L</w:t>
            </w:r>
          </w:p>
          <w:p w14:paraId="12B009D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1170" w:type="dxa"/>
            <w:shd w:val="clear" w:color="auto" w:fill="FFFFFF" w:themeFill="background1"/>
          </w:tcPr>
          <w:p w14:paraId="0677366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16% G</w:t>
            </w:r>
          </w:p>
          <w:p w14:paraId="266E11F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15% F</w:t>
            </w:r>
          </w:p>
          <w:p w14:paraId="67B2F0D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L</w:t>
            </w:r>
          </w:p>
          <w:p w14:paraId="56CE3AF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UTD</w:t>
            </w:r>
          </w:p>
          <w:p w14:paraId="40B95E9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170" w:type="dxa"/>
            <w:shd w:val="clear" w:color="auto" w:fill="FFFFFF" w:themeFill="background1"/>
          </w:tcPr>
          <w:p w14:paraId="226F860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17% G</w:t>
            </w:r>
          </w:p>
          <w:p w14:paraId="2B76727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16% F</w:t>
            </w:r>
          </w:p>
          <w:p w14:paraId="7A1245F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L</w:t>
            </w:r>
          </w:p>
          <w:p w14:paraId="2A126BB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UTD</w:t>
            </w:r>
          </w:p>
          <w:p w14:paraId="1FBC4A9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080" w:type="dxa"/>
            <w:shd w:val="clear" w:color="auto" w:fill="FFFFFF" w:themeFill="background1"/>
          </w:tcPr>
          <w:p w14:paraId="1586524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16% G</w:t>
            </w:r>
          </w:p>
          <w:p w14:paraId="5D0F5C5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14% F</w:t>
            </w:r>
          </w:p>
          <w:p w14:paraId="31553FD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L</w:t>
            </w:r>
          </w:p>
          <w:p w14:paraId="2E7E8EE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UTD</w:t>
            </w:r>
          </w:p>
          <w:p w14:paraId="483CA9B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260" w:type="dxa"/>
            <w:shd w:val="clear" w:color="auto" w:fill="F2DBDB" w:themeFill="accent2" w:themeFillTint="33"/>
          </w:tcPr>
          <w:p w14:paraId="5A4829CC"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15% G</w:t>
            </w:r>
          </w:p>
          <w:p w14:paraId="1D786029"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13% F</w:t>
            </w:r>
          </w:p>
          <w:p w14:paraId="2E0DD1B3"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2% L</w:t>
            </w:r>
          </w:p>
          <w:p w14:paraId="63327A78"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 DK</w:t>
            </w:r>
          </w:p>
        </w:tc>
      </w:tr>
      <w:tr w:rsidR="00E24947" w:rsidRPr="00F618D8" w14:paraId="631E4193" w14:textId="77777777" w:rsidTr="00810C4A">
        <w:trPr>
          <w:trHeight w:val="759"/>
        </w:trPr>
        <w:tc>
          <w:tcPr>
            <w:tcW w:w="1800" w:type="dxa"/>
            <w:shd w:val="clear" w:color="auto" w:fill="DBE5F1" w:themeFill="accent1" w:themeFillTint="33"/>
          </w:tcPr>
          <w:p w14:paraId="398AF1FE"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lastRenderedPageBreak/>
              <w:t>HI</w:t>
            </w:r>
          </w:p>
        </w:tc>
        <w:tc>
          <w:tcPr>
            <w:tcW w:w="990" w:type="dxa"/>
            <w:shd w:val="clear" w:color="auto" w:fill="FFFFFF" w:themeFill="background1"/>
          </w:tcPr>
          <w:p w14:paraId="227267F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080" w:type="dxa"/>
            <w:shd w:val="clear" w:color="auto" w:fill="FFFFFF" w:themeFill="background1"/>
          </w:tcPr>
          <w:p w14:paraId="1A0BBF5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4FB7EDB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5E27EE3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76% G</w:t>
            </w:r>
          </w:p>
          <w:p w14:paraId="3CEA47D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75% F</w:t>
            </w:r>
          </w:p>
          <w:p w14:paraId="02D2BBC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L</w:t>
            </w:r>
          </w:p>
          <w:p w14:paraId="69799AE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7937735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77% G</w:t>
            </w:r>
          </w:p>
          <w:p w14:paraId="5F4FE98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76% F</w:t>
            </w:r>
          </w:p>
          <w:p w14:paraId="17BDD61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L</w:t>
            </w:r>
          </w:p>
          <w:p w14:paraId="68CB6DE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5F44E5B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70% G</w:t>
            </w:r>
          </w:p>
          <w:p w14:paraId="712D049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67% F</w:t>
            </w:r>
          </w:p>
          <w:p w14:paraId="67167C7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64B17FB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087DD9A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70% G</w:t>
            </w:r>
          </w:p>
          <w:p w14:paraId="5F131E9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67% F</w:t>
            </w:r>
          </w:p>
          <w:p w14:paraId="7B89D25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7157FA2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1170" w:type="dxa"/>
            <w:shd w:val="clear" w:color="auto" w:fill="FFFFFF" w:themeFill="background1"/>
          </w:tcPr>
          <w:p w14:paraId="57245ED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66% G</w:t>
            </w:r>
          </w:p>
          <w:p w14:paraId="2957529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64% F</w:t>
            </w:r>
          </w:p>
          <w:p w14:paraId="1609628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L</w:t>
            </w:r>
          </w:p>
          <w:p w14:paraId="011664F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UTD</w:t>
            </w:r>
          </w:p>
          <w:p w14:paraId="532BEB8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170" w:type="dxa"/>
            <w:shd w:val="clear" w:color="auto" w:fill="FFFFFF" w:themeFill="background1"/>
          </w:tcPr>
          <w:p w14:paraId="56F6D8A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72% G</w:t>
            </w:r>
          </w:p>
          <w:p w14:paraId="56E18E3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67% F</w:t>
            </w:r>
          </w:p>
          <w:p w14:paraId="2619221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2D3D342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UTD</w:t>
            </w:r>
          </w:p>
          <w:p w14:paraId="2006A2A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1080" w:type="dxa"/>
            <w:shd w:val="clear" w:color="auto" w:fill="FFFFFF" w:themeFill="background1"/>
          </w:tcPr>
          <w:p w14:paraId="399B668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p w14:paraId="19B9B5F8" w14:textId="77777777" w:rsidR="004D3AE0" w:rsidRPr="00F618D8" w:rsidRDefault="004D3AE0" w:rsidP="00F5324F">
            <w:pPr>
              <w:pStyle w:val="TableBody"/>
              <w:rPr>
                <w:rFonts w:ascii="Arial" w:hAnsi="Arial" w:cs="Arial"/>
                <w:sz w:val="20"/>
                <w:szCs w:val="20"/>
              </w:rPr>
            </w:pPr>
          </w:p>
        </w:tc>
        <w:tc>
          <w:tcPr>
            <w:tcW w:w="1260" w:type="dxa"/>
            <w:shd w:val="clear" w:color="auto" w:fill="F2DBDB" w:themeFill="accent2" w:themeFillTint="33"/>
          </w:tcPr>
          <w:p w14:paraId="0486ABE9"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72% G</w:t>
            </w:r>
          </w:p>
          <w:p w14:paraId="3D7DC1B1"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69% F</w:t>
            </w:r>
          </w:p>
          <w:p w14:paraId="1C7C780C"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2% L</w:t>
            </w:r>
          </w:p>
          <w:p w14:paraId="6E16288B"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 DK</w:t>
            </w:r>
          </w:p>
        </w:tc>
      </w:tr>
      <w:tr w:rsidR="00E24947" w:rsidRPr="00F618D8" w14:paraId="63552CD0" w14:textId="77777777" w:rsidTr="00810C4A">
        <w:trPr>
          <w:trHeight w:val="458"/>
        </w:trPr>
        <w:tc>
          <w:tcPr>
            <w:tcW w:w="1800" w:type="dxa"/>
            <w:shd w:val="clear" w:color="auto" w:fill="DBE5F1" w:themeFill="accent1" w:themeFillTint="33"/>
          </w:tcPr>
          <w:p w14:paraId="1AC67F98"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ID</w:t>
            </w:r>
          </w:p>
        </w:tc>
        <w:tc>
          <w:tcPr>
            <w:tcW w:w="990" w:type="dxa"/>
            <w:shd w:val="clear" w:color="auto" w:fill="FFFFFF" w:themeFill="background1"/>
          </w:tcPr>
          <w:p w14:paraId="4C199FD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080" w:type="dxa"/>
            <w:shd w:val="clear" w:color="auto" w:fill="FFFFFF" w:themeFill="background1"/>
          </w:tcPr>
          <w:p w14:paraId="0E16E39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1F25C67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073B75F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0F2910B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35733F1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2147D31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170" w:type="dxa"/>
            <w:shd w:val="clear" w:color="auto" w:fill="FFFFFF" w:themeFill="background1"/>
          </w:tcPr>
          <w:p w14:paraId="5B7AA1C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170" w:type="dxa"/>
            <w:shd w:val="clear" w:color="auto" w:fill="FFFFFF" w:themeFill="background1"/>
          </w:tcPr>
          <w:p w14:paraId="0A9D298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58% G</w:t>
            </w:r>
          </w:p>
          <w:p w14:paraId="4A4E2E6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F</w:t>
            </w:r>
          </w:p>
          <w:p w14:paraId="3456040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L</w:t>
            </w:r>
          </w:p>
          <w:p w14:paraId="62E52A4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58% UTD</w:t>
            </w:r>
          </w:p>
          <w:p w14:paraId="0C93C64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080" w:type="dxa"/>
            <w:shd w:val="clear" w:color="auto" w:fill="FFFFFF" w:themeFill="background1"/>
          </w:tcPr>
          <w:p w14:paraId="1C2B500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260" w:type="dxa"/>
            <w:shd w:val="clear" w:color="auto" w:fill="F2DBDB" w:themeFill="accent2" w:themeFillTint="33"/>
          </w:tcPr>
          <w:p w14:paraId="44A96D57"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58% G</w:t>
            </w:r>
          </w:p>
          <w:p w14:paraId="32D46BD0"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0% F</w:t>
            </w:r>
          </w:p>
          <w:p w14:paraId="1A38CFCD"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0% L</w:t>
            </w:r>
          </w:p>
          <w:p w14:paraId="108898A8"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0% DK</w:t>
            </w:r>
          </w:p>
        </w:tc>
      </w:tr>
      <w:tr w:rsidR="0004451D" w:rsidRPr="00F618D8" w14:paraId="56E08396" w14:textId="77777777" w:rsidTr="0012383D">
        <w:trPr>
          <w:trHeight w:val="530"/>
        </w:trPr>
        <w:tc>
          <w:tcPr>
            <w:tcW w:w="1800" w:type="dxa"/>
            <w:shd w:val="clear" w:color="auto" w:fill="DBE5F1"/>
          </w:tcPr>
          <w:p w14:paraId="55A501DA" w14:textId="77777777" w:rsidR="0004451D" w:rsidRPr="00F618D8" w:rsidRDefault="0004451D" w:rsidP="00F5324F">
            <w:pPr>
              <w:pStyle w:val="TableHeader"/>
              <w:rPr>
                <w:rFonts w:ascii="Arial" w:hAnsi="Arial"/>
                <w:sz w:val="20"/>
                <w:szCs w:val="20"/>
              </w:rPr>
            </w:pPr>
            <w:r w:rsidRPr="00F618D8">
              <w:rPr>
                <w:rFonts w:ascii="Arial" w:hAnsi="Arial"/>
                <w:sz w:val="20"/>
                <w:szCs w:val="20"/>
              </w:rPr>
              <w:br w:type="page"/>
              <w:t>State</w:t>
            </w:r>
          </w:p>
        </w:tc>
        <w:tc>
          <w:tcPr>
            <w:tcW w:w="990" w:type="dxa"/>
            <w:shd w:val="clear" w:color="auto" w:fill="DBE5F1"/>
          </w:tcPr>
          <w:p w14:paraId="3644DD51" w14:textId="77777777" w:rsidR="0004451D" w:rsidRPr="00F618D8" w:rsidRDefault="0004451D" w:rsidP="00F5324F">
            <w:pPr>
              <w:pStyle w:val="TableHeader"/>
              <w:rPr>
                <w:rFonts w:ascii="Arial" w:hAnsi="Arial"/>
                <w:sz w:val="20"/>
                <w:szCs w:val="20"/>
              </w:rPr>
            </w:pPr>
            <w:r w:rsidRPr="00F618D8">
              <w:rPr>
                <w:rFonts w:ascii="Arial" w:hAnsi="Arial"/>
                <w:sz w:val="20"/>
                <w:szCs w:val="20"/>
              </w:rPr>
              <w:t>2008-09</w:t>
            </w:r>
          </w:p>
        </w:tc>
        <w:tc>
          <w:tcPr>
            <w:tcW w:w="1080" w:type="dxa"/>
            <w:shd w:val="clear" w:color="auto" w:fill="DBE5F1"/>
          </w:tcPr>
          <w:p w14:paraId="0AEB2D18" w14:textId="77777777" w:rsidR="0004451D" w:rsidRPr="00F618D8" w:rsidRDefault="0004451D" w:rsidP="00F5324F">
            <w:pPr>
              <w:pStyle w:val="TableHeader"/>
              <w:rPr>
                <w:rFonts w:ascii="Arial" w:hAnsi="Arial"/>
                <w:sz w:val="20"/>
                <w:szCs w:val="20"/>
              </w:rPr>
            </w:pPr>
            <w:r w:rsidRPr="00F618D8">
              <w:rPr>
                <w:rFonts w:ascii="Arial" w:hAnsi="Arial"/>
                <w:sz w:val="20"/>
                <w:szCs w:val="20"/>
              </w:rPr>
              <w:t>2009-10</w:t>
            </w:r>
          </w:p>
        </w:tc>
        <w:tc>
          <w:tcPr>
            <w:tcW w:w="990" w:type="dxa"/>
            <w:shd w:val="clear" w:color="auto" w:fill="DBE5F1"/>
          </w:tcPr>
          <w:p w14:paraId="7B2D9BD3" w14:textId="77777777" w:rsidR="0004451D" w:rsidRPr="00F618D8" w:rsidRDefault="0004451D" w:rsidP="00F5324F">
            <w:pPr>
              <w:pStyle w:val="TableHeader"/>
              <w:rPr>
                <w:rFonts w:ascii="Arial" w:hAnsi="Arial"/>
                <w:sz w:val="20"/>
                <w:szCs w:val="20"/>
              </w:rPr>
            </w:pPr>
            <w:r w:rsidRPr="00F618D8">
              <w:rPr>
                <w:rFonts w:ascii="Arial" w:hAnsi="Arial"/>
                <w:sz w:val="20"/>
                <w:szCs w:val="20"/>
              </w:rPr>
              <w:t>2010-11</w:t>
            </w:r>
          </w:p>
        </w:tc>
        <w:tc>
          <w:tcPr>
            <w:tcW w:w="990" w:type="dxa"/>
            <w:shd w:val="clear" w:color="auto" w:fill="DBE5F1"/>
          </w:tcPr>
          <w:p w14:paraId="1FBFF101" w14:textId="77777777" w:rsidR="0004451D" w:rsidRPr="00F618D8" w:rsidRDefault="0004451D" w:rsidP="00F5324F">
            <w:pPr>
              <w:pStyle w:val="TableHeader"/>
              <w:rPr>
                <w:rFonts w:ascii="Arial" w:hAnsi="Arial"/>
                <w:sz w:val="20"/>
                <w:szCs w:val="20"/>
              </w:rPr>
            </w:pPr>
            <w:r w:rsidRPr="00F618D8">
              <w:rPr>
                <w:rFonts w:ascii="Arial" w:hAnsi="Arial"/>
                <w:sz w:val="20"/>
                <w:szCs w:val="20"/>
              </w:rPr>
              <w:t>2011-12</w:t>
            </w:r>
          </w:p>
        </w:tc>
        <w:tc>
          <w:tcPr>
            <w:tcW w:w="990" w:type="dxa"/>
            <w:shd w:val="clear" w:color="auto" w:fill="DBE5F1"/>
          </w:tcPr>
          <w:p w14:paraId="218D76E0" w14:textId="77777777" w:rsidR="0004451D" w:rsidRPr="00F618D8" w:rsidRDefault="0004451D" w:rsidP="00F5324F">
            <w:pPr>
              <w:pStyle w:val="TableHeader"/>
              <w:rPr>
                <w:rFonts w:ascii="Arial" w:hAnsi="Arial"/>
                <w:sz w:val="20"/>
                <w:szCs w:val="20"/>
              </w:rPr>
            </w:pPr>
            <w:r w:rsidRPr="00F618D8">
              <w:rPr>
                <w:rFonts w:ascii="Arial" w:hAnsi="Arial"/>
                <w:sz w:val="20"/>
                <w:szCs w:val="20"/>
              </w:rPr>
              <w:t>2012-13</w:t>
            </w:r>
          </w:p>
        </w:tc>
        <w:tc>
          <w:tcPr>
            <w:tcW w:w="990" w:type="dxa"/>
            <w:shd w:val="clear" w:color="auto" w:fill="DBE5F1"/>
          </w:tcPr>
          <w:p w14:paraId="4B163C1A" w14:textId="77777777" w:rsidR="0004451D" w:rsidRPr="00F618D8" w:rsidRDefault="0004451D" w:rsidP="00F5324F">
            <w:pPr>
              <w:pStyle w:val="TableHeader"/>
              <w:rPr>
                <w:rFonts w:ascii="Arial" w:hAnsi="Arial"/>
                <w:sz w:val="20"/>
                <w:szCs w:val="20"/>
              </w:rPr>
            </w:pPr>
            <w:r w:rsidRPr="00F618D8">
              <w:rPr>
                <w:rFonts w:ascii="Arial" w:hAnsi="Arial"/>
                <w:sz w:val="20"/>
                <w:szCs w:val="20"/>
              </w:rPr>
              <w:t>2013-14</w:t>
            </w:r>
          </w:p>
        </w:tc>
        <w:tc>
          <w:tcPr>
            <w:tcW w:w="990" w:type="dxa"/>
            <w:shd w:val="clear" w:color="auto" w:fill="DBE5F1"/>
          </w:tcPr>
          <w:p w14:paraId="2F0C8B49" w14:textId="77777777" w:rsidR="0004451D" w:rsidRPr="00F618D8" w:rsidRDefault="0004451D" w:rsidP="00F5324F">
            <w:pPr>
              <w:pStyle w:val="TableHeader"/>
              <w:rPr>
                <w:rFonts w:ascii="Arial" w:hAnsi="Arial"/>
                <w:sz w:val="20"/>
                <w:szCs w:val="20"/>
              </w:rPr>
            </w:pPr>
            <w:r w:rsidRPr="00F618D8">
              <w:rPr>
                <w:rFonts w:ascii="Arial" w:hAnsi="Arial"/>
                <w:sz w:val="20"/>
                <w:szCs w:val="20"/>
              </w:rPr>
              <w:t>2014-15</w:t>
            </w:r>
          </w:p>
        </w:tc>
        <w:tc>
          <w:tcPr>
            <w:tcW w:w="1170" w:type="dxa"/>
            <w:shd w:val="clear" w:color="auto" w:fill="DBE5F1"/>
          </w:tcPr>
          <w:p w14:paraId="0F484132" w14:textId="77777777" w:rsidR="0004451D" w:rsidRPr="00F618D8" w:rsidRDefault="0004451D" w:rsidP="00F5324F">
            <w:pPr>
              <w:pStyle w:val="TableHeader"/>
              <w:rPr>
                <w:rFonts w:ascii="Arial" w:hAnsi="Arial"/>
                <w:sz w:val="20"/>
                <w:szCs w:val="20"/>
              </w:rPr>
            </w:pPr>
            <w:r w:rsidRPr="00F618D8">
              <w:rPr>
                <w:rFonts w:ascii="Arial" w:hAnsi="Arial"/>
                <w:sz w:val="20"/>
                <w:szCs w:val="20"/>
              </w:rPr>
              <w:t>2015-16</w:t>
            </w:r>
          </w:p>
        </w:tc>
        <w:tc>
          <w:tcPr>
            <w:tcW w:w="1170" w:type="dxa"/>
            <w:shd w:val="clear" w:color="auto" w:fill="DBE5F1"/>
          </w:tcPr>
          <w:p w14:paraId="61F9CE30" w14:textId="77777777" w:rsidR="0004451D" w:rsidRPr="00F618D8" w:rsidRDefault="0004451D" w:rsidP="00F5324F">
            <w:pPr>
              <w:pStyle w:val="TableHeader"/>
              <w:rPr>
                <w:rFonts w:ascii="Arial" w:hAnsi="Arial"/>
                <w:sz w:val="20"/>
                <w:szCs w:val="20"/>
              </w:rPr>
            </w:pPr>
            <w:r w:rsidRPr="00F618D8">
              <w:rPr>
                <w:rFonts w:ascii="Arial" w:hAnsi="Arial"/>
                <w:sz w:val="20"/>
                <w:szCs w:val="20"/>
              </w:rPr>
              <w:t>2016-17</w:t>
            </w:r>
          </w:p>
        </w:tc>
        <w:tc>
          <w:tcPr>
            <w:tcW w:w="1080" w:type="dxa"/>
            <w:shd w:val="clear" w:color="auto" w:fill="DBE5F1"/>
          </w:tcPr>
          <w:p w14:paraId="4767FC07" w14:textId="77777777" w:rsidR="0004451D" w:rsidRPr="00F618D8" w:rsidRDefault="0004451D" w:rsidP="00F5324F">
            <w:pPr>
              <w:pStyle w:val="TableHeader"/>
              <w:rPr>
                <w:rFonts w:ascii="Arial" w:hAnsi="Arial"/>
                <w:sz w:val="20"/>
                <w:szCs w:val="20"/>
              </w:rPr>
            </w:pPr>
            <w:r w:rsidRPr="00F618D8">
              <w:rPr>
                <w:rFonts w:ascii="Arial" w:hAnsi="Arial"/>
                <w:sz w:val="20"/>
                <w:szCs w:val="20"/>
              </w:rPr>
              <w:t>2017-18</w:t>
            </w:r>
          </w:p>
        </w:tc>
        <w:tc>
          <w:tcPr>
            <w:tcW w:w="1260" w:type="dxa"/>
            <w:shd w:val="clear" w:color="auto" w:fill="F2DBDB" w:themeFill="accent2" w:themeFillTint="33"/>
          </w:tcPr>
          <w:p w14:paraId="7B3C644B" w14:textId="77777777" w:rsidR="0004451D" w:rsidRPr="00F618D8" w:rsidRDefault="0004451D" w:rsidP="00F5324F">
            <w:pPr>
              <w:pStyle w:val="TableHeader"/>
              <w:rPr>
                <w:rFonts w:ascii="Arial" w:hAnsi="Arial"/>
                <w:sz w:val="20"/>
                <w:szCs w:val="20"/>
              </w:rPr>
            </w:pPr>
            <w:r w:rsidRPr="00F618D8">
              <w:rPr>
                <w:rFonts w:ascii="Arial" w:hAnsi="Arial"/>
                <w:sz w:val="20"/>
                <w:szCs w:val="20"/>
              </w:rPr>
              <w:t>Average of Annual %</w:t>
            </w:r>
          </w:p>
        </w:tc>
      </w:tr>
      <w:tr w:rsidR="00E24947" w:rsidRPr="00F618D8" w14:paraId="7CA0C817" w14:textId="77777777" w:rsidTr="00810C4A">
        <w:trPr>
          <w:trHeight w:val="759"/>
        </w:trPr>
        <w:tc>
          <w:tcPr>
            <w:tcW w:w="1800" w:type="dxa"/>
            <w:shd w:val="clear" w:color="auto" w:fill="DBE5F1" w:themeFill="accent1" w:themeFillTint="33"/>
          </w:tcPr>
          <w:p w14:paraId="7E24F285"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IL</w:t>
            </w:r>
          </w:p>
        </w:tc>
        <w:tc>
          <w:tcPr>
            <w:tcW w:w="990" w:type="dxa"/>
            <w:shd w:val="clear" w:color="auto" w:fill="FFFFFF" w:themeFill="background1"/>
          </w:tcPr>
          <w:p w14:paraId="6A78E12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74% G</w:t>
            </w:r>
          </w:p>
          <w:p w14:paraId="3A61C94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70% F</w:t>
            </w:r>
          </w:p>
          <w:p w14:paraId="54730F7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L</w:t>
            </w:r>
          </w:p>
          <w:p w14:paraId="5D25394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1080" w:type="dxa"/>
            <w:shd w:val="clear" w:color="auto" w:fill="FFFFFF" w:themeFill="background1"/>
          </w:tcPr>
          <w:p w14:paraId="7813F61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65% G</w:t>
            </w:r>
          </w:p>
          <w:p w14:paraId="30D5D11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59% F</w:t>
            </w:r>
          </w:p>
          <w:p w14:paraId="15C414E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 L</w:t>
            </w:r>
          </w:p>
          <w:p w14:paraId="1E6209A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3219268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65% G</w:t>
            </w:r>
          </w:p>
          <w:p w14:paraId="09E8FC1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61% F</w:t>
            </w:r>
          </w:p>
          <w:p w14:paraId="4A1BC46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L</w:t>
            </w:r>
          </w:p>
          <w:p w14:paraId="264AE9F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DK</w:t>
            </w:r>
          </w:p>
        </w:tc>
        <w:tc>
          <w:tcPr>
            <w:tcW w:w="990" w:type="dxa"/>
            <w:shd w:val="clear" w:color="auto" w:fill="FFFFFF" w:themeFill="background1"/>
          </w:tcPr>
          <w:p w14:paraId="22FF030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65% G</w:t>
            </w:r>
          </w:p>
          <w:p w14:paraId="2C22CF0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62% F</w:t>
            </w:r>
          </w:p>
          <w:p w14:paraId="4E6DD41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666ED3F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DK</w:t>
            </w:r>
          </w:p>
        </w:tc>
        <w:tc>
          <w:tcPr>
            <w:tcW w:w="990" w:type="dxa"/>
            <w:shd w:val="clear" w:color="auto" w:fill="FFFFFF" w:themeFill="background1"/>
          </w:tcPr>
          <w:p w14:paraId="44C79C5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64% G</w:t>
            </w:r>
          </w:p>
          <w:p w14:paraId="38C603C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60% F</w:t>
            </w:r>
          </w:p>
          <w:p w14:paraId="1F8CF13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L</w:t>
            </w:r>
          </w:p>
          <w:p w14:paraId="7D0FB79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5F02A3B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62% G</w:t>
            </w:r>
          </w:p>
          <w:p w14:paraId="034FCCE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57% F</w:t>
            </w:r>
          </w:p>
          <w:p w14:paraId="27743B1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 L</w:t>
            </w:r>
          </w:p>
          <w:p w14:paraId="310CC42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51CD8C8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64% G</w:t>
            </w:r>
          </w:p>
          <w:p w14:paraId="559586D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62% F</w:t>
            </w:r>
          </w:p>
          <w:p w14:paraId="6461BCF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L</w:t>
            </w:r>
          </w:p>
          <w:p w14:paraId="149C378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170" w:type="dxa"/>
            <w:shd w:val="clear" w:color="auto" w:fill="FFFFFF" w:themeFill="background1"/>
          </w:tcPr>
          <w:p w14:paraId="480B65C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71% G</w:t>
            </w:r>
          </w:p>
          <w:p w14:paraId="784B4E9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68% F</w:t>
            </w:r>
          </w:p>
          <w:p w14:paraId="7C11E60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55B2237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UTD</w:t>
            </w:r>
          </w:p>
          <w:p w14:paraId="2E07310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170" w:type="dxa"/>
            <w:shd w:val="clear" w:color="auto" w:fill="FFFFFF" w:themeFill="background1"/>
          </w:tcPr>
          <w:p w14:paraId="64F06DC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72% G</w:t>
            </w:r>
          </w:p>
          <w:p w14:paraId="76B0206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66% F</w:t>
            </w:r>
          </w:p>
          <w:p w14:paraId="5DD87A6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 L</w:t>
            </w:r>
          </w:p>
          <w:p w14:paraId="54DC402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UTD</w:t>
            </w:r>
          </w:p>
          <w:p w14:paraId="2095A1E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080" w:type="dxa"/>
            <w:shd w:val="clear" w:color="auto" w:fill="FFFFFF" w:themeFill="background1"/>
          </w:tcPr>
          <w:p w14:paraId="277132A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66% G</w:t>
            </w:r>
          </w:p>
          <w:p w14:paraId="3CB0DD5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59% F</w:t>
            </w:r>
          </w:p>
          <w:p w14:paraId="68279CE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 L</w:t>
            </w:r>
          </w:p>
          <w:p w14:paraId="52BA5AE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UTD</w:t>
            </w:r>
          </w:p>
          <w:p w14:paraId="523D15D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260" w:type="dxa"/>
            <w:shd w:val="clear" w:color="auto" w:fill="F2DBDB" w:themeFill="accent2" w:themeFillTint="33"/>
          </w:tcPr>
          <w:p w14:paraId="0C7CE554"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67% G</w:t>
            </w:r>
          </w:p>
          <w:p w14:paraId="2E768EC6"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62% F</w:t>
            </w:r>
          </w:p>
          <w:p w14:paraId="155011CE"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4% L</w:t>
            </w:r>
          </w:p>
          <w:p w14:paraId="3BC7D770"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 DK</w:t>
            </w:r>
          </w:p>
        </w:tc>
      </w:tr>
      <w:tr w:rsidR="00E24947" w:rsidRPr="00F618D8" w14:paraId="4A0EB6F7" w14:textId="77777777" w:rsidTr="00810C4A">
        <w:trPr>
          <w:trHeight w:val="759"/>
        </w:trPr>
        <w:tc>
          <w:tcPr>
            <w:tcW w:w="1800" w:type="dxa"/>
            <w:shd w:val="clear" w:color="auto" w:fill="DBE5F1" w:themeFill="accent1" w:themeFillTint="33"/>
          </w:tcPr>
          <w:p w14:paraId="3F29037B"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lastRenderedPageBreak/>
              <w:t>IN</w:t>
            </w:r>
          </w:p>
        </w:tc>
        <w:tc>
          <w:tcPr>
            <w:tcW w:w="990" w:type="dxa"/>
            <w:shd w:val="clear" w:color="auto" w:fill="FFFFFF" w:themeFill="background1"/>
          </w:tcPr>
          <w:p w14:paraId="2377598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34% G</w:t>
            </w:r>
          </w:p>
          <w:p w14:paraId="34B273B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29% F</w:t>
            </w:r>
          </w:p>
          <w:p w14:paraId="3D0D63D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 L</w:t>
            </w:r>
          </w:p>
          <w:p w14:paraId="45BBB8F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080" w:type="dxa"/>
            <w:shd w:val="clear" w:color="auto" w:fill="FFFFFF" w:themeFill="background1"/>
          </w:tcPr>
          <w:p w14:paraId="4DB4E79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3024E38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123A2FF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5D4F538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51% G</w:t>
            </w:r>
          </w:p>
          <w:p w14:paraId="474517D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47% F</w:t>
            </w:r>
          </w:p>
          <w:p w14:paraId="40B1A31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L</w:t>
            </w:r>
          </w:p>
          <w:p w14:paraId="79C9DA4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4FC8CA5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57% G</w:t>
            </w:r>
          </w:p>
          <w:p w14:paraId="6507239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53% F</w:t>
            </w:r>
          </w:p>
          <w:p w14:paraId="5DECB28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L</w:t>
            </w:r>
          </w:p>
          <w:p w14:paraId="5C8A46C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3FCB0B2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48% G</w:t>
            </w:r>
          </w:p>
          <w:p w14:paraId="6B789BF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41% F</w:t>
            </w:r>
          </w:p>
          <w:p w14:paraId="0D04D5D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 L</w:t>
            </w:r>
          </w:p>
          <w:p w14:paraId="0D8C2AB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1170" w:type="dxa"/>
            <w:shd w:val="clear" w:color="auto" w:fill="FFFFFF" w:themeFill="background1"/>
          </w:tcPr>
          <w:p w14:paraId="554F7C4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52% G</w:t>
            </w:r>
          </w:p>
          <w:p w14:paraId="655EB84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47% F</w:t>
            </w:r>
          </w:p>
          <w:p w14:paraId="7DD086D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L</w:t>
            </w:r>
          </w:p>
          <w:p w14:paraId="43D2848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UTD</w:t>
            </w:r>
          </w:p>
          <w:p w14:paraId="7E34254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1170" w:type="dxa"/>
            <w:shd w:val="clear" w:color="auto" w:fill="FFFFFF" w:themeFill="background1"/>
          </w:tcPr>
          <w:p w14:paraId="31882CD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49% G</w:t>
            </w:r>
          </w:p>
          <w:p w14:paraId="502D896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45% F</w:t>
            </w:r>
          </w:p>
          <w:p w14:paraId="7DFDF97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L</w:t>
            </w:r>
          </w:p>
          <w:p w14:paraId="1357D5B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UTD</w:t>
            </w:r>
          </w:p>
          <w:p w14:paraId="2BADDF9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1080" w:type="dxa"/>
            <w:shd w:val="clear" w:color="auto" w:fill="FFFFFF" w:themeFill="background1"/>
          </w:tcPr>
          <w:p w14:paraId="48665F3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53% G</w:t>
            </w:r>
          </w:p>
          <w:p w14:paraId="1A60B5C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49% F</w:t>
            </w:r>
          </w:p>
          <w:p w14:paraId="0B2953A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L</w:t>
            </w:r>
          </w:p>
          <w:p w14:paraId="4B7A08E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UTD</w:t>
            </w:r>
          </w:p>
          <w:p w14:paraId="23B44F5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260" w:type="dxa"/>
            <w:shd w:val="clear" w:color="auto" w:fill="F2DBDB" w:themeFill="accent2" w:themeFillTint="33"/>
          </w:tcPr>
          <w:p w14:paraId="5754E378"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49% G</w:t>
            </w:r>
          </w:p>
          <w:p w14:paraId="6EA76023"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44% F</w:t>
            </w:r>
          </w:p>
          <w:p w14:paraId="26200DFC"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4% L</w:t>
            </w:r>
          </w:p>
          <w:p w14:paraId="36C54C59"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 DK</w:t>
            </w:r>
          </w:p>
        </w:tc>
      </w:tr>
      <w:tr w:rsidR="00E24947" w:rsidRPr="00F618D8" w14:paraId="5786E697" w14:textId="77777777" w:rsidTr="00810C4A">
        <w:trPr>
          <w:trHeight w:val="759"/>
        </w:trPr>
        <w:tc>
          <w:tcPr>
            <w:tcW w:w="1800" w:type="dxa"/>
            <w:shd w:val="clear" w:color="auto" w:fill="DBE5F1" w:themeFill="accent1" w:themeFillTint="33"/>
          </w:tcPr>
          <w:p w14:paraId="318E0A42"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KS</w:t>
            </w:r>
          </w:p>
        </w:tc>
        <w:tc>
          <w:tcPr>
            <w:tcW w:w="990" w:type="dxa"/>
            <w:shd w:val="clear" w:color="auto" w:fill="FFFFFF" w:themeFill="background1"/>
          </w:tcPr>
          <w:p w14:paraId="312C485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080" w:type="dxa"/>
            <w:shd w:val="clear" w:color="auto" w:fill="FFFFFF" w:themeFill="background1"/>
          </w:tcPr>
          <w:p w14:paraId="0AE0EF1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72409D3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33DB533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00144CE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25D737A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66% G</w:t>
            </w:r>
          </w:p>
          <w:p w14:paraId="4C7EAD3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62% F</w:t>
            </w:r>
          </w:p>
          <w:p w14:paraId="32C7797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L</w:t>
            </w:r>
          </w:p>
          <w:p w14:paraId="298B67F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6420BFE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66% G</w:t>
            </w:r>
          </w:p>
          <w:p w14:paraId="576FECB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63% F</w:t>
            </w:r>
          </w:p>
          <w:p w14:paraId="7BD83D5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31B5C97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DK</w:t>
            </w:r>
          </w:p>
        </w:tc>
        <w:tc>
          <w:tcPr>
            <w:tcW w:w="1170" w:type="dxa"/>
            <w:shd w:val="clear" w:color="auto" w:fill="FFFFFF" w:themeFill="background1"/>
          </w:tcPr>
          <w:p w14:paraId="25FE76C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66% G</w:t>
            </w:r>
          </w:p>
          <w:p w14:paraId="2E1F920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64% F</w:t>
            </w:r>
          </w:p>
          <w:p w14:paraId="0C30DE7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L</w:t>
            </w:r>
          </w:p>
          <w:p w14:paraId="49D28A1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UTD</w:t>
            </w:r>
          </w:p>
          <w:p w14:paraId="2D08638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1170" w:type="dxa"/>
            <w:shd w:val="clear" w:color="auto" w:fill="FFFFFF" w:themeFill="background1"/>
          </w:tcPr>
          <w:p w14:paraId="35E0183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70% G</w:t>
            </w:r>
          </w:p>
          <w:p w14:paraId="710D3FA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65% F</w:t>
            </w:r>
          </w:p>
          <w:p w14:paraId="244FF5C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2A94ED4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UTD</w:t>
            </w:r>
          </w:p>
          <w:p w14:paraId="2E5F545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080" w:type="dxa"/>
            <w:shd w:val="clear" w:color="auto" w:fill="FFFFFF" w:themeFill="background1"/>
          </w:tcPr>
          <w:p w14:paraId="1A32A8F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63% G</w:t>
            </w:r>
          </w:p>
          <w:p w14:paraId="24895AD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59% F</w:t>
            </w:r>
          </w:p>
          <w:p w14:paraId="446E795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5D30ED6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UTD</w:t>
            </w:r>
          </w:p>
          <w:p w14:paraId="391014C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0%DK</w:t>
            </w:r>
          </w:p>
        </w:tc>
        <w:tc>
          <w:tcPr>
            <w:tcW w:w="1260" w:type="dxa"/>
            <w:shd w:val="clear" w:color="auto" w:fill="F2DBDB" w:themeFill="accent2" w:themeFillTint="33"/>
          </w:tcPr>
          <w:p w14:paraId="38FA155F"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66% G</w:t>
            </w:r>
          </w:p>
          <w:p w14:paraId="6D12B9BF"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63% F</w:t>
            </w:r>
          </w:p>
          <w:p w14:paraId="026CC53C"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3% L</w:t>
            </w:r>
          </w:p>
          <w:p w14:paraId="21D73131"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 DK</w:t>
            </w:r>
          </w:p>
        </w:tc>
      </w:tr>
      <w:tr w:rsidR="00E24947" w:rsidRPr="00F618D8" w14:paraId="68C340E3" w14:textId="77777777" w:rsidTr="00810C4A">
        <w:trPr>
          <w:trHeight w:val="759"/>
        </w:trPr>
        <w:tc>
          <w:tcPr>
            <w:tcW w:w="1800" w:type="dxa"/>
            <w:shd w:val="clear" w:color="auto" w:fill="DBE5F1" w:themeFill="accent1" w:themeFillTint="33"/>
          </w:tcPr>
          <w:p w14:paraId="6D490BC4"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KY</w:t>
            </w:r>
          </w:p>
        </w:tc>
        <w:tc>
          <w:tcPr>
            <w:tcW w:w="990" w:type="dxa"/>
            <w:shd w:val="clear" w:color="auto" w:fill="FFFFFF" w:themeFill="background1"/>
          </w:tcPr>
          <w:p w14:paraId="2655410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75% G</w:t>
            </w:r>
          </w:p>
          <w:p w14:paraId="2FACC03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73% F</w:t>
            </w:r>
          </w:p>
          <w:p w14:paraId="11572F4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L</w:t>
            </w:r>
          </w:p>
          <w:p w14:paraId="58BCEE0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080" w:type="dxa"/>
            <w:shd w:val="clear" w:color="auto" w:fill="FFFFFF" w:themeFill="background1"/>
          </w:tcPr>
          <w:p w14:paraId="6304C12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75% G</w:t>
            </w:r>
          </w:p>
          <w:p w14:paraId="48731F5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74% F</w:t>
            </w:r>
          </w:p>
          <w:p w14:paraId="0385C6C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L</w:t>
            </w:r>
          </w:p>
          <w:p w14:paraId="3E26FA3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785AB00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67% G</w:t>
            </w:r>
          </w:p>
          <w:p w14:paraId="4A1EF8E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65% F</w:t>
            </w:r>
          </w:p>
          <w:p w14:paraId="213F3DA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L</w:t>
            </w:r>
          </w:p>
          <w:p w14:paraId="122C64E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4C274E0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63% G</w:t>
            </w:r>
          </w:p>
          <w:p w14:paraId="1AE93C2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62% F</w:t>
            </w:r>
          </w:p>
          <w:p w14:paraId="00B5ADA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L</w:t>
            </w:r>
          </w:p>
          <w:p w14:paraId="54D4122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66C908E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60% G</w:t>
            </w:r>
          </w:p>
          <w:p w14:paraId="49678E1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57% F</w:t>
            </w:r>
          </w:p>
          <w:p w14:paraId="24C1D73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3B6A96A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032147B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63% G</w:t>
            </w:r>
          </w:p>
          <w:p w14:paraId="2EC8741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60% F</w:t>
            </w:r>
          </w:p>
          <w:p w14:paraId="5B1B97C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4C9AF8A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7041D11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59% G</w:t>
            </w:r>
          </w:p>
          <w:p w14:paraId="27FF68E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57% F</w:t>
            </w:r>
          </w:p>
          <w:p w14:paraId="0C69127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L</w:t>
            </w:r>
          </w:p>
          <w:p w14:paraId="35F5DB7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170" w:type="dxa"/>
            <w:shd w:val="clear" w:color="auto" w:fill="FFFFFF" w:themeFill="background1"/>
          </w:tcPr>
          <w:p w14:paraId="33F1FAB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64% G</w:t>
            </w:r>
          </w:p>
          <w:p w14:paraId="652D049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62% F</w:t>
            </w:r>
          </w:p>
          <w:p w14:paraId="0B151BB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L</w:t>
            </w:r>
          </w:p>
          <w:p w14:paraId="43D4608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UTD</w:t>
            </w:r>
          </w:p>
          <w:p w14:paraId="4587948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170" w:type="dxa"/>
            <w:shd w:val="clear" w:color="auto" w:fill="FFFFFF" w:themeFill="background1"/>
          </w:tcPr>
          <w:p w14:paraId="7D59BA1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69% G</w:t>
            </w:r>
          </w:p>
          <w:p w14:paraId="7644BCE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66% F</w:t>
            </w:r>
          </w:p>
          <w:p w14:paraId="4610AF5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092324A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UTD</w:t>
            </w:r>
          </w:p>
          <w:p w14:paraId="2440D25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080" w:type="dxa"/>
            <w:shd w:val="clear" w:color="auto" w:fill="FFFFFF" w:themeFill="background1"/>
          </w:tcPr>
          <w:p w14:paraId="65D105C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67% G</w:t>
            </w:r>
          </w:p>
          <w:p w14:paraId="1ED77E6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63% F</w:t>
            </w:r>
          </w:p>
          <w:p w14:paraId="4C1930D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7D72EEB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UTD</w:t>
            </w:r>
          </w:p>
          <w:p w14:paraId="3D3C90B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1260" w:type="dxa"/>
            <w:shd w:val="clear" w:color="auto" w:fill="F2DBDB" w:themeFill="accent2" w:themeFillTint="33"/>
          </w:tcPr>
          <w:p w14:paraId="578872CD"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66% G</w:t>
            </w:r>
          </w:p>
          <w:p w14:paraId="28A916C3"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64% F</w:t>
            </w:r>
          </w:p>
          <w:p w14:paraId="79DB0D14"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2% L</w:t>
            </w:r>
          </w:p>
          <w:p w14:paraId="6391BB17"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0% DK</w:t>
            </w:r>
          </w:p>
        </w:tc>
      </w:tr>
      <w:tr w:rsidR="00E24947" w:rsidRPr="00F618D8" w14:paraId="288BE598" w14:textId="77777777" w:rsidTr="00810C4A">
        <w:trPr>
          <w:trHeight w:val="759"/>
        </w:trPr>
        <w:tc>
          <w:tcPr>
            <w:tcW w:w="1800" w:type="dxa"/>
            <w:shd w:val="clear" w:color="auto" w:fill="DBE5F1" w:themeFill="accent1" w:themeFillTint="33"/>
          </w:tcPr>
          <w:p w14:paraId="259D3502"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LA</w:t>
            </w:r>
          </w:p>
        </w:tc>
        <w:tc>
          <w:tcPr>
            <w:tcW w:w="990" w:type="dxa"/>
            <w:shd w:val="clear" w:color="auto" w:fill="FFFFFF" w:themeFill="background1"/>
          </w:tcPr>
          <w:p w14:paraId="1B0760D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16% G</w:t>
            </w:r>
          </w:p>
          <w:p w14:paraId="051A42F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13% F</w:t>
            </w:r>
          </w:p>
          <w:p w14:paraId="5B88B08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25EA572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DK</w:t>
            </w:r>
          </w:p>
        </w:tc>
        <w:tc>
          <w:tcPr>
            <w:tcW w:w="1080" w:type="dxa"/>
            <w:shd w:val="clear" w:color="auto" w:fill="FFFFFF" w:themeFill="background1"/>
          </w:tcPr>
          <w:p w14:paraId="2A1F7BD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19% G</w:t>
            </w:r>
          </w:p>
          <w:p w14:paraId="14DFCCA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16% F</w:t>
            </w:r>
          </w:p>
          <w:p w14:paraId="68BB678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787EA03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DK</w:t>
            </w:r>
          </w:p>
        </w:tc>
        <w:tc>
          <w:tcPr>
            <w:tcW w:w="990" w:type="dxa"/>
            <w:shd w:val="clear" w:color="auto" w:fill="FFFFFF" w:themeFill="background1"/>
          </w:tcPr>
          <w:p w14:paraId="2CD574D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23% G</w:t>
            </w:r>
          </w:p>
          <w:p w14:paraId="13EF1BC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19% F</w:t>
            </w:r>
          </w:p>
          <w:p w14:paraId="5708FDA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L</w:t>
            </w:r>
          </w:p>
          <w:p w14:paraId="0EF6D1A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DK</w:t>
            </w:r>
          </w:p>
        </w:tc>
        <w:tc>
          <w:tcPr>
            <w:tcW w:w="990" w:type="dxa"/>
            <w:shd w:val="clear" w:color="auto" w:fill="FFFFFF" w:themeFill="background1"/>
          </w:tcPr>
          <w:p w14:paraId="2DD57DB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17% G</w:t>
            </w:r>
          </w:p>
          <w:p w14:paraId="72446FA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16% F</w:t>
            </w:r>
          </w:p>
          <w:p w14:paraId="467B5C6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L</w:t>
            </w:r>
          </w:p>
          <w:p w14:paraId="0594273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DK</w:t>
            </w:r>
          </w:p>
        </w:tc>
        <w:tc>
          <w:tcPr>
            <w:tcW w:w="990" w:type="dxa"/>
            <w:shd w:val="clear" w:color="auto" w:fill="FFFFFF" w:themeFill="background1"/>
          </w:tcPr>
          <w:p w14:paraId="1FB06BD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14% G</w:t>
            </w:r>
          </w:p>
          <w:p w14:paraId="4E2656F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12% F</w:t>
            </w:r>
          </w:p>
          <w:p w14:paraId="2FE4557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L</w:t>
            </w:r>
          </w:p>
          <w:p w14:paraId="65AEC3F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DK</w:t>
            </w:r>
          </w:p>
        </w:tc>
        <w:tc>
          <w:tcPr>
            <w:tcW w:w="990" w:type="dxa"/>
            <w:shd w:val="clear" w:color="auto" w:fill="FFFFFF" w:themeFill="background1"/>
          </w:tcPr>
          <w:p w14:paraId="7CA0B47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7% G</w:t>
            </w:r>
          </w:p>
          <w:p w14:paraId="3C3936D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6% F</w:t>
            </w:r>
          </w:p>
          <w:p w14:paraId="79F9B3B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L</w:t>
            </w:r>
          </w:p>
          <w:p w14:paraId="7B6F621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7B140A6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8% G</w:t>
            </w:r>
          </w:p>
          <w:p w14:paraId="4AE0658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8% F</w:t>
            </w:r>
          </w:p>
          <w:p w14:paraId="1DA441A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L</w:t>
            </w:r>
          </w:p>
          <w:p w14:paraId="4177EB2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1170" w:type="dxa"/>
            <w:shd w:val="clear" w:color="auto" w:fill="FFFFFF" w:themeFill="background1"/>
          </w:tcPr>
          <w:p w14:paraId="308418B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13% G</w:t>
            </w:r>
          </w:p>
          <w:p w14:paraId="56B437F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8% F</w:t>
            </w:r>
          </w:p>
          <w:p w14:paraId="5AD497C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28CFE0A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UTD</w:t>
            </w:r>
          </w:p>
          <w:p w14:paraId="49EAFA7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DK</w:t>
            </w:r>
          </w:p>
        </w:tc>
        <w:tc>
          <w:tcPr>
            <w:tcW w:w="1170" w:type="dxa"/>
            <w:shd w:val="clear" w:color="auto" w:fill="FFFFFF" w:themeFill="background1"/>
          </w:tcPr>
          <w:p w14:paraId="56980BE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9% G</w:t>
            </w:r>
          </w:p>
          <w:p w14:paraId="220DD19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8% F</w:t>
            </w:r>
          </w:p>
          <w:p w14:paraId="072DA56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L</w:t>
            </w:r>
          </w:p>
          <w:p w14:paraId="7D2F58A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UTD</w:t>
            </w:r>
          </w:p>
          <w:p w14:paraId="1C69D32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1080" w:type="dxa"/>
            <w:shd w:val="clear" w:color="auto" w:fill="FFFFFF" w:themeFill="background1"/>
          </w:tcPr>
          <w:p w14:paraId="22D5F44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16% G</w:t>
            </w:r>
          </w:p>
          <w:p w14:paraId="050A213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10% F</w:t>
            </w:r>
          </w:p>
          <w:p w14:paraId="70A8FC6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L</w:t>
            </w:r>
          </w:p>
          <w:p w14:paraId="1DE7782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UTD</w:t>
            </w:r>
          </w:p>
          <w:p w14:paraId="53F8176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260" w:type="dxa"/>
            <w:shd w:val="clear" w:color="auto" w:fill="F2DBDB" w:themeFill="accent2" w:themeFillTint="33"/>
          </w:tcPr>
          <w:p w14:paraId="6FA69199"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lastRenderedPageBreak/>
              <w:t>14% G</w:t>
            </w:r>
          </w:p>
          <w:p w14:paraId="642C89D9"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lastRenderedPageBreak/>
              <w:t>12% F</w:t>
            </w:r>
          </w:p>
          <w:p w14:paraId="1BB13FFF"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2% L</w:t>
            </w:r>
          </w:p>
          <w:p w14:paraId="79F0DE45"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2% DK</w:t>
            </w:r>
          </w:p>
        </w:tc>
      </w:tr>
      <w:tr w:rsidR="00E24947" w:rsidRPr="00F618D8" w14:paraId="2F971839" w14:textId="77777777" w:rsidTr="00810C4A">
        <w:trPr>
          <w:trHeight w:val="759"/>
        </w:trPr>
        <w:tc>
          <w:tcPr>
            <w:tcW w:w="1800" w:type="dxa"/>
            <w:shd w:val="clear" w:color="auto" w:fill="DBE5F1" w:themeFill="accent1" w:themeFillTint="33"/>
          </w:tcPr>
          <w:p w14:paraId="19F3BAAF"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lastRenderedPageBreak/>
              <w:t>MA</w:t>
            </w:r>
          </w:p>
        </w:tc>
        <w:tc>
          <w:tcPr>
            <w:tcW w:w="990" w:type="dxa"/>
            <w:shd w:val="clear" w:color="auto" w:fill="FFFFFF" w:themeFill="background1"/>
          </w:tcPr>
          <w:p w14:paraId="364D837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57% G</w:t>
            </w:r>
          </w:p>
          <w:p w14:paraId="56B97FC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50% F</w:t>
            </w:r>
          </w:p>
          <w:p w14:paraId="25674EA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 L</w:t>
            </w:r>
          </w:p>
          <w:p w14:paraId="07405AD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1080" w:type="dxa"/>
            <w:shd w:val="clear" w:color="auto" w:fill="FFFFFF" w:themeFill="background1"/>
          </w:tcPr>
          <w:p w14:paraId="4AE8E61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63CF8B8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2C2849A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66% G</w:t>
            </w:r>
          </w:p>
          <w:p w14:paraId="209D76F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58% F</w:t>
            </w:r>
          </w:p>
          <w:p w14:paraId="53E899A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 L</w:t>
            </w:r>
          </w:p>
          <w:p w14:paraId="1D5C361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7593418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p w14:paraId="2D45D4F3" w14:textId="77777777" w:rsidR="004D3AE0" w:rsidRPr="00F618D8" w:rsidRDefault="004D3AE0" w:rsidP="00F5324F">
            <w:pPr>
              <w:pStyle w:val="TableBody"/>
              <w:rPr>
                <w:rFonts w:ascii="Arial" w:hAnsi="Arial" w:cs="Arial"/>
                <w:sz w:val="20"/>
                <w:szCs w:val="20"/>
              </w:rPr>
            </w:pPr>
          </w:p>
        </w:tc>
        <w:tc>
          <w:tcPr>
            <w:tcW w:w="990" w:type="dxa"/>
            <w:shd w:val="clear" w:color="auto" w:fill="FFFFFF" w:themeFill="background1"/>
          </w:tcPr>
          <w:p w14:paraId="6B07405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58% G</w:t>
            </w:r>
          </w:p>
          <w:p w14:paraId="103B860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54% F</w:t>
            </w:r>
          </w:p>
          <w:p w14:paraId="56914DF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L</w:t>
            </w:r>
          </w:p>
          <w:p w14:paraId="1F683ED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7D3F969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170" w:type="dxa"/>
            <w:shd w:val="clear" w:color="auto" w:fill="FFFFFF" w:themeFill="background1"/>
          </w:tcPr>
          <w:p w14:paraId="0B8132E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60% G</w:t>
            </w:r>
          </w:p>
          <w:p w14:paraId="768B11D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56% F</w:t>
            </w:r>
          </w:p>
          <w:p w14:paraId="50389FA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275294C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UTD</w:t>
            </w:r>
          </w:p>
          <w:p w14:paraId="2622637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170" w:type="dxa"/>
            <w:shd w:val="clear" w:color="auto" w:fill="FFFFFF" w:themeFill="background1"/>
          </w:tcPr>
          <w:p w14:paraId="104ECFE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080" w:type="dxa"/>
            <w:shd w:val="clear" w:color="auto" w:fill="FFFFFF" w:themeFill="background1"/>
          </w:tcPr>
          <w:p w14:paraId="3A89CA0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55% G</w:t>
            </w:r>
          </w:p>
          <w:p w14:paraId="531909F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47% F</w:t>
            </w:r>
          </w:p>
          <w:p w14:paraId="02A15B1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 L</w:t>
            </w:r>
          </w:p>
          <w:p w14:paraId="0330914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UTD</w:t>
            </w:r>
          </w:p>
          <w:p w14:paraId="7942C17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260" w:type="dxa"/>
            <w:shd w:val="clear" w:color="auto" w:fill="F2DBDB" w:themeFill="accent2" w:themeFillTint="33"/>
          </w:tcPr>
          <w:p w14:paraId="1104CD31"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59% G</w:t>
            </w:r>
          </w:p>
          <w:p w14:paraId="0040906B"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53% F</w:t>
            </w:r>
          </w:p>
          <w:p w14:paraId="47F11484"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6% L</w:t>
            </w:r>
          </w:p>
          <w:p w14:paraId="06ACD5EA"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0% DK</w:t>
            </w:r>
          </w:p>
        </w:tc>
      </w:tr>
      <w:tr w:rsidR="00E24947" w:rsidRPr="00F618D8" w14:paraId="53A0DE27" w14:textId="77777777" w:rsidTr="00810C4A">
        <w:trPr>
          <w:trHeight w:val="759"/>
        </w:trPr>
        <w:tc>
          <w:tcPr>
            <w:tcW w:w="1800" w:type="dxa"/>
            <w:shd w:val="clear" w:color="auto" w:fill="DBE5F1" w:themeFill="accent1" w:themeFillTint="33"/>
          </w:tcPr>
          <w:p w14:paraId="52890E9C"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MD</w:t>
            </w:r>
          </w:p>
        </w:tc>
        <w:tc>
          <w:tcPr>
            <w:tcW w:w="990" w:type="dxa"/>
            <w:shd w:val="clear" w:color="auto" w:fill="FFFFFF" w:themeFill="background1"/>
          </w:tcPr>
          <w:p w14:paraId="6F02509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080" w:type="dxa"/>
            <w:shd w:val="clear" w:color="auto" w:fill="FFFFFF" w:themeFill="background1"/>
          </w:tcPr>
          <w:p w14:paraId="46DA632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4319E4B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5367563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3E63FFE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16% G</w:t>
            </w:r>
          </w:p>
          <w:p w14:paraId="1D5D456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14% F</w:t>
            </w:r>
          </w:p>
          <w:p w14:paraId="1E3BEC9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L</w:t>
            </w:r>
          </w:p>
          <w:p w14:paraId="7BEF24F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DK</w:t>
            </w:r>
          </w:p>
        </w:tc>
        <w:tc>
          <w:tcPr>
            <w:tcW w:w="990" w:type="dxa"/>
            <w:shd w:val="clear" w:color="auto" w:fill="FFFFFF" w:themeFill="background1"/>
          </w:tcPr>
          <w:p w14:paraId="206A94C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16% G</w:t>
            </w:r>
          </w:p>
          <w:p w14:paraId="33D9E61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13% F</w:t>
            </w:r>
          </w:p>
          <w:p w14:paraId="495DC83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2DD7C6F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DK</w:t>
            </w:r>
          </w:p>
        </w:tc>
        <w:tc>
          <w:tcPr>
            <w:tcW w:w="990" w:type="dxa"/>
            <w:shd w:val="clear" w:color="auto" w:fill="FFFFFF" w:themeFill="background1"/>
          </w:tcPr>
          <w:p w14:paraId="49F8E6C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170" w:type="dxa"/>
            <w:shd w:val="clear" w:color="auto" w:fill="FFFFFF" w:themeFill="background1"/>
          </w:tcPr>
          <w:p w14:paraId="6CB9E2C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170" w:type="dxa"/>
            <w:shd w:val="clear" w:color="auto" w:fill="FFFFFF" w:themeFill="background1"/>
          </w:tcPr>
          <w:p w14:paraId="323D52D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080" w:type="dxa"/>
            <w:shd w:val="clear" w:color="auto" w:fill="FFFFFF" w:themeFill="background1"/>
          </w:tcPr>
          <w:p w14:paraId="759EFF0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260" w:type="dxa"/>
            <w:shd w:val="clear" w:color="auto" w:fill="F2DBDB" w:themeFill="accent2" w:themeFillTint="33"/>
          </w:tcPr>
          <w:p w14:paraId="6FABA1D6"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16% G</w:t>
            </w:r>
          </w:p>
          <w:p w14:paraId="266C825C"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14% F</w:t>
            </w:r>
          </w:p>
          <w:p w14:paraId="2BD1C164"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3% L</w:t>
            </w:r>
          </w:p>
          <w:p w14:paraId="28F4D51F"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3% DK</w:t>
            </w:r>
          </w:p>
        </w:tc>
      </w:tr>
    </w:tbl>
    <w:p w14:paraId="5D775A7A" w14:textId="77777777" w:rsidR="0004451D" w:rsidRPr="00F618D8" w:rsidRDefault="0004451D">
      <w:pPr>
        <w:rPr>
          <w:rFonts w:ascii="Arial" w:hAnsi="Arial" w:cs="Arial"/>
        </w:rPr>
      </w:pPr>
      <w:r w:rsidRPr="00F618D8">
        <w:rPr>
          <w:rFonts w:ascii="Arial" w:hAnsi="Arial" w:cs="Arial"/>
        </w:rPr>
        <w:br w:type="page"/>
      </w:r>
    </w:p>
    <w:tbl>
      <w:tblPr>
        <w:tblStyle w:val="TableGrid"/>
        <w:tblW w:w="13500" w:type="dxa"/>
        <w:tblInd w:w="-5" w:type="dxa"/>
        <w:tblLayout w:type="fixed"/>
        <w:tblLook w:val="04A0" w:firstRow="1" w:lastRow="0" w:firstColumn="1" w:lastColumn="0" w:noHBand="0" w:noVBand="1"/>
        <w:tblCaption w:val=" , "/>
      </w:tblPr>
      <w:tblGrid>
        <w:gridCol w:w="1800"/>
        <w:gridCol w:w="990"/>
        <w:gridCol w:w="1080"/>
        <w:gridCol w:w="990"/>
        <w:gridCol w:w="990"/>
        <w:gridCol w:w="990"/>
        <w:gridCol w:w="990"/>
        <w:gridCol w:w="990"/>
        <w:gridCol w:w="1170"/>
        <w:gridCol w:w="1170"/>
        <w:gridCol w:w="1080"/>
        <w:gridCol w:w="1260"/>
      </w:tblGrid>
      <w:tr w:rsidR="0004451D" w:rsidRPr="00F618D8" w14:paraId="7231A4BF" w14:textId="77777777" w:rsidTr="006B20FF">
        <w:trPr>
          <w:trHeight w:val="530"/>
          <w:tblHeader/>
        </w:trPr>
        <w:tc>
          <w:tcPr>
            <w:tcW w:w="1800" w:type="dxa"/>
            <w:shd w:val="clear" w:color="auto" w:fill="DBE5F1"/>
          </w:tcPr>
          <w:p w14:paraId="46D6F221" w14:textId="77777777" w:rsidR="0004451D" w:rsidRPr="00F618D8" w:rsidRDefault="0004451D" w:rsidP="00F5324F">
            <w:pPr>
              <w:pStyle w:val="TableHeader"/>
              <w:rPr>
                <w:rFonts w:ascii="Arial" w:hAnsi="Arial"/>
                <w:sz w:val="20"/>
                <w:szCs w:val="20"/>
              </w:rPr>
            </w:pPr>
            <w:r w:rsidRPr="00F618D8">
              <w:rPr>
                <w:rFonts w:ascii="Arial" w:hAnsi="Arial"/>
                <w:sz w:val="20"/>
                <w:szCs w:val="20"/>
              </w:rPr>
              <w:lastRenderedPageBreak/>
              <w:br w:type="page"/>
              <w:t>State</w:t>
            </w:r>
          </w:p>
        </w:tc>
        <w:tc>
          <w:tcPr>
            <w:tcW w:w="990" w:type="dxa"/>
            <w:shd w:val="clear" w:color="auto" w:fill="DBE5F1"/>
          </w:tcPr>
          <w:p w14:paraId="3F13C6D6" w14:textId="77777777" w:rsidR="0004451D" w:rsidRPr="00F618D8" w:rsidRDefault="0004451D" w:rsidP="00F5324F">
            <w:pPr>
              <w:pStyle w:val="TableHeader"/>
              <w:rPr>
                <w:rFonts w:ascii="Arial" w:hAnsi="Arial"/>
                <w:sz w:val="20"/>
                <w:szCs w:val="20"/>
              </w:rPr>
            </w:pPr>
            <w:r w:rsidRPr="00F618D8">
              <w:rPr>
                <w:rFonts w:ascii="Arial" w:hAnsi="Arial"/>
                <w:sz w:val="20"/>
                <w:szCs w:val="20"/>
              </w:rPr>
              <w:t>2008-09</w:t>
            </w:r>
          </w:p>
        </w:tc>
        <w:tc>
          <w:tcPr>
            <w:tcW w:w="1080" w:type="dxa"/>
            <w:shd w:val="clear" w:color="auto" w:fill="DBE5F1"/>
          </w:tcPr>
          <w:p w14:paraId="74BFDA54" w14:textId="77777777" w:rsidR="0004451D" w:rsidRPr="00F618D8" w:rsidRDefault="0004451D" w:rsidP="00F5324F">
            <w:pPr>
              <w:pStyle w:val="TableHeader"/>
              <w:rPr>
                <w:rFonts w:ascii="Arial" w:hAnsi="Arial"/>
                <w:sz w:val="20"/>
                <w:szCs w:val="20"/>
              </w:rPr>
            </w:pPr>
            <w:r w:rsidRPr="00F618D8">
              <w:rPr>
                <w:rFonts w:ascii="Arial" w:hAnsi="Arial"/>
                <w:sz w:val="20"/>
                <w:szCs w:val="20"/>
              </w:rPr>
              <w:t>2009-10</w:t>
            </w:r>
          </w:p>
        </w:tc>
        <w:tc>
          <w:tcPr>
            <w:tcW w:w="990" w:type="dxa"/>
            <w:shd w:val="clear" w:color="auto" w:fill="DBE5F1"/>
          </w:tcPr>
          <w:p w14:paraId="7F27B981" w14:textId="77777777" w:rsidR="0004451D" w:rsidRPr="00F618D8" w:rsidRDefault="0004451D" w:rsidP="00F5324F">
            <w:pPr>
              <w:pStyle w:val="TableHeader"/>
              <w:rPr>
                <w:rFonts w:ascii="Arial" w:hAnsi="Arial"/>
                <w:sz w:val="20"/>
                <w:szCs w:val="20"/>
              </w:rPr>
            </w:pPr>
            <w:r w:rsidRPr="00F618D8">
              <w:rPr>
                <w:rFonts w:ascii="Arial" w:hAnsi="Arial"/>
                <w:sz w:val="20"/>
                <w:szCs w:val="20"/>
              </w:rPr>
              <w:t>2010-11</w:t>
            </w:r>
          </w:p>
        </w:tc>
        <w:tc>
          <w:tcPr>
            <w:tcW w:w="990" w:type="dxa"/>
            <w:shd w:val="clear" w:color="auto" w:fill="DBE5F1"/>
          </w:tcPr>
          <w:p w14:paraId="320486C5" w14:textId="77777777" w:rsidR="0004451D" w:rsidRPr="00F618D8" w:rsidRDefault="0004451D" w:rsidP="00F5324F">
            <w:pPr>
              <w:pStyle w:val="TableHeader"/>
              <w:rPr>
                <w:rFonts w:ascii="Arial" w:hAnsi="Arial"/>
                <w:sz w:val="20"/>
                <w:szCs w:val="20"/>
              </w:rPr>
            </w:pPr>
            <w:r w:rsidRPr="00F618D8">
              <w:rPr>
                <w:rFonts w:ascii="Arial" w:hAnsi="Arial"/>
                <w:sz w:val="20"/>
                <w:szCs w:val="20"/>
              </w:rPr>
              <w:t>2011-12</w:t>
            </w:r>
          </w:p>
        </w:tc>
        <w:tc>
          <w:tcPr>
            <w:tcW w:w="990" w:type="dxa"/>
            <w:shd w:val="clear" w:color="auto" w:fill="DBE5F1"/>
          </w:tcPr>
          <w:p w14:paraId="72B3059C" w14:textId="77777777" w:rsidR="0004451D" w:rsidRPr="00F618D8" w:rsidRDefault="0004451D" w:rsidP="00F5324F">
            <w:pPr>
              <w:pStyle w:val="TableHeader"/>
              <w:rPr>
                <w:rFonts w:ascii="Arial" w:hAnsi="Arial"/>
                <w:sz w:val="20"/>
                <w:szCs w:val="20"/>
              </w:rPr>
            </w:pPr>
            <w:r w:rsidRPr="00F618D8">
              <w:rPr>
                <w:rFonts w:ascii="Arial" w:hAnsi="Arial"/>
                <w:sz w:val="20"/>
                <w:szCs w:val="20"/>
              </w:rPr>
              <w:t>2012-13</w:t>
            </w:r>
          </w:p>
        </w:tc>
        <w:tc>
          <w:tcPr>
            <w:tcW w:w="990" w:type="dxa"/>
            <w:shd w:val="clear" w:color="auto" w:fill="DBE5F1"/>
          </w:tcPr>
          <w:p w14:paraId="58EB2DE7" w14:textId="77777777" w:rsidR="0004451D" w:rsidRPr="00F618D8" w:rsidRDefault="0004451D" w:rsidP="00F5324F">
            <w:pPr>
              <w:pStyle w:val="TableHeader"/>
              <w:rPr>
                <w:rFonts w:ascii="Arial" w:hAnsi="Arial"/>
                <w:sz w:val="20"/>
                <w:szCs w:val="20"/>
              </w:rPr>
            </w:pPr>
            <w:r w:rsidRPr="00F618D8">
              <w:rPr>
                <w:rFonts w:ascii="Arial" w:hAnsi="Arial"/>
                <w:sz w:val="20"/>
                <w:szCs w:val="20"/>
              </w:rPr>
              <w:t>2013-14</w:t>
            </w:r>
          </w:p>
        </w:tc>
        <w:tc>
          <w:tcPr>
            <w:tcW w:w="990" w:type="dxa"/>
            <w:shd w:val="clear" w:color="auto" w:fill="DBE5F1"/>
          </w:tcPr>
          <w:p w14:paraId="514CD70D" w14:textId="77777777" w:rsidR="0004451D" w:rsidRPr="00F618D8" w:rsidRDefault="0004451D" w:rsidP="00F5324F">
            <w:pPr>
              <w:pStyle w:val="TableHeader"/>
              <w:rPr>
                <w:rFonts w:ascii="Arial" w:hAnsi="Arial"/>
                <w:sz w:val="20"/>
                <w:szCs w:val="20"/>
              </w:rPr>
            </w:pPr>
            <w:r w:rsidRPr="00F618D8">
              <w:rPr>
                <w:rFonts w:ascii="Arial" w:hAnsi="Arial"/>
                <w:sz w:val="20"/>
                <w:szCs w:val="20"/>
              </w:rPr>
              <w:t>2014-15</w:t>
            </w:r>
          </w:p>
        </w:tc>
        <w:tc>
          <w:tcPr>
            <w:tcW w:w="1170" w:type="dxa"/>
            <w:shd w:val="clear" w:color="auto" w:fill="DBE5F1"/>
          </w:tcPr>
          <w:p w14:paraId="0BE2E94A" w14:textId="77777777" w:rsidR="0004451D" w:rsidRPr="00F618D8" w:rsidRDefault="0004451D" w:rsidP="00F5324F">
            <w:pPr>
              <w:pStyle w:val="TableHeader"/>
              <w:rPr>
                <w:rFonts w:ascii="Arial" w:hAnsi="Arial"/>
                <w:sz w:val="20"/>
                <w:szCs w:val="20"/>
              </w:rPr>
            </w:pPr>
            <w:r w:rsidRPr="00F618D8">
              <w:rPr>
                <w:rFonts w:ascii="Arial" w:hAnsi="Arial"/>
                <w:sz w:val="20"/>
                <w:szCs w:val="20"/>
              </w:rPr>
              <w:t>2015-16</w:t>
            </w:r>
          </w:p>
        </w:tc>
        <w:tc>
          <w:tcPr>
            <w:tcW w:w="1170" w:type="dxa"/>
            <w:shd w:val="clear" w:color="auto" w:fill="DBE5F1"/>
          </w:tcPr>
          <w:p w14:paraId="1B1C6E03" w14:textId="77777777" w:rsidR="0004451D" w:rsidRPr="00F618D8" w:rsidRDefault="0004451D" w:rsidP="00F5324F">
            <w:pPr>
              <w:pStyle w:val="TableHeader"/>
              <w:rPr>
                <w:rFonts w:ascii="Arial" w:hAnsi="Arial"/>
                <w:sz w:val="20"/>
                <w:szCs w:val="20"/>
              </w:rPr>
            </w:pPr>
            <w:r w:rsidRPr="00F618D8">
              <w:rPr>
                <w:rFonts w:ascii="Arial" w:hAnsi="Arial"/>
                <w:sz w:val="20"/>
                <w:szCs w:val="20"/>
              </w:rPr>
              <w:t>2016-17</w:t>
            </w:r>
          </w:p>
        </w:tc>
        <w:tc>
          <w:tcPr>
            <w:tcW w:w="1080" w:type="dxa"/>
            <w:shd w:val="clear" w:color="auto" w:fill="DBE5F1"/>
          </w:tcPr>
          <w:p w14:paraId="2CB5306C" w14:textId="77777777" w:rsidR="0004451D" w:rsidRPr="00F618D8" w:rsidRDefault="0004451D" w:rsidP="00F5324F">
            <w:pPr>
              <w:pStyle w:val="TableHeader"/>
              <w:rPr>
                <w:rFonts w:ascii="Arial" w:hAnsi="Arial"/>
                <w:sz w:val="20"/>
                <w:szCs w:val="20"/>
              </w:rPr>
            </w:pPr>
            <w:r w:rsidRPr="00F618D8">
              <w:rPr>
                <w:rFonts w:ascii="Arial" w:hAnsi="Arial"/>
                <w:sz w:val="20"/>
                <w:szCs w:val="20"/>
              </w:rPr>
              <w:t>2017-18</w:t>
            </w:r>
          </w:p>
        </w:tc>
        <w:tc>
          <w:tcPr>
            <w:tcW w:w="1260" w:type="dxa"/>
            <w:shd w:val="clear" w:color="auto" w:fill="F2DBDB" w:themeFill="accent2" w:themeFillTint="33"/>
          </w:tcPr>
          <w:p w14:paraId="3E0F7614" w14:textId="77777777" w:rsidR="0004451D" w:rsidRPr="00F618D8" w:rsidRDefault="0004451D" w:rsidP="00F5324F">
            <w:pPr>
              <w:pStyle w:val="TableHeader"/>
              <w:rPr>
                <w:rFonts w:ascii="Arial" w:hAnsi="Arial"/>
                <w:sz w:val="20"/>
                <w:szCs w:val="20"/>
              </w:rPr>
            </w:pPr>
            <w:r w:rsidRPr="00F618D8">
              <w:rPr>
                <w:rFonts w:ascii="Arial" w:hAnsi="Arial"/>
                <w:sz w:val="20"/>
                <w:szCs w:val="20"/>
              </w:rPr>
              <w:t>Average of Annual %</w:t>
            </w:r>
          </w:p>
        </w:tc>
      </w:tr>
      <w:tr w:rsidR="00E24947" w:rsidRPr="00F618D8" w14:paraId="0EA772C5" w14:textId="77777777" w:rsidTr="00810C4A">
        <w:trPr>
          <w:trHeight w:val="759"/>
        </w:trPr>
        <w:tc>
          <w:tcPr>
            <w:tcW w:w="1800" w:type="dxa"/>
            <w:shd w:val="clear" w:color="auto" w:fill="DBE5F1" w:themeFill="accent1" w:themeFillTint="33"/>
          </w:tcPr>
          <w:p w14:paraId="758A182A"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ME</w:t>
            </w:r>
          </w:p>
        </w:tc>
        <w:tc>
          <w:tcPr>
            <w:tcW w:w="990" w:type="dxa"/>
            <w:shd w:val="clear" w:color="auto" w:fill="FFFFFF" w:themeFill="background1"/>
          </w:tcPr>
          <w:p w14:paraId="4DCDE8E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080" w:type="dxa"/>
            <w:shd w:val="clear" w:color="auto" w:fill="FFFFFF" w:themeFill="background1"/>
          </w:tcPr>
          <w:p w14:paraId="6F6E056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77% G</w:t>
            </w:r>
          </w:p>
          <w:p w14:paraId="6AD1D51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74% F</w:t>
            </w:r>
          </w:p>
          <w:p w14:paraId="0EE8FF0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1B8C1BB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690F039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77% G</w:t>
            </w:r>
          </w:p>
          <w:p w14:paraId="000A34E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74% F</w:t>
            </w:r>
          </w:p>
          <w:p w14:paraId="229BD1A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L</w:t>
            </w:r>
          </w:p>
          <w:p w14:paraId="4EC7417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4D288B5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82% G</w:t>
            </w:r>
          </w:p>
          <w:p w14:paraId="2776592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78% F</w:t>
            </w:r>
          </w:p>
          <w:p w14:paraId="0247112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 L</w:t>
            </w:r>
          </w:p>
          <w:p w14:paraId="7B68B7F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7B655EA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46% G</w:t>
            </w:r>
          </w:p>
          <w:p w14:paraId="7AEE511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21% F</w:t>
            </w:r>
          </w:p>
          <w:p w14:paraId="23A9C06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 L</w:t>
            </w:r>
          </w:p>
          <w:p w14:paraId="4246787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2489748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72% G</w:t>
            </w:r>
          </w:p>
          <w:p w14:paraId="484766E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67% F</w:t>
            </w:r>
          </w:p>
          <w:p w14:paraId="7644B22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 L</w:t>
            </w:r>
          </w:p>
          <w:p w14:paraId="44730EA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0D070FF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78% G</w:t>
            </w:r>
          </w:p>
          <w:p w14:paraId="62FB452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74% F</w:t>
            </w:r>
          </w:p>
          <w:p w14:paraId="5C98B04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L</w:t>
            </w:r>
          </w:p>
          <w:p w14:paraId="68AF55B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170" w:type="dxa"/>
            <w:shd w:val="clear" w:color="auto" w:fill="FFFFFF" w:themeFill="background1"/>
          </w:tcPr>
          <w:p w14:paraId="2978BAC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77% G</w:t>
            </w:r>
          </w:p>
          <w:p w14:paraId="17A247F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71% F</w:t>
            </w:r>
          </w:p>
          <w:p w14:paraId="47AEFF1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 L</w:t>
            </w:r>
          </w:p>
          <w:p w14:paraId="1F7C9F4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UTD</w:t>
            </w:r>
          </w:p>
          <w:p w14:paraId="0AF60CD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170" w:type="dxa"/>
            <w:shd w:val="clear" w:color="auto" w:fill="FFFFFF" w:themeFill="background1"/>
          </w:tcPr>
          <w:p w14:paraId="1C56EBC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72% G</w:t>
            </w:r>
          </w:p>
          <w:p w14:paraId="4DA0AF3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67% F</w:t>
            </w:r>
          </w:p>
          <w:p w14:paraId="286F0DC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 L</w:t>
            </w:r>
          </w:p>
          <w:p w14:paraId="4771411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UTD</w:t>
            </w:r>
          </w:p>
          <w:p w14:paraId="5EDC1F5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080" w:type="dxa"/>
            <w:shd w:val="clear" w:color="auto" w:fill="FFFFFF" w:themeFill="background1"/>
          </w:tcPr>
          <w:p w14:paraId="3DAA7D8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74% G</w:t>
            </w:r>
          </w:p>
          <w:p w14:paraId="509F989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68% F</w:t>
            </w:r>
          </w:p>
          <w:p w14:paraId="15AD90D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L</w:t>
            </w:r>
          </w:p>
          <w:p w14:paraId="3E99E2C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UTD</w:t>
            </w:r>
          </w:p>
          <w:p w14:paraId="309E4E0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260" w:type="dxa"/>
            <w:shd w:val="clear" w:color="auto" w:fill="F2DBDB" w:themeFill="accent2" w:themeFillTint="33"/>
          </w:tcPr>
          <w:p w14:paraId="44252D6D"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73% G</w:t>
            </w:r>
          </w:p>
          <w:p w14:paraId="614C8D3B"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66% F</w:t>
            </w:r>
          </w:p>
          <w:p w14:paraId="50D2FA15"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4% L</w:t>
            </w:r>
          </w:p>
          <w:p w14:paraId="48D0D5D0"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0% DK</w:t>
            </w:r>
          </w:p>
        </w:tc>
      </w:tr>
      <w:tr w:rsidR="00E24947" w:rsidRPr="00F618D8" w14:paraId="423D3FFF" w14:textId="77777777" w:rsidTr="00810C4A">
        <w:trPr>
          <w:trHeight w:val="759"/>
        </w:trPr>
        <w:tc>
          <w:tcPr>
            <w:tcW w:w="1800" w:type="dxa"/>
            <w:shd w:val="clear" w:color="auto" w:fill="DBE5F1" w:themeFill="accent1" w:themeFillTint="33"/>
          </w:tcPr>
          <w:p w14:paraId="48EA99C0"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MEORC</w:t>
            </w:r>
          </w:p>
        </w:tc>
        <w:tc>
          <w:tcPr>
            <w:tcW w:w="990" w:type="dxa"/>
            <w:shd w:val="clear" w:color="auto" w:fill="FFFFFF" w:themeFill="background1"/>
          </w:tcPr>
          <w:p w14:paraId="6B193EB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080" w:type="dxa"/>
            <w:shd w:val="clear" w:color="auto" w:fill="FFFFFF" w:themeFill="background1"/>
          </w:tcPr>
          <w:p w14:paraId="4287651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5F3D29B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487765C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37% G</w:t>
            </w:r>
          </w:p>
          <w:p w14:paraId="2788FBA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21% F</w:t>
            </w:r>
          </w:p>
          <w:p w14:paraId="4D2C215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26% L</w:t>
            </w:r>
          </w:p>
          <w:p w14:paraId="3109073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42668A5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72D52E3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44% G</w:t>
            </w:r>
          </w:p>
          <w:p w14:paraId="775C2B8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19% F</w:t>
            </w:r>
          </w:p>
          <w:p w14:paraId="25FE078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25% L</w:t>
            </w:r>
          </w:p>
          <w:p w14:paraId="1D74604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149F26A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50% G</w:t>
            </w:r>
          </w:p>
          <w:p w14:paraId="389B268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24% F</w:t>
            </w:r>
          </w:p>
          <w:p w14:paraId="332273B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26% L</w:t>
            </w:r>
          </w:p>
          <w:p w14:paraId="4BBE2FC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170" w:type="dxa"/>
            <w:shd w:val="clear" w:color="auto" w:fill="FFFFFF" w:themeFill="background1"/>
          </w:tcPr>
          <w:p w14:paraId="5A3C18F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170" w:type="dxa"/>
            <w:shd w:val="clear" w:color="auto" w:fill="FFFFFF" w:themeFill="background1"/>
          </w:tcPr>
          <w:p w14:paraId="4E96D1F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080" w:type="dxa"/>
            <w:shd w:val="clear" w:color="auto" w:fill="FFFFFF" w:themeFill="background1"/>
          </w:tcPr>
          <w:p w14:paraId="0B01AB7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260" w:type="dxa"/>
            <w:shd w:val="clear" w:color="auto" w:fill="F2DBDB" w:themeFill="accent2" w:themeFillTint="33"/>
          </w:tcPr>
          <w:p w14:paraId="5A1C2A61"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30% G</w:t>
            </w:r>
          </w:p>
          <w:p w14:paraId="0592BAE3"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21% F</w:t>
            </w:r>
          </w:p>
          <w:p w14:paraId="69183C4D"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26% L</w:t>
            </w:r>
          </w:p>
          <w:p w14:paraId="61CE4BC2"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 DK</w:t>
            </w:r>
          </w:p>
        </w:tc>
      </w:tr>
      <w:tr w:rsidR="00E24947" w:rsidRPr="00F618D8" w14:paraId="0685F9F4" w14:textId="77777777" w:rsidTr="00810C4A">
        <w:trPr>
          <w:trHeight w:val="759"/>
        </w:trPr>
        <w:tc>
          <w:tcPr>
            <w:tcW w:w="1800" w:type="dxa"/>
            <w:shd w:val="clear" w:color="auto" w:fill="DBE5F1" w:themeFill="accent1" w:themeFillTint="33"/>
          </w:tcPr>
          <w:p w14:paraId="42CCF067"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MI</w:t>
            </w:r>
          </w:p>
        </w:tc>
        <w:tc>
          <w:tcPr>
            <w:tcW w:w="990" w:type="dxa"/>
            <w:shd w:val="clear" w:color="auto" w:fill="FFFFFF" w:themeFill="background1"/>
          </w:tcPr>
          <w:p w14:paraId="4B2F864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080" w:type="dxa"/>
            <w:shd w:val="clear" w:color="auto" w:fill="FFFFFF" w:themeFill="background1"/>
          </w:tcPr>
          <w:p w14:paraId="793FD42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20BA74A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2C1AAD3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72% G</w:t>
            </w:r>
          </w:p>
          <w:p w14:paraId="16751DA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51% F</w:t>
            </w:r>
          </w:p>
          <w:p w14:paraId="25FF92B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21% L</w:t>
            </w:r>
          </w:p>
          <w:p w14:paraId="58AC6AC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6988DDC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42B22AA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481B74C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73% G</w:t>
            </w:r>
          </w:p>
          <w:p w14:paraId="605BD8E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56% F</w:t>
            </w:r>
          </w:p>
          <w:p w14:paraId="3E9CCAE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17% L</w:t>
            </w:r>
          </w:p>
          <w:p w14:paraId="202076C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170" w:type="dxa"/>
            <w:shd w:val="clear" w:color="auto" w:fill="FFFFFF" w:themeFill="background1"/>
          </w:tcPr>
          <w:p w14:paraId="187983F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75% G</w:t>
            </w:r>
          </w:p>
          <w:p w14:paraId="08C956A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54% F</w:t>
            </w:r>
          </w:p>
          <w:p w14:paraId="2F0D308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19% L</w:t>
            </w:r>
          </w:p>
          <w:p w14:paraId="280BCDA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UTD</w:t>
            </w:r>
          </w:p>
          <w:p w14:paraId="67DCC63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170" w:type="dxa"/>
            <w:shd w:val="clear" w:color="auto" w:fill="FFFFFF" w:themeFill="background1"/>
          </w:tcPr>
          <w:p w14:paraId="1BAC602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76% G</w:t>
            </w:r>
          </w:p>
          <w:p w14:paraId="3EF198E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58% F</w:t>
            </w:r>
          </w:p>
          <w:p w14:paraId="55839C8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16% L</w:t>
            </w:r>
          </w:p>
          <w:p w14:paraId="3517B86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UTD</w:t>
            </w:r>
          </w:p>
          <w:p w14:paraId="6A09784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080" w:type="dxa"/>
            <w:shd w:val="clear" w:color="auto" w:fill="FFFFFF" w:themeFill="background1"/>
          </w:tcPr>
          <w:p w14:paraId="0858B64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81% G</w:t>
            </w:r>
          </w:p>
          <w:p w14:paraId="4E55A44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58% F</w:t>
            </w:r>
          </w:p>
          <w:p w14:paraId="468AF8A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19% L</w:t>
            </w:r>
          </w:p>
          <w:p w14:paraId="5C71EA7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UTD</w:t>
            </w:r>
          </w:p>
          <w:p w14:paraId="193DDD1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260" w:type="dxa"/>
            <w:shd w:val="clear" w:color="auto" w:fill="F2DBDB" w:themeFill="accent2" w:themeFillTint="33"/>
          </w:tcPr>
          <w:p w14:paraId="75574B63"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76% G</w:t>
            </w:r>
          </w:p>
          <w:p w14:paraId="30F41039"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55% F</w:t>
            </w:r>
          </w:p>
          <w:p w14:paraId="1E1F2CE8"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18% L</w:t>
            </w:r>
          </w:p>
          <w:p w14:paraId="2D0A7DB9"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0% DK</w:t>
            </w:r>
          </w:p>
        </w:tc>
      </w:tr>
      <w:tr w:rsidR="00E24947" w:rsidRPr="00F618D8" w14:paraId="6D0A5859" w14:textId="77777777" w:rsidTr="00810C4A">
        <w:trPr>
          <w:trHeight w:val="759"/>
        </w:trPr>
        <w:tc>
          <w:tcPr>
            <w:tcW w:w="1800" w:type="dxa"/>
            <w:shd w:val="clear" w:color="auto" w:fill="DBE5F1" w:themeFill="accent1" w:themeFillTint="33"/>
          </w:tcPr>
          <w:p w14:paraId="5CD2ADA7"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MN</w:t>
            </w:r>
          </w:p>
        </w:tc>
        <w:tc>
          <w:tcPr>
            <w:tcW w:w="990" w:type="dxa"/>
            <w:shd w:val="clear" w:color="auto" w:fill="FFFFFF" w:themeFill="background1"/>
          </w:tcPr>
          <w:p w14:paraId="195CB95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080" w:type="dxa"/>
            <w:shd w:val="clear" w:color="auto" w:fill="FFFFFF" w:themeFill="background1"/>
          </w:tcPr>
          <w:p w14:paraId="153FC22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4A085A2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3D77CAB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37A9611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77FEA48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87% G</w:t>
            </w:r>
          </w:p>
          <w:p w14:paraId="7EFB45A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87% F</w:t>
            </w:r>
          </w:p>
          <w:p w14:paraId="08AB294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0% L</w:t>
            </w:r>
          </w:p>
          <w:p w14:paraId="295C338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5131C9F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52% G</w:t>
            </w:r>
          </w:p>
          <w:p w14:paraId="7E1DCF3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42% F</w:t>
            </w:r>
          </w:p>
          <w:p w14:paraId="58A42E1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10% L</w:t>
            </w:r>
          </w:p>
          <w:p w14:paraId="2D8883B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28% DK</w:t>
            </w:r>
          </w:p>
        </w:tc>
        <w:tc>
          <w:tcPr>
            <w:tcW w:w="1170" w:type="dxa"/>
            <w:shd w:val="clear" w:color="auto" w:fill="auto"/>
          </w:tcPr>
          <w:p w14:paraId="6931E42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54% G</w:t>
            </w:r>
          </w:p>
          <w:p w14:paraId="3A09F8B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F</w:t>
            </w:r>
          </w:p>
          <w:p w14:paraId="2B96804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0% L</w:t>
            </w:r>
          </w:p>
          <w:p w14:paraId="47C520A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54% UTD</w:t>
            </w:r>
          </w:p>
          <w:p w14:paraId="70828B3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29% DK</w:t>
            </w:r>
          </w:p>
        </w:tc>
        <w:tc>
          <w:tcPr>
            <w:tcW w:w="1170" w:type="dxa"/>
          </w:tcPr>
          <w:p w14:paraId="5B23DA6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84% G</w:t>
            </w:r>
          </w:p>
          <w:p w14:paraId="097E936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F</w:t>
            </w:r>
          </w:p>
          <w:p w14:paraId="57E8FB0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0% L</w:t>
            </w:r>
          </w:p>
          <w:p w14:paraId="1FF23E7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84% UTD</w:t>
            </w:r>
          </w:p>
          <w:p w14:paraId="2B54152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DK</w:t>
            </w:r>
          </w:p>
        </w:tc>
        <w:tc>
          <w:tcPr>
            <w:tcW w:w="1080" w:type="dxa"/>
          </w:tcPr>
          <w:p w14:paraId="53BD626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57% G</w:t>
            </w:r>
          </w:p>
          <w:p w14:paraId="2374B0F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F</w:t>
            </w:r>
          </w:p>
          <w:p w14:paraId="4EB6636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0% L</w:t>
            </w:r>
          </w:p>
          <w:p w14:paraId="4611290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57% UTD</w:t>
            </w:r>
          </w:p>
          <w:p w14:paraId="1B6103D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25% DK</w:t>
            </w:r>
          </w:p>
        </w:tc>
        <w:tc>
          <w:tcPr>
            <w:tcW w:w="1260" w:type="dxa"/>
            <w:shd w:val="clear" w:color="auto" w:fill="F2DBDB" w:themeFill="accent2" w:themeFillTint="33"/>
          </w:tcPr>
          <w:p w14:paraId="73DCE4FB"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lastRenderedPageBreak/>
              <w:t>66% G</w:t>
            </w:r>
          </w:p>
          <w:p w14:paraId="7C4972E2"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26% F</w:t>
            </w:r>
          </w:p>
          <w:p w14:paraId="28C93220"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lastRenderedPageBreak/>
              <w:t>2% L</w:t>
            </w:r>
          </w:p>
          <w:p w14:paraId="4994D05D"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17% DK</w:t>
            </w:r>
          </w:p>
        </w:tc>
      </w:tr>
      <w:tr w:rsidR="00E24947" w:rsidRPr="00F618D8" w14:paraId="29EFAB67" w14:textId="77777777" w:rsidTr="00810C4A">
        <w:trPr>
          <w:trHeight w:val="759"/>
        </w:trPr>
        <w:tc>
          <w:tcPr>
            <w:tcW w:w="1800" w:type="dxa"/>
            <w:shd w:val="clear" w:color="auto" w:fill="DBE5F1" w:themeFill="accent1" w:themeFillTint="33"/>
          </w:tcPr>
          <w:p w14:paraId="40EC42FF"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lastRenderedPageBreak/>
              <w:t>MO</w:t>
            </w:r>
          </w:p>
        </w:tc>
        <w:tc>
          <w:tcPr>
            <w:tcW w:w="990" w:type="dxa"/>
            <w:shd w:val="clear" w:color="auto" w:fill="FFFFFF" w:themeFill="background1"/>
          </w:tcPr>
          <w:p w14:paraId="42D3036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82% G</w:t>
            </w:r>
          </w:p>
          <w:p w14:paraId="3437882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78% F</w:t>
            </w:r>
          </w:p>
          <w:p w14:paraId="516EF6F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L</w:t>
            </w:r>
          </w:p>
          <w:p w14:paraId="29044CE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080" w:type="dxa"/>
            <w:shd w:val="clear" w:color="auto" w:fill="FFFFFF" w:themeFill="background1"/>
          </w:tcPr>
          <w:p w14:paraId="2507DD9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87% G</w:t>
            </w:r>
          </w:p>
          <w:p w14:paraId="39CDAEB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85% F</w:t>
            </w:r>
          </w:p>
          <w:p w14:paraId="22B59FA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L</w:t>
            </w:r>
          </w:p>
          <w:p w14:paraId="2CBA30A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7DE8EA2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83% G</w:t>
            </w:r>
          </w:p>
          <w:p w14:paraId="6B6BCD8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80% F</w:t>
            </w:r>
          </w:p>
          <w:p w14:paraId="21B9B64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6C93693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6E3904A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83% G</w:t>
            </w:r>
          </w:p>
          <w:p w14:paraId="1C745D3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82% F</w:t>
            </w:r>
          </w:p>
          <w:p w14:paraId="372841F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L</w:t>
            </w:r>
          </w:p>
          <w:p w14:paraId="1E77BC2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7279338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84% G</w:t>
            </w:r>
          </w:p>
          <w:p w14:paraId="2EBB81D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82% F</w:t>
            </w:r>
          </w:p>
          <w:p w14:paraId="6A70D1D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L</w:t>
            </w:r>
          </w:p>
          <w:p w14:paraId="05303DC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26BE554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83% G</w:t>
            </w:r>
          </w:p>
          <w:p w14:paraId="6EDB67A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80% F</w:t>
            </w:r>
          </w:p>
          <w:p w14:paraId="7224551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76E17B6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4348A1E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85% G</w:t>
            </w:r>
          </w:p>
          <w:p w14:paraId="5477A8E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84% F</w:t>
            </w:r>
          </w:p>
          <w:p w14:paraId="0D988B0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L</w:t>
            </w:r>
          </w:p>
          <w:p w14:paraId="301A59D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170" w:type="dxa"/>
            <w:shd w:val="clear" w:color="auto" w:fill="FFFFFF" w:themeFill="background1"/>
          </w:tcPr>
          <w:p w14:paraId="7DF5863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80% G</w:t>
            </w:r>
          </w:p>
          <w:p w14:paraId="4F29CDA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76% F</w:t>
            </w:r>
          </w:p>
          <w:p w14:paraId="11C3875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L</w:t>
            </w:r>
          </w:p>
          <w:p w14:paraId="152CD2C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UTD</w:t>
            </w:r>
          </w:p>
          <w:p w14:paraId="739DF30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170" w:type="dxa"/>
            <w:shd w:val="clear" w:color="auto" w:fill="FFFFFF" w:themeFill="background1"/>
          </w:tcPr>
          <w:p w14:paraId="0D81473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80% G</w:t>
            </w:r>
          </w:p>
          <w:p w14:paraId="33968DA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77% F</w:t>
            </w:r>
          </w:p>
          <w:p w14:paraId="31C53D1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L</w:t>
            </w:r>
          </w:p>
          <w:p w14:paraId="76C5C47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UTD</w:t>
            </w:r>
          </w:p>
          <w:p w14:paraId="1C0F080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080" w:type="dxa"/>
            <w:shd w:val="clear" w:color="auto" w:fill="FFFFFF" w:themeFill="background1"/>
          </w:tcPr>
          <w:p w14:paraId="07B31B7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82% G</w:t>
            </w:r>
          </w:p>
          <w:p w14:paraId="7D310C1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77% F</w:t>
            </w:r>
          </w:p>
          <w:p w14:paraId="5DAA2EE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 L</w:t>
            </w:r>
          </w:p>
          <w:p w14:paraId="64D6AF6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UTD</w:t>
            </w:r>
          </w:p>
          <w:p w14:paraId="1B131D6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260" w:type="dxa"/>
            <w:shd w:val="clear" w:color="auto" w:fill="F2DBDB" w:themeFill="accent2" w:themeFillTint="33"/>
          </w:tcPr>
          <w:p w14:paraId="475C4B0B"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83% G</w:t>
            </w:r>
          </w:p>
          <w:p w14:paraId="3AB7AF2D"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80% F</w:t>
            </w:r>
          </w:p>
          <w:p w14:paraId="33C82472"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3% L</w:t>
            </w:r>
          </w:p>
          <w:p w14:paraId="202AEDC0"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0% DK</w:t>
            </w:r>
          </w:p>
        </w:tc>
      </w:tr>
      <w:tr w:rsidR="00E24947" w:rsidRPr="00F618D8" w14:paraId="4F625A8F" w14:textId="77777777" w:rsidTr="00810C4A">
        <w:trPr>
          <w:trHeight w:val="759"/>
        </w:trPr>
        <w:tc>
          <w:tcPr>
            <w:tcW w:w="1800" w:type="dxa"/>
            <w:shd w:val="clear" w:color="auto" w:fill="DBE5F1" w:themeFill="accent1" w:themeFillTint="33"/>
          </w:tcPr>
          <w:p w14:paraId="6A8F6149"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MS</w:t>
            </w:r>
          </w:p>
        </w:tc>
        <w:tc>
          <w:tcPr>
            <w:tcW w:w="990" w:type="dxa"/>
            <w:shd w:val="clear" w:color="auto" w:fill="FFFFFF" w:themeFill="background1"/>
          </w:tcPr>
          <w:p w14:paraId="199429A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080" w:type="dxa"/>
            <w:shd w:val="clear" w:color="auto" w:fill="FFFFFF" w:themeFill="background1"/>
          </w:tcPr>
          <w:p w14:paraId="640FAAD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481AB20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432CBD4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2665A3C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16% G</w:t>
            </w:r>
          </w:p>
          <w:p w14:paraId="244A085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14% F</w:t>
            </w:r>
          </w:p>
          <w:p w14:paraId="472E46F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L</w:t>
            </w:r>
          </w:p>
          <w:p w14:paraId="55658AB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13% DK</w:t>
            </w:r>
          </w:p>
        </w:tc>
        <w:tc>
          <w:tcPr>
            <w:tcW w:w="990" w:type="dxa"/>
            <w:shd w:val="clear" w:color="auto" w:fill="FFFFFF" w:themeFill="background1"/>
          </w:tcPr>
          <w:p w14:paraId="338824B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08F45E5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170" w:type="dxa"/>
            <w:shd w:val="clear" w:color="auto" w:fill="FFFFFF" w:themeFill="background1"/>
          </w:tcPr>
          <w:p w14:paraId="21D3E06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20% G</w:t>
            </w:r>
          </w:p>
          <w:p w14:paraId="5853F2F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F</w:t>
            </w:r>
          </w:p>
          <w:p w14:paraId="279C754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L</w:t>
            </w:r>
          </w:p>
          <w:p w14:paraId="384CCBB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16% UTD</w:t>
            </w:r>
          </w:p>
          <w:p w14:paraId="752FDC8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170" w:type="dxa"/>
            <w:shd w:val="clear" w:color="auto" w:fill="FFFFFF" w:themeFill="background1"/>
          </w:tcPr>
          <w:p w14:paraId="482D32D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 xml:space="preserve">35% G </w:t>
            </w:r>
          </w:p>
          <w:p w14:paraId="09033FE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14% F</w:t>
            </w:r>
          </w:p>
          <w:p w14:paraId="5CB6B7A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10% L</w:t>
            </w:r>
          </w:p>
          <w:p w14:paraId="68AFCFB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11% UTD</w:t>
            </w:r>
          </w:p>
          <w:p w14:paraId="3BBF8D3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080" w:type="dxa"/>
            <w:shd w:val="clear" w:color="auto" w:fill="FFFFFF" w:themeFill="background1"/>
          </w:tcPr>
          <w:p w14:paraId="3E9987F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260" w:type="dxa"/>
            <w:shd w:val="clear" w:color="auto" w:fill="F2DBDB" w:themeFill="accent2" w:themeFillTint="33"/>
          </w:tcPr>
          <w:p w14:paraId="2301FAC7"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24% G</w:t>
            </w:r>
          </w:p>
          <w:p w14:paraId="1DFE7B4A"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11% F</w:t>
            </w:r>
          </w:p>
          <w:p w14:paraId="46CC74F0"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3% L</w:t>
            </w:r>
          </w:p>
          <w:p w14:paraId="2CAEF7BA"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4% DK</w:t>
            </w:r>
          </w:p>
        </w:tc>
      </w:tr>
      <w:tr w:rsidR="00E24947" w:rsidRPr="00F618D8" w14:paraId="5EE72383" w14:textId="77777777" w:rsidTr="00810C4A">
        <w:trPr>
          <w:trHeight w:val="759"/>
        </w:trPr>
        <w:tc>
          <w:tcPr>
            <w:tcW w:w="1800" w:type="dxa"/>
            <w:shd w:val="clear" w:color="auto" w:fill="DBE5F1" w:themeFill="accent1" w:themeFillTint="33"/>
          </w:tcPr>
          <w:p w14:paraId="0B38FE70"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NC</w:t>
            </w:r>
          </w:p>
        </w:tc>
        <w:tc>
          <w:tcPr>
            <w:tcW w:w="990" w:type="dxa"/>
            <w:shd w:val="clear" w:color="auto" w:fill="FFFFFF" w:themeFill="background1"/>
          </w:tcPr>
          <w:p w14:paraId="2485C40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63% G</w:t>
            </w:r>
          </w:p>
          <w:p w14:paraId="3ABE73B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56% F</w:t>
            </w:r>
          </w:p>
          <w:p w14:paraId="3769591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 L</w:t>
            </w:r>
          </w:p>
          <w:p w14:paraId="5F8CAB7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1% DK</w:t>
            </w:r>
          </w:p>
        </w:tc>
        <w:tc>
          <w:tcPr>
            <w:tcW w:w="1080" w:type="dxa"/>
            <w:shd w:val="clear" w:color="auto" w:fill="FFFFFF" w:themeFill="background1"/>
          </w:tcPr>
          <w:p w14:paraId="329BC13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60% G</w:t>
            </w:r>
          </w:p>
          <w:p w14:paraId="1C50168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54% F</w:t>
            </w:r>
          </w:p>
          <w:p w14:paraId="477DE23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 L</w:t>
            </w:r>
          </w:p>
          <w:p w14:paraId="435BF3E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1% DK</w:t>
            </w:r>
          </w:p>
        </w:tc>
        <w:tc>
          <w:tcPr>
            <w:tcW w:w="990" w:type="dxa"/>
            <w:shd w:val="clear" w:color="auto" w:fill="FFFFFF" w:themeFill="background1"/>
          </w:tcPr>
          <w:p w14:paraId="39A9C1C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64% G</w:t>
            </w:r>
          </w:p>
          <w:p w14:paraId="407C0B1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56% F</w:t>
            </w:r>
          </w:p>
          <w:p w14:paraId="71C17D3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 L</w:t>
            </w:r>
          </w:p>
          <w:p w14:paraId="26ED925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1% DK</w:t>
            </w:r>
          </w:p>
        </w:tc>
        <w:tc>
          <w:tcPr>
            <w:tcW w:w="990" w:type="dxa"/>
            <w:shd w:val="clear" w:color="auto" w:fill="FFFFFF" w:themeFill="background1"/>
          </w:tcPr>
          <w:p w14:paraId="03146BC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66% G</w:t>
            </w:r>
          </w:p>
          <w:p w14:paraId="4177660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58% F</w:t>
            </w:r>
          </w:p>
          <w:p w14:paraId="1C92890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 L</w:t>
            </w:r>
          </w:p>
          <w:p w14:paraId="3CA03BB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1% DK</w:t>
            </w:r>
          </w:p>
        </w:tc>
        <w:tc>
          <w:tcPr>
            <w:tcW w:w="990" w:type="dxa"/>
            <w:shd w:val="clear" w:color="auto" w:fill="FFFFFF" w:themeFill="background1"/>
          </w:tcPr>
          <w:p w14:paraId="6A1EE73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71% G</w:t>
            </w:r>
          </w:p>
          <w:p w14:paraId="3E98203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64% F</w:t>
            </w:r>
          </w:p>
          <w:p w14:paraId="6D198B0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 L</w:t>
            </w:r>
          </w:p>
          <w:p w14:paraId="07F7F86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0% DK</w:t>
            </w:r>
          </w:p>
        </w:tc>
        <w:tc>
          <w:tcPr>
            <w:tcW w:w="990" w:type="dxa"/>
            <w:shd w:val="clear" w:color="auto" w:fill="FFFFFF" w:themeFill="background1"/>
          </w:tcPr>
          <w:p w14:paraId="4F00F49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73% G</w:t>
            </w:r>
          </w:p>
          <w:p w14:paraId="72B4EE2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66% F</w:t>
            </w:r>
          </w:p>
          <w:p w14:paraId="2221DE3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 L</w:t>
            </w:r>
          </w:p>
          <w:p w14:paraId="08576BF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1% DK</w:t>
            </w:r>
          </w:p>
        </w:tc>
        <w:tc>
          <w:tcPr>
            <w:tcW w:w="990" w:type="dxa"/>
            <w:shd w:val="clear" w:color="auto" w:fill="FFFFFF" w:themeFill="background1"/>
          </w:tcPr>
          <w:p w14:paraId="1CD5466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68% G</w:t>
            </w:r>
          </w:p>
          <w:p w14:paraId="3CFAEAA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61% F</w:t>
            </w:r>
          </w:p>
          <w:p w14:paraId="010917E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 L</w:t>
            </w:r>
          </w:p>
          <w:p w14:paraId="54E7EAB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1% DK</w:t>
            </w:r>
          </w:p>
        </w:tc>
        <w:tc>
          <w:tcPr>
            <w:tcW w:w="1170" w:type="dxa"/>
            <w:shd w:val="clear" w:color="auto" w:fill="FFFFFF" w:themeFill="background1"/>
          </w:tcPr>
          <w:p w14:paraId="60234AF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69% G</w:t>
            </w:r>
          </w:p>
          <w:p w14:paraId="4500A42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58% F</w:t>
            </w:r>
          </w:p>
          <w:p w14:paraId="44A72B2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9% L</w:t>
            </w:r>
          </w:p>
          <w:p w14:paraId="5C2EC0E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2% UTD</w:t>
            </w:r>
          </w:p>
          <w:p w14:paraId="08ABE41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170" w:type="dxa"/>
            <w:shd w:val="clear" w:color="auto" w:fill="FFFFFF" w:themeFill="background1"/>
          </w:tcPr>
          <w:p w14:paraId="455A35B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74% G</w:t>
            </w:r>
          </w:p>
          <w:p w14:paraId="30CAEAB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65% F</w:t>
            </w:r>
          </w:p>
          <w:p w14:paraId="739B74C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 L</w:t>
            </w:r>
          </w:p>
          <w:p w14:paraId="2DDAD6C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2% UTD</w:t>
            </w:r>
          </w:p>
          <w:p w14:paraId="3F6E287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080" w:type="dxa"/>
            <w:shd w:val="clear" w:color="auto" w:fill="FFFFFF" w:themeFill="background1"/>
          </w:tcPr>
          <w:p w14:paraId="00145D5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75% G</w:t>
            </w:r>
          </w:p>
          <w:p w14:paraId="284CA35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64% F</w:t>
            </w:r>
          </w:p>
          <w:p w14:paraId="1F236CA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9% L</w:t>
            </w:r>
          </w:p>
          <w:p w14:paraId="2D0BB8D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2% UTD</w:t>
            </w:r>
          </w:p>
          <w:p w14:paraId="35BF64E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260" w:type="dxa"/>
            <w:shd w:val="clear" w:color="auto" w:fill="F2DBDB" w:themeFill="accent2" w:themeFillTint="33"/>
          </w:tcPr>
          <w:p w14:paraId="0A8EC65E"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lastRenderedPageBreak/>
              <w:t>68% G</w:t>
            </w:r>
          </w:p>
          <w:p w14:paraId="225CAC76"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60% F</w:t>
            </w:r>
          </w:p>
          <w:p w14:paraId="5850FA11"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8% L</w:t>
            </w:r>
          </w:p>
          <w:p w14:paraId="359637CA"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lastRenderedPageBreak/>
              <w:t>1% DK</w:t>
            </w:r>
          </w:p>
        </w:tc>
      </w:tr>
    </w:tbl>
    <w:p w14:paraId="644A3E57" w14:textId="77777777" w:rsidR="0004451D" w:rsidRPr="00F618D8" w:rsidRDefault="0004451D">
      <w:pPr>
        <w:rPr>
          <w:rFonts w:ascii="Arial" w:hAnsi="Arial" w:cs="Arial"/>
        </w:rPr>
      </w:pPr>
      <w:r w:rsidRPr="00F618D8">
        <w:rPr>
          <w:rFonts w:ascii="Arial" w:hAnsi="Arial" w:cs="Arial"/>
        </w:rPr>
        <w:lastRenderedPageBreak/>
        <w:br w:type="page"/>
      </w:r>
    </w:p>
    <w:tbl>
      <w:tblPr>
        <w:tblStyle w:val="TableGrid"/>
        <w:tblW w:w="13500" w:type="dxa"/>
        <w:tblInd w:w="-5" w:type="dxa"/>
        <w:tblLayout w:type="fixed"/>
        <w:tblLook w:val="04A0" w:firstRow="1" w:lastRow="0" w:firstColumn="1" w:lastColumn="0" w:noHBand="0" w:noVBand="1"/>
        <w:tblCaption w:val=" , "/>
      </w:tblPr>
      <w:tblGrid>
        <w:gridCol w:w="1800"/>
        <w:gridCol w:w="990"/>
        <w:gridCol w:w="1080"/>
        <w:gridCol w:w="990"/>
        <w:gridCol w:w="990"/>
        <w:gridCol w:w="990"/>
        <w:gridCol w:w="990"/>
        <w:gridCol w:w="990"/>
        <w:gridCol w:w="1170"/>
        <w:gridCol w:w="1170"/>
        <w:gridCol w:w="1080"/>
        <w:gridCol w:w="1260"/>
      </w:tblGrid>
      <w:tr w:rsidR="0004451D" w:rsidRPr="00F618D8" w14:paraId="78F7E7FA" w14:textId="77777777" w:rsidTr="006B20FF">
        <w:trPr>
          <w:trHeight w:val="530"/>
          <w:tblHeader/>
        </w:trPr>
        <w:tc>
          <w:tcPr>
            <w:tcW w:w="1800" w:type="dxa"/>
            <w:shd w:val="clear" w:color="auto" w:fill="DBE5F1"/>
          </w:tcPr>
          <w:p w14:paraId="0F468313" w14:textId="77777777" w:rsidR="0004451D" w:rsidRPr="00F618D8" w:rsidRDefault="0004451D" w:rsidP="00F5324F">
            <w:pPr>
              <w:pStyle w:val="TableHeader"/>
              <w:rPr>
                <w:rFonts w:ascii="Arial" w:hAnsi="Arial"/>
                <w:sz w:val="20"/>
                <w:szCs w:val="20"/>
              </w:rPr>
            </w:pPr>
            <w:r w:rsidRPr="00F618D8">
              <w:rPr>
                <w:rFonts w:ascii="Arial" w:hAnsi="Arial"/>
                <w:sz w:val="20"/>
                <w:szCs w:val="20"/>
              </w:rPr>
              <w:lastRenderedPageBreak/>
              <w:br w:type="page"/>
              <w:t>State</w:t>
            </w:r>
          </w:p>
        </w:tc>
        <w:tc>
          <w:tcPr>
            <w:tcW w:w="990" w:type="dxa"/>
            <w:shd w:val="clear" w:color="auto" w:fill="DBE5F1"/>
          </w:tcPr>
          <w:p w14:paraId="1F1F1FDC" w14:textId="77777777" w:rsidR="0004451D" w:rsidRPr="00F618D8" w:rsidRDefault="0004451D" w:rsidP="00F5324F">
            <w:pPr>
              <w:pStyle w:val="TableHeader"/>
              <w:rPr>
                <w:rFonts w:ascii="Arial" w:hAnsi="Arial"/>
                <w:sz w:val="20"/>
                <w:szCs w:val="20"/>
              </w:rPr>
            </w:pPr>
            <w:r w:rsidRPr="00F618D8">
              <w:rPr>
                <w:rFonts w:ascii="Arial" w:hAnsi="Arial"/>
                <w:sz w:val="20"/>
                <w:szCs w:val="20"/>
              </w:rPr>
              <w:t>2008-09</w:t>
            </w:r>
          </w:p>
        </w:tc>
        <w:tc>
          <w:tcPr>
            <w:tcW w:w="1080" w:type="dxa"/>
            <w:shd w:val="clear" w:color="auto" w:fill="DBE5F1"/>
          </w:tcPr>
          <w:p w14:paraId="0815F7FE" w14:textId="77777777" w:rsidR="0004451D" w:rsidRPr="00F618D8" w:rsidRDefault="0004451D" w:rsidP="00F5324F">
            <w:pPr>
              <w:pStyle w:val="TableHeader"/>
              <w:rPr>
                <w:rFonts w:ascii="Arial" w:hAnsi="Arial"/>
                <w:sz w:val="20"/>
                <w:szCs w:val="20"/>
              </w:rPr>
            </w:pPr>
            <w:r w:rsidRPr="00F618D8">
              <w:rPr>
                <w:rFonts w:ascii="Arial" w:hAnsi="Arial"/>
                <w:sz w:val="20"/>
                <w:szCs w:val="20"/>
              </w:rPr>
              <w:t>2009-10</w:t>
            </w:r>
          </w:p>
        </w:tc>
        <w:tc>
          <w:tcPr>
            <w:tcW w:w="990" w:type="dxa"/>
            <w:shd w:val="clear" w:color="auto" w:fill="DBE5F1"/>
          </w:tcPr>
          <w:p w14:paraId="4DD7802C" w14:textId="77777777" w:rsidR="0004451D" w:rsidRPr="00F618D8" w:rsidRDefault="0004451D" w:rsidP="00F5324F">
            <w:pPr>
              <w:pStyle w:val="TableHeader"/>
              <w:rPr>
                <w:rFonts w:ascii="Arial" w:hAnsi="Arial"/>
                <w:sz w:val="20"/>
                <w:szCs w:val="20"/>
              </w:rPr>
            </w:pPr>
            <w:r w:rsidRPr="00F618D8">
              <w:rPr>
                <w:rFonts w:ascii="Arial" w:hAnsi="Arial"/>
                <w:sz w:val="20"/>
                <w:szCs w:val="20"/>
              </w:rPr>
              <w:t>2010-11</w:t>
            </w:r>
          </w:p>
        </w:tc>
        <w:tc>
          <w:tcPr>
            <w:tcW w:w="990" w:type="dxa"/>
            <w:shd w:val="clear" w:color="auto" w:fill="DBE5F1"/>
          </w:tcPr>
          <w:p w14:paraId="5F5CFAF7" w14:textId="77777777" w:rsidR="0004451D" w:rsidRPr="00F618D8" w:rsidRDefault="0004451D" w:rsidP="00F5324F">
            <w:pPr>
              <w:pStyle w:val="TableHeader"/>
              <w:rPr>
                <w:rFonts w:ascii="Arial" w:hAnsi="Arial"/>
                <w:sz w:val="20"/>
                <w:szCs w:val="20"/>
              </w:rPr>
            </w:pPr>
            <w:r w:rsidRPr="00F618D8">
              <w:rPr>
                <w:rFonts w:ascii="Arial" w:hAnsi="Arial"/>
                <w:sz w:val="20"/>
                <w:szCs w:val="20"/>
              </w:rPr>
              <w:t>2011-12</w:t>
            </w:r>
          </w:p>
        </w:tc>
        <w:tc>
          <w:tcPr>
            <w:tcW w:w="990" w:type="dxa"/>
            <w:shd w:val="clear" w:color="auto" w:fill="DBE5F1"/>
          </w:tcPr>
          <w:p w14:paraId="0D14AD8D" w14:textId="77777777" w:rsidR="0004451D" w:rsidRPr="00F618D8" w:rsidRDefault="0004451D" w:rsidP="00F5324F">
            <w:pPr>
              <w:pStyle w:val="TableHeader"/>
              <w:rPr>
                <w:rFonts w:ascii="Arial" w:hAnsi="Arial"/>
                <w:sz w:val="20"/>
                <w:szCs w:val="20"/>
              </w:rPr>
            </w:pPr>
            <w:r w:rsidRPr="00F618D8">
              <w:rPr>
                <w:rFonts w:ascii="Arial" w:hAnsi="Arial"/>
                <w:sz w:val="20"/>
                <w:szCs w:val="20"/>
              </w:rPr>
              <w:t>2012-13</w:t>
            </w:r>
          </w:p>
        </w:tc>
        <w:tc>
          <w:tcPr>
            <w:tcW w:w="990" w:type="dxa"/>
            <w:shd w:val="clear" w:color="auto" w:fill="DBE5F1"/>
          </w:tcPr>
          <w:p w14:paraId="6D52A933" w14:textId="77777777" w:rsidR="0004451D" w:rsidRPr="00F618D8" w:rsidRDefault="0004451D" w:rsidP="00F5324F">
            <w:pPr>
              <w:pStyle w:val="TableHeader"/>
              <w:rPr>
                <w:rFonts w:ascii="Arial" w:hAnsi="Arial"/>
                <w:sz w:val="20"/>
                <w:szCs w:val="20"/>
              </w:rPr>
            </w:pPr>
            <w:r w:rsidRPr="00F618D8">
              <w:rPr>
                <w:rFonts w:ascii="Arial" w:hAnsi="Arial"/>
                <w:sz w:val="20"/>
                <w:szCs w:val="20"/>
              </w:rPr>
              <w:t>2013-14</w:t>
            </w:r>
          </w:p>
        </w:tc>
        <w:tc>
          <w:tcPr>
            <w:tcW w:w="990" w:type="dxa"/>
            <w:shd w:val="clear" w:color="auto" w:fill="DBE5F1"/>
          </w:tcPr>
          <w:p w14:paraId="17320576" w14:textId="77777777" w:rsidR="0004451D" w:rsidRPr="00F618D8" w:rsidRDefault="0004451D" w:rsidP="00F5324F">
            <w:pPr>
              <w:pStyle w:val="TableHeader"/>
              <w:rPr>
                <w:rFonts w:ascii="Arial" w:hAnsi="Arial"/>
                <w:sz w:val="20"/>
                <w:szCs w:val="20"/>
              </w:rPr>
            </w:pPr>
            <w:r w:rsidRPr="00F618D8">
              <w:rPr>
                <w:rFonts w:ascii="Arial" w:hAnsi="Arial"/>
                <w:sz w:val="20"/>
                <w:szCs w:val="20"/>
              </w:rPr>
              <w:t>2014-15</w:t>
            </w:r>
          </w:p>
        </w:tc>
        <w:tc>
          <w:tcPr>
            <w:tcW w:w="1170" w:type="dxa"/>
            <w:shd w:val="clear" w:color="auto" w:fill="DBE5F1"/>
          </w:tcPr>
          <w:p w14:paraId="75084420" w14:textId="77777777" w:rsidR="0004451D" w:rsidRPr="00F618D8" w:rsidRDefault="0004451D" w:rsidP="00F5324F">
            <w:pPr>
              <w:pStyle w:val="TableHeader"/>
              <w:rPr>
                <w:rFonts w:ascii="Arial" w:hAnsi="Arial"/>
                <w:sz w:val="20"/>
                <w:szCs w:val="20"/>
              </w:rPr>
            </w:pPr>
            <w:r w:rsidRPr="00F618D8">
              <w:rPr>
                <w:rFonts w:ascii="Arial" w:hAnsi="Arial"/>
                <w:sz w:val="20"/>
                <w:szCs w:val="20"/>
              </w:rPr>
              <w:t>2015-16</w:t>
            </w:r>
          </w:p>
        </w:tc>
        <w:tc>
          <w:tcPr>
            <w:tcW w:w="1170" w:type="dxa"/>
            <w:shd w:val="clear" w:color="auto" w:fill="DBE5F1"/>
          </w:tcPr>
          <w:p w14:paraId="592A6BAC" w14:textId="77777777" w:rsidR="0004451D" w:rsidRPr="00F618D8" w:rsidRDefault="0004451D" w:rsidP="00F5324F">
            <w:pPr>
              <w:pStyle w:val="TableHeader"/>
              <w:rPr>
                <w:rFonts w:ascii="Arial" w:hAnsi="Arial"/>
                <w:sz w:val="20"/>
                <w:szCs w:val="20"/>
              </w:rPr>
            </w:pPr>
            <w:r w:rsidRPr="00F618D8">
              <w:rPr>
                <w:rFonts w:ascii="Arial" w:hAnsi="Arial"/>
                <w:sz w:val="20"/>
                <w:szCs w:val="20"/>
              </w:rPr>
              <w:t>2016-17</w:t>
            </w:r>
          </w:p>
        </w:tc>
        <w:tc>
          <w:tcPr>
            <w:tcW w:w="1080" w:type="dxa"/>
            <w:shd w:val="clear" w:color="auto" w:fill="DBE5F1"/>
          </w:tcPr>
          <w:p w14:paraId="4B717CA0" w14:textId="77777777" w:rsidR="0004451D" w:rsidRPr="00F618D8" w:rsidRDefault="0004451D" w:rsidP="00F5324F">
            <w:pPr>
              <w:pStyle w:val="TableHeader"/>
              <w:rPr>
                <w:rFonts w:ascii="Arial" w:hAnsi="Arial"/>
                <w:sz w:val="20"/>
                <w:szCs w:val="20"/>
              </w:rPr>
            </w:pPr>
            <w:r w:rsidRPr="00F618D8">
              <w:rPr>
                <w:rFonts w:ascii="Arial" w:hAnsi="Arial"/>
                <w:sz w:val="20"/>
                <w:szCs w:val="20"/>
              </w:rPr>
              <w:t>2017-18</w:t>
            </w:r>
          </w:p>
        </w:tc>
        <w:tc>
          <w:tcPr>
            <w:tcW w:w="1260" w:type="dxa"/>
            <w:shd w:val="clear" w:color="auto" w:fill="F2DBDB" w:themeFill="accent2" w:themeFillTint="33"/>
          </w:tcPr>
          <w:p w14:paraId="5BC6E97B" w14:textId="77777777" w:rsidR="0004451D" w:rsidRPr="00F618D8" w:rsidRDefault="0004451D" w:rsidP="00F5324F">
            <w:pPr>
              <w:pStyle w:val="TableHeader"/>
              <w:rPr>
                <w:rFonts w:ascii="Arial" w:hAnsi="Arial"/>
                <w:sz w:val="20"/>
                <w:szCs w:val="20"/>
              </w:rPr>
            </w:pPr>
            <w:r w:rsidRPr="00F618D8">
              <w:rPr>
                <w:rFonts w:ascii="Arial" w:hAnsi="Arial"/>
                <w:sz w:val="20"/>
                <w:szCs w:val="20"/>
              </w:rPr>
              <w:t>Average of Annual %</w:t>
            </w:r>
          </w:p>
        </w:tc>
      </w:tr>
      <w:tr w:rsidR="00E24947" w:rsidRPr="00F618D8" w14:paraId="0D6A9D8C" w14:textId="77777777" w:rsidTr="00810C4A">
        <w:trPr>
          <w:trHeight w:val="759"/>
        </w:trPr>
        <w:tc>
          <w:tcPr>
            <w:tcW w:w="1800" w:type="dxa"/>
            <w:shd w:val="clear" w:color="auto" w:fill="DBE5F1" w:themeFill="accent1" w:themeFillTint="33"/>
          </w:tcPr>
          <w:p w14:paraId="598B48EC"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NE</w:t>
            </w:r>
          </w:p>
        </w:tc>
        <w:tc>
          <w:tcPr>
            <w:tcW w:w="990" w:type="dxa"/>
            <w:shd w:val="clear" w:color="auto" w:fill="FFFFFF" w:themeFill="background1"/>
          </w:tcPr>
          <w:p w14:paraId="4F795D2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080" w:type="dxa"/>
            <w:shd w:val="clear" w:color="auto" w:fill="FFFFFF" w:themeFill="background1"/>
          </w:tcPr>
          <w:p w14:paraId="7DF8603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3C8FE1C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76D5EB0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07A76EC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3D5170F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786818D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170" w:type="dxa"/>
            <w:shd w:val="clear" w:color="auto" w:fill="FFFFFF" w:themeFill="background1"/>
          </w:tcPr>
          <w:p w14:paraId="4C8E9B4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170" w:type="dxa"/>
            <w:shd w:val="clear" w:color="auto" w:fill="FFFFFF" w:themeFill="background1"/>
          </w:tcPr>
          <w:p w14:paraId="15E8715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85% G</w:t>
            </w:r>
          </w:p>
          <w:p w14:paraId="1150584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71% F</w:t>
            </w:r>
          </w:p>
          <w:p w14:paraId="5256FDB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 L</w:t>
            </w:r>
          </w:p>
          <w:p w14:paraId="6E51687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 UTD</w:t>
            </w:r>
          </w:p>
          <w:p w14:paraId="4420B20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DK</w:t>
            </w:r>
          </w:p>
        </w:tc>
        <w:tc>
          <w:tcPr>
            <w:tcW w:w="1080" w:type="dxa"/>
            <w:shd w:val="clear" w:color="auto" w:fill="FFFFFF" w:themeFill="background1"/>
          </w:tcPr>
          <w:p w14:paraId="3559D36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89% G</w:t>
            </w:r>
          </w:p>
          <w:p w14:paraId="5210576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75% F</w:t>
            </w:r>
          </w:p>
          <w:p w14:paraId="57F7139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9% L</w:t>
            </w:r>
          </w:p>
          <w:p w14:paraId="3CB67E2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 UTD</w:t>
            </w:r>
          </w:p>
          <w:p w14:paraId="4011E41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260" w:type="dxa"/>
            <w:shd w:val="clear" w:color="auto" w:fill="F2DBDB" w:themeFill="accent2" w:themeFillTint="33"/>
          </w:tcPr>
          <w:p w14:paraId="096875B1"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87% G</w:t>
            </w:r>
          </w:p>
          <w:p w14:paraId="0777BC47"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73% F</w:t>
            </w:r>
          </w:p>
          <w:p w14:paraId="177EB362"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8% L</w:t>
            </w:r>
          </w:p>
          <w:p w14:paraId="72B463EE"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 DK</w:t>
            </w:r>
          </w:p>
        </w:tc>
      </w:tr>
      <w:tr w:rsidR="00E24947" w:rsidRPr="00F618D8" w14:paraId="6D7ECDDB" w14:textId="77777777" w:rsidTr="00810C4A">
        <w:trPr>
          <w:trHeight w:val="759"/>
        </w:trPr>
        <w:tc>
          <w:tcPr>
            <w:tcW w:w="1800" w:type="dxa"/>
            <w:shd w:val="clear" w:color="auto" w:fill="DBE5F1" w:themeFill="accent1" w:themeFillTint="33"/>
          </w:tcPr>
          <w:p w14:paraId="4E2AAF8B"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NH</w:t>
            </w:r>
          </w:p>
        </w:tc>
        <w:tc>
          <w:tcPr>
            <w:tcW w:w="990" w:type="dxa"/>
            <w:shd w:val="clear" w:color="auto" w:fill="FFFFFF" w:themeFill="background1"/>
          </w:tcPr>
          <w:p w14:paraId="569D3D5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080" w:type="dxa"/>
            <w:shd w:val="clear" w:color="auto" w:fill="FFFFFF" w:themeFill="background1"/>
          </w:tcPr>
          <w:p w14:paraId="6947F8C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091F6B3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78% G</w:t>
            </w:r>
          </w:p>
          <w:p w14:paraId="1560178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75% F</w:t>
            </w:r>
          </w:p>
          <w:p w14:paraId="2273A95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4A34BF9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64A6817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62C1468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72% G</w:t>
            </w:r>
          </w:p>
          <w:p w14:paraId="2BBBD83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69% F</w:t>
            </w:r>
          </w:p>
          <w:p w14:paraId="6062F67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4F964BC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53E630F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40F1507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73% G</w:t>
            </w:r>
          </w:p>
          <w:p w14:paraId="04A9C6A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70% F</w:t>
            </w:r>
          </w:p>
          <w:p w14:paraId="0037603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6774075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170" w:type="dxa"/>
            <w:shd w:val="clear" w:color="auto" w:fill="FFFFFF" w:themeFill="background1"/>
          </w:tcPr>
          <w:p w14:paraId="694B304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170" w:type="dxa"/>
            <w:shd w:val="clear" w:color="auto" w:fill="FFFFFF" w:themeFill="background1"/>
          </w:tcPr>
          <w:p w14:paraId="04883CE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76% G</w:t>
            </w:r>
          </w:p>
          <w:p w14:paraId="799568B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68% F</w:t>
            </w:r>
          </w:p>
          <w:p w14:paraId="73DE5B6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 L</w:t>
            </w:r>
          </w:p>
          <w:p w14:paraId="3464E65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UTD</w:t>
            </w:r>
          </w:p>
          <w:p w14:paraId="1DE6724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080" w:type="dxa"/>
            <w:shd w:val="clear" w:color="auto" w:fill="FFFFFF" w:themeFill="background1"/>
          </w:tcPr>
          <w:p w14:paraId="2CBBB8C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260" w:type="dxa"/>
            <w:shd w:val="clear" w:color="auto" w:fill="F2DBDB" w:themeFill="accent2" w:themeFillTint="33"/>
          </w:tcPr>
          <w:p w14:paraId="38ABBA93"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75% G</w:t>
            </w:r>
          </w:p>
          <w:p w14:paraId="2F2179E9"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71% F</w:t>
            </w:r>
          </w:p>
          <w:p w14:paraId="324EB7B0"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4% L</w:t>
            </w:r>
          </w:p>
          <w:p w14:paraId="10E99ED3"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0% DK</w:t>
            </w:r>
          </w:p>
        </w:tc>
      </w:tr>
      <w:tr w:rsidR="00E24947" w:rsidRPr="00F618D8" w14:paraId="6B1AC7E4" w14:textId="77777777" w:rsidTr="00810C4A">
        <w:trPr>
          <w:trHeight w:val="60"/>
        </w:trPr>
        <w:tc>
          <w:tcPr>
            <w:tcW w:w="1800" w:type="dxa"/>
            <w:shd w:val="clear" w:color="auto" w:fill="DBE5F1" w:themeFill="accent1" w:themeFillTint="33"/>
          </w:tcPr>
          <w:p w14:paraId="34AC3628"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NJ</w:t>
            </w:r>
          </w:p>
        </w:tc>
        <w:tc>
          <w:tcPr>
            <w:tcW w:w="990" w:type="dxa"/>
            <w:shd w:val="clear" w:color="auto" w:fill="FFFFFF" w:themeFill="background1"/>
          </w:tcPr>
          <w:p w14:paraId="4DA6701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70% G</w:t>
            </w:r>
          </w:p>
          <w:p w14:paraId="0526770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64% F</w:t>
            </w:r>
          </w:p>
          <w:p w14:paraId="2FB1E1A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 L</w:t>
            </w:r>
          </w:p>
          <w:p w14:paraId="562A726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DK</w:t>
            </w:r>
          </w:p>
        </w:tc>
        <w:tc>
          <w:tcPr>
            <w:tcW w:w="1080" w:type="dxa"/>
            <w:shd w:val="clear" w:color="auto" w:fill="FFFFFF" w:themeFill="background1"/>
          </w:tcPr>
          <w:p w14:paraId="3574804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68% G</w:t>
            </w:r>
          </w:p>
          <w:p w14:paraId="51695AD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58% F</w:t>
            </w:r>
          </w:p>
          <w:p w14:paraId="51CDBA8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10% L</w:t>
            </w:r>
          </w:p>
          <w:p w14:paraId="5C7A76A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DK</w:t>
            </w:r>
          </w:p>
        </w:tc>
        <w:tc>
          <w:tcPr>
            <w:tcW w:w="990" w:type="dxa"/>
            <w:shd w:val="clear" w:color="auto" w:fill="FFFFFF" w:themeFill="background1"/>
          </w:tcPr>
          <w:p w14:paraId="6126F72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2EE4712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65% G</w:t>
            </w:r>
          </w:p>
          <w:p w14:paraId="0CD4D04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51% F</w:t>
            </w:r>
          </w:p>
          <w:p w14:paraId="5B475D6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14% L</w:t>
            </w:r>
          </w:p>
          <w:p w14:paraId="5BD827C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DK</w:t>
            </w:r>
          </w:p>
        </w:tc>
        <w:tc>
          <w:tcPr>
            <w:tcW w:w="990" w:type="dxa"/>
            <w:shd w:val="clear" w:color="auto" w:fill="FFFFFF" w:themeFill="background1"/>
          </w:tcPr>
          <w:p w14:paraId="0E7B60A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63% G</w:t>
            </w:r>
          </w:p>
          <w:p w14:paraId="2E36B7B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56% F</w:t>
            </w:r>
          </w:p>
          <w:p w14:paraId="043295F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 L</w:t>
            </w:r>
          </w:p>
          <w:p w14:paraId="23AEE35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DK</w:t>
            </w:r>
          </w:p>
        </w:tc>
        <w:tc>
          <w:tcPr>
            <w:tcW w:w="990" w:type="dxa"/>
            <w:shd w:val="clear" w:color="auto" w:fill="FFFFFF" w:themeFill="background1"/>
          </w:tcPr>
          <w:p w14:paraId="0754619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70% G</w:t>
            </w:r>
          </w:p>
          <w:p w14:paraId="4B2FACC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63% F</w:t>
            </w:r>
          </w:p>
          <w:p w14:paraId="7F0505F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 L</w:t>
            </w:r>
          </w:p>
          <w:p w14:paraId="7EC3D31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3985EFE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73% G</w:t>
            </w:r>
          </w:p>
          <w:p w14:paraId="62511C9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67% F</w:t>
            </w:r>
          </w:p>
          <w:p w14:paraId="5CC315D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 L</w:t>
            </w:r>
          </w:p>
          <w:p w14:paraId="4328AC8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1170" w:type="dxa"/>
            <w:shd w:val="clear" w:color="auto" w:fill="FFFFFF" w:themeFill="background1"/>
          </w:tcPr>
          <w:p w14:paraId="0A70447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170" w:type="dxa"/>
            <w:shd w:val="clear" w:color="auto" w:fill="FFFFFF" w:themeFill="background1"/>
          </w:tcPr>
          <w:p w14:paraId="100029C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61% G</w:t>
            </w:r>
          </w:p>
          <w:p w14:paraId="714FA43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52% F</w:t>
            </w:r>
          </w:p>
          <w:p w14:paraId="175C960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 L</w:t>
            </w:r>
          </w:p>
          <w:p w14:paraId="55F514C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UTD</w:t>
            </w:r>
          </w:p>
          <w:p w14:paraId="362A64D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1080" w:type="dxa"/>
            <w:shd w:val="clear" w:color="auto" w:fill="FFFFFF" w:themeFill="background1"/>
          </w:tcPr>
          <w:p w14:paraId="136B6A7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260" w:type="dxa"/>
            <w:shd w:val="clear" w:color="auto" w:fill="F2DBDB" w:themeFill="accent2" w:themeFillTint="33"/>
          </w:tcPr>
          <w:p w14:paraId="1ADF3ED4"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67% G</w:t>
            </w:r>
          </w:p>
          <w:p w14:paraId="017A1353"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59% F</w:t>
            </w:r>
          </w:p>
          <w:p w14:paraId="4344157E"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8% L</w:t>
            </w:r>
          </w:p>
          <w:p w14:paraId="25F96169"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2% DK</w:t>
            </w:r>
          </w:p>
        </w:tc>
      </w:tr>
      <w:tr w:rsidR="00E24947" w:rsidRPr="00F618D8" w14:paraId="64AD9A7C" w14:textId="77777777" w:rsidTr="00810C4A">
        <w:trPr>
          <w:trHeight w:val="759"/>
        </w:trPr>
        <w:tc>
          <w:tcPr>
            <w:tcW w:w="1800" w:type="dxa"/>
            <w:shd w:val="clear" w:color="auto" w:fill="DBE5F1" w:themeFill="accent1" w:themeFillTint="33"/>
          </w:tcPr>
          <w:p w14:paraId="7D73725B"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NV</w:t>
            </w:r>
          </w:p>
        </w:tc>
        <w:tc>
          <w:tcPr>
            <w:tcW w:w="990" w:type="dxa"/>
            <w:shd w:val="clear" w:color="auto" w:fill="FFFFFF" w:themeFill="background1"/>
          </w:tcPr>
          <w:p w14:paraId="50F7091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080" w:type="dxa"/>
            <w:shd w:val="clear" w:color="auto" w:fill="FFFFFF" w:themeFill="background1"/>
          </w:tcPr>
          <w:p w14:paraId="30239C5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6131237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352AB47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42594AF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769CA4A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7264FE0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170" w:type="dxa"/>
            <w:shd w:val="clear" w:color="auto" w:fill="FFFFFF" w:themeFill="background1"/>
          </w:tcPr>
          <w:p w14:paraId="2772DD8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33% G</w:t>
            </w:r>
          </w:p>
          <w:p w14:paraId="7CA8CB9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29% F</w:t>
            </w:r>
          </w:p>
          <w:p w14:paraId="7298753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L</w:t>
            </w:r>
          </w:p>
          <w:p w14:paraId="5DD5B2E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UTD</w:t>
            </w:r>
          </w:p>
          <w:p w14:paraId="6A3CD50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170" w:type="dxa"/>
            <w:shd w:val="clear" w:color="auto" w:fill="FFFFFF" w:themeFill="background1"/>
          </w:tcPr>
          <w:p w14:paraId="3AC5659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36% G</w:t>
            </w:r>
          </w:p>
          <w:p w14:paraId="41D6B82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34% F</w:t>
            </w:r>
          </w:p>
          <w:p w14:paraId="6563A4C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L</w:t>
            </w:r>
          </w:p>
          <w:p w14:paraId="3AB4723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UTD</w:t>
            </w:r>
          </w:p>
          <w:p w14:paraId="378F0D6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080" w:type="dxa"/>
            <w:shd w:val="clear" w:color="auto" w:fill="FFFFFF" w:themeFill="background1"/>
          </w:tcPr>
          <w:p w14:paraId="0602560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36% G</w:t>
            </w:r>
          </w:p>
          <w:p w14:paraId="22AB1F1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33% F</w:t>
            </w:r>
          </w:p>
          <w:p w14:paraId="19D37E7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61A7199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UTD</w:t>
            </w:r>
          </w:p>
          <w:p w14:paraId="628D431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260" w:type="dxa"/>
            <w:shd w:val="clear" w:color="auto" w:fill="F2DBDB" w:themeFill="accent2" w:themeFillTint="33"/>
          </w:tcPr>
          <w:p w14:paraId="6054B581"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lastRenderedPageBreak/>
              <w:t>35% G</w:t>
            </w:r>
          </w:p>
          <w:p w14:paraId="2CC40D60"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lastRenderedPageBreak/>
              <w:t>32% F</w:t>
            </w:r>
          </w:p>
          <w:p w14:paraId="7841EAD9"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2% L</w:t>
            </w:r>
          </w:p>
          <w:p w14:paraId="13DB71E8"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0% DK</w:t>
            </w:r>
          </w:p>
        </w:tc>
      </w:tr>
      <w:tr w:rsidR="00E24947" w:rsidRPr="00F618D8" w14:paraId="0EF0058A" w14:textId="77777777" w:rsidTr="00810C4A">
        <w:trPr>
          <w:trHeight w:val="759"/>
        </w:trPr>
        <w:tc>
          <w:tcPr>
            <w:tcW w:w="1800" w:type="dxa"/>
            <w:shd w:val="clear" w:color="auto" w:fill="DBE5F1" w:themeFill="accent1" w:themeFillTint="33"/>
          </w:tcPr>
          <w:p w14:paraId="730C72A4"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lastRenderedPageBreak/>
              <w:t>NY</w:t>
            </w:r>
          </w:p>
        </w:tc>
        <w:tc>
          <w:tcPr>
            <w:tcW w:w="990" w:type="dxa"/>
            <w:shd w:val="clear" w:color="auto" w:fill="FFFFFF" w:themeFill="background1"/>
          </w:tcPr>
          <w:p w14:paraId="3F96F77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31% G</w:t>
            </w:r>
          </w:p>
          <w:p w14:paraId="1DA13E4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28% F</w:t>
            </w:r>
          </w:p>
          <w:p w14:paraId="4DDE97F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6F78895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12% DK</w:t>
            </w:r>
          </w:p>
        </w:tc>
        <w:tc>
          <w:tcPr>
            <w:tcW w:w="1080" w:type="dxa"/>
            <w:shd w:val="clear" w:color="auto" w:fill="FFFFFF" w:themeFill="background1"/>
          </w:tcPr>
          <w:p w14:paraId="7E3A9C2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29% G</w:t>
            </w:r>
          </w:p>
          <w:p w14:paraId="2986AA6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26% F</w:t>
            </w:r>
          </w:p>
          <w:p w14:paraId="2E4386C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6F96994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11% DK</w:t>
            </w:r>
          </w:p>
        </w:tc>
        <w:tc>
          <w:tcPr>
            <w:tcW w:w="990" w:type="dxa"/>
            <w:shd w:val="clear" w:color="auto" w:fill="FFFFFF" w:themeFill="background1"/>
          </w:tcPr>
          <w:p w14:paraId="7F83CF0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29% G</w:t>
            </w:r>
          </w:p>
          <w:p w14:paraId="7EA91D7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27% F</w:t>
            </w:r>
          </w:p>
          <w:p w14:paraId="38DC892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L</w:t>
            </w:r>
          </w:p>
          <w:p w14:paraId="7F86105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11% DK</w:t>
            </w:r>
          </w:p>
        </w:tc>
        <w:tc>
          <w:tcPr>
            <w:tcW w:w="990" w:type="dxa"/>
            <w:shd w:val="clear" w:color="auto" w:fill="FFFFFF" w:themeFill="background1"/>
          </w:tcPr>
          <w:p w14:paraId="552E4A9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33% G</w:t>
            </w:r>
          </w:p>
          <w:p w14:paraId="6BEFC93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29% F</w:t>
            </w:r>
          </w:p>
          <w:p w14:paraId="6907E8D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L</w:t>
            </w:r>
          </w:p>
          <w:p w14:paraId="6F7CB5F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10% DK</w:t>
            </w:r>
          </w:p>
        </w:tc>
        <w:tc>
          <w:tcPr>
            <w:tcW w:w="990" w:type="dxa"/>
            <w:shd w:val="clear" w:color="auto" w:fill="FFFFFF" w:themeFill="background1"/>
          </w:tcPr>
          <w:p w14:paraId="1E5D4BC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35% G</w:t>
            </w:r>
          </w:p>
          <w:p w14:paraId="7C30C7C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30% F</w:t>
            </w:r>
          </w:p>
          <w:p w14:paraId="766C861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 L</w:t>
            </w:r>
          </w:p>
          <w:p w14:paraId="3C60085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10% DK</w:t>
            </w:r>
          </w:p>
        </w:tc>
        <w:tc>
          <w:tcPr>
            <w:tcW w:w="990" w:type="dxa"/>
            <w:shd w:val="clear" w:color="auto" w:fill="FFFFFF" w:themeFill="background1"/>
          </w:tcPr>
          <w:p w14:paraId="4B2C436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36% G</w:t>
            </w:r>
          </w:p>
          <w:p w14:paraId="7C2190F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33% F</w:t>
            </w:r>
          </w:p>
          <w:p w14:paraId="2EC249F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6E9B54A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 DK</w:t>
            </w:r>
          </w:p>
        </w:tc>
        <w:tc>
          <w:tcPr>
            <w:tcW w:w="990" w:type="dxa"/>
            <w:shd w:val="clear" w:color="auto" w:fill="FFFFFF" w:themeFill="background1"/>
          </w:tcPr>
          <w:p w14:paraId="580C5E8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30% G</w:t>
            </w:r>
          </w:p>
          <w:p w14:paraId="6D93D15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25% F</w:t>
            </w:r>
          </w:p>
          <w:p w14:paraId="5AD2BE1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 L</w:t>
            </w:r>
          </w:p>
          <w:p w14:paraId="61D336E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10% DK</w:t>
            </w:r>
          </w:p>
        </w:tc>
        <w:tc>
          <w:tcPr>
            <w:tcW w:w="1170" w:type="dxa"/>
            <w:shd w:val="clear" w:color="auto" w:fill="FFFFFF" w:themeFill="background1"/>
          </w:tcPr>
          <w:p w14:paraId="7EEEC8E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35% G</w:t>
            </w:r>
          </w:p>
          <w:p w14:paraId="299E6FE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26% F</w:t>
            </w:r>
          </w:p>
          <w:p w14:paraId="3E38DCD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 L</w:t>
            </w:r>
          </w:p>
          <w:p w14:paraId="267D2D1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UTD</w:t>
            </w:r>
          </w:p>
          <w:p w14:paraId="2B370D3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 DK</w:t>
            </w:r>
          </w:p>
        </w:tc>
        <w:tc>
          <w:tcPr>
            <w:tcW w:w="1170" w:type="dxa"/>
            <w:shd w:val="clear" w:color="auto" w:fill="FFFFFF" w:themeFill="background1"/>
          </w:tcPr>
          <w:p w14:paraId="7A03C71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42% G</w:t>
            </w:r>
          </w:p>
          <w:p w14:paraId="7DFA50D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31% F</w:t>
            </w:r>
          </w:p>
          <w:p w14:paraId="06FD2A7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 L</w:t>
            </w:r>
          </w:p>
          <w:p w14:paraId="39520A2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 UTD</w:t>
            </w:r>
          </w:p>
          <w:p w14:paraId="1B5BDFC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 DK</w:t>
            </w:r>
          </w:p>
        </w:tc>
        <w:tc>
          <w:tcPr>
            <w:tcW w:w="1080" w:type="dxa"/>
            <w:shd w:val="clear" w:color="auto" w:fill="FFFFFF" w:themeFill="background1"/>
          </w:tcPr>
          <w:p w14:paraId="2EA54AF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41% G</w:t>
            </w:r>
          </w:p>
          <w:p w14:paraId="163A700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30% F</w:t>
            </w:r>
          </w:p>
          <w:p w14:paraId="5AE8852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 L</w:t>
            </w:r>
          </w:p>
          <w:p w14:paraId="2548DD0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UTD</w:t>
            </w:r>
          </w:p>
          <w:p w14:paraId="7753D6F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DK</w:t>
            </w:r>
          </w:p>
        </w:tc>
        <w:tc>
          <w:tcPr>
            <w:tcW w:w="1260" w:type="dxa"/>
            <w:shd w:val="clear" w:color="auto" w:fill="F2DBDB" w:themeFill="accent2" w:themeFillTint="33"/>
          </w:tcPr>
          <w:p w14:paraId="666AACE0"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34% G</w:t>
            </w:r>
          </w:p>
          <w:p w14:paraId="257703FD"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29% F</w:t>
            </w:r>
          </w:p>
          <w:p w14:paraId="61E0C8FD"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4% L</w:t>
            </w:r>
          </w:p>
          <w:p w14:paraId="078B8813"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9% DK</w:t>
            </w:r>
          </w:p>
        </w:tc>
      </w:tr>
      <w:tr w:rsidR="00E24947" w:rsidRPr="00F618D8" w14:paraId="381CE7C7" w14:textId="77777777" w:rsidTr="00810C4A">
        <w:trPr>
          <w:trHeight w:val="759"/>
        </w:trPr>
        <w:tc>
          <w:tcPr>
            <w:tcW w:w="1800" w:type="dxa"/>
            <w:shd w:val="clear" w:color="auto" w:fill="DBE5F1" w:themeFill="accent1" w:themeFillTint="33"/>
          </w:tcPr>
          <w:p w14:paraId="2911414C"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OH</w:t>
            </w:r>
          </w:p>
        </w:tc>
        <w:tc>
          <w:tcPr>
            <w:tcW w:w="990" w:type="dxa"/>
            <w:shd w:val="clear" w:color="auto" w:fill="FFFFFF" w:themeFill="background1"/>
          </w:tcPr>
          <w:p w14:paraId="1602C30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41% G</w:t>
            </w:r>
          </w:p>
          <w:p w14:paraId="02FF87E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28% F</w:t>
            </w:r>
          </w:p>
          <w:p w14:paraId="200E806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13% L</w:t>
            </w:r>
          </w:p>
          <w:p w14:paraId="6760486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DK</w:t>
            </w:r>
          </w:p>
        </w:tc>
        <w:tc>
          <w:tcPr>
            <w:tcW w:w="1080" w:type="dxa"/>
            <w:shd w:val="clear" w:color="auto" w:fill="FFFFFF" w:themeFill="background1"/>
          </w:tcPr>
          <w:p w14:paraId="73C5B01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42% G</w:t>
            </w:r>
          </w:p>
          <w:p w14:paraId="0201500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29% F</w:t>
            </w:r>
          </w:p>
          <w:p w14:paraId="0768D99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13% L</w:t>
            </w:r>
          </w:p>
          <w:p w14:paraId="5C6F572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366F954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49% G</w:t>
            </w:r>
          </w:p>
          <w:p w14:paraId="71BF9E9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37% F</w:t>
            </w:r>
          </w:p>
          <w:p w14:paraId="5F33C4B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12% L</w:t>
            </w:r>
          </w:p>
          <w:p w14:paraId="600FAEB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54AED92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51% G</w:t>
            </w:r>
          </w:p>
          <w:p w14:paraId="52CDA73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39% F</w:t>
            </w:r>
          </w:p>
          <w:p w14:paraId="369531C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12% L</w:t>
            </w:r>
          </w:p>
          <w:p w14:paraId="14A3E46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6E7F25D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50% G</w:t>
            </w:r>
          </w:p>
          <w:p w14:paraId="1EDB160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35% F</w:t>
            </w:r>
          </w:p>
          <w:p w14:paraId="55E7CBB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15% L</w:t>
            </w:r>
          </w:p>
          <w:p w14:paraId="387E79B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6710BD6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46% G</w:t>
            </w:r>
          </w:p>
          <w:p w14:paraId="083EA9F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31% F</w:t>
            </w:r>
          </w:p>
          <w:p w14:paraId="670ABC7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15% L</w:t>
            </w:r>
          </w:p>
          <w:p w14:paraId="21EC543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0267333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34% G</w:t>
            </w:r>
          </w:p>
          <w:p w14:paraId="4C24CD8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24% F</w:t>
            </w:r>
          </w:p>
          <w:p w14:paraId="3AEC7F6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10% L</w:t>
            </w:r>
          </w:p>
          <w:p w14:paraId="1DE012A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170" w:type="dxa"/>
            <w:shd w:val="clear" w:color="auto" w:fill="FFFFFF" w:themeFill="background1"/>
          </w:tcPr>
          <w:p w14:paraId="38380C5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49% G</w:t>
            </w:r>
          </w:p>
          <w:p w14:paraId="593D917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30% F</w:t>
            </w:r>
          </w:p>
          <w:p w14:paraId="2A02366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16% L</w:t>
            </w:r>
          </w:p>
          <w:p w14:paraId="31ED114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UTD</w:t>
            </w:r>
          </w:p>
          <w:p w14:paraId="6EBC120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1170" w:type="dxa"/>
            <w:shd w:val="clear" w:color="auto" w:fill="FFFFFF" w:themeFill="background1"/>
          </w:tcPr>
          <w:p w14:paraId="400B81F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48% G</w:t>
            </w:r>
          </w:p>
          <w:p w14:paraId="14858CD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33% F</w:t>
            </w:r>
          </w:p>
          <w:p w14:paraId="6279D39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13% L</w:t>
            </w:r>
          </w:p>
          <w:p w14:paraId="76B7823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UTD</w:t>
            </w:r>
          </w:p>
          <w:p w14:paraId="790AD4C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1080" w:type="dxa"/>
            <w:shd w:val="clear" w:color="auto" w:fill="FFFFFF" w:themeFill="background1"/>
          </w:tcPr>
          <w:p w14:paraId="2F912EF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47% G</w:t>
            </w:r>
          </w:p>
          <w:p w14:paraId="6FC3390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31% F</w:t>
            </w:r>
          </w:p>
          <w:p w14:paraId="2F70B5F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13% L</w:t>
            </w:r>
          </w:p>
          <w:p w14:paraId="120088B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UTD</w:t>
            </w:r>
          </w:p>
          <w:p w14:paraId="398A784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260" w:type="dxa"/>
            <w:shd w:val="clear" w:color="auto" w:fill="F2DBDB" w:themeFill="accent2" w:themeFillTint="33"/>
          </w:tcPr>
          <w:p w14:paraId="103414EE"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46% G</w:t>
            </w:r>
          </w:p>
          <w:p w14:paraId="3913B498"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32% F</w:t>
            </w:r>
          </w:p>
          <w:p w14:paraId="440405A8"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13% L</w:t>
            </w:r>
          </w:p>
          <w:p w14:paraId="6959E116"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 DK</w:t>
            </w:r>
          </w:p>
        </w:tc>
      </w:tr>
      <w:tr w:rsidR="00E24947" w:rsidRPr="00F618D8" w14:paraId="5DB763C1" w14:textId="77777777" w:rsidTr="00810C4A">
        <w:trPr>
          <w:trHeight w:val="759"/>
        </w:trPr>
        <w:tc>
          <w:tcPr>
            <w:tcW w:w="1800" w:type="dxa"/>
            <w:shd w:val="clear" w:color="auto" w:fill="DBE5F1" w:themeFill="accent1" w:themeFillTint="33"/>
          </w:tcPr>
          <w:p w14:paraId="47F48E84"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OK</w:t>
            </w:r>
          </w:p>
        </w:tc>
        <w:tc>
          <w:tcPr>
            <w:tcW w:w="990" w:type="dxa"/>
            <w:shd w:val="clear" w:color="auto" w:fill="FFFFFF" w:themeFill="background1"/>
          </w:tcPr>
          <w:p w14:paraId="0C0C33E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62% G</w:t>
            </w:r>
          </w:p>
          <w:p w14:paraId="4B2FBF2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52% F</w:t>
            </w:r>
          </w:p>
          <w:p w14:paraId="01C4B7F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10% L</w:t>
            </w:r>
          </w:p>
          <w:p w14:paraId="72D1A00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0% DK</w:t>
            </w:r>
          </w:p>
        </w:tc>
        <w:tc>
          <w:tcPr>
            <w:tcW w:w="1080" w:type="dxa"/>
            <w:shd w:val="clear" w:color="auto" w:fill="FFFFFF" w:themeFill="background1"/>
          </w:tcPr>
          <w:p w14:paraId="6EF4C93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61% G</w:t>
            </w:r>
          </w:p>
          <w:p w14:paraId="3FD92FC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49% F</w:t>
            </w:r>
          </w:p>
          <w:p w14:paraId="0A0BDB6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12% L</w:t>
            </w:r>
          </w:p>
          <w:p w14:paraId="03ED225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0% DK</w:t>
            </w:r>
          </w:p>
        </w:tc>
        <w:tc>
          <w:tcPr>
            <w:tcW w:w="990" w:type="dxa"/>
            <w:shd w:val="clear" w:color="auto" w:fill="FFFFFF" w:themeFill="background1"/>
          </w:tcPr>
          <w:p w14:paraId="3B4C0DB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61% G</w:t>
            </w:r>
          </w:p>
          <w:p w14:paraId="6FB8288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49% F</w:t>
            </w:r>
          </w:p>
          <w:p w14:paraId="06F8DD6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12% L</w:t>
            </w:r>
          </w:p>
          <w:p w14:paraId="1453729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0% DK</w:t>
            </w:r>
          </w:p>
        </w:tc>
        <w:tc>
          <w:tcPr>
            <w:tcW w:w="990" w:type="dxa"/>
            <w:shd w:val="clear" w:color="auto" w:fill="FFFFFF" w:themeFill="background1"/>
          </w:tcPr>
          <w:p w14:paraId="605FFC7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N/A</w:t>
            </w:r>
          </w:p>
        </w:tc>
        <w:tc>
          <w:tcPr>
            <w:tcW w:w="990" w:type="dxa"/>
            <w:shd w:val="clear" w:color="auto" w:fill="FFFFFF" w:themeFill="background1"/>
          </w:tcPr>
          <w:p w14:paraId="5D64895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74F5A5F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67% G</w:t>
            </w:r>
          </w:p>
          <w:p w14:paraId="0EED135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61% F</w:t>
            </w:r>
          </w:p>
          <w:p w14:paraId="380C521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 L</w:t>
            </w:r>
          </w:p>
          <w:p w14:paraId="4BB51F0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0% DK</w:t>
            </w:r>
          </w:p>
        </w:tc>
        <w:tc>
          <w:tcPr>
            <w:tcW w:w="990" w:type="dxa"/>
            <w:shd w:val="clear" w:color="auto" w:fill="FFFFFF" w:themeFill="background1"/>
          </w:tcPr>
          <w:p w14:paraId="7E73587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58% G</w:t>
            </w:r>
          </w:p>
          <w:p w14:paraId="2A164ED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53% F</w:t>
            </w:r>
          </w:p>
          <w:p w14:paraId="34DB2DC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 L</w:t>
            </w:r>
          </w:p>
          <w:p w14:paraId="5778E4F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0% DK</w:t>
            </w:r>
          </w:p>
        </w:tc>
        <w:tc>
          <w:tcPr>
            <w:tcW w:w="1170" w:type="dxa"/>
            <w:shd w:val="clear" w:color="auto" w:fill="FFFFFF" w:themeFill="background1"/>
          </w:tcPr>
          <w:p w14:paraId="53F3D8B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68% G</w:t>
            </w:r>
          </w:p>
          <w:p w14:paraId="4CCE35F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63% F</w:t>
            </w:r>
          </w:p>
          <w:p w14:paraId="1DF9B2E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 L</w:t>
            </w:r>
          </w:p>
          <w:p w14:paraId="0F5218A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0% UTD</w:t>
            </w:r>
          </w:p>
          <w:p w14:paraId="5B88570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170" w:type="dxa"/>
            <w:shd w:val="clear" w:color="auto" w:fill="FFFFFF" w:themeFill="background1"/>
          </w:tcPr>
          <w:p w14:paraId="187F35E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62% G</w:t>
            </w:r>
          </w:p>
          <w:p w14:paraId="6344C08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60% F</w:t>
            </w:r>
          </w:p>
          <w:p w14:paraId="5F99F4E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L</w:t>
            </w:r>
          </w:p>
          <w:p w14:paraId="3055D65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0% UTD</w:t>
            </w:r>
          </w:p>
          <w:p w14:paraId="680C312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080" w:type="dxa"/>
            <w:shd w:val="clear" w:color="auto" w:fill="FFFFFF" w:themeFill="background1"/>
          </w:tcPr>
          <w:p w14:paraId="36C585F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62% G</w:t>
            </w:r>
          </w:p>
          <w:p w14:paraId="52B06F4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59% F</w:t>
            </w:r>
          </w:p>
          <w:p w14:paraId="55A9D2E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6F0BE4A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0% UTD</w:t>
            </w:r>
          </w:p>
          <w:p w14:paraId="364F5EC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260" w:type="dxa"/>
            <w:shd w:val="clear" w:color="auto" w:fill="F2DBDB" w:themeFill="accent2" w:themeFillTint="33"/>
          </w:tcPr>
          <w:p w14:paraId="1DF444ED"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lastRenderedPageBreak/>
              <w:t>63% G</w:t>
            </w:r>
          </w:p>
          <w:p w14:paraId="3F04EDE6"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56% F</w:t>
            </w:r>
          </w:p>
          <w:p w14:paraId="3B275411"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7% L</w:t>
            </w:r>
          </w:p>
          <w:p w14:paraId="6ED0DCE6"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lastRenderedPageBreak/>
              <w:t>0% DK</w:t>
            </w:r>
          </w:p>
        </w:tc>
      </w:tr>
    </w:tbl>
    <w:p w14:paraId="5F7ADB39" w14:textId="77777777" w:rsidR="0004451D" w:rsidRPr="00F618D8" w:rsidRDefault="0004451D">
      <w:pPr>
        <w:rPr>
          <w:rFonts w:ascii="Arial" w:hAnsi="Arial" w:cs="Arial"/>
        </w:rPr>
      </w:pPr>
      <w:r w:rsidRPr="00F618D8">
        <w:rPr>
          <w:rFonts w:ascii="Arial" w:hAnsi="Arial" w:cs="Arial"/>
        </w:rPr>
        <w:lastRenderedPageBreak/>
        <w:br w:type="page"/>
      </w:r>
    </w:p>
    <w:tbl>
      <w:tblPr>
        <w:tblStyle w:val="TableGrid"/>
        <w:tblW w:w="13500" w:type="dxa"/>
        <w:tblInd w:w="-5" w:type="dxa"/>
        <w:tblLayout w:type="fixed"/>
        <w:tblLook w:val="04A0" w:firstRow="1" w:lastRow="0" w:firstColumn="1" w:lastColumn="0" w:noHBand="0" w:noVBand="1"/>
        <w:tblCaption w:val=" , "/>
      </w:tblPr>
      <w:tblGrid>
        <w:gridCol w:w="1800"/>
        <w:gridCol w:w="990"/>
        <w:gridCol w:w="1080"/>
        <w:gridCol w:w="990"/>
        <w:gridCol w:w="990"/>
        <w:gridCol w:w="990"/>
        <w:gridCol w:w="990"/>
        <w:gridCol w:w="990"/>
        <w:gridCol w:w="1170"/>
        <w:gridCol w:w="1170"/>
        <w:gridCol w:w="1080"/>
        <w:gridCol w:w="1260"/>
      </w:tblGrid>
      <w:tr w:rsidR="0004451D" w:rsidRPr="00F618D8" w14:paraId="506DA3D0" w14:textId="77777777" w:rsidTr="006B20FF">
        <w:trPr>
          <w:trHeight w:val="530"/>
          <w:tblHeader/>
        </w:trPr>
        <w:tc>
          <w:tcPr>
            <w:tcW w:w="1800" w:type="dxa"/>
            <w:shd w:val="clear" w:color="auto" w:fill="DBE5F1"/>
          </w:tcPr>
          <w:p w14:paraId="0738FA12" w14:textId="77777777" w:rsidR="0004451D" w:rsidRPr="00F618D8" w:rsidRDefault="0004451D" w:rsidP="00F5324F">
            <w:pPr>
              <w:pStyle w:val="TableHeader"/>
              <w:rPr>
                <w:rFonts w:ascii="Arial" w:hAnsi="Arial"/>
                <w:sz w:val="20"/>
                <w:szCs w:val="20"/>
              </w:rPr>
            </w:pPr>
            <w:r w:rsidRPr="00F618D8">
              <w:rPr>
                <w:rFonts w:ascii="Arial" w:hAnsi="Arial"/>
                <w:sz w:val="20"/>
                <w:szCs w:val="20"/>
              </w:rPr>
              <w:lastRenderedPageBreak/>
              <w:br w:type="page"/>
              <w:t>State</w:t>
            </w:r>
          </w:p>
        </w:tc>
        <w:tc>
          <w:tcPr>
            <w:tcW w:w="990" w:type="dxa"/>
            <w:shd w:val="clear" w:color="auto" w:fill="DBE5F1"/>
          </w:tcPr>
          <w:p w14:paraId="2FDE2848" w14:textId="77777777" w:rsidR="0004451D" w:rsidRPr="00F618D8" w:rsidRDefault="0004451D" w:rsidP="00F5324F">
            <w:pPr>
              <w:pStyle w:val="TableHeader"/>
              <w:rPr>
                <w:rFonts w:ascii="Arial" w:hAnsi="Arial"/>
                <w:sz w:val="20"/>
                <w:szCs w:val="20"/>
              </w:rPr>
            </w:pPr>
            <w:r w:rsidRPr="00F618D8">
              <w:rPr>
                <w:rFonts w:ascii="Arial" w:hAnsi="Arial"/>
                <w:sz w:val="20"/>
                <w:szCs w:val="20"/>
              </w:rPr>
              <w:t>2008-09</w:t>
            </w:r>
          </w:p>
        </w:tc>
        <w:tc>
          <w:tcPr>
            <w:tcW w:w="1080" w:type="dxa"/>
            <w:shd w:val="clear" w:color="auto" w:fill="DBE5F1"/>
          </w:tcPr>
          <w:p w14:paraId="78BC1E48" w14:textId="77777777" w:rsidR="0004451D" w:rsidRPr="00F618D8" w:rsidRDefault="0004451D" w:rsidP="00F5324F">
            <w:pPr>
              <w:pStyle w:val="TableHeader"/>
              <w:rPr>
                <w:rFonts w:ascii="Arial" w:hAnsi="Arial"/>
                <w:sz w:val="20"/>
                <w:szCs w:val="20"/>
              </w:rPr>
            </w:pPr>
            <w:r w:rsidRPr="00F618D8">
              <w:rPr>
                <w:rFonts w:ascii="Arial" w:hAnsi="Arial"/>
                <w:sz w:val="20"/>
                <w:szCs w:val="20"/>
              </w:rPr>
              <w:t>2009-10</w:t>
            </w:r>
          </w:p>
        </w:tc>
        <w:tc>
          <w:tcPr>
            <w:tcW w:w="990" w:type="dxa"/>
            <w:shd w:val="clear" w:color="auto" w:fill="DBE5F1"/>
          </w:tcPr>
          <w:p w14:paraId="63E29EF9" w14:textId="77777777" w:rsidR="0004451D" w:rsidRPr="00F618D8" w:rsidRDefault="0004451D" w:rsidP="00F5324F">
            <w:pPr>
              <w:pStyle w:val="TableHeader"/>
              <w:rPr>
                <w:rFonts w:ascii="Arial" w:hAnsi="Arial"/>
                <w:sz w:val="20"/>
                <w:szCs w:val="20"/>
              </w:rPr>
            </w:pPr>
            <w:r w:rsidRPr="00F618D8">
              <w:rPr>
                <w:rFonts w:ascii="Arial" w:hAnsi="Arial"/>
                <w:sz w:val="20"/>
                <w:szCs w:val="20"/>
              </w:rPr>
              <w:t>2010-11</w:t>
            </w:r>
          </w:p>
        </w:tc>
        <w:tc>
          <w:tcPr>
            <w:tcW w:w="990" w:type="dxa"/>
            <w:shd w:val="clear" w:color="auto" w:fill="DBE5F1"/>
          </w:tcPr>
          <w:p w14:paraId="07F9A92D" w14:textId="77777777" w:rsidR="0004451D" w:rsidRPr="00F618D8" w:rsidRDefault="0004451D" w:rsidP="00F5324F">
            <w:pPr>
              <w:pStyle w:val="TableHeader"/>
              <w:rPr>
                <w:rFonts w:ascii="Arial" w:hAnsi="Arial"/>
                <w:sz w:val="20"/>
                <w:szCs w:val="20"/>
              </w:rPr>
            </w:pPr>
            <w:r w:rsidRPr="00F618D8">
              <w:rPr>
                <w:rFonts w:ascii="Arial" w:hAnsi="Arial"/>
                <w:sz w:val="20"/>
                <w:szCs w:val="20"/>
              </w:rPr>
              <w:t>2011-12</w:t>
            </w:r>
          </w:p>
        </w:tc>
        <w:tc>
          <w:tcPr>
            <w:tcW w:w="990" w:type="dxa"/>
            <w:shd w:val="clear" w:color="auto" w:fill="DBE5F1"/>
          </w:tcPr>
          <w:p w14:paraId="0FDBDA59" w14:textId="77777777" w:rsidR="0004451D" w:rsidRPr="00F618D8" w:rsidRDefault="0004451D" w:rsidP="00F5324F">
            <w:pPr>
              <w:pStyle w:val="TableHeader"/>
              <w:rPr>
                <w:rFonts w:ascii="Arial" w:hAnsi="Arial"/>
                <w:sz w:val="20"/>
                <w:szCs w:val="20"/>
              </w:rPr>
            </w:pPr>
            <w:r w:rsidRPr="00F618D8">
              <w:rPr>
                <w:rFonts w:ascii="Arial" w:hAnsi="Arial"/>
                <w:sz w:val="20"/>
                <w:szCs w:val="20"/>
              </w:rPr>
              <w:t>2012-13</w:t>
            </w:r>
          </w:p>
        </w:tc>
        <w:tc>
          <w:tcPr>
            <w:tcW w:w="990" w:type="dxa"/>
            <w:shd w:val="clear" w:color="auto" w:fill="DBE5F1"/>
          </w:tcPr>
          <w:p w14:paraId="00544840" w14:textId="77777777" w:rsidR="0004451D" w:rsidRPr="00F618D8" w:rsidRDefault="0004451D" w:rsidP="00F5324F">
            <w:pPr>
              <w:pStyle w:val="TableHeader"/>
              <w:rPr>
                <w:rFonts w:ascii="Arial" w:hAnsi="Arial"/>
                <w:sz w:val="20"/>
                <w:szCs w:val="20"/>
              </w:rPr>
            </w:pPr>
            <w:r w:rsidRPr="00F618D8">
              <w:rPr>
                <w:rFonts w:ascii="Arial" w:hAnsi="Arial"/>
                <w:sz w:val="20"/>
                <w:szCs w:val="20"/>
              </w:rPr>
              <w:t>2013-14</w:t>
            </w:r>
          </w:p>
        </w:tc>
        <w:tc>
          <w:tcPr>
            <w:tcW w:w="990" w:type="dxa"/>
            <w:shd w:val="clear" w:color="auto" w:fill="DBE5F1"/>
          </w:tcPr>
          <w:p w14:paraId="3C647067" w14:textId="77777777" w:rsidR="0004451D" w:rsidRPr="00F618D8" w:rsidRDefault="0004451D" w:rsidP="00F5324F">
            <w:pPr>
              <w:pStyle w:val="TableHeader"/>
              <w:rPr>
                <w:rFonts w:ascii="Arial" w:hAnsi="Arial"/>
                <w:sz w:val="20"/>
                <w:szCs w:val="20"/>
              </w:rPr>
            </w:pPr>
            <w:r w:rsidRPr="00F618D8">
              <w:rPr>
                <w:rFonts w:ascii="Arial" w:hAnsi="Arial"/>
                <w:sz w:val="20"/>
                <w:szCs w:val="20"/>
              </w:rPr>
              <w:t>2014-15</w:t>
            </w:r>
          </w:p>
        </w:tc>
        <w:tc>
          <w:tcPr>
            <w:tcW w:w="1170" w:type="dxa"/>
            <w:shd w:val="clear" w:color="auto" w:fill="DBE5F1"/>
          </w:tcPr>
          <w:p w14:paraId="7438FF40" w14:textId="77777777" w:rsidR="0004451D" w:rsidRPr="00F618D8" w:rsidRDefault="0004451D" w:rsidP="00F5324F">
            <w:pPr>
              <w:pStyle w:val="TableHeader"/>
              <w:rPr>
                <w:rFonts w:ascii="Arial" w:hAnsi="Arial"/>
                <w:sz w:val="20"/>
                <w:szCs w:val="20"/>
              </w:rPr>
            </w:pPr>
            <w:r w:rsidRPr="00F618D8">
              <w:rPr>
                <w:rFonts w:ascii="Arial" w:hAnsi="Arial"/>
                <w:sz w:val="20"/>
                <w:szCs w:val="20"/>
              </w:rPr>
              <w:t>2015-16</w:t>
            </w:r>
          </w:p>
        </w:tc>
        <w:tc>
          <w:tcPr>
            <w:tcW w:w="1170" w:type="dxa"/>
            <w:shd w:val="clear" w:color="auto" w:fill="DBE5F1"/>
          </w:tcPr>
          <w:p w14:paraId="49A52EB0" w14:textId="77777777" w:rsidR="0004451D" w:rsidRPr="00F618D8" w:rsidRDefault="0004451D" w:rsidP="00F5324F">
            <w:pPr>
              <w:pStyle w:val="TableHeader"/>
              <w:rPr>
                <w:rFonts w:ascii="Arial" w:hAnsi="Arial"/>
                <w:sz w:val="20"/>
                <w:szCs w:val="20"/>
              </w:rPr>
            </w:pPr>
            <w:r w:rsidRPr="00F618D8">
              <w:rPr>
                <w:rFonts w:ascii="Arial" w:hAnsi="Arial"/>
                <w:sz w:val="20"/>
                <w:szCs w:val="20"/>
              </w:rPr>
              <w:t>2016-17</w:t>
            </w:r>
          </w:p>
        </w:tc>
        <w:tc>
          <w:tcPr>
            <w:tcW w:w="1080" w:type="dxa"/>
            <w:shd w:val="clear" w:color="auto" w:fill="DBE5F1"/>
          </w:tcPr>
          <w:p w14:paraId="60FCFA44" w14:textId="77777777" w:rsidR="0004451D" w:rsidRPr="00F618D8" w:rsidRDefault="0004451D" w:rsidP="00F5324F">
            <w:pPr>
              <w:pStyle w:val="TableHeader"/>
              <w:rPr>
                <w:rFonts w:ascii="Arial" w:hAnsi="Arial"/>
                <w:sz w:val="20"/>
                <w:szCs w:val="20"/>
              </w:rPr>
            </w:pPr>
            <w:r w:rsidRPr="00F618D8">
              <w:rPr>
                <w:rFonts w:ascii="Arial" w:hAnsi="Arial"/>
                <w:sz w:val="20"/>
                <w:szCs w:val="20"/>
              </w:rPr>
              <w:t>2017-18</w:t>
            </w:r>
          </w:p>
        </w:tc>
        <w:tc>
          <w:tcPr>
            <w:tcW w:w="1260" w:type="dxa"/>
            <w:shd w:val="clear" w:color="auto" w:fill="F2DBDB" w:themeFill="accent2" w:themeFillTint="33"/>
          </w:tcPr>
          <w:p w14:paraId="6419E4DB" w14:textId="77777777" w:rsidR="0004451D" w:rsidRPr="00F618D8" w:rsidRDefault="0004451D" w:rsidP="00F5324F">
            <w:pPr>
              <w:pStyle w:val="TableHeader"/>
              <w:rPr>
                <w:rFonts w:ascii="Arial" w:hAnsi="Arial"/>
                <w:sz w:val="20"/>
                <w:szCs w:val="20"/>
              </w:rPr>
            </w:pPr>
            <w:r w:rsidRPr="00F618D8">
              <w:rPr>
                <w:rFonts w:ascii="Arial" w:hAnsi="Arial"/>
                <w:sz w:val="20"/>
                <w:szCs w:val="20"/>
              </w:rPr>
              <w:t>Average of Annual %</w:t>
            </w:r>
          </w:p>
        </w:tc>
      </w:tr>
      <w:tr w:rsidR="00E24947" w:rsidRPr="00F618D8" w14:paraId="5D9149AD" w14:textId="77777777" w:rsidTr="00810C4A">
        <w:trPr>
          <w:trHeight w:val="759"/>
        </w:trPr>
        <w:tc>
          <w:tcPr>
            <w:tcW w:w="1800" w:type="dxa"/>
            <w:shd w:val="clear" w:color="auto" w:fill="DBE5F1" w:themeFill="accent1" w:themeFillTint="33"/>
          </w:tcPr>
          <w:p w14:paraId="19323EE0"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OR</w:t>
            </w:r>
          </w:p>
        </w:tc>
        <w:tc>
          <w:tcPr>
            <w:tcW w:w="990" w:type="dxa"/>
            <w:shd w:val="clear" w:color="auto" w:fill="FFFFFF" w:themeFill="background1"/>
          </w:tcPr>
          <w:p w14:paraId="37A2E8D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080" w:type="dxa"/>
            <w:shd w:val="clear" w:color="auto" w:fill="FFFFFF" w:themeFill="background1"/>
          </w:tcPr>
          <w:p w14:paraId="7FCAAB2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1D14384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2BC0D30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1F6D042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16% G</w:t>
            </w:r>
          </w:p>
          <w:p w14:paraId="3444CD4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15% F</w:t>
            </w:r>
          </w:p>
          <w:p w14:paraId="4E84858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L</w:t>
            </w:r>
          </w:p>
          <w:p w14:paraId="4D031FE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0BEB999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686F0F7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170" w:type="dxa"/>
            <w:shd w:val="clear" w:color="auto" w:fill="FFFFFF" w:themeFill="background1"/>
          </w:tcPr>
          <w:p w14:paraId="07B02BA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170" w:type="dxa"/>
            <w:shd w:val="clear" w:color="auto" w:fill="FFFFFF" w:themeFill="background1"/>
          </w:tcPr>
          <w:p w14:paraId="0C86A79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21% G</w:t>
            </w:r>
          </w:p>
          <w:p w14:paraId="24D7249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19% F</w:t>
            </w:r>
          </w:p>
          <w:p w14:paraId="6CA48B0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L</w:t>
            </w:r>
          </w:p>
          <w:p w14:paraId="7F7760C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UTD</w:t>
            </w:r>
          </w:p>
          <w:p w14:paraId="21C8208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 DK</w:t>
            </w:r>
          </w:p>
        </w:tc>
        <w:tc>
          <w:tcPr>
            <w:tcW w:w="1080" w:type="dxa"/>
            <w:shd w:val="clear" w:color="auto" w:fill="FFFFFF" w:themeFill="background1"/>
          </w:tcPr>
          <w:p w14:paraId="1594FFD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23% G</w:t>
            </w:r>
          </w:p>
          <w:p w14:paraId="1026927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F</w:t>
            </w:r>
          </w:p>
          <w:p w14:paraId="32CD0EF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L</w:t>
            </w:r>
          </w:p>
          <w:p w14:paraId="7FC49EC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23% UTD</w:t>
            </w:r>
          </w:p>
          <w:p w14:paraId="350C323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260" w:type="dxa"/>
            <w:shd w:val="clear" w:color="auto" w:fill="F2DBDB" w:themeFill="accent2" w:themeFillTint="33"/>
          </w:tcPr>
          <w:p w14:paraId="2FEEBCC0"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20% G</w:t>
            </w:r>
          </w:p>
          <w:p w14:paraId="74CBCCA4"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11% F</w:t>
            </w:r>
          </w:p>
          <w:p w14:paraId="4976A6F0"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 L</w:t>
            </w:r>
          </w:p>
          <w:p w14:paraId="67EF2CA9"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2% DK</w:t>
            </w:r>
          </w:p>
        </w:tc>
      </w:tr>
      <w:tr w:rsidR="00E24947" w:rsidRPr="00F618D8" w14:paraId="6DAEF189" w14:textId="77777777" w:rsidTr="00810C4A">
        <w:trPr>
          <w:trHeight w:val="759"/>
        </w:trPr>
        <w:tc>
          <w:tcPr>
            <w:tcW w:w="1800" w:type="dxa"/>
            <w:shd w:val="clear" w:color="auto" w:fill="DBE5F1" w:themeFill="accent1" w:themeFillTint="33"/>
          </w:tcPr>
          <w:p w14:paraId="29C45C79"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PA</w:t>
            </w:r>
          </w:p>
        </w:tc>
        <w:tc>
          <w:tcPr>
            <w:tcW w:w="990" w:type="dxa"/>
            <w:shd w:val="clear" w:color="auto" w:fill="FFFFFF" w:themeFill="background1"/>
          </w:tcPr>
          <w:p w14:paraId="6D1C53A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12% G</w:t>
            </w:r>
          </w:p>
          <w:p w14:paraId="72C1919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10% F</w:t>
            </w:r>
          </w:p>
          <w:p w14:paraId="06FA638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L</w:t>
            </w:r>
          </w:p>
          <w:p w14:paraId="4EC93BF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 DK</w:t>
            </w:r>
          </w:p>
        </w:tc>
        <w:tc>
          <w:tcPr>
            <w:tcW w:w="1080" w:type="dxa"/>
            <w:shd w:val="clear" w:color="auto" w:fill="FFFFFF" w:themeFill="background1"/>
          </w:tcPr>
          <w:p w14:paraId="190F1BC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13% G</w:t>
            </w:r>
          </w:p>
          <w:p w14:paraId="73A8491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11% F</w:t>
            </w:r>
          </w:p>
          <w:p w14:paraId="1A0A293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L</w:t>
            </w:r>
          </w:p>
          <w:p w14:paraId="12DB0B4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 DK</w:t>
            </w:r>
          </w:p>
        </w:tc>
        <w:tc>
          <w:tcPr>
            <w:tcW w:w="990" w:type="dxa"/>
            <w:shd w:val="clear" w:color="auto" w:fill="FFFFFF" w:themeFill="background1"/>
          </w:tcPr>
          <w:p w14:paraId="784B76E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14% G</w:t>
            </w:r>
          </w:p>
          <w:p w14:paraId="021D884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13% F</w:t>
            </w:r>
          </w:p>
          <w:p w14:paraId="42012E0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L</w:t>
            </w:r>
          </w:p>
          <w:p w14:paraId="4250C66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 DK</w:t>
            </w:r>
          </w:p>
        </w:tc>
        <w:tc>
          <w:tcPr>
            <w:tcW w:w="990" w:type="dxa"/>
            <w:shd w:val="clear" w:color="auto" w:fill="FFFFFF" w:themeFill="background1"/>
          </w:tcPr>
          <w:p w14:paraId="2FD721F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13% G</w:t>
            </w:r>
          </w:p>
          <w:p w14:paraId="6B3E2F4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12% F</w:t>
            </w:r>
          </w:p>
          <w:p w14:paraId="4BA8CC5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L</w:t>
            </w:r>
          </w:p>
          <w:p w14:paraId="25B4617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 DK</w:t>
            </w:r>
          </w:p>
        </w:tc>
        <w:tc>
          <w:tcPr>
            <w:tcW w:w="990" w:type="dxa"/>
            <w:shd w:val="clear" w:color="auto" w:fill="FFFFFF" w:themeFill="background1"/>
          </w:tcPr>
          <w:p w14:paraId="140B60E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13% G</w:t>
            </w:r>
          </w:p>
          <w:p w14:paraId="1392505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11% F</w:t>
            </w:r>
          </w:p>
          <w:p w14:paraId="6F22120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L</w:t>
            </w:r>
          </w:p>
          <w:p w14:paraId="091B1F6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 DK</w:t>
            </w:r>
          </w:p>
        </w:tc>
        <w:tc>
          <w:tcPr>
            <w:tcW w:w="990" w:type="dxa"/>
            <w:shd w:val="clear" w:color="auto" w:fill="FFFFFF" w:themeFill="background1"/>
          </w:tcPr>
          <w:p w14:paraId="7091033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13% G</w:t>
            </w:r>
          </w:p>
          <w:p w14:paraId="0636444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12% F</w:t>
            </w:r>
          </w:p>
          <w:p w14:paraId="6AE6413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L</w:t>
            </w:r>
          </w:p>
          <w:p w14:paraId="1E60CAA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9% DK</w:t>
            </w:r>
          </w:p>
        </w:tc>
        <w:tc>
          <w:tcPr>
            <w:tcW w:w="990" w:type="dxa"/>
            <w:shd w:val="clear" w:color="auto" w:fill="FFFFFF" w:themeFill="background1"/>
          </w:tcPr>
          <w:p w14:paraId="024A287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14% G</w:t>
            </w:r>
          </w:p>
          <w:p w14:paraId="71FFADA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12% F</w:t>
            </w:r>
          </w:p>
          <w:p w14:paraId="78B6D27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L</w:t>
            </w:r>
          </w:p>
          <w:p w14:paraId="18B5F3E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 DK</w:t>
            </w:r>
          </w:p>
        </w:tc>
        <w:tc>
          <w:tcPr>
            <w:tcW w:w="1170" w:type="dxa"/>
            <w:shd w:val="clear" w:color="auto" w:fill="FFFFFF" w:themeFill="background1"/>
          </w:tcPr>
          <w:p w14:paraId="175BC84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18% G</w:t>
            </w:r>
          </w:p>
          <w:p w14:paraId="37201FD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13% F</w:t>
            </w:r>
          </w:p>
          <w:p w14:paraId="667179B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L</w:t>
            </w:r>
          </w:p>
          <w:p w14:paraId="2A56D3F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UTD</w:t>
            </w:r>
          </w:p>
          <w:p w14:paraId="600F9CC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 DK</w:t>
            </w:r>
          </w:p>
        </w:tc>
        <w:tc>
          <w:tcPr>
            <w:tcW w:w="1170" w:type="dxa"/>
            <w:shd w:val="clear" w:color="auto" w:fill="FFFFFF" w:themeFill="background1"/>
          </w:tcPr>
          <w:p w14:paraId="51FF430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16% G</w:t>
            </w:r>
          </w:p>
          <w:p w14:paraId="48BB6C9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12% F</w:t>
            </w:r>
          </w:p>
          <w:p w14:paraId="594198C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448FAFF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UTD</w:t>
            </w:r>
          </w:p>
          <w:p w14:paraId="575D5E4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 DK</w:t>
            </w:r>
          </w:p>
        </w:tc>
        <w:tc>
          <w:tcPr>
            <w:tcW w:w="1080" w:type="dxa"/>
            <w:shd w:val="clear" w:color="auto" w:fill="FFFFFF" w:themeFill="background1"/>
          </w:tcPr>
          <w:p w14:paraId="33F5DC2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18% G</w:t>
            </w:r>
          </w:p>
          <w:p w14:paraId="7A0C67C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13% F</w:t>
            </w:r>
          </w:p>
          <w:p w14:paraId="48F6882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34D1021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UTD</w:t>
            </w:r>
          </w:p>
          <w:p w14:paraId="5149738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 DK</w:t>
            </w:r>
          </w:p>
        </w:tc>
        <w:tc>
          <w:tcPr>
            <w:tcW w:w="1260" w:type="dxa"/>
            <w:shd w:val="clear" w:color="auto" w:fill="F2DBDB" w:themeFill="accent2" w:themeFillTint="33"/>
          </w:tcPr>
          <w:p w14:paraId="09E31AEE"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14% G</w:t>
            </w:r>
          </w:p>
          <w:p w14:paraId="688CD81A"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12% F</w:t>
            </w:r>
          </w:p>
          <w:p w14:paraId="7E4B4DC2"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2% L</w:t>
            </w:r>
          </w:p>
          <w:p w14:paraId="29F31665"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7% DK</w:t>
            </w:r>
          </w:p>
        </w:tc>
      </w:tr>
      <w:tr w:rsidR="00E24947" w:rsidRPr="00F618D8" w14:paraId="3C4EA1CC" w14:textId="77777777" w:rsidTr="00810C4A">
        <w:trPr>
          <w:trHeight w:val="759"/>
        </w:trPr>
        <w:tc>
          <w:tcPr>
            <w:tcW w:w="1800" w:type="dxa"/>
            <w:shd w:val="clear" w:color="auto" w:fill="DBE5F1" w:themeFill="accent1" w:themeFillTint="33"/>
          </w:tcPr>
          <w:p w14:paraId="6B751498"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RI</w:t>
            </w:r>
          </w:p>
        </w:tc>
        <w:tc>
          <w:tcPr>
            <w:tcW w:w="990" w:type="dxa"/>
            <w:shd w:val="clear" w:color="auto" w:fill="FFFFFF" w:themeFill="background1"/>
          </w:tcPr>
          <w:p w14:paraId="05A406E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080" w:type="dxa"/>
            <w:shd w:val="clear" w:color="auto" w:fill="FFFFFF" w:themeFill="background1"/>
          </w:tcPr>
          <w:p w14:paraId="00AA87B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29264F1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3DB5727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74F3F76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4E683D1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0FFC2DD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170" w:type="dxa"/>
            <w:shd w:val="clear" w:color="auto" w:fill="FFFFFF" w:themeFill="background1"/>
          </w:tcPr>
          <w:p w14:paraId="58784BF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26% G</w:t>
            </w:r>
          </w:p>
          <w:p w14:paraId="1A06B33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22% F</w:t>
            </w:r>
          </w:p>
          <w:p w14:paraId="0E16548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L</w:t>
            </w:r>
          </w:p>
          <w:p w14:paraId="09B6333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UTD</w:t>
            </w:r>
          </w:p>
          <w:p w14:paraId="2DD85D5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 DK</w:t>
            </w:r>
          </w:p>
        </w:tc>
        <w:tc>
          <w:tcPr>
            <w:tcW w:w="1170" w:type="dxa"/>
            <w:shd w:val="clear" w:color="auto" w:fill="FFFFFF" w:themeFill="background1"/>
          </w:tcPr>
          <w:p w14:paraId="6082871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31% G</w:t>
            </w:r>
          </w:p>
          <w:p w14:paraId="0A8529B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26% F</w:t>
            </w:r>
          </w:p>
          <w:p w14:paraId="319E195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 L</w:t>
            </w:r>
          </w:p>
          <w:p w14:paraId="193ED98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UTD</w:t>
            </w:r>
          </w:p>
          <w:p w14:paraId="1B2AD48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DK</w:t>
            </w:r>
          </w:p>
        </w:tc>
        <w:tc>
          <w:tcPr>
            <w:tcW w:w="1080" w:type="dxa"/>
            <w:shd w:val="clear" w:color="auto" w:fill="FFFFFF" w:themeFill="background1"/>
          </w:tcPr>
          <w:p w14:paraId="5526F38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30% G</w:t>
            </w:r>
          </w:p>
          <w:p w14:paraId="5259C21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22% F</w:t>
            </w:r>
          </w:p>
          <w:p w14:paraId="58778E5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 L</w:t>
            </w:r>
          </w:p>
          <w:p w14:paraId="7D9DBE2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UTD</w:t>
            </w:r>
          </w:p>
          <w:p w14:paraId="2795EB9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DK</w:t>
            </w:r>
          </w:p>
        </w:tc>
        <w:tc>
          <w:tcPr>
            <w:tcW w:w="1260" w:type="dxa"/>
            <w:shd w:val="clear" w:color="auto" w:fill="F2DBDB" w:themeFill="accent2" w:themeFillTint="33"/>
          </w:tcPr>
          <w:p w14:paraId="3D7BC384"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29% G</w:t>
            </w:r>
          </w:p>
          <w:p w14:paraId="5008799E"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23% F</w:t>
            </w:r>
          </w:p>
          <w:p w14:paraId="702E73FE"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4% L</w:t>
            </w:r>
          </w:p>
          <w:p w14:paraId="4124D00F"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3% DK</w:t>
            </w:r>
          </w:p>
        </w:tc>
      </w:tr>
      <w:tr w:rsidR="00E24947" w:rsidRPr="00F618D8" w14:paraId="5818AB0A" w14:textId="77777777" w:rsidTr="00810C4A">
        <w:trPr>
          <w:trHeight w:val="759"/>
        </w:trPr>
        <w:tc>
          <w:tcPr>
            <w:tcW w:w="1800" w:type="dxa"/>
            <w:shd w:val="clear" w:color="auto" w:fill="DBE5F1" w:themeFill="accent1" w:themeFillTint="33"/>
          </w:tcPr>
          <w:p w14:paraId="2FA1DA7D"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lastRenderedPageBreak/>
              <w:t>SC</w:t>
            </w:r>
          </w:p>
        </w:tc>
        <w:tc>
          <w:tcPr>
            <w:tcW w:w="990" w:type="dxa"/>
            <w:shd w:val="clear" w:color="auto" w:fill="FFFFFF" w:themeFill="background1"/>
          </w:tcPr>
          <w:p w14:paraId="6F47BCE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 G</w:t>
            </w:r>
          </w:p>
          <w:p w14:paraId="2E2705C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 F</w:t>
            </w:r>
          </w:p>
          <w:p w14:paraId="2A15293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L</w:t>
            </w:r>
          </w:p>
          <w:p w14:paraId="08DAE3D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10% DK</w:t>
            </w:r>
          </w:p>
        </w:tc>
        <w:tc>
          <w:tcPr>
            <w:tcW w:w="1080" w:type="dxa"/>
            <w:shd w:val="clear" w:color="auto" w:fill="FFFFFF" w:themeFill="background1"/>
          </w:tcPr>
          <w:p w14:paraId="5064A10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3F825A2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06C9E82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9% G</w:t>
            </w:r>
          </w:p>
          <w:p w14:paraId="0ADD0E4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 F</w:t>
            </w:r>
          </w:p>
          <w:p w14:paraId="5D79339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L</w:t>
            </w:r>
          </w:p>
          <w:p w14:paraId="0DBC655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DK</w:t>
            </w:r>
          </w:p>
        </w:tc>
        <w:tc>
          <w:tcPr>
            <w:tcW w:w="990" w:type="dxa"/>
            <w:shd w:val="clear" w:color="auto" w:fill="FFFFFF" w:themeFill="background1"/>
          </w:tcPr>
          <w:p w14:paraId="0F87C93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 G</w:t>
            </w:r>
          </w:p>
          <w:p w14:paraId="674009D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 F</w:t>
            </w:r>
          </w:p>
          <w:p w14:paraId="1EC57CE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L</w:t>
            </w:r>
          </w:p>
          <w:p w14:paraId="19558BE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13% DK</w:t>
            </w:r>
          </w:p>
        </w:tc>
        <w:tc>
          <w:tcPr>
            <w:tcW w:w="990" w:type="dxa"/>
            <w:shd w:val="clear" w:color="auto" w:fill="FFFFFF" w:themeFill="background1"/>
          </w:tcPr>
          <w:p w14:paraId="01E5CD0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11% G</w:t>
            </w:r>
          </w:p>
          <w:p w14:paraId="67F8504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 F</w:t>
            </w:r>
          </w:p>
          <w:p w14:paraId="3C2C847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12E3B84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13% DK</w:t>
            </w:r>
          </w:p>
        </w:tc>
        <w:tc>
          <w:tcPr>
            <w:tcW w:w="990" w:type="dxa"/>
            <w:shd w:val="clear" w:color="auto" w:fill="FFFFFF" w:themeFill="background1"/>
          </w:tcPr>
          <w:p w14:paraId="45225CB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9% G</w:t>
            </w:r>
          </w:p>
          <w:p w14:paraId="524B537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 F</w:t>
            </w:r>
          </w:p>
          <w:p w14:paraId="2ECDA93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L</w:t>
            </w:r>
          </w:p>
          <w:p w14:paraId="22E06FA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10% DK</w:t>
            </w:r>
          </w:p>
        </w:tc>
        <w:tc>
          <w:tcPr>
            <w:tcW w:w="1170" w:type="dxa"/>
            <w:shd w:val="clear" w:color="auto" w:fill="FFFFFF" w:themeFill="background1"/>
          </w:tcPr>
          <w:p w14:paraId="1729268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170" w:type="dxa"/>
            <w:shd w:val="clear" w:color="auto" w:fill="FFFFFF" w:themeFill="background1"/>
          </w:tcPr>
          <w:p w14:paraId="20B6D07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080" w:type="dxa"/>
            <w:shd w:val="clear" w:color="auto" w:fill="FFFFFF" w:themeFill="background1"/>
          </w:tcPr>
          <w:p w14:paraId="2069635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9% G</w:t>
            </w:r>
          </w:p>
          <w:p w14:paraId="0615CEB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 F</w:t>
            </w:r>
          </w:p>
          <w:p w14:paraId="0DA7F37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7F34ADF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UTD</w:t>
            </w:r>
          </w:p>
          <w:p w14:paraId="2301E4D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 DK</w:t>
            </w:r>
          </w:p>
        </w:tc>
        <w:tc>
          <w:tcPr>
            <w:tcW w:w="1260" w:type="dxa"/>
            <w:shd w:val="clear" w:color="auto" w:fill="F2DBDB" w:themeFill="accent2" w:themeFillTint="33"/>
          </w:tcPr>
          <w:p w14:paraId="1AB51AB2"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9% G</w:t>
            </w:r>
          </w:p>
          <w:p w14:paraId="30CDEB8B"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7% F</w:t>
            </w:r>
          </w:p>
          <w:p w14:paraId="66D1F4E8"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2% L</w:t>
            </w:r>
          </w:p>
          <w:p w14:paraId="1FAD5814"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10% DK</w:t>
            </w:r>
          </w:p>
        </w:tc>
      </w:tr>
      <w:tr w:rsidR="00E24947" w:rsidRPr="00F618D8" w14:paraId="73D346B4" w14:textId="77777777" w:rsidTr="00810C4A">
        <w:trPr>
          <w:trHeight w:val="759"/>
        </w:trPr>
        <w:tc>
          <w:tcPr>
            <w:tcW w:w="1800" w:type="dxa"/>
            <w:shd w:val="clear" w:color="auto" w:fill="DBE5F1" w:themeFill="accent1" w:themeFillTint="33"/>
          </w:tcPr>
          <w:p w14:paraId="45668C2E"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SD</w:t>
            </w:r>
          </w:p>
        </w:tc>
        <w:tc>
          <w:tcPr>
            <w:tcW w:w="990" w:type="dxa"/>
            <w:shd w:val="clear" w:color="auto" w:fill="FFFFFF" w:themeFill="background1"/>
          </w:tcPr>
          <w:p w14:paraId="0A1C899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 xml:space="preserve"> N/A</w:t>
            </w:r>
          </w:p>
        </w:tc>
        <w:tc>
          <w:tcPr>
            <w:tcW w:w="1080" w:type="dxa"/>
            <w:shd w:val="clear" w:color="auto" w:fill="FFFFFF" w:themeFill="background1"/>
          </w:tcPr>
          <w:p w14:paraId="03D8422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1A6D834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76529A8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59FF156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29E584C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6522ECF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52% G</w:t>
            </w:r>
          </w:p>
          <w:p w14:paraId="07EA1F3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49% F</w:t>
            </w:r>
          </w:p>
          <w:p w14:paraId="3BBD60F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6B3ED77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170" w:type="dxa"/>
            <w:shd w:val="clear" w:color="auto" w:fill="FFFFFF" w:themeFill="background1"/>
          </w:tcPr>
          <w:p w14:paraId="64DC352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68% G</w:t>
            </w:r>
          </w:p>
          <w:p w14:paraId="6EF1472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64% F</w:t>
            </w:r>
          </w:p>
          <w:p w14:paraId="39449A4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L</w:t>
            </w:r>
          </w:p>
          <w:p w14:paraId="17DEBB3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UTD</w:t>
            </w:r>
          </w:p>
          <w:p w14:paraId="56C0A2F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170" w:type="dxa"/>
            <w:shd w:val="clear" w:color="auto" w:fill="FFFFFF" w:themeFill="background1"/>
          </w:tcPr>
          <w:p w14:paraId="3737C45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66% G</w:t>
            </w:r>
          </w:p>
          <w:p w14:paraId="7174918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61% F</w:t>
            </w:r>
          </w:p>
          <w:p w14:paraId="1FFECF6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0D67EF5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UTD</w:t>
            </w:r>
          </w:p>
          <w:p w14:paraId="6755FB0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080" w:type="dxa"/>
            <w:shd w:val="clear" w:color="auto" w:fill="FFFFFF" w:themeFill="background1"/>
          </w:tcPr>
          <w:p w14:paraId="688B2EC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260" w:type="dxa"/>
            <w:shd w:val="clear" w:color="auto" w:fill="F2DBDB" w:themeFill="accent2" w:themeFillTint="33"/>
          </w:tcPr>
          <w:p w14:paraId="3E8D7057"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62% G</w:t>
            </w:r>
          </w:p>
          <w:p w14:paraId="531B855B"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58% F</w:t>
            </w:r>
          </w:p>
          <w:p w14:paraId="61D7E666"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3% L</w:t>
            </w:r>
          </w:p>
          <w:p w14:paraId="32AEB7F0"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0% DK</w:t>
            </w:r>
          </w:p>
        </w:tc>
      </w:tr>
      <w:tr w:rsidR="00E24947" w:rsidRPr="00F618D8" w14:paraId="7C3A5BCA" w14:textId="77777777" w:rsidTr="00810C4A">
        <w:trPr>
          <w:trHeight w:val="759"/>
        </w:trPr>
        <w:tc>
          <w:tcPr>
            <w:tcW w:w="1800" w:type="dxa"/>
            <w:shd w:val="clear" w:color="auto" w:fill="DBE5F1" w:themeFill="accent1" w:themeFillTint="33"/>
          </w:tcPr>
          <w:p w14:paraId="0B4C6367"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TN</w:t>
            </w:r>
          </w:p>
        </w:tc>
        <w:tc>
          <w:tcPr>
            <w:tcW w:w="990" w:type="dxa"/>
            <w:shd w:val="clear" w:color="auto" w:fill="FFFFFF" w:themeFill="background1"/>
          </w:tcPr>
          <w:p w14:paraId="0C8E0B3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080" w:type="dxa"/>
            <w:shd w:val="clear" w:color="auto" w:fill="FFFFFF" w:themeFill="background1"/>
          </w:tcPr>
          <w:p w14:paraId="4050D13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7776E01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26803D5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20BDB15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2848E05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56% G</w:t>
            </w:r>
          </w:p>
          <w:p w14:paraId="0ED3815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44% F</w:t>
            </w:r>
          </w:p>
          <w:p w14:paraId="6315934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12% L</w:t>
            </w:r>
          </w:p>
          <w:p w14:paraId="4DBF551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402F645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58% G</w:t>
            </w:r>
          </w:p>
          <w:p w14:paraId="7528238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47% F</w:t>
            </w:r>
          </w:p>
          <w:p w14:paraId="1FE8FE4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11% L</w:t>
            </w:r>
          </w:p>
          <w:p w14:paraId="486F3DF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1170" w:type="dxa"/>
            <w:shd w:val="clear" w:color="auto" w:fill="FFFFFF" w:themeFill="background1"/>
          </w:tcPr>
          <w:p w14:paraId="6EA8D63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60% G</w:t>
            </w:r>
          </w:p>
          <w:p w14:paraId="5E2FD42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43% F</w:t>
            </w:r>
          </w:p>
          <w:p w14:paraId="6BE9B41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14% L</w:t>
            </w:r>
          </w:p>
          <w:p w14:paraId="7FAF398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UTD</w:t>
            </w:r>
          </w:p>
          <w:p w14:paraId="003F32C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1170" w:type="dxa"/>
            <w:shd w:val="clear" w:color="auto" w:fill="FFFFFF" w:themeFill="background1"/>
          </w:tcPr>
          <w:p w14:paraId="138BFFC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54% G</w:t>
            </w:r>
          </w:p>
          <w:p w14:paraId="7CE0E01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35% F</w:t>
            </w:r>
          </w:p>
          <w:p w14:paraId="5A02D12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15% L</w:t>
            </w:r>
          </w:p>
          <w:p w14:paraId="391E5A3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UTD</w:t>
            </w:r>
          </w:p>
          <w:p w14:paraId="5C78181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1080" w:type="dxa"/>
            <w:shd w:val="clear" w:color="auto" w:fill="FFFFFF" w:themeFill="background1"/>
          </w:tcPr>
          <w:p w14:paraId="064227D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58% G</w:t>
            </w:r>
          </w:p>
          <w:p w14:paraId="32FE4C8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34% F</w:t>
            </w:r>
          </w:p>
          <w:p w14:paraId="60C9A09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19% L</w:t>
            </w:r>
          </w:p>
          <w:p w14:paraId="3222B5B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 UTD</w:t>
            </w:r>
          </w:p>
          <w:p w14:paraId="78A321A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260" w:type="dxa"/>
            <w:shd w:val="clear" w:color="auto" w:fill="F2DBDB" w:themeFill="accent2" w:themeFillTint="33"/>
          </w:tcPr>
          <w:p w14:paraId="254EBF2A"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57% G</w:t>
            </w:r>
          </w:p>
          <w:p w14:paraId="59086A6D"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41% F</w:t>
            </w:r>
          </w:p>
          <w:p w14:paraId="32E7ABF8"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14% L</w:t>
            </w:r>
          </w:p>
          <w:p w14:paraId="7CBD10CC"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 DK</w:t>
            </w:r>
          </w:p>
        </w:tc>
      </w:tr>
      <w:tr w:rsidR="00E24947" w:rsidRPr="00F618D8" w14:paraId="794943D3" w14:textId="77777777" w:rsidTr="00810C4A">
        <w:trPr>
          <w:trHeight w:val="759"/>
        </w:trPr>
        <w:tc>
          <w:tcPr>
            <w:tcW w:w="1800" w:type="dxa"/>
            <w:shd w:val="clear" w:color="auto" w:fill="DBE5F1" w:themeFill="accent1" w:themeFillTint="33"/>
          </w:tcPr>
          <w:p w14:paraId="65E053FC"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TX</w:t>
            </w:r>
          </w:p>
        </w:tc>
        <w:tc>
          <w:tcPr>
            <w:tcW w:w="990" w:type="dxa"/>
            <w:shd w:val="clear" w:color="auto" w:fill="FFFFFF" w:themeFill="background1"/>
          </w:tcPr>
          <w:p w14:paraId="6A02D14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37% G</w:t>
            </w:r>
          </w:p>
          <w:p w14:paraId="0923456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34% F</w:t>
            </w:r>
          </w:p>
          <w:p w14:paraId="2929FAC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4A874C6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1080" w:type="dxa"/>
            <w:shd w:val="clear" w:color="auto" w:fill="FFFFFF" w:themeFill="background1"/>
          </w:tcPr>
          <w:p w14:paraId="438B2BF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35% G</w:t>
            </w:r>
          </w:p>
          <w:p w14:paraId="4D236C9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30% F</w:t>
            </w:r>
          </w:p>
          <w:p w14:paraId="6308C07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 L</w:t>
            </w:r>
          </w:p>
          <w:p w14:paraId="61CD054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115133E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N/A</w:t>
            </w:r>
          </w:p>
        </w:tc>
        <w:tc>
          <w:tcPr>
            <w:tcW w:w="990" w:type="dxa"/>
            <w:shd w:val="clear" w:color="auto" w:fill="FFFFFF" w:themeFill="background1"/>
          </w:tcPr>
          <w:p w14:paraId="734162C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2E779D8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39% G</w:t>
            </w:r>
          </w:p>
          <w:p w14:paraId="3DE2014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37% F</w:t>
            </w:r>
          </w:p>
          <w:p w14:paraId="2258E3F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L</w:t>
            </w:r>
          </w:p>
          <w:p w14:paraId="472DE09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DK</w:t>
            </w:r>
          </w:p>
        </w:tc>
        <w:tc>
          <w:tcPr>
            <w:tcW w:w="990" w:type="dxa"/>
            <w:shd w:val="clear" w:color="auto" w:fill="FFFFFF" w:themeFill="background1"/>
          </w:tcPr>
          <w:p w14:paraId="460D7EE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N/A</w:t>
            </w:r>
          </w:p>
        </w:tc>
        <w:tc>
          <w:tcPr>
            <w:tcW w:w="990" w:type="dxa"/>
            <w:shd w:val="clear" w:color="auto" w:fill="FFFFFF" w:themeFill="background1"/>
          </w:tcPr>
          <w:p w14:paraId="0ECA6EC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49% G</w:t>
            </w:r>
          </w:p>
          <w:p w14:paraId="0707F89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43% F</w:t>
            </w:r>
          </w:p>
          <w:p w14:paraId="57D7C8B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 L</w:t>
            </w:r>
          </w:p>
          <w:p w14:paraId="0C3AE50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DK</w:t>
            </w:r>
          </w:p>
        </w:tc>
        <w:tc>
          <w:tcPr>
            <w:tcW w:w="1170" w:type="dxa"/>
            <w:shd w:val="clear" w:color="auto" w:fill="FFFFFF" w:themeFill="background1"/>
          </w:tcPr>
          <w:p w14:paraId="4A6FFB6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N/A</w:t>
            </w:r>
          </w:p>
        </w:tc>
        <w:tc>
          <w:tcPr>
            <w:tcW w:w="1170" w:type="dxa"/>
            <w:shd w:val="clear" w:color="auto" w:fill="FFFFFF" w:themeFill="background1"/>
          </w:tcPr>
          <w:p w14:paraId="450C866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50% G</w:t>
            </w:r>
          </w:p>
          <w:p w14:paraId="0C8D953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43% F</w:t>
            </w:r>
          </w:p>
          <w:p w14:paraId="2EA1E00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 L</w:t>
            </w:r>
          </w:p>
          <w:p w14:paraId="131C5B3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UTD</w:t>
            </w:r>
          </w:p>
          <w:p w14:paraId="41E40B5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1080" w:type="dxa"/>
            <w:shd w:val="clear" w:color="auto" w:fill="FFFFFF" w:themeFill="background1"/>
          </w:tcPr>
          <w:p w14:paraId="6493276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lastRenderedPageBreak/>
              <w:t>N/A</w:t>
            </w:r>
          </w:p>
        </w:tc>
        <w:tc>
          <w:tcPr>
            <w:tcW w:w="1260" w:type="dxa"/>
            <w:shd w:val="clear" w:color="auto" w:fill="F2DBDB" w:themeFill="accent2" w:themeFillTint="33"/>
          </w:tcPr>
          <w:p w14:paraId="7C5C43E1"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42% G</w:t>
            </w:r>
          </w:p>
          <w:p w14:paraId="7AA51348"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lastRenderedPageBreak/>
              <w:t>37% F</w:t>
            </w:r>
          </w:p>
          <w:p w14:paraId="29E1BDCC"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4% L</w:t>
            </w:r>
          </w:p>
          <w:p w14:paraId="543B12B3"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2% DK</w:t>
            </w:r>
          </w:p>
        </w:tc>
      </w:tr>
      <w:tr w:rsidR="0004451D" w:rsidRPr="00F618D8" w14:paraId="583FE1FA" w14:textId="77777777" w:rsidTr="0012383D">
        <w:trPr>
          <w:trHeight w:val="530"/>
        </w:trPr>
        <w:tc>
          <w:tcPr>
            <w:tcW w:w="1800" w:type="dxa"/>
            <w:shd w:val="clear" w:color="auto" w:fill="DBE5F1"/>
          </w:tcPr>
          <w:p w14:paraId="0ABBFDF3" w14:textId="77777777" w:rsidR="0004451D" w:rsidRPr="00F618D8" w:rsidRDefault="0004451D" w:rsidP="00F5324F">
            <w:pPr>
              <w:pStyle w:val="TableHeader"/>
              <w:rPr>
                <w:rFonts w:ascii="Arial" w:hAnsi="Arial"/>
                <w:sz w:val="20"/>
                <w:szCs w:val="20"/>
              </w:rPr>
            </w:pPr>
            <w:r w:rsidRPr="00F618D8">
              <w:rPr>
                <w:rFonts w:ascii="Arial" w:hAnsi="Arial"/>
                <w:sz w:val="20"/>
                <w:szCs w:val="20"/>
              </w:rPr>
              <w:lastRenderedPageBreak/>
              <w:br w:type="page"/>
              <w:t>State</w:t>
            </w:r>
          </w:p>
        </w:tc>
        <w:tc>
          <w:tcPr>
            <w:tcW w:w="990" w:type="dxa"/>
            <w:shd w:val="clear" w:color="auto" w:fill="DBE5F1"/>
          </w:tcPr>
          <w:p w14:paraId="690A1656" w14:textId="77777777" w:rsidR="0004451D" w:rsidRPr="00F618D8" w:rsidRDefault="0004451D" w:rsidP="00F5324F">
            <w:pPr>
              <w:pStyle w:val="TableHeader"/>
              <w:rPr>
                <w:rFonts w:ascii="Arial" w:hAnsi="Arial"/>
                <w:sz w:val="20"/>
                <w:szCs w:val="20"/>
              </w:rPr>
            </w:pPr>
            <w:r w:rsidRPr="00F618D8">
              <w:rPr>
                <w:rFonts w:ascii="Arial" w:hAnsi="Arial"/>
                <w:sz w:val="20"/>
                <w:szCs w:val="20"/>
              </w:rPr>
              <w:t>2008-09</w:t>
            </w:r>
          </w:p>
        </w:tc>
        <w:tc>
          <w:tcPr>
            <w:tcW w:w="1080" w:type="dxa"/>
            <w:shd w:val="clear" w:color="auto" w:fill="DBE5F1"/>
          </w:tcPr>
          <w:p w14:paraId="4307D0E3" w14:textId="77777777" w:rsidR="0004451D" w:rsidRPr="00F618D8" w:rsidRDefault="0004451D" w:rsidP="00F5324F">
            <w:pPr>
              <w:pStyle w:val="TableHeader"/>
              <w:rPr>
                <w:rFonts w:ascii="Arial" w:hAnsi="Arial"/>
                <w:sz w:val="20"/>
                <w:szCs w:val="20"/>
              </w:rPr>
            </w:pPr>
            <w:r w:rsidRPr="00F618D8">
              <w:rPr>
                <w:rFonts w:ascii="Arial" w:hAnsi="Arial"/>
                <w:sz w:val="20"/>
                <w:szCs w:val="20"/>
              </w:rPr>
              <w:t>2009-10</w:t>
            </w:r>
          </w:p>
        </w:tc>
        <w:tc>
          <w:tcPr>
            <w:tcW w:w="990" w:type="dxa"/>
            <w:shd w:val="clear" w:color="auto" w:fill="DBE5F1"/>
          </w:tcPr>
          <w:p w14:paraId="1DE560AB" w14:textId="77777777" w:rsidR="0004451D" w:rsidRPr="00F618D8" w:rsidRDefault="0004451D" w:rsidP="00F5324F">
            <w:pPr>
              <w:pStyle w:val="TableHeader"/>
              <w:rPr>
                <w:rFonts w:ascii="Arial" w:hAnsi="Arial"/>
                <w:sz w:val="20"/>
                <w:szCs w:val="20"/>
              </w:rPr>
            </w:pPr>
            <w:r w:rsidRPr="00F618D8">
              <w:rPr>
                <w:rFonts w:ascii="Arial" w:hAnsi="Arial"/>
                <w:sz w:val="20"/>
                <w:szCs w:val="20"/>
              </w:rPr>
              <w:t>2010-11</w:t>
            </w:r>
          </w:p>
        </w:tc>
        <w:tc>
          <w:tcPr>
            <w:tcW w:w="990" w:type="dxa"/>
            <w:shd w:val="clear" w:color="auto" w:fill="DBE5F1"/>
          </w:tcPr>
          <w:p w14:paraId="03BA4F8D" w14:textId="77777777" w:rsidR="0004451D" w:rsidRPr="00F618D8" w:rsidRDefault="0004451D" w:rsidP="00F5324F">
            <w:pPr>
              <w:pStyle w:val="TableHeader"/>
              <w:rPr>
                <w:rFonts w:ascii="Arial" w:hAnsi="Arial"/>
                <w:sz w:val="20"/>
                <w:szCs w:val="20"/>
              </w:rPr>
            </w:pPr>
            <w:r w:rsidRPr="00F618D8">
              <w:rPr>
                <w:rFonts w:ascii="Arial" w:hAnsi="Arial"/>
                <w:sz w:val="20"/>
                <w:szCs w:val="20"/>
              </w:rPr>
              <w:t>2011-12</w:t>
            </w:r>
          </w:p>
        </w:tc>
        <w:tc>
          <w:tcPr>
            <w:tcW w:w="990" w:type="dxa"/>
            <w:shd w:val="clear" w:color="auto" w:fill="DBE5F1"/>
          </w:tcPr>
          <w:p w14:paraId="1D8A7605" w14:textId="77777777" w:rsidR="0004451D" w:rsidRPr="00F618D8" w:rsidRDefault="0004451D" w:rsidP="00F5324F">
            <w:pPr>
              <w:pStyle w:val="TableHeader"/>
              <w:rPr>
                <w:rFonts w:ascii="Arial" w:hAnsi="Arial"/>
                <w:sz w:val="20"/>
                <w:szCs w:val="20"/>
              </w:rPr>
            </w:pPr>
            <w:r w:rsidRPr="00F618D8">
              <w:rPr>
                <w:rFonts w:ascii="Arial" w:hAnsi="Arial"/>
                <w:sz w:val="20"/>
                <w:szCs w:val="20"/>
              </w:rPr>
              <w:t>2012-13</w:t>
            </w:r>
          </w:p>
        </w:tc>
        <w:tc>
          <w:tcPr>
            <w:tcW w:w="990" w:type="dxa"/>
            <w:shd w:val="clear" w:color="auto" w:fill="DBE5F1"/>
          </w:tcPr>
          <w:p w14:paraId="63DE4E38" w14:textId="77777777" w:rsidR="0004451D" w:rsidRPr="00F618D8" w:rsidRDefault="0004451D" w:rsidP="00F5324F">
            <w:pPr>
              <w:pStyle w:val="TableHeader"/>
              <w:rPr>
                <w:rFonts w:ascii="Arial" w:hAnsi="Arial"/>
                <w:sz w:val="20"/>
                <w:szCs w:val="20"/>
              </w:rPr>
            </w:pPr>
            <w:r w:rsidRPr="00F618D8">
              <w:rPr>
                <w:rFonts w:ascii="Arial" w:hAnsi="Arial"/>
                <w:sz w:val="20"/>
                <w:szCs w:val="20"/>
              </w:rPr>
              <w:t>2013-14</w:t>
            </w:r>
          </w:p>
        </w:tc>
        <w:tc>
          <w:tcPr>
            <w:tcW w:w="990" w:type="dxa"/>
            <w:shd w:val="clear" w:color="auto" w:fill="DBE5F1"/>
          </w:tcPr>
          <w:p w14:paraId="626BA138" w14:textId="77777777" w:rsidR="0004451D" w:rsidRPr="00F618D8" w:rsidRDefault="0004451D" w:rsidP="00F5324F">
            <w:pPr>
              <w:pStyle w:val="TableHeader"/>
              <w:rPr>
                <w:rFonts w:ascii="Arial" w:hAnsi="Arial"/>
                <w:sz w:val="20"/>
                <w:szCs w:val="20"/>
              </w:rPr>
            </w:pPr>
            <w:r w:rsidRPr="00F618D8">
              <w:rPr>
                <w:rFonts w:ascii="Arial" w:hAnsi="Arial"/>
                <w:sz w:val="20"/>
                <w:szCs w:val="20"/>
              </w:rPr>
              <w:t>2014-15</w:t>
            </w:r>
          </w:p>
        </w:tc>
        <w:tc>
          <w:tcPr>
            <w:tcW w:w="1170" w:type="dxa"/>
            <w:shd w:val="clear" w:color="auto" w:fill="DBE5F1"/>
          </w:tcPr>
          <w:p w14:paraId="5614CA3E" w14:textId="77777777" w:rsidR="0004451D" w:rsidRPr="00F618D8" w:rsidRDefault="0004451D" w:rsidP="00F5324F">
            <w:pPr>
              <w:pStyle w:val="TableHeader"/>
              <w:rPr>
                <w:rFonts w:ascii="Arial" w:hAnsi="Arial"/>
                <w:sz w:val="20"/>
                <w:szCs w:val="20"/>
              </w:rPr>
            </w:pPr>
            <w:r w:rsidRPr="00F618D8">
              <w:rPr>
                <w:rFonts w:ascii="Arial" w:hAnsi="Arial"/>
                <w:sz w:val="20"/>
                <w:szCs w:val="20"/>
              </w:rPr>
              <w:t>2015-16</w:t>
            </w:r>
          </w:p>
        </w:tc>
        <w:tc>
          <w:tcPr>
            <w:tcW w:w="1170" w:type="dxa"/>
            <w:shd w:val="clear" w:color="auto" w:fill="DBE5F1"/>
          </w:tcPr>
          <w:p w14:paraId="769F91C0" w14:textId="77777777" w:rsidR="0004451D" w:rsidRPr="00F618D8" w:rsidRDefault="0004451D" w:rsidP="00F5324F">
            <w:pPr>
              <w:pStyle w:val="TableHeader"/>
              <w:rPr>
                <w:rFonts w:ascii="Arial" w:hAnsi="Arial"/>
                <w:sz w:val="20"/>
                <w:szCs w:val="20"/>
              </w:rPr>
            </w:pPr>
            <w:r w:rsidRPr="00F618D8">
              <w:rPr>
                <w:rFonts w:ascii="Arial" w:hAnsi="Arial"/>
                <w:sz w:val="20"/>
                <w:szCs w:val="20"/>
              </w:rPr>
              <w:t>2016-17</w:t>
            </w:r>
          </w:p>
        </w:tc>
        <w:tc>
          <w:tcPr>
            <w:tcW w:w="1080" w:type="dxa"/>
            <w:shd w:val="clear" w:color="auto" w:fill="DBE5F1"/>
          </w:tcPr>
          <w:p w14:paraId="62A75BCC" w14:textId="77777777" w:rsidR="0004451D" w:rsidRPr="00F618D8" w:rsidRDefault="0004451D" w:rsidP="00F5324F">
            <w:pPr>
              <w:pStyle w:val="TableHeader"/>
              <w:rPr>
                <w:rFonts w:ascii="Arial" w:hAnsi="Arial"/>
                <w:sz w:val="20"/>
                <w:szCs w:val="20"/>
              </w:rPr>
            </w:pPr>
            <w:r w:rsidRPr="00F618D8">
              <w:rPr>
                <w:rFonts w:ascii="Arial" w:hAnsi="Arial"/>
                <w:sz w:val="20"/>
                <w:szCs w:val="20"/>
              </w:rPr>
              <w:t>2017-18</w:t>
            </w:r>
          </w:p>
        </w:tc>
        <w:tc>
          <w:tcPr>
            <w:tcW w:w="1260" w:type="dxa"/>
            <w:shd w:val="clear" w:color="auto" w:fill="F2DBDB" w:themeFill="accent2" w:themeFillTint="33"/>
          </w:tcPr>
          <w:p w14:paraId="4979946C" w14:textId="77777777" w:rsidR="0004451D" w:rsidRPr="00F618D8" w:rsidRDefault="0004451D" w:rsidP="00F5324F">
            <w:pPr>
              <w:pStyle w:val="TableHeader"/>
              <w:rPr>
                <w:rFonts w:ascii="Arial" w:hAnsi="Arial"/>
                <w:sz w:val="20"/>
                <w:szCs w:val="20"/>
              </w:rPr>
            </w:pPr>
            <w:r w:rsidRPr="00F618D8">
              <w:rPr>
                <w:rFonts w:ascii="Arial" w:hAnsi="Arial"/>
                <w:sz w:val="20"/>
                <w:szCs w:val="20"/>
              </w:rPr>
              <w:t>Average of Annual %</w:t>
            </w:r>
          </w:p>
        </w:tc>
      </w:tr>
      <w:tr w:rsidR="00E24947" w:rsidRPr="00F618D8" w14:paraId="384CD6D4" w14:textId="77777777" w:rsidTr="00810C4A">
        <w:trPr>
          <w:trHeight w:val="759"/>
        </w:trPr>
        <w:tc>
          <w:tcPr>
            <w:tcW w:w="1800" w:type="dxa"/>
            <w:shd w:val="clear" w:color="auto" w:fill="DBE5F1" w:themeFill="accent1" w:themeFillTint="33"/>
          </w:tcPr>
          <w:p w14:paraId="25CD1F7F"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UT</w:t>
            </w:r>
          </w:p>
        </w:tc>
        <w:tc>
          <w:tcPr>
            <w:tcW w:w="990" w:type="dxa"/>
            <w:shd w:val="clear" w:color="auto" w:fill="FFFFFF" w:themeFill="background1"/>
          </w:tcPr>
          <w:p w14:paraId="493DFF4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080" w:type="dxa"/>
            <w:shd w:val="clear" w:color="auto" w:fill="FFFFFF" w:themeFill="background1"/>
          </w:tcPr>
          <w:p w14:paraId="6A777D8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0518182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0863AE7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7329EA3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47% G</w:t>
            </w:r>
          </w:p>
          <w:p w14:paraId="2A0A528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37% F</w:t>
            </w:r>
          </w:p>
          <w:p w14:paraId="690C370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10% L</w:t>
            </w:r>
          </w:p>
          <w:p w14:paraId="14A8777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1DFBDB3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46% G</w:t>
            </w:r>
          </w:p>
          <w:p w14:paraId="62165FD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31% F</w:t>
            </w:r>
          </w:p>
          <w:p w14:paraId="0F66B8A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15% L</w:t>
            </w:r>
          </w:p>
          <w:p w14:paraId="72C6D5C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5105125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44% G</w:t>
            </w:r>
          </w:p>
          <w:p w14:paraId="4A9D204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31% F</w:t>
            </w:r>
          </w:p>
          <w:p w14:paraId="08EBC54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13% L</w:t>
            </w:r>
          </w:p>
          <w:p w14:paraId="57FC99F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DK</w:t>
            </w:r>
          </w:p>
        </w:tc>
        <w:tc>
          <w:tcPr>
            <w:tcW w:w="1170" w:type="dxa"/>
            <w:shd w:val="clear" w:color="auto" w:fill="FFFFFF" w:themeFill="background1"/>
          </w:tcPr>
          <w:p w14:paraId="10ACBDF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55% G</w:t>
            </w:r>
          </w:p>
          <w:p w14:paraId="4E0100B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36% F</w:t>
            </w:r>
          </w:p>
          <w:p w14:paraId="1784CDE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16% L</w:t>
            </w:r>
          </w:p>
          <w:p w14:paraId="5CDC394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UTD</w:t>
            </w:r>
          </w:p>
          <w:p w14:paraId="078E96F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170" w:type="dxa"/>
            <w:shd w:val="clear" w:color="auto" w:fill="FFFFFF" w:themeFill="background1"/>
          </w:tcPr>
          <w:p w14:paraId="0442355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46% G</w:t>
            </w:r>
          </w:p>
          <w:p w14:paraId="7B05C3A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31% F</w:t>
            </w:r>
          </w:p>
          <w:p w14:paraId="2730484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11% L</w:t>
            </w:r>
          </w:p>
          <w:p w14:paraId="02514E1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UTD</w:t>
            </w:r>
          </w:p>
          <w:p w14:paraId="042EA09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080" w:type="dxa"/>
            <w:shd w:val="clear" w:color="auto" w:fill="FFFFFF" w:themeFill="background1"/>
          </w:tcPr>
          <w:p w14:paraId="0BD312C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50% G</w:t>
            </w:r>
          </w:p>
          <w:p w14:paraId="3B8431E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35% F</w:t>
            </w:r>
          </w:p>
          <w:p w14:paraId="597C334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11% L</w:t>
            </w:r>
          </w:p>
          <w:p w14:paraId="0CC8307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UTD</w:t>
            </w:r>
          </w:p>
          <w:p w14:paraId="76F820D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DK</w:t>
            </w:r>
          </w:p>
        </w:tc>
        <w:tc>
          <w:tcPr>
            <w:tcW w:w="1260" w:type="dxa"/>
            <w:shd w:val="clear" w:color="auto" w:fill="F2DBDB" w:themeFill="accent2" w:themeFillTint="33"/>
          </w:tcPr>
          <w:p w14:paraId="2811C41C"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48% G</w:t>
            </w:r>
          </w:p>
          <w:p w14:paraId="4C9D2988"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34% F</w:t>
            </w:r>
          </w:p>
          <w:p w14:paraId="444F2B8F"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13% L</w:t>
            </w:r>
          </w:p>
          <w:p w14:paraId="2C46EF08"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 DK</w:t>
            </w:r>
          </w:p>
        </w:tc>
      </w:tr>
      <w:tr w:rsidR="00E24947" w:rsidRPr="00F618D8" w14:paraId="7DBC1250" w14:textId="77777777" w:rsidTr="00810C4A">
        <w:trPr>
          <w:trHeight w:val="759"/>
        </w:trPr>
        <w:tc>
          <w:tcPr>
            <w:tcW w:w="1800" w:type="dxa"/>
            <w:shd w:val="clear" w:color="auto" w:fill="DBE5F1" w:themeFill="accent1" w:themeFillTint="33"/>
          </w:tcPr>
          <w:p w14:paraId="76DA6372"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VA</w:t>
            </w:r>
          </w:p>
        </w:tc>
        <w:tc>
          <w:tcPr>
            <w:tcW w:w="990" w:type="dxa"/>
            <w:shd w:val="clear" w:color="auto" w:fill="FFFFFF" w:themeFill="background1"/>
          </w:tcPr>
          <w:p w14:paraId="332603D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080" w:type="dxa"/>
            <w:shd w:val="clear" w:color="auto" w:fill="FFFFFF" w:themeFill="background1"/>
          </w:tcPr>
          <w:p w14:paraId="546E8A5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2FBE757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38AD16B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634E5FE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33% G</w:t>
            </w:r>
          </w:p>
          <w:p w14:paraId="50C2C5F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30% F</w:t>
            </w:r>
          </w:p>
          <w:p w14:paraId="5B31576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0EF370A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2C36574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38% G</w:t>
            </w:r>
          </w:p>
          <w:p w14:paraId="3BBFA5C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34% F</w:t>
            </w:r>
          </w:p>
          <w:p w14:paraId="42485CE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L</w:t>
            </w:r>
          </w:p>
          <w:p w14:paraId="6D1FC81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774B84C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38% G</w:t>
            </w:r>
          </w:p>
          <w:p w14:paraId="2731942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31% F</w:t>
            </w:r>
          </w:p>
          <w:p w14:paraId="340D1EC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 L</w:t>
            </w:r>
          </w:p>
          <w:p w14:paraId="766312E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 DK</w:t>
            </w:r>
          </w:p>
        </w:tc>
        <w:tc>
          <w:tcPr>
            <w:tcW w:w="1170" w:type="dxa"/>
            <w:shd w:val="clear" w:color="auto" w:fill="FFFFFF" w:themeFill="background1"/>
          </w:tcPr>
          <w:p w14:paraId="51DA35B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39% G</w:t>
            </w:r>
          </w:p>
          <w:p w14:paraId="3B4B6DB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30% F</w:t>
            </w:r>
          </w:p>
          <w:p w14:paraId="57BC12B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 L</w:t>
            </w:r>
          </w:p>
          <w:p w14:paraId="6525DFA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UTD</w:t>
            </w:r>
          </w:p>
          <w:p w14:paraId="7901CAD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DK</w:t>
            </w:r>
          </w:p>
        </w:tc>
        <w:tc>
          <w:tcPr>
            <w:tcW w:w="1170" w:type="dxa"/>
            <w:shd w:val="clear" w:color="auto" w:fill="FFFFFF" w:themeFill="background1"/>
          </w:tcPr>
          <w:p w14:paraId="54D00E7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38% G</w:t>
            </w:r>
          </w:p>
          <w:p w14:paraId="4CC711F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32% F</w:t>
            </w:r>
          </w:p>
          <w:p w14:paraId="0C0A0A4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L</w:t>
            </w:r>
          </w:p>
          <w:p w14:paraId="7839FB5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UTD</w:t>
            </w:r>
          </w:p>
          <w:p w14:paraId="636B605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DK</w:t>
            </w:r>
          </w:p>
        </w:tc>
        <w:tc>
          <w:tcPr>
            <w:tcW w:w="1080" w:type="dxa"/>
            <w:shd w:val="clear" w:color="auto" w:fill="FFFFFF" w:themeFill="background1"/>
          </w:tcPr>
          <w:p w14:paraId="295BC4A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46% G</w:t>
            </w:r>
          </w:p>
          <w:p w14:paraId="4093BC0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38% F</w:t>
            </w:r>
          </w:p>
          <w:p w14:paraId="7EA0C9A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 L</w:t>
            </w:r>
          </w:p>
          <w:p w14:paraId="7964201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UTD</w:t>
            </w:r>
          </w:p>
          <w:p w14:paraId="112F32A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260" w:type="dxa"/>
            <w:shd w:val="clear" w:color="auto" w:fill="F2DBDB" w:themeFill="accent2" w:themeFillTint="33"/>
          </w:tcPr>
          <w:p w14:paraId="5AB7CC1F"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39% G</w:t>
            </w:r>
          </w:p>
          <w:p w14:paraId="581EA0B8"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33% F</w:t>
            </w:r>
          </w:p>
          <w:p w14:paraId="2A089C6B"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5% L</w:t>
            </w:r>
          </w:p>
          <w:p w14:paraId="27658C17"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2% DK</w:t>
            </w:r>
          </w:p>
        </w:tc>
      </w:tr>
      <w:tr w:rsidR="00E24947" w:rsidRPr="00F618D8" w14:paraId="5CBD448C" w14:textId="77777777" w:rsidTr="00810C4A">
        <w:trPr>
          <w:trHeight w:val="759"/>
        </w:trPr>
        <w:tc>
          <w:tcPr>
            <w:tcW w:w="1800" w:type="dxa"/>
            <w:shd w:val="clear" w:color="auto" w:fill="DBE5F1" w:themeFill="accent1" w:themeFillTint="33"/>
          </w:tcPr>
          <w:p w14:paraId="33177D9A"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lastRenderedPageBreak/>
              <w:t>VT</w:t>
            </w:r>
          </w:p>
        </w:tc>
        <w:tc>
          <w:tcPr>
            <w:tcW w:w="990" w:type="dxa"/>
            <w:shd w:val="clear" w:color="auto" w:fill="FFFFFF" w:themeFill="background1"/>
          </w:tcPr>
          <w:p w14:paraId="273A3E3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080" w:type="dxa"/>
            <w:shd w:val="clear" w:color="auto" w:fill="FFFFFF" w:themeFill="background1"/>
          </w:tcPr>
          <w:p w14:paraId="0071591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1774698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6802330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376C224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4A6B6BF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16198D5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75% G</w:t>
            </w:r>
          </w:p>
          <w:p w14:paraId="6D51102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71% F</w:t>
            </w:r>
          </w:p>
          <w:p w14:paraId="59E6CE6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L</w:t>
            </w:r>
          </w:p>
          <w:p w14:paraId="06889AC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170" w:type="dxa"/>
            <w:shd w:val="clear" w:color="auto" w:fill="FFFFFF" w:themeFill="background1"/>
          </w:tcPr>
          <w:p w14:paraId="41A6DD4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77% G</w:t>
            </w:r>
          </w:p>
          <w:p w14:paraId="3984830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70% F</w:t>
            </w:r>
          </w:p>
          <w:p w14:paraId="2BA2816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 L</w:t>
            </w:r>
          </w:p>
          <w:p w14:paraId="144AFD3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UTD</w:t>
            </w:r>
          </w:p>
          <w:p w14:paraId="1BE04A8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170" w:type="dxa"/>
            <w:shd w:val="clear" w:color="auto" w:fill="FFFFFF" w:themeFill="background1"/>
          </w:tcPr>
          <w:p w14:paraId="0697A49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77% G</w:t>
            </w:r>
          </w:p>
          <w:p w14:paraId="0292DBC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74% F</w:t>
            </w:r>
          </w:p>
          <w:p w14:paraId="5706125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1EFB9F6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UTD</w:t>
            </w:r>
          </w:p>
          <w:p w14:paraId="361E270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080" w:type="dxa"/>
            <w:shd w:val="clear" w:color="auto" w:fill="FFFFFF" w:themeFill="background1"/>
          </w:tcPr>
          <w:p w14:paraId="3DCCFD4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70% G</w:t>
            </w:r>
          </w:p>
          <w:p w14:paraId="7C1C972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67% F</w:t>
            </w:r>
          </w:p>
          <w:p w14:paraId="6FDFACA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L</w:t>
            </w:r>
          </w:p>
          <w:p w14:paraId="72EE60E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UTD</w:t>
            </w:r>
          </w:p>
          <w:p w14:paraId="3E082B4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260" w:type="dxa"/>
            <w:shd w:val="clear" w:color="auto" w:fill="F2DBDB" w:themeFill="accent2" w:themeFillTint="33"/>
          </w:tcPr>
          <w:p w14:paraId="5A700C0B"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75% G</w:t>
            </w:r>
          </w:p>
          <w:p w14:paraId="178ADB04"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71% F</w:t>
            </w:r>
          </w:p>
          <w:p w14:paraId="4500D3D6"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4% L</w:t>
            </w:r>
          </w:p>
          <w:p w14:paraId="4BCB9919"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0% DK</w:t>
            </w:r>
          </w:p>
        </w:tc>
      </w:tr>
      <w:tr w:rsidR="00E24947" w:rsidRPr="00F618D8" w14:paraId="131B0018" w14:textId="77777777" w:rsidTr="00810C4A">
        <w:trPr>
          <w:trHeight w:val="759"/>
        </w:trPr>
        <w:tc>
          <w:tcPr>
            <w:tcW w:w="1800" w:type="dxa"/>
            <w:shd w:val="clear" w:color="auto" w:fill="DBE5F1" w:themeFill="accent1" w:themeFillTint="33"/>
          </w:tcPr>
          <w:p w14:paraId="63FBA159"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WA</w:t>
            </w:r>
          </w:p>
        </w:tc>
        <w:tc>
          <w:tcPr>
            <w:tcW w:w="990" w:type="dxa"/>
            <w:shd w:val="clear" w:color="auto" w:fill="FFFFFF" w:themeFill="background1"/>
          </w:tcPr>
          <w:p w14:paraId="4769C22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p w14:paraId="3F4A1E72" w14:textId="77777777" w:rsidR="004D3AE0" w:rsidRPr="00F618D8" w:rsidRDefault="004D3AE0" w:rsidP="00F5324F">
            <w:pPr>
              <w:pStyle w:val="TableBody"/>
              <w:rPr>
                <w:rFonts w:ascii="Arial" w:hAnsi="Arial" w:cs="Arial"/>
                <w:sz w:val="20"/>
                <w:szCs w:val="20"/>
              </w:rPr>
            </w:pPr>
          </w:p>
        </w:tc>
        <w:tc>
          <w:tcPr>
            <w:tcW w:w="1080" w:type="dxa"/>
            <w:shd w:val="clear" w:color="auto" w:fill="FFFFFF" w:themeFill="background1"/>
          </w:tcPr>
          <w:p w14:paraId="197ED1C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51% G</w:t>
            </w:r>
          </w:p>
          <w:p w14:paraId="3143B63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43%F</w:t>
            </w:r>
          </w:p>
          <w:p w14:paraId="0DB2F2F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 L</w:t>
            </w:r>
          </w:p>
          <w:p w14:paraId="251EC48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2866DCC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0D31187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47% G</w:t>
            </w:r>
          </w:p>
          <w:p w14:paraId="2F85247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43% F</w:t>
            </w:r>
          </w:p>
          <w:p w14:paraId="21D5A84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L</w:t>
            </w:r>
          </w:p>
          <w:p w14:paraId="1CA56F9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11B74F8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4073773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28B14C2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170" w:type="dxa"/>
            <w:shd w:val="clear" w:color="auto" w:fill="FFFFFF" w:themeFill="background1"/>
          </w:tcPr>
          <w:p w14:paraId="34C33F7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52% G</w:t>
            </w:r>
          </w:p>
          <w:p w14:paraId="4166CD7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49% F</w:t>
            </w:r>
          </w:p>
          <w:p w14:paraId="1FE607A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L</w:t>
            </w:r>
          </w:p>
          <w:p w14:paraId="56C08A4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2% UTD</w:t>
            </w:r>
          </w:p>
          <w:p w14:paraId="338696B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170" w:type="dxa"/>
            <w:shd w:val="clear" w:color="auto" w:fill="FFFFFF" w:themeFill="background1"/>
          </w:tcPr>
          <w:p w14:paraId="4D51F10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080" w:type="dxa"/>
            <w:shd w:val="clear" w:color="auto" w:fill="FFFFFF" w:themeFill="background1"/>
          </w:tcPr>
          <w:p w14:paraId="5B97A87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260" w:type="dxa"/>
            <w:shd w:val="clear" w:color="auto" w:fill="F2DBDB" w:themeFill="accent2" w:themeFillTint="33"/>
          </w:tcPr>
          <w:p w14:paraId="6427267C"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50% G</w:t>
            </w:r>
          </w:p>
          <w:p w14:paraId="4CFC5EE7"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45% F</w:t>
            </w:r>
          </w:p>
          <w:p w14:paraId="08D1A76D"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4% L</w:t>
            </w:r>
          </w:p>
          <w:p w14:paraId="6E10BC76"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 DK</w:t>
            </w:r>
          </w:p>
        </w:tc>
      </w:tr>
      <w:tr w:rsidR="00E24947" w:rsidRPr="00F618D8" w14:paraId="7FDFFDE3" w14:textId="77777777" w:rsidTr="00810C4A">
        <w:trPr>
          <w:trHeight w:val="759"/>
        </w:trPr>
        <w:tc>
          <w:tcPr>
            <w:tcW w:w="1800" w:type="dxa"/>
            <w:shd w:val="clear" w:color="auto" w:fill="DBE5F1" w:themeFill="accent1" w:themeFillTint="33"/>
          </w:tcPr>
          <w:p w14:paraId="0DDF4AB3"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WI</w:t>
            </w:r>
          </w:p>
        </w:tc>
        <w:tc>
          <w:tcPr>
            <w:tcW w:w="990" w:type="dxa"/>
            <w:shd w:val="clear" w:color="auto" w:fill="FFFFFF" w:themeFill="background1"/>
          </w:tcPr>
          <w:p w14:paraId="4A416E6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080" w:type="dxa"/>
            <w:shd w:val="clear" w:color="auto" w:fill="FFFFFF" w:themeFill="background1"/>
          </w:tcPr>
          <w:p w14:paraId="4B36045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7250848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15F8CE2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0508FD3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84% G</w:t>
            </w:r>
          </w:p>
          <w:p w14:paraId="44E7F5E9"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83% F</w:t>
            </w:r>
          </w:p>
          <w:p w14:paraId="11D1C2F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L</w:t>
            </w:r>
          </w:p>
          <w:p w14:paraId="37303C1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FFFFFF" w:themeFill="background1"/>
          </w:tcPr>
          <w:p w14:paraId="507F16F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36A0502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170" w:type="dxa"/>
            <w:shd w:val="clear" w:color="auto" w:fill="auto"/>
          </w:tcPr>
          <w:p w14:paraId="3F2ED26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48% G</w:t>
            </w:r>
          </w:p>
          <w:p w14:paraId="0249F5F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14% F</w:t>
            </w:r>
          </w:p>
          <w:p w14:paraId="6A6E8C1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 L</w:t>
            </w:r>
          </w:p>
          <w:p w14:paraId="2E01AD3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30% UTD</w:t>
            </w:r>
          </w:p>
          <w:p w14:paraId="115E294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48% DK</w:t>
            </w:r>
          </w:p>
        </w:tc>
        <w:tc>
          <w:tcPr>
            <w:tcW w:w="1170" w:type="dxa"/>
          </w:tcPr>
          <w:p w14:paraId="6462B25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75% G</w:t>
            </w:r>
          </w:p>
          <w:p w14:paraId="396128E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50% F</w:t>
            </w:r>
          </w:p>
          <w:p w14:paraId="5F6BB3B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16% L</w:t>
            </w:r>
          </w:p>
          <w:p w14:paraId="41DB108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9% UTD</w:t>
            </w:r>
          </w:p>
          <w:p w14:paraId="0C15239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9% DK</w:t>
            </w:r>
          </w:p>
        </w:tc>
        <w:tc>
          <w:tcPr>
            <w:tcW w:w="1080" w:type="dxa"/>
          </w:tcPr>
          <w:p w14:paraId="2202517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62% G</w:t>
            </w:r>
          </w:p>
          <w:p w14:paraId="4DFAEE6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F</w:t>
            </w:r>
          </w:p>
          <w:p w14:paraId="2E98F8E1"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L</w:t>
            </w:r>
          </w:p>
          <w:p w14:paraId="3D90953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62% UTD</w:t>
            </w:r>
          </w:p>
          <w:p w14:paraId="6EB8879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260" w:type="dxa"/>
            <w:shd w:val="clear" w:color="auto" w:fill="F2DBDB" w:themeFill="accent2" w:themeFillTint="33"/>
          </w:tcPr>
          <w:p w14:paraId="383773D1"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67% G</w:t>
            </w:r>
          </w:p>
          <w:p w14:paraId="4262F46A"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37% F</w:t>
            </w:r>
          </w:p>
          <w:p w14:paraId="69475807"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5% L</w:t>
            </w:r>
          </w:p>
          <w:p w14:paraId="7108F65B"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15% DK</w:t>
            </w:r>
          </w:p>
        </w:tc>
      </w:tr>
      <w:tr w:rsidR="00E24947" w:rsidRPr="00F618D8" w14:paraId="2CC476A3" w14:textId="77777777" w:rsidTr="00810C4A">
        <w:trPr>
          <w:trHeight w:val="759"/>
        </w:trPr>
        <w:tc>
          <w:tcPr>
            <w:tcW w:w="1800" w:type="dxa"/>
            <w:shd w:val="clear" w:color="auto" w:fill="DBE5F1" w:themeFill="accent1" w:themeFillTint="33"/>
          </w:tcPr>
          <w:p w14:paraId="4F1BDEFB"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lastRenderedPageBreak/>
              <w:br w:type="page"/>
              <w:t>WY</w:t>
            </w:r>
          </w:p>
        </w:tc>
        <w:tc>
          <w:tcPr>
            <w:tcW w:w="990" w:type="dxa"/>
            <w:shd w:val="clear" w:color="auto" w:fill="FFFFFF" w:themeFill="background1"/>
          </w:tcPr>
          <w:p w14:paraId="7B46243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59% G</w:t>
            </w:r>
          </w:p>
          <w:p w14:paraId="4CE83470"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59% F</w:t>
            </w:r>
          </w:p>
          <w:p w14:paraId="03307A3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L</w:t>
            </w:r>
          </w:p>
          <w:p w14:paraId="75CE4FE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080" w:type="dxa"/>
            <w:shd w:val="clear" w:color="auto" w:fill="FFFFFF" w:themeFill="background1"/>
          </w:tcPr>
          <w:p w14:paraId="06DD01C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69% LF</w:t>
            </w:r>
          </w:p>
          <w:p w14:paraId="679B09F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66% F</w:t>
            </w:r>
          </w:p>
          <w:p w14:paraId="41DAF3B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07C3C3C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FFFFFF" w:themeFill="background1"/>
          </w:tcPr>
          <w:p w14:paraId="7C39F05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55C65E5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361F4CD6"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69D37DE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FFFFFF" w:themeFill="background1"/>
          </w:tcPr>
          <w:p w14:paraId="7192617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N/A</w:t>
            </w:r>
          </w:p>
        </w:tc>
        <w:tc>
          <w:tcPr>
            <w:tcW w:w="1170" w:type="dxa"/>
            <w:shd w:val="clear" w:color="auto" w:fill="FFFFFF" w:themeFill="background1"/>
          </w:tcPr>
          <w:p w14:paraId="17B2A5F8"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66% G</w:t>
            </w:r>
          </w:p>
          <w:p w14:paraId="3B95DF5B"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62% F</w:t>
            </w:r>
          </w:p>
          <w:p w14:paraId="7FA66BB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3% L</w:t>
            </w:r>
          </w:p>
          <w:p w14:paraId="2E802F04"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1% UTD</w:t>
            </w:r>
          </w:p>
          <w:p w14:paraId="069881F3"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170" w:type="dxa"/>
            <w:shd w:val="clear" w:color="auto" w:fill="FFFFFF" w:themeFill="background1"/>
          </w:tcPr>
          <w:p w14:paraId="23BE046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67% G</w:t>
            </w:r>
          </w:p>
          <w:p w14:paraId="4BBC5F1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61% F</w:t>
            </w:r>
          </w:p>
          <w:p w14:paraId="1499474F"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 L</w:t>
            </w:r>
          </w:p>
          <w:p w14:paraId="57515387"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UTD</w:t>
            </w:r>
          </w:p>
          <w:p w14:paraId="65FE33DD"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080" w:type="dxa"/>
            <w:shd w:val="clear" w:color="auto" w:fill="FFFFFF" w:themeFill="background1"/>
          </w:tcPr>
          <w:p w14:paraId="64188C9C"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70% G</w:t>
            </w:r>
          </w:p>
          <w:p w14:paraId="1CD72905"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65% F</w:t>
            </w:r>
          </w:p>
          <w:p w14:paraId="054D7152"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5% L</w:t>
            </w:r>
          </w:p>
          <w:p w14:paraId="07011BBA"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UTD</w:t>
            </w:r>
          </w:p>
          <w:p w14:paraId="5091663E" w14:textId="77777777" w:rsidR="004D3AE0" w:rsidRPr="00F618D8" w:rsidRDefault="004D3AE0" w:rsidP="00F5324F">
            <w:pPr>
              <w:pStyle w:val="TableBody"/>
              <w:rPr>
                <w:rFonts w:ascii="Arial" w:hAnsi="Arial" w:cs="Arial"/>
                <w:sz w:val="20"/>
                <w:szCs w:val="20"/>
              </w:rPr>
            </w:pPr>
            <w:r w:rsidRPr="00F618D8">
              <w:rPr>
                <w:rFonts w:ascii="Arial" w:hAnsi="Arial" w:cs="Arial"/>
                <w:sz w:val="20"/>
                <w:szCs w:val="20"/>
              </w:rPr>
              <w:t>0% DK</w:t>
            </w:r>
          </w:p>
        </w:tc>
        <w:tc>
          <w:tcPr>
            <w:tcW w:w="1260" w:type="dxa"/>
            <w:shd w:val="clear" w:color="auto" w:fill="F2DBDB" w:themeFill="accent2" w:themeFillTint="33"/>
          </w:tcPr>
          <w:p w14:paraId="750C30C9"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66% G</w:t>
            </w:r>
          </w:p>
          <w:p w14:paraId="6FB88E2C"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63% F</w:t>
            </w:r>
          </w:p>
          <w:p w14:paraId="16331144"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3% L</w:t>
            </w:r>
          </w:p>
          <w:p w14:paraId="402A2B1B" w14:textId="77777777" w:rsidR="004D3AE0" w:rsidRPr="00F618D8" w:rsidRDefault="004D3AE0" w:rsidP="00F5324F">
            <w:pPr>
              <w:pStyle w:val="TableBody"/>
              <w:rPr>
                <w:rFonts w:ascii="Arial" w:hAnsi="Arial" w:cs="Arial"/>
                <w:b/>
                <w:sz w:val="20"/>
                <w:szCs w:val="20"/>
              </w:rPr>
            </w:pPr>
            <w:r w:rsidRPr="00F618D8">
              <w:rPr>
                <w:rFonts w:ascii="Arial" w:hAnsi="Arial" w:cs="Arial"/>
                <w:b/>
                <w:sz w:val="20"/>
                <w:szCs w:val="20"/>
              </w:rPr>
              <w:t>0% DK</w:t>
            </w:r>
          </w:p>
        </w:tc>
      </w:tr>
      <w:tr w:rsidR="00E24947" w:rsidRPr="00F618D8" w14:paraId="3EAE0970" w14:textId="77777777" w:rsidTr="00810C4A">
        <w:trPr>
          <w:trHeight w:val="759"/>
        </w:trPr>
        <w:tc>
          <w:tcPr>
            <w:tcW w:w="1800" w:type="dxa"/>
            <w:shd w:val="clear" w:color="auto" w:fill="F2DBDB" w:themeFill="accent2" w:themeFillTint="33"/>
          </w:tcPr>
          <w:p w14:paraId="08081E2A"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 xml:space="preserve">Average of State </w:t>
            </w:r>
            <w:r w:rsidR="00810C4A" w:rsidRPr="00F618D8">
              <w:rPr>
                <w:rFonts w:ascii="Arial" w:hAnsi="Arial" w:cs="Arial"/>
                <w:b/>
                <w:sz w:val="20"/>
                <w:szCs w:val="20"/>
              </w:rPr>
              <w:t xml:space="preserve">Annual Percentages </w:t>
            </w:r>
            <w:r w:rsidRPr="00F618D8">
              <w:rPr>
                <w:rFonts w:ascii="Arial" w:hAnsi="Arial" w:cs="Arial"/>
                <w:b/>
                <w:sz w:val="20"/>
                <w:szCs w:val="20"/>
              </w:rPr>
              <w:t>(exclude</w:t>
            </w:r>
            <w:r w:rsidR="00810C4A" w:rsidRPr="00F618D8">
              <w:rPr>
                <w:rFonts w:ascii="Arial" w:hAnsi="Arial" w:cs="Arial"/>
                <w:b/>
                <w:sz w:val="20"/>
                <w:szCs w:val="20"/>
              </w:rPr>
              <w:t xml:space="preserve">s </w:t>
            </w:r>
            <w:r w:rsidRPr="00F618D8">
              <w:rPr>
                <w:rFonts w:ascii="Arial" w:hAnsi="Arial" w:cs="Arial"/>
                <w:b/>
                <w:sz w:val="20"/>
                <w:szCs w:val="20"/>
              </w:rPr>
              <w:t>MEORC)</w:t>
            </w:r>
          </w:p>
        </w:tc>
        <w:tc>
          <w:tcPr>
            <w:tcW w:w="990" w:type="dxa"/>
            <w:shd w:val="clear" w:color="auto" w:fill="F2DBDB" w:themeFill="accent2" w:themeFillTint="33"/>
          </w:tcPr>
          <w:p w14:paraId="3A79E7A8"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45% G</w:t>
            </w:r>
          </w:p>
          <w:p w14:paraId="71B8ECEC"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40% F</w:t>
            </w:r>
          </w:p>
          <w:p w14:paraId="5E661238"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5% L</w:t>
            </w:r>
          </w:p>
          <w:p w14:paraId="0CD5CB2F"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3% DK</w:t>
            </w:r>
          </w:p>
        </w:tc>
        <w:tc>
          <w:tcPr>
            <w:tcW w:w="1080" w:type="dxa"/>
            <w:shd w:val="clear" w:color="auto" w:fill="F2DBDB" w:themeFill="accent2" w:themeFillTint="33"/>
          </w:tcPr>
          <w:p w14:paraId="00E07F94"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47% G</w:t>
            </w:r>
          </w:p>
          <w:p w14:paraId="3F8AF867"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40% F</w:t>
            </w:r>
          </w:p>
          <w:p w14:paraId="516864A1"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7% L</w:t>
            </w:r>
          </w:p>
          <w:p w14:paraId="2CE9584B"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2% DK</w:t>
            </w:r>
          </w:p>
        </w:tc>
        <w:tc>
          <w:tcPr>
            <w:tcW w:w="990" w:type="dxa"/>
            <w:shd w:val="clear" w:color="auto" w:fill="F2DBDB" w:themeFill="accent2" w:themeFillTint="33"/>
          </w:tcPr>
          <w:p w14:paraId="0EED0CFE"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48% G</w:t>
            </w:r>
          </w:p>
          <w:p w14:paraId="37181449"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42% F</w:t>
            </w:r>
          </w:p>
          <w:p w14:paraId="31CF0E36"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6% L</w:t>
            </w:r>
          </w:p>
          <w:p w14:paraId="6F60F15A"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2% DK</w:t>
            </w:r>
          </w:p>
        </w:tc>
        <w:tc>
          <w:tcPr>
            <w:tcW w:w="990" w:type="dxa"/>
            <w:shd w:val="clear" w:color="auto" w:fill="F2DBDB" w:themeFill="accent2" w:themeFillTint="33"/>
          </w:tcPr>
          <w:p w14:paraId="7517EB53"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51% G</w:t>
            </w:r>
          </w:p>
          <w:p w14:paraId="31ABC311"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44% F</w:t>
            </w:r>
          </w:p>
          <w:p w14:paraId="25673D04"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7% L</w:t>
            </w:r>
          </w:p>
          <w:p w14:paraId="049C9421"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3% DK</w:t>
            </w:r>
          </w:p>
        </w:tc>
        <w:tc>
          <w:tcPr>
            <w:tcW w:w="990" w:type="dxa"/>
            <w:shd w:val="clear" w:color="auto" w:fill="F2DBDB" w:themeFill="accent2" w:themeFillTint="33"/>
          </w:tcPr>
          <w:p w14:paraId="05EB6905"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45% G</w:t>
            </w:r>
          </w:p>
          <w:p w14:paraId="33288CAE"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39% F</w:t>
            </w:r>
          </w:p>
          <w:p w14:paraId="35A9BAF7"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5% L</w:t>
            </w:r>
          </w:p>
          <w:p w14:paraId="4B7661B5"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2% DK</w:t>
            </w:r>
          </w:p>
        </w:tc>
        <w:tc>
          <w:tcPr>
            <w:tcW w:w="990" w:type="dxa"/>
            <w:shd w:val="clear" w:color="auto" w:fill="F2DBDB" w:themeFill="accent2" w:themeFillTint="33"/>
          </w:tcPr>
          <w:p w14:paraId="178F3DA4"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50% G</w:t>
            </w:r>
          </w:p>
          <w:p w14:paraId="6D3C6ABB"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44% F</w:t>
            </w:r>
          </w:p>
          <w:p w14:paraId="41D783F1"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6% L</w:t>
            </w:r>
          </w:p>
          <w:p w14:paraId="03ED7FB5"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2% DK</w:t>
            </w:r>
          </w:p>
        </w:tc>
        <w:tc>
          <w:tcPr>
            <w:tcW w:w="990" w:type="dxa"/>
            <w:shd w:val="clear" w:color="auto" w:fill="F2DBDB" w:themeFill="accent2" w:themeFillTint="33"/>
          </w:tcPr>
          <w:p w14:paraId="4948FD59"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49% G</w:t>
            </w:r>
          </w:p>
          <w:p w14:paraId="102C1AD3"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43% F</w:t>
            </w:r>
          </w:p>
          <w:p w14:paraId="070DBBD1"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7% L</w:t>
            </w:r>
          </w:p>
          <w:p w14:paraId="34EAE604"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 DK</w:t>
            </w:r>
          </w:p>
        </w:tc>
        <w:tc>
          <w:tcPr>
            <w:tcW w:w="1170" w:type="dxa"/>
            <w:shd w:val="clear" w:color="auto" w:fill="F2DBDB" w:themeFill="accent2" w:themeFillTint="33"/>
          </w:tcPr>
          <w:p w14:paraId="3286FDEC"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52% G</w:t>
            </w:r>
          </w:p>
          <w:p w14:paraId="7FC811BC"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41% F</w:t>
            </w:r>
          </w:p>
          <w:p w14:paraId="395D52AE"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8% L</w:t>
            </w:r>
          </w:p>
          <w:p w14:paraId="4C39C0F1"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3% UDT</w:t>
            </w:r>
          </w:p>
          <w:p w14:paraId="5EABAE52"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3% DK</w:t>
            </w:r>
          </w:p>
        </w:tc>
        <w:tc>
          <w:tcPr>
            <w:tcW w:w="1170" w:type="dxa"/>
            <w:shd w:val="clear" w:color="auto" w:fill="F2DBDB" w:themeFill="accent2" w:themeFillTint="33"/>
          </w:tcPr>
          <w:p w14:paraId="7B4B78A5"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55% G</w:t>
            </w:r>
          </w:p>
          <w:p w14:paraId="1960519F"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42% F</w:t>
            </w:r>
          </w:p>
          <w:p w14:paraId="1F280805"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6% L</w:t>
            </w:r>
          </w:p>
          <w:p w14:paraId="5DC877B0"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6% UTD</w:t>
            </w:r>
          </w:p>
          <w:p w14:paraId="6EA48CE7"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1% DK</w:t>
            </w:r>
          </w:p>
        </w:tc>
        <w:tc>
          <w:tcPr>
            <w:tcW w:w="1080" w:type="dxa"/>
            <w:shd w:val="clear" w:color="auto" w:fill="F2DBDB" w:themeFill="accent2" w:themeFillTint="33"/>
          </w:tcPr>
          <w:p w14:paraId="39BE5E53"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50% G</w:t>
            </w:r>
          </w:p>
          <w:p w14:paraId="573558EA"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38% F</w:t>
            </w:r>
          </w:p>
          <w:p w14:paraId="34A0DCC7"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7% L</w:t>
            </w:r>
          </w:p>
          <w:p w14:paraId="1A429AFB"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6% UTD</w:t>
            </w:r>
          </w:p>
          <w:p w14:paraId="08405D1D"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2% DK</w:t>
            </w:r>
          </w:p>
        </w:tc>
        <w:tc>
          <w:tcPr>
            <w:tcW w:w="1260" w:type="dxa"/>
            <w:shd w:val="clear" w:color="auto" w:fill="F2DBDB" w:themeFill="accent2" w:themeFillTint="33"/>
          </w:tcPr>
          <w:p w14:paraId="2840D16B"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49% G</w:t>
            </w:r>
          </w:p>
          <w:p w14:paraId="59AEABF8"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42% F</w:t>
            </w:r>
          </w:p>
          <w:p w14:paraId="1D08287B" w14:textId="77777777" w:rsidR="0004451D" w:rsidRPr="00F618D8" w:rsidRDefault="0004451D" w:rsidP="00B81813">
            <w:pPr>
              <w:pStyle w:val="TableBody"/>
              <w:rPr>
                <w:rFonts w:ascii="Arial" w:hAnsi="Arial" w:cs="Arial"/>
                <w:b/>
                <w:sz w:val="20"/>
                <w:szCs w:val="20"/>
              </w:rPr>
            </w:pPr>
            <w:r w:rsidRPr="00F618D8">
              <w:rPr>
                <w:rFonts w:ascii="Arial" w:hAnsi="Arial" w:cs="Arial"/>
                <w:b/>
                <w:sz w:val="20"/>
                <w:szCs w:val="20"/>
              </w:rPr>
              <w:t>6% L</w:t>
            </w:r>
          </w:p>
          <w:p w14:paraId="5D05B2ED"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3% DK</w:t>
            </w:r>
          </w:p>
        </w:tc>
      </w:tr>
      <w:tr w:rsidR="004D3AE0" w:rsidRPr="00F618D8" w14:paraId="3E49808C" w14:textId="77777777" w:rsidTr="0004451D">
        <w:trPr>
          <w:trHeight w:val="170"/>
        </w:trPr>
        <w:tc>
          <w:tcPr>
            <w:tcW w:w="1800" w:type="dxa"/>
            <w:shd w:val="clear" w:color="auto" w:fill="F2DBDB" w:themeFill="accent2" w:themeFillTint="33"/>
          </w:tcPr>
          <w:p w14:paraId="35ACD146"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NCI Average (Average of cases)</w:t>
            </w:r>
          </w:p>
        </w:tc>
        <w:tc>
          <w:tcPr>
            <w:tcW w:w="990" w:type="dxa"/>
            <w:shd w:val="clear" w:color="auto" w:fill="F2DBDB" w:themeFill="accent2" w:themeFillTint="33"/>
          </w:tcPr>
          <w:p w14:paraId="41E53E20"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45% G</w:t>
            </w:r>
          </w:p>
          <w:p w14:paraId="128D2759"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40% L</w:t>
            </w:r>
          </w:p>
          <w:p w14:paraId="4C2B2D04"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5% L</w:t>
            </w:r>
          </w:p>
          <w:p w14:paraId="2F6AC853"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3% DK</w:t>
            </w:r>
          </w:p>
        </w:tc>
        <w:tc>
          <w:tcPr>
            <w:tcW w:w="1080" w:type="dxa"/>
            <w:shd w:val="clear" w:color="auto" w:fill="F2DBDB" w:themeFill="accent2" w:themeFillTint="33"/>
          </w:tcPr>
          <w:p w14:paraId="2E93D1C6"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47% G</w:t>
            </w:r>
          </w:p>
          <w:p w14:paraId="77E3668D"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40% F</w:t>
            </w:r>
          </w:p>
          <w:p w14:paraId="69E23651"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7% L</w:t>
            </w:r>
          </w:p>
          <w:p w14:paraId="264AAE73"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2% DK</w:t>
            </w:r>
          </w:p>
        </w:tc>
        <w:tc>
          <w:tcPr>
            <w:tcW w:w="990" w:type="dxa"/>
            <w:shd w:val="clear" w:color="auto" w:fill="F2DBDB" w:themeFill="accent2" w:themeFillTint="33"/>
          </w:tcPr>
          <w:p w14:paraId="1A133045"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48% G</w:t>
            </w:r>
          </w:p>
          <w:p w14:paraId="6D2F8D46"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42% F</w:t>
            </w:r>
          </w:p>
          <w:p w14:paraId="544B97D6"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5% L</w:t>
            </w:r>
          </w:p>
          <w:p w14:paraId="730CCBAC"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2% DK</w:t>
            </w:r>
          </w:p>
        </w:tc>
        <w:tc>
          <w:tcPr>
            <w:tcW w:w="990" w:type="dxa"/>
            <w:shd w:val="clear" w:color="auto" w:fill="F2DBDB" w:themeFill="accent2" w:themeFillTint="33"/>
          </w:tcPr>
          <w:p w14:paraId="4CEE8B02"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53% G</w:t>
            </w:r>
          </w:p>
          <w:p w14:paraId="76579993"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46% F</w:t>
            </w:r>
          </w:p>
          <w:p w14:paraId="19AB920B"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7% L</w:t>
            </w:r>
          </w:p>
          <w:p w14:paraId="660E6A5D"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2% DK</w:t>
            </w:r>
          </w:p>
        </w:tc>
        <w:tc>
          <w:tcPr>
            <w:tcW w:w="990" w:type="dxa"/>
            <w:shd w:val="clear" w:color="auto" w:fill="F2DBDB" w:themeFill="accent2" w:themeFillTint="33"/>
          </w:tcPr>
          <w:p w14:paraId="52135EBB"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45% G</w:t>
            </w:r>
          </w:p>
          <w:p w14:paraId="4C2609D1"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40% F</w:t>
            </w:r>
          </w:p>
          <w:p w14:paraId="6A53879E"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5% L</w:t>
            </w:r>
          </w:p>
          <w:p w14:paraId="2186996F"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2% DK</w:t>
            </w:r>
          </w:p>
        </w:tc>
        <w:tc>
          <w:tcPr>
            <w:tcW w:w="990" w:type="dxa"/>
            <w:shd w:val="clear" w:color="auto" w:fill="F2DBDB" w:themeFill="accent2" w:themeFillTint="33"/>
          </w:tcPr>
          <w:p w14:paraId="43B8F36B"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50% G</w:t>
            </w:r>
          </w:p>
          <w:p w14:paraId="295F1D46"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43% F</w:t>
            </w:r>
          </w:p>
          <w:p w14:paraId="40F2D242"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7% L</w:t>
            </w:r>
          </w:p>
          <w:p w14:paraId="3E7900EC"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2% DK</w:t>
            </w:r>
          </w:p>
        </w:tc>
        <w:tc>
          <w:tcPr>
            <w:tcW w:w="990" w:type="dxa"/>
            <w:shd w:val="clear" w:color="auto" w:fill="F2DBDB" w:themeFill="accent2" w:themeFillTint="33"/>
          </w:tcPr>
          <w:p w14:paraId="43253A7F"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49% G</w:t>
            </w:r>
          </w:p>
          <w:p w14:paraId="0641EF09"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42% F</w:t>
            </w:r>
          </w:p>
          <w:p w14:paraId="2A7BD808"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7% L</w:t>
            </w:r>
          </w:p>
          <w:p w14:paraId="6C1B6160"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 DK</w:t>
            </w:r>
          </w:p>
        </w:tc>
        <w:tc>
          <w:tcPr>
            <w:tcW w:w="1170" w:type="dxa"/>
            <w:shd w:val="clear" w:color="auto" w:fill="F2DBDB" w:themeFill="accent2" w:themeFillTint="33"/>
          </w:tcPr>
          <w:p w14:paraId="7173A219"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51% G</w:t>
            </w:r>
          </w:p>
          <w:p w14:paraId="7C1E8D98"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41% F</w:t>
            </w:r>
          </w:p>
          <w:p w14:paraId="3B2AEB71"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6% L</w:t>
            </w:r>
          </w:p>
          <w:p w14:paraId="78972530"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 UTD</w:t>
            </w:r>
          </w:p>
          <w:p w14:paraId="597AAC28"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3% DK</w:t>
            </w:r>
          </w:p>
        </w:tc>
        <w:tc>
          <w:tcPr>
            <w:tcW w:w="1170" w:type="dxa"/>
            <w:shd w:val="clear" w:color="auto" w:fill="F2DBDB" w:themeFill="accent2" w:themeFillTint="33"/>
          </w:tcPr>
          <w:p w14:paraId="522B4EFA"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53% G</w:t>
            </w:r>
          </w:p>
          <w:p w14:paraId="62819B7E"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35% F</w:t>
            </w:r>
          </w:p>
          <w:p w14:paraId="21372657"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6% L</w:t>
            </w:r>
          </w:p>
          <w:p w14:paraId="5BC68ADB"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12% UTD</w:t>
            </w:r>
          </w:p>
          <w:p w14:paraId="6AC9D6B0"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3% DK</w:t>
            </w:r>
          </w:p>
        </w:tc>
        <w:tc>
          <w:tcPr>
            <w:tcW w:w="1080" w:type="dxa"/>
            <w:shd w:val="clear" w:color="auto" w:fill="F2DBDB" w:themeFill="accent2" w:themeFillTint="33"/>
          </w:tcPr>
          <w:p w14:paraId="5C3E03B0"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43% G</w:t>
            </w:r>
          </w:p>
          <w:p w14:paraId="52206A8D"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28% F</w:t>
            </w:r>
          </w:p>
          <w:p w14:paraId="40A4877A"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9% L</w:t>
            </w:r>
          </w:p>
          <w:p w14:paraId="02EE2E83"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6% UTD</w:t>
            </w:r>
          </w:p>
          <w:p w14:paraId="067B0D3E"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2% DK</w:t>
            </w:r>
          </w:p>
        </w:tc>
        <w:tc>
          <w:tcPr>
            <w:tcW w:w="1260" w:type="dxa"/>
            <w:shd w:val="clear" w:color="auto" w:fill="F2DBDB" w:themeFill="accent2" w:themeFillTint="33"/>
          </w:tcPr>
          <w:p w14:paraId="39B7B91A"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48% G</w:t>
            </w:r>
          </w:p>
          <w:p w14:paraId="5844E00B"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40% F</w:t>
            </w:r>
          </w:p>
          <w:p w14:paraId="6553ED18"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6% L</w:t>
            </w:r>
          </w:p>
          <w:p w14:paraId="5FBBAF86" w14:textId="77777777" w:rsidR="004D3AE0" w:rsidRPr="00F618D8" w:rsidRDefault="004D3AE0" w:rsidP="00B81813">
            <w:pPr>
              <w:pStyle w:val="TableBody"/>
              <w:rPr>
                <w:rFonts w:ascii="Arial" w:hAnsi="Arial" w:cs="Arial"/>
                <w:b/>
                <w:sz w:val="20"/>
                <w:szCs w:val="20"/>
              </w:rPr>
            </w:pPr>
            <w:r w:rsidRPr="00F618D8">
              <w:rPr>
                <w:rFonts w:ascii="Arial" w:hAnsi="Arial" w:cs="Arial"/>
                <w:b/>
                <w:sz w:val="20"/>
                <w:szCs w:val="20"/>
              </w:rPr>
              <w:t>3% DK</w:t>
            </w:r>
          </w:p>
        </w:tc>
      </w:tr>
    </w:tbl>
    <w:p w14:paraId="24D53EAC" w14:textId="77777777" w:rsidR="002542D3" w:rsidRPr="00F618D8" w:rsidRDefault="002542D3" w:rsidP="002542D3">
      <w:pPr>
        <w:rPr>
          <w:rFonts w:ascii="Arial" w:hAnsi="Arial" w:cs="Arial"/>
        </w:rPr>
        <w:sectPr w:rsidR="002542D3" w:rsidRPr="00F618D8" w:rsidSect="0004451D">
          <w:endnotePr>
            <w:numFmt w:val="decimal"/>
          </w:endnotePr>
          <w:pgSz w:w="15840" w:h="12240" w:orient="landscape"/>
          <w:pgMar w:top="1530" w:right="810" w:bottom="1440" w:left="1440" w:header="720" w:footer="720" w:gutter="0"/>
          <w:cols w:space="720"/>
          <w:docGrid w:linePitch="360"/>
        </w:sectPr>
      </w:pPr>
    </w:p>
    <w:p w14:paraId="4C8B9890" w14:textId="08FD9C5B" w:rsidR="002542D3" w:rsidRPr="00F618D8" w:rsidRDefault="00AA1F92" w:rsidP="00563E66">
      <w:pPr>
        <w:pStyle w:val="Heading1"/>
        <w:rPr>
          <w:rFonts w:ascii="Arial" w:hAnsi="Arial" w:cs="Arial"/>
        </w:rPr>
      </w:pPr>
      <w:bookmarkStart w:id="149" w:name="_Toc10290996"/>
      <w:r w:rsidRPr="00F618D8">
        <w:rPr>
          <w:rFonts w:ascii="Arial" w:hAnsi="Arial" w:cs="Arial"/>
        </w:rPr>
        <w:lastRenderedPageBreak/>
        <w:t>Appendix C:</w:t>
      </w:r>
      <w:r w:rsidR="00B81813" w:rsidRPr="00F618D8">
        <w:rPr>
          <w:rFonts w:ascii="Arial" w:hAnsi="Arial" w:cs="Arial"/>
        </w:rPr>
        <w:t xml:space="preserve"> </w:t>
      </w:r>
      <w:r w:rsidRPr="00F618D8">
        <w:rPr>
          <w:rFonts w:ascii="Arial" w:hAnsi="Arial" w:cs="Arial"/>
        </w:rPr>
        <w:t>Additional Tables of Analysis of NCI Data for Guardianship and People with ID/DD</w:t>
      </w:r>
      <w:bookmarkEnd w:id="149"/>
    </w:p>
    <w:p w14:paraId="22BB235A" w14:textId="3EF0C6E2" w:rsidR="002542D3" w:rsidRPr="00F618D8" w:rsidRDefault="002542D3" w:rsidP="00563E66">
      <w:pPr>
        <w:pStyle w:val="AppendixParaNoIndent"/>
        <w:rPr>
          <w:rFonts w:ascii="Arial" w:hAnsi="Arial"/>
        </w:rPr>
      </w:pPr>
      <w:r w:rsidRPr="00F618D8">
        <w:rPr>
          <w:rFonts w:ascii="Arial" w:hAnsi="Arial"/>
          <w:u w:val="single"/>
        </w:rPr>
        <w:t>Source of Data</w:t>
      </w:r>
      <w:r w:rsidRPr="00F618D8">
        <w:rPr>
          <w:rFonts w:ascii="Arial" w:hAnsi="Arial"/>
        </w:rPr>
        <w:t xml:space="preserve">: National Core Indicators, Chart Generator 2014-15, National Association of State Directors of Developmental Disabilities Services and Human Services Research Institute. Retrieved from the National Core Indicators </w:t>
      </w:r>
      <w:r w:rsidR="00E0317B" w:rsidRPr="00F618D8">
        <w:rPr>
          <w:rFonts w:ascii="Arial" w:hAnsi="Arial"/>
        </w:rPr>
        <w:t>w</w:t>
      </w:r>
      <w:r w:rsidRPr="00F618D8">
        <w:rPr>
          <w:rFonts w:ascii="Arial" w:hAnsi="Arial"/>
        </w:rPr>
        <w:t>ebsite (</w:t>
      </w:r>
      <w:hyperlink r:id="rId29" w:tooltip="http://www.nationalcoreindicators.org/charts/" w:history="1">
        <w:r w:rsidRPr="00F618D8">
          <w:rPr>
            <w:rStyle w:val="Hyperlink"/>
            <w:sz w:val="24"/>
          </w:rPr>
          <w:t>http://www.nationalcoreindicators.org/charts/</w:t>
        </w:r>
      </w:hyperlink>
      <w:r w:rsidRPr="00F618D8">
        <w:rPr>
          <w:rFonts w:ascii="Arial" w:hAnsi="Arial"/>
          <w:u w:val="single"/>
        </w:rPr>
        <w:t>)</w:t>
      </w:r>
      <w:r w:rsidRPr="00F618D8">
        <w:rPr>
          <w:rFonts w:ascii="Arial" w:hAnsi="Arial"/>
        </w:rPr>
        <w:t xml:space="preserve"> on October 31, 2018 (for 2008</w:t>
      </w:r>
      <w:r w:rsidR="0004451D" w:rsidRPr="00F618D8">
        <w:rPr>
          <w:rFonts w:ascii="Arial" w:hAnsi="Arial"/>
        </w:rPr>
        <w:t>-9</w:t>
      </w:r>
      <w:r w:rsidRPr="00F618D8">
        <w:rPr>
          <w:rFonts w:ascii="Arial" w:hAnsi="Arial"/>
        </w:rPr>
        <w:t xml:space="preserve"> to 201</w:t>
      </w:r>
      <w:r w:rsidR="0004451D" w:rsidRPr="00F618D8">
        <w:rPr>
          <w:rFonts w:ascii="Arial" w:hAnsi="Arial"/>
        </w:rPr>
        <w:t>4-1</w:t>
      </w:r>
      <w:r w:rsidRPr="00F618D8">
        <w:rPr>
          <w:rFonts w:ascii="Arial" w:hAnsi="Arial"/>
        </w:rPr>
        <w:t>5 data) and January 18, 201</w:t>
      </w:r>
      <w:r w:rsidR="0004451D" w:rsidRPr="00F618D8">
        <w:rPr>
          <w:rFonts w:ascii="Arial" w:hAnsi="Arial"/>
        </w:rPr>
        <w:t>9</w:t>
      </w:r>
      <w:r w:rsidRPr="00F618D8">
        <w:rPr>
          <w:rFonts w:ascii="Arial" w:hAnsi="Arial"/>
        </w:rPr>
        <w:t xml:space="preserve"> (for 2015</w:t>
      </w:r>
      <w:r w:rsidR="0004451D" w:rsidRPr="00F618D8">
        <w:rPr>
          <w:rFonts w:ascii="Arial" w:hAnsi="Arial"/>
        </w:rPr>
        <w:t>-16</w:t>
      </w:r>
      <w:r w:rsidRPr="00F618D8">
        <w:rPr>
          <w:rFonts w:ascii="Arial" w:hAnsi="Arial"/>
        </w:rPr>
        <w:t xml:space="preserve"> data) </w:t>
      </w:r>
    </w:p>
    <w:p w14:paraId="64A41050" w14:textId="77777777" w:rsidR="002542D3" w:rsidRPr="00F618D8" w:rsidRDefault="002542D3" w:rsidP="00563E66">
      <w:pPr>
        <w:pStyle w:val="AppendixParaNoIndent"/>
        <w:rPr>
          <w:rFonts w:ascii="Arial" w:hAnsi="Arial"/>
        </w:rPr>
      </w:pPr>
      <w:r w:rsidRPr="00F618D8">
        <w:rPr>
          <w:rFonts w:ascii="Arial" w:hAnsi="Arial"/>
        </w:rPr>
        <w:t>Key: Y = Limited Guardianship, Full Guardianship, or Has a Guardian but unable to distinguish level; F = Full Guardianship; DK = Don’t Know; N/A = Chart not available; Total Resp. = Total Respondents</w:t>
      </w:r>
    </w:p>
    <w:p w14:paraId="3C3736D3" w14:textId="77777777" w:rsidR="002542D3" w:rsidRPr="00F618D8" w:rsidRDefault="002542D3" w:rsidP="00563E66">
      <w:pPr>
        <w:pStyle w:val="Heading2"/>
        <w:rPr>
          <w:rFonts w:ascii="Arial" w:hAnsi="Arial" w:cs="Arial"/>
        </w:rPr>
      </w:pPr>
      <w:bookmarkStart w:id="150" w:name="_Toc10290997"/>
      <w:r w:rsidRPr="00F618D8">
        <w:rPr>
          <w:rFonts w:ascii="Arial" w:hAnsi="Arial" w:cs="Arial"/>
        </w:rPr>
        <w:t>Table 1: Age &amp; Guardianship Status</w:t>
      </w:r>
      <w:bookmarkEnd w:id="150"/>
    </w:p>
    <w:tbl>
      <w:tblPr>
        <w:tblStyle w:val="TableGrid1"/>
        <w:tblW w:w="10890" w:type="dxa"/>
        <w:tblInd w:w="-545" w:type="dxa"/>
        <w:tblLook w:val="04A0" w:firstRow="1" w:lastRow="0" w:firstColumn="1" w:lastColumn="0" w:noHBand="0" w:noVBand="1"/>
        <w:tblCaption w:val=" , "/>
      </w:tblPr>
      <w:tblGrid>
        <w:gridCol w:w="789"/>
        <w:gridCol w:w="999"/>
        <w:gridCol w:w="983"/>
        <w:gridCol w:w="981"/>
        <w:gridCol w:w="981"/>
        <w:gridCol w:w="981"/>
        <w:gridCol w:w="981"/>
        <w:gridCol w:w="981"/>
        <w:gridCol w:w="1069"/>
        <w:gridCol w:w="1139"/>
        <w:gridCol w:w="1006"/>
      </w:tblGrid>
      <w:tr w:rsidR="002542D3" w:rsidRPr="00F618D8" w14:paraId="524B40A3" w14:textId="77777777" w:rsidTr="006B20FF">
        <w:trPr>
          <w:tblHeader/>
        </w:trPr>
        <w:tc>
          <w:tcPr>
            <w:tcW w:w="789" w:type="dxa"/>
            <w:shd w:val="clear" w:color="auto" w:fill="DBE5F1" w:themeFill="accent1" w:themeFillTint="33"/>
          </w:tcPr>
          <w:p w14:paraId="66A82474" w14:textId="77777777" w:rsidR="002542D3" w:rsidRPr="00F618D8" w:rsidRDefault="002542D3" w:rsidP="00563E66">
            <w:pPr>
              <w:pStyle w:val="TableHeader"/>
              <w:rPr>
                <w:rFonts w:ascii="Arial" w:hAnsi="Arial"/>
                <w:sz w:val="20"/>
                <w:szCs w:val="20"/>
              </w:rPr>
            </w:pPr>
            <w:r w:rsidRPr="00F618D8">
              <w:rPr>
                <w:rFonts w:ascii="Arial" w:hAnsi="Arial"/>
                <w:sz w:val="20"/>
                <w:szCs w:val="20"/>
              </w:rPr>
              <w:t>Age</w:t>
            </w:r>
          </w:p>
        </w:tc>
        <w:tc>
          <w:tcPr>
            <w:tcW w:w="999" w:type="dxa"/>
            <w:shd w:val="clear" w:color="auto" w:fill="DBE5F1" w:themeFill="accent1" w:themeFillTint="33"/>
          </w:tcPr>
          <w:p w14:paraId="5B8B6DE0" w14:textId="77777777" w:rsidR="002542D3" w:rsidRPr="00F618D8" w:rsidRDefault="002542D3" w:rsidP="00563E66">
            <w:pPr>
              <w:pStyle w:val="TableHeader"/>
              <w:rPr>
                <w:rFonts w:ascii="Arial" w:hAnsi="Arial"/>
                <w:sz w:val="20"/>
                <w:szCs w:val="20"/>
              </w:rPr>
            </w:pPr>
            <w:r w:rsidRPr="00F618D8">
              <w:rPr>
                <w:rFonts w:ascii="Arial" w:hAnsi="Arial"/>
                <w:sz w:val="20"/>
                <w:szCs w:val="20"/>
              </w:rPr>
              <w:t>2008-09</w:t>
            </w:r>
          </w:p>
        </w:tc>
        <w:tc>
          <w:tcPr>
            <w:tcW w:w="983" w:type="dxa"/>
            <w:shd w:val="clear" w:color="auto" w:fill="DBE5F1" w:themeFill="accent1" w:themeFillTint="33"/>
          </w:tcPr>
          <w:p w14:paraId="0F030E42" w14:textId="77777777" w:rsidR="002542D3" w:rsidRPr="00F618D8" w:rsidRDefault="002542D3" w:rsidP="00563E66">
            <w:pPr>
              <w:pStyle w:val="TableHeader"/>
              <w:rPr>
                <w:rFonts w:ascii="Arial" w:hAnsi="Arial"/>
                <w:sz w:val="20"/>
                <w:szCs w:val="20"/>
              </w:rPr>
            </w:pPr>
            <w:r w:rsidRPr="00F618D8">
              <w:rPr>
                <w:rFonts w:ascii="Arial" w:hAnsi="Arial"/>
                <w:sz w:val="20"/>
                <w:szCs w:val="20"/>
              </w:rPr>
              <w:t>2009-10</w:t>
            </w:r>
          </w:p>
        </w:tc>
        <w:tc>
          <w:tcPr>
            <w:tcW w:w="981" w:type="dxa"/>
            <w:shd w:val="clear" w:color="auto" w:fill="DBE5F1" w:themeFill="accent1" w:themeFillTint="33"/>
          </w:tcPr>
          <w:p w14:paraId="0346B254" w14:textId="77777777" w:rsidR="002542D3" w:rsidRPr="00F618D8" w:rsidRDefault="002542D3" w:rsidP="00563E66">
            <w:pPr>
              <w:pStyle w:val="TableHeader"/>
              <w:rPr>
                <w:rFonts w:ascii="Arial" w:hAnsi="Arial"/>
                <w:sz w:val="20"/>
                <w:szCs w:val="20"/>
              </w:rPr>
            </w:pPr>
            <w:r w:rsidRPr="00F618D8">
              <w:rPr>
                <w:rFonts w:ascii="Arial" w:hAnsi="Arial"/>
                <w:sz w:val="20"/>
                <w:szCs w:val="20"/>
              </w:rPr>
              <w:t>2010-11</w:t>
            </w:r>
          </w:p>
        </w:tc>
        <w:tc>
          <w:tcPr>
            <w:tcW w:w="981" w:type="dxa"/>
            <w:shd w:val="clear" w:color="auto" w:fill="DBE5F1" w:themeFill="accent1" w:themeFillTint="33"/>
          </w:tcPr>
          <w:p w14:paraId="4A33E468" w14:textId="77777777" w:rsidR="002542D3" w:rsidRPr="00F618D8" w:rsidRDefault="002542D3" w:rsidP="00563E66">
            <w:pPr>
              <w:pStyle w:val="TableHeader"/>
              <w:rPr>
                <w:rFonts w:ascii="Arial" w:hAnsi="Arial"/>
                <w:sz w:val="20"/>
                <w:szCs w:val="20"/>
              </w:rPr>
            </w:pPr>
            <w:r w:rsidRPr="00F618D8">
              <w:rPr>
                <w:rFonts w:ascii="Arial" w:hAnsi="Arial"/>
                <w:sz w:val="20"/>
                <w:szCs w:val="20"/>
              </w:rPr>
              <w:t>2011-12</w:t>
            </w:r>
          </w:p>
        </w:tc>
        <w:tc>
          <w:tcPr>
            <w:tcW w:w="981" w:type="dxa"/>
            <w:shd w:val="clear" w:color="auto" w:fill="DBE5F1" w:themeFill="accent1" w:themeFillTint="33"/>
          </w:tcPr>
          <w:p w14:paraId="43CE43D9" w14:textId="77777777" w:rsidR="002542D3" w:rsidRPr="00F618D8" w:rsidRDefault="002542D3" w:rsidP="00563E66">
            <w:pPr>
              <w:pStyle w:val="TableHeader"/>
              <w:rPr>
                <w:rFonts w:ascii="Arial" w:hAnsi="Arial"/>
                <w:sz w:val="20"/>
                <w:szCs w:val="20"/>
              </w:rPr>
            </w:pPr>
            <w:r w:rsidRPr="00F618D8">
              <w:rPr>
                <w:rFonts w:ascii="Arial" w:hAnsi="Arial"/>
                <w:sz w:val="20"/>
                <w:szCs w:val="20"/>
              </w:rPr>
              <w:t>2012-13</w:t>
            </w:r>
          </w:p>
        </w:tc>
        <w:tc>
          <w:tcPr>
            <w:tcW w:w="981" w:type="dxa"/>
            <w:shd w:val="clear" w:color="auto" w:fill="DBE5F1" w:themeFill="accent1" w:themeFillTint="33"/>
          </w:tcPr>
          <w:p w14:paraId="5B0DB30C" w14:textId="77777777" w:rsidR="002542D3" w:rsidRPr="00F618D8" w:rsidRDefault="002542D3" w:rsidP="00563E66">
            <w:pPr>
              <w:pStyle w:val="TableHeader"/>
              <w:rPr>
                <w:rFonts w:ascii="Arial" w:hAnsi="Arial"/>
                <w:sz w:val="20"/>
                <w:szCs w:val="20"/>
              </w:rPr>
            </w:pPr>
            <w:r w:rsidRPr="00F618D8">
              <w:rPr>
                <w:rFonts w:ascii="Arial" w:hAnsi="Arial"/>
                <w:sz w:val="20"/>
                <w:szCs w:val="20"/>
              </w:rPr>
              <w:t>2013-14</w:t>
            </w:r>
          </w:p>
        </w:tc>
        <w:tc>
          <w:tcPr>
            <w:tcW w:w="981" w:type="dxa"/>
            <w:shd w:val="clear" w:color="auto" w:fill="DBE5F1" w:themeFill="accent1" w:themeFillTint="33"/>
          </w:tcPr>
          <w:p w14:paraId="379ABDAF" w14:textId="77777777" w:rsidR="002542D3" w:rsidRPr="00F618D8" w:rsidRDefault="002542D3" w:rsidP="00563E66">
            <w:pPr>
              <w:pStyle w:val="TableHeader"/>
              <w:rPr>
                <w:rFonts w:ascii="Arial" w:hAnsi="Arial"/>
                <w:sz w:val="20"/>
                <w:szCs w:val="20"/>
              </w:rPr>
            </w:pPr>
            <w:r w:rsidRPr="00F618D8">
              <w:rPr>
                <w:rFonts w:ascii="Arial" w:hAnsi="Arial"/>
                <w:sz w:val="20"/>
                <w:szCs w:val="20"/>
              </w:rPr>
              <w:t>2014-15</w:t>
            </w:r>
          </w:p>
        </w:tc>
        <w:tc>
          <w:tcPr>
            <w:tcW w:w="1069" w:type="dxa"/>
            <w:shd w:val="clear" w:color="auto" w:fill="DBE5F1" w:themeFill="accent1" w:themeFillTint="33"/>
          </w:tcPr>
          <w:p w14:paraId="466BB2BF" w14:textId="77777777" w:rsidR="002542D3" w:rsidRPr="00F618D8" w:rsidRDefault="002542D3" w:rsidP="00563E66">
            <w:pPr>
              <w:pStyle w:val="TableHeader"/>
              <w:rPr>
                <w:rFonts w:ascii="Arial" w:hAnsi="Arial"/>
                <w:sz w:val="20"/>
                <w:szCs w:val="20"/>
              </w:rPr>
            </w:pPr>
            <w:r w:rsidRPr="00F618D8">
              <w:rPr>
                <w:rFonts w:ascii="Arial" w:hAnsi="Arial"/>
                <w:sz w:val="20"/>
                <w:szCs w:val="20"/>
              </w:rPr>
              <w:t>2015-16</w:t>
            </w:r>
          </w:p>
        </w:tc>
        <w:tc>
          <w:tcPr>
            <w:tcW w:w="1139" w:type="dxa"/>
            <w:shd w:val="clear" w:color="auto" w:fill="DBE5F1" w:themeFill="accent1" w:themeFillTint="33"/>
          </w:tcPr>
          <w:p w14:paraId="2CB530DD" w14:textId="77777777" w:rsidR="002542D3" w:rsidRPr="00F618D8" w:rsidRDefault="002542D3" w:rsidP="00563E66">
            <w:pPr>
              <w:pStyle w:val="TableHeader"/>
              <w:rPr>
                <w:rFonts w:ascii="Arial" w:hAnsi="Arial"/>
                <w:sz w:val="20"/>
                <w:szCs w:val="20"/>
              </w:rPr>
            </w:pPr>
            <w:r w:rsidRPr="00F618D8">
              <w:rPr>
                <w:rFonts w:ascii="Arial" w:hAnsi="Arial"/>
                <w:sz w:val="20"/>
                <w:szCs w:val="20"/>
              </w:rPr>
              <w:t>Total Respond.</w:t>
            </w:r>
          </w:p>
        </w:tc>
        <w:tc>
          <w:tcPr>
            <w:tcW w:w="1006" w:type="dxa"/>
            <w:shd w:val="clear" w:color="auto" w:fill="F2DBDB" w:themeFill="accent2" w:themeFillTint="33"/>
          </w:tcPr>
          <w:p w14:paraId="3E206235" w14:textId="77777777" w:rsidR="002542D3" w:rsidRPr="00F618D8" w:rsidRDefault="002542D3" w:rsidP="00563E66">
            <w:pPr>
              <w:pStyle w:val="TableHeader"/>
              <w:rPr>
                <w:rFonts w:ascii="Arial" w:hAnsi="Arial"/>
                <w:sz w:val="20"/>
                <w:szCs w:val="20"/>
              </w:rPr>
            </w:pPr>
            <w:r w:rsidRPr="00F618D8">
              <w:rPr>
                <w:rFonts w:ascii="Arial" w:hAnsi="Arial"/>
                <w:sz w:val="20"/>
                <w:szCs w:val="20"/>
              </w:rPr>
              <w:t>Annual</w:t>
            </w:r>
          </w:p>
          <w:p w14:paraId="7B644F83" w14:textId="77777777" w:rsidR="002542D3" w:rsidRPr="00F618D8" w:rsidRDefault="002542D3" w:rsidP="00563E66">
            <w:pPr>
              <w:pStyle w:val="TableHeader"/>
              <w:rPr>
                <w:rFonts w:ascii="Arial" w:hAnsi="Arial"/>
                <w:sz w:val="20"/>
                <w:szCs w:val="20"/>
              </w:rPr>
            </w:pPr>
            <w:r w:rsidRPr="00F618D8">
              <w:rPr>
                <w:rFonts w:ascii="Arial" w:hAnsi="Arial"/>
                <w:sz w:val="20"/>
                <w:szCs w:val="20"/>
              </w:rPr>
              <w:t>Average</w:t>
            </w:r>
          </w:p>
        </w:tc>
      </w:tr>
      <w:tr w:rsidR="002542D3" w:rsidRPr="00F618D8" w14:paraId="4C039DE1" w14:textId="77777777" w:rsidTr="00563E66">
        <w:tc>
          <w:tcPr>
            <w:tcW w:w="789" w:type="dxa"/>
            <w:shd w:val="clear" w:color="auto" w:fill="DBE5F1" w:themeFill="accent1" w:themeFillTint="33"/>
          </w:tcPr>
          <w:p w14:paraId="2BFB845C" w14:textId="77777777" w:rsidR="002542D3" w:rsidRPr="00F618D8" w:rsidRDefault="002542D3" w:rsidP="00563E66">
            <w:pPr>
              <w:pStyle w:val="TableBody"/>
              <w:rPr>
                <w:rFonts w:ascii="Arial" w:hAnsi="Arial" w:cs="Arial"/>
                <w:b/>
                <w:sz w:val="20"/>
                <w:szCs w:val="20"/>
              </w:rPr>
            </w:pPr>
            <w:r w:rsidRPr="00F618D8">
              <w:rPr>
                <w:rFonts w:ascii="Arial" w:hAnsi="Arial" w:cs="Arial"/>
                <w:b/>
                <w:sz w:val="20"/>
                <w:szCs w:val="20"/>
              </w:rPr>
              <w:t>18-34</w:t>
            </w:r>
          </w:p>
        </w:tc>
        <w:tc>
          <w:tcPr>
            <w:tcW w:w="999" w:type="dxa"/>
          </w:tcPr>
          <w:p w14:paraId="6B117A69"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45% Y</w:t>
            </w:r>
          </w:p>
          <w:p w14:paraId="189208CE"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52% N</w:t>
            </w:r>
          </w:p>
          <w:p w14:paraId="356887A6"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3% DK</w:t>
            </w:r>
          </w:p>
        </w:tc>
        <w:tc>
          <w:tcPr>
            <w:tcW w:w="983" w:type="dxa"/>
          </w:tcPr>
          <w:p w14:paraId="0628C9B8"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46% Y</w:t>
            </w:r>
          </w:p>
          <w:p w14:paraId="65CF4639"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52% N</w:t>
            </w:r>
          </w:p>
          <w:p w14:paraId="5BC5E341"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2% DK</w:t>
            </w:r>
          </w:p>
        </w:tc>
        <w:tc>
          <w:tcPr>
            <w:tcW w:w="981" w:type="dxa"/>
          </w:tcPr>
          <w:p w14:paraId="51AC19B1"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 xml:space="preserve">51% Y </w:t>
            </w:r>
          </w:p>
          <w:p w14:paraId="5262766A"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48% N</w:t>
            </w:r>
          </w:p>
          <w:p w14:paraId="2665958E"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2% DK</w:t>
            </w:r>
          </w:p>
        </w:tc>
        <w:tc>
          <w:tcPr>
            <w:tcW w:w="981" w:type="dxa"/>
          </w:tcPr>
          <w:p w14:paraId="22272248"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52% Y</w:t>
            </w:r>
          </w:p>
          <w:p w14:paraId="525AF8C0"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46% N</w:t>
            </w:r>
          </w:p>
          <w:p w14:paraId="0705BA5D"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2% DK</w:t>
            </w:r>
          </w:p>
        </w:tc>
        <w:tc>
          <w:tcPr>
            <w:tcW w:w="981" w:type="dxa"/>
          </w:tcPr>
          <w:p w14:paraId="01CB48BF"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 xml:space="preserve">47% Y </w:t>
            </w:r>
          </w:p>
          <w:p w14:paraId="6EB27B62"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50% N</w:t>
            </w:r>
          </w:p>
          <w:p w14:paraId="5034610E"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3% DK</w:t>
            </w:r>
          </w:p>
        </w:tc>
        <w:tc>
          <w:tcPr>
            <w:tcW w:w="981" w:type="dxa"/>
          </w:tcPr>
          <w:p w14:paraId="047C29A3"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51% Y</w:t>
            </w:r>
          </w:p>
          <w:p w14:paraId="2A55F3A2"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47% N</w:t>
            </w:r>
          </w:p>
          <w:p w14:paraId="3E706824"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2% DK</w:t>
            </w:r>
          </w:p>
        </w:tc>
        <w:tc>
          <w:tcPr>
            <w:tcW w:w="981" w:type="dxa"/>
          </w:tcPr>
          <w:p w14:paraId="79580232"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52% Y</w:t>
            </w:r>
          </w:p>
          <w:p w14:paraId="40591F31"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48% N</w:t>
            </w:r>
          </w:p>
          <w:p w14:paraId="360E6B5A"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 DK</w:t>
            </w:r>
          </w:p>
        </w:tc>
        <w:tc>
          <w:tcPr>
            <w:tcW w:w="1069" w:type="dxa"/>
          </w:tcPr>
          <w:p w14:paraId="62391949"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54% Y</w:t>
            </w:r>
          </w:p>
          <w:p w14:paraId="438BEB33"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42% N</w:t>
            </w:r>
          </w:p>
          <w:p w14:paraId="69CAC9A8"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 DK</w:t>
            </w:r>
          </w:p>
          <w:p w14:paraId="23A732D6"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See Note</w:t>
            </w:r>
          </w:p>
        </w:tc>
        <w:tc>
          <w:tcPr>
            <w:tcW w:w="1139" w:type="dxa"/>
          </w:tcPr>
          <w:p w14:paraId="6055F86F"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403655</w:t>
            </w:r>
          </w:p>
        </w:tc>
        <w:tc>
          <w:tcPr>
            <w:tcW w:w="1006" w:type="dxa"/>
            <w:shd w:val="clear" w:color="auto" w:fill="F2DBDB" w:themeFill="accent2" w:themeFillTint="33"/>
          </w:tcPr>
          <w:p w14:paraId="5D28991B" w14:textId="77777777" w:rsidR="002542D3" w:rsidRPr="00F618D8" w:rsidRDefault="002542D3" w:rsidP="00563E66">
            <w:pPr>
              <w:pStyle w:val="TableBody"/>
              <w:rPr>
                <w:rFonts w:ascii="Arial" w:hAnsi="Arial" w:cs="Arial"/>
                <w:b/>
                <w:sz w:val="20"/>
                <w:szCs w:val="20"/>
              </w:rPr>
            </w:pPr>
            <w:r w:rsidRPr="00F618D8">
              <w:rPr>
                <w:rFonts w:ascii="Arial" w:hAnsi="Arial" w:cs="Arial"/>
                <w:b/>
                <w:sz w:val="20"/>
                <w:szCs w:val="20"/>
              </w:rPr>
              <w:t>50% Y</w:t>
            </w:r>
          </w:p>
          <w:p w14:paraId="79869864" w14:textId="77777777" w:rsidR="002542D3" w:rsidRPr="00F618D8" w:rsidRDefault="002542D3" w:rsidP="00563E66">
            <w:pPr>
              <w:pStyle w:val="TableBody"/>
              <w:rPr>
                <w:rFonts w:ascii="Arial" w:hAnsi="Arial" w:cs="Arial"/>
                <w:b/>
                <w:sz w:val="20"/>
                <w:szCs w:val="20"/>
              </w:rPr>
            </w:pPr>
            <w:r w:rsidRPr="00F618D8">
              <w:rPr>
                <w:rFonts w:ascii="Arial" w:hAnsi="Arial" w:cs="Arial"/>
                <w:b/>
                <w:sz w:val="20"/>
                <w:szCs w:val="20"/>
              </w:rPr>
              <w:t>48% N</w:t>
            </w:r>
          </w:p>
          <w:p w14:paraId="3B9130A2" w14:textId="77777777" w:rsidR="002542D3" w:rsidRPr="00F618D8" w:rsidRDefault="002542D3" w:rsidP="00563E66">
            <w:pPr>
              <w:pStyle w:val="TableBody"/>
              <w:rPr>
                <w:rFonts w:ascii="Arial" w:hAnsi="Arial" w:cs="Arial"/>
                <w:b/>
                <w:sz w:val="20"/>
                <w:szCs w:val="20"/>
              </w:rPr>
            </w:pPr>
            <w:r w:rsidRPr="00F618D8">
              <w:rPr>
                <w:rFonts w:ascii="Arial" w:hAnsi="Arial" w:cs="Arial"/>
                <w:b/>
                <w:sz w:val="20"/>
                <w:szCs w:val="20"/>
              </w:rPr>
              <w:t>3% DK</w:t>
            </w:r>
          </w:p>
        </w:tc>
      </w:tr>
      <w:tr w:rsidR="002542D3" w:rsidRPr="00F618D8" w14:paraId="278312C2" w14:textId="77777777" w:rsidTr="00563E66">
        <w:tc>
          <w:tcPr>
            <w:tcW w:w="789" w:type="dxa"/>
            <w:shd w:val="clear" w:color="auto" w:fill="DBE5F1" w:themeFill="accent1" w:themeFillTint="33"/>
          </w:tcPr>
          <w:p w14:paraId="41CC9136" w14:textId="77777777" w:rsidR="002542D3" w:rsidRPr="00F618D8" w:rsidRDefault="002542D3" w:rsidP="00563E66">
            <w:pPr>
              <w:pStyle w:val="TableBody"/>
              <w:rPr>
                <w:rFonts w:ascii="Arial" w:hAnsi="Arial" w:cs="Arial"/>
                <w:b/>
                <w:sz w:val="20"/>
                <w:szCs w:val="20"/>
              </w:rPr>
            </w:pPr>
            <w:r w:rsidRPr="00F618D8">
              <w:rPr>
                <w:rFonts w:ascii="Arial" w:hAnsi="Arial" w:cs="Arial"/>
                <w:b/>
                <w:sz w:val="20"/>
                <w:szCs w:val="20"/>
              </w:rPr>
              <w:t>35-54</w:t>
            </w:r>
          </w:p>
        </w:tc>
        <w:tc>
          <w:tcPr>
            <w:tcW w:w="999" w:type="dxa"/>
          </w:tcPr>
          <w:p w14:paraId="5FEBA19A"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45% Y</w:t>
            </w:r>
          </w:p>
          <w:p w14:paraId="6DA37ABE"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53% N</w:t>
            </w:r>
          </w:p>
          <w:p w14:paraId="33A8B725"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2% DK</w:t>
            </w:r>
          </w:p>
        </w:tc>
        <w:tc>
          <w:tcPr>
            <w:tcW w:w="983" w:type="dxa"/>
          </w:tcPr>
          <w:p w14:paraId="6A86E479"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45% Y</w:t>
            </w:r>
          </w:p>
          <w:p w14:paraId="53F7F496"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53% N</w:t>
            </w:r>
          </w:p>
          <w:p w14:paraId="6A6EF748"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2% DK</w:t>
            </w:r>
          </w:p>
        </w:tc>
        <w:tc>
          <w:tcPr>
            <w:tcW w:w="981" w:type="dxa"/>
          </w:tcPr>
          <w:p w14:paraId="3E11685D"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47% Y</w:t>
            </w:r>
          </w:p>
          <w:p w14:paraId="3CDD7E25"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50% N</w:t>
            </w:r>
          </w:p>
          <w:p w14:paraId="183D1A6D"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2% DK</w:t>
            </w:r>
          </w:p>
        </w:tc>
        <w:tc>
          <w:tcPr>
            <w:tcW w:w="981" w:type="dxa"/>
          </w:tcPr>
          <w:p w14:paraId="7B2B77EC"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52% Y</w:t>
            </w:r>
          </w:p>
          <w:p w14:paraId="4DA49F01"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46% N</w:t>
            </w:r>
          </w:p>
          <w:p w14:paraId="3F74D662"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2% DK</w:t>
            </w:r>
          </w:p>
        </w:tc>
        <w:tc>
          <w:tcPr>
            <w:tcW w:w="981" w:type="dxa"/>
          </w:tcPr>
          <w:p w14:paraId="00515276"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43% Y</w:t>
            </w:r>
          </w:p>
          <w:p w14:paraId="4AD518B6"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54% N</w:t>
            </w:r>
          </w:p>
          <w:p w14:paraId="6C21DF86"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2% DK</w:t>
            </w:r>
          </w:p>
        </w:tc>
        <w:tc>
          <w:tcPr>
            <w:tcW w:w="981" w:type="dxa"/>
          </w:tcPr>
          <w:p w14:paraId="6A8904FF"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49% Y</w:t>
            </w:r>
          </w:p>
          <w:p w14:paraId="2591AB71"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49% N</w:t>
            </w:r>
          </w:p>
          <w:p w14:paraId="606ACABE"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2% DK</w:t>
            </w:r>
          </w:p>
        </w:tc>
        <w:tc>
          <w:tcPr>
            <w:tcW w:w="981" w:type="dxa"/>
          </w:tcPr>
          <w:p w14:paraId="7BF0B9CE"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48% Y</w:t>
            </w:r>
          </w:p>
          <w:p w14:paraId="5D150B6C"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48% N</w:t>
            </w:r>
          </w:p>
          <w:p w14:paraId="0B64042E"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 DK</w:t>
            </w:r>
          </w:p>
        </w:tc>
        <w:tc>
          <w:tcPr>
            <w:tcW w:w="1069" w:type="dxa"/>
          </w:tcPr>
          <w:p w14:paraId="1701194D"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51% Y</w:t>
            </w:r>
          </w:p>
          <w:p w14:paraId="2034687B"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46% N</w:t>
            </w:r>
          </w:p>
          <w:p w14:paraId="1598F16E"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3% DK</w:t>
            </w:r>
          </w:p>
        </w:tc>
        <w:tc>
          <w:tcPr>
            <w:tcW w:w="1139" w:type="dxa"/>
          </w:tcPr>
          <w:p w14:paraId="2772CC06"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10708</w:t>
            </w:r>
          </w:p>
        </w:tc>
        <w:tc>
          <w:tcPr>
            <w:tcW w:w="1006" w:type="dxa"/>
            <w:shd w:val="clear" w:color="auto" w:fill="F2DBDB" w:themeFill="accent2" w:themeFillTint="33"/>
          </w:tcPr>
          <w:p w14:paraId="7A09CB75" w14:textId="77777777" w:rsidR="002542D3" w:rsidRPr="00F618D8" w:rsidRDefault="002542D3" w:rsidP="00563E66">
            <w:pPr>
              <w:pStyle w:val="TableBody"/>
              <w:rPr>
                <w:rFonts w:ascii="Arial" w:hAnsi="Arial" w:cs="Arial"/>
                <w:b/>
                <w:sz w:val="20"/>
                <w:szCs w:val="20"/>
              </w:rPr>
            </w:pPr>
            <w:r w:rsidRPr="00F618D8">
              <w:rPr>
                <w:rFonts w:ascii="Arial" w:hAnsi="Arial" w:cs="Arial"/>
                <w:b/>
                <w:sz w:val="20"/>
                <w:szCs w:val="20"/>
              </w:rPr>
              <w:t>48% Y</w:t>
            </w:r>
          </w:p>
          <w:p w14:paraId="64CF3A11" w14:textId="77777777" w:rsidR="002542D3" w:rsidRPr="00F618D8" w:rsidRDefault="002542D3" w:rsidP="00563E66">
            <w:pPr>
              <w:pStyle w:val="TableBody"/>
              <w:rPr>
                <w:rFonts w:ascii="Arial" w:hAnsi="Arial" w:cs="Arial"/>
                <w:b/>
                <w:sz w:val="20"/>
                <w:szCs w:val="20"/>
              </w:rPr>
            </w:pPr>
            <w:r w:rsidRPr="00F618D8">
              <w:rPr>
                <w:rFonts w:ascii="Arial" w:hAnsi="Arial" w:cs="Arial"/>
                <w:b/>
                <w:sz w:val="20"/>
                <w:szCs w:val="20"/>
              </w:rPr>
              <w:t>50% N</w:t>
            </w:r>
          </w:p>
          <w:p w14:paraId="7CF39409" w14:textId="77777777" w:rsidR="002542D3" w:rsidRPr="00F618D8" w:rsidRDefault="002542D3" w:rsidP="00563E66">
            <w:pPr>
              <w:pStyle w:val="TableBody"/>
              <w:rPr>
                <w:rFonts w:ascii="Arial" w:hAnsi="Arial" w:cs="Arial"/>
                <w:b/>
                <w:sz w:val="20"/>
                <w:szCs w:val="20"/>
              </w:rPr>
            </w:pPr>
            <w:r w:rsidRPr="00F618D8">
              <w:rPr>
                <w:rFonts w:ascii="Arial" w:hAnsi="Arial" w:cs="Arial"/>
                <w:b/>
                <w:sz w:val="20"/>
                <w:szCs w:val="20"/>
              </w:rPr>
              <w:t>2% DK</w:t>
            </w:r>
          </w:p>
        </w:tc>
      </w:tr>
      <w:tr w:rsidR="002542D3" w:rsidRPr="00F618D8" w14:paraId="25F4722C" w14:textId="77777777" w:rsidTr="00563E66">
        <w:tc>
          <w:tcPr>
            <w:tcW w:w="789" w:type="dxa"/>
            <w:shd w:val="clear" w:color="auto" w:fill="DBE5F1" w:themeFill="accent1" w:themeFillTint="33"/>
          </w:tcPr>
          <w:p w14:paraId="6A736F1F" w14:textId="77777777" w:rsidR="002542D3" w:rsidRPr="00F618D8" w:rsidRDefault="002542D3" w:rsidP="00563E66">
            <w:pPr>
              <w:pStyle w:val="TableBody"/>
              <w:rPr>
                <w:rFonts w:ascii="Arial" w:hAnsi="Arial" w:cs="Arial"/>
                <w:b/>
                <w:sz w:val="20"/>
                <w:szCs w:val="20"/>
              </w:rPr>
            </w:pPr>
            <w:r w:rsidRPr="00F618D8">
              <w:rPr>
                <w:rFonts w:ascii="Arial" w:hAnsi="Arial" w:cs="Arial"/>
                <w:b/>
                <w:sz w:val="20"/>
                <w:szCs w:val="20"/>
              </w:rPr>
              <w:t>55-74</w:t>
            </w:r>
          </w:p>
        </w:tc>
        <w:tc>
          <w:tcPr>
            <w:tcW w:w="999" w:type="dxa"/>
          </w:tcPr>
          <w:p w14:paraId="697ADF83"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44% Y</w:t>
            </w:r>
          </w:p>
          <w:p w14:paraId="29DD89F8"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54% N</w:t>
            </w:r>
          </w:p>
          <w:p w14:paraId="3302BFB8"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3% DK</w:t>
            </w:r>
          </w:p>
        </w:tc>
        <w:tc>
          <w:tcPr>
            <w:tcW w:w="983" w:type="dxa"/>
          </w:tcPr>
          <w:p w14:paraId="0B81BA68"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48% Y</w:t>
            </w:r>
          </w:p>
          <w:p w14:paraId="0AD8E2FA"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51% N</w:t>
            </w:r>
          </w:p>
          <w:p w14:paraId="3D885754"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2% DK</w:t>
            </w:r>
          </w:p>
        </w:tc>
        <w:tc>
          <w:tcPr>
            <w:tcW w:w="981" w:type="dxa"/>
          </w:tcPr>
          <w:p w14:paraId="328B086F"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 xml:space="preserve">49% Y </w:t>
            </w:r>
          </w:p>
          <w:p w14:paraId="1ACF58C7"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49% N</w:t>
            </w:r>
          </w:p>
          <w:p w14:paraId="1F8D8497"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2% DK</w:t>
            </w:r>
          </w:p>
        </w:tc>
        <w:tc>
          <w:tcPr>
            <w:tcW w:w="981" w:type="dxa"/>
          </w:tcPr>
          <w:p w14:paraId="13245479"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 xml:space="preserve">55% Y </w:t>
            </w:r>
          </w:p>
          <w:p w14:paraId="73C96199"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44% N</w:t>
            </w:r>
          </w:p>
          <w:p w14:paraId="0FB21AE7"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1% DK</w:t>
            </w:r>
          </w:p>
        </w:tc>
        <w:tc>
          <w:tcPr>
            <w:tcW w:w="981" w:type="dxa"/>
          </w:tcPr>
          <w:p w14:paraId="3EBECE2F"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44% Y</w:t>
            </w:r>
          </w:p>
          <w:p w14:paraId="38F8B8BE"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55% N</w:t>
            </w:r>
          </w:p>
          <w:p w14:paraId="38D4186E"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1% DK</w:t>
            </w:r>
          </w:p>
        </w:tc>
        <w:tc>
          <w:tcPr>
            <w:tcW w:w="981" w:type="dxa"/>
          </w:tcPr>
          <w:p w14:paraId="3BBA11C6"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49% Y</w:t>
            </w:r>
          </w:p>
          <w:p w14:paraId="6C489C4A"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49% N</w:t>
            </w:r>
          </w:p>
          <w:p w14:paraId="38A0A809"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1% DK</w:t>
            </w:r>
          </w:p>
        </w:tc>
        <w:tc>
          <w:tcPr>
            <w:tcW w:w="981" w:type="dxa"/>
          </w:tcPr>
          <w:p w14:paraId="065B4381"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47% Y</w:t>
            </w:r>
          </w:p>
          <w:p w14:paraId="7639645B"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48% N</w:t>
            </w:r>
          </w:p>
          <w:p w14:paraId="12CBF59E"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 DK</w:t>
            </w:r>
          </w:p>
        </w:tc>
        <w:tc>
          <w:tcPr>
            <w:tcW w:w="1069" w:type="dxa"/>
          </w:tcPr>
          <w:p w14:paraId="359A59EF"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49% Y</w:t>
            </w:r>
          </w:p>
          <w:p w14:paraId="7D78EDC1"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47% N</w:t>
            </w:r>
          </w:p>
          <w:p w14:paraId="2345ED57"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3% DK</w:t>
            </w:r>
          </w:p>
        </w:tc>
        <w:tc>
          <w:tcPr>
            <w:tcW w:w="1139" w:type="dxa"/>
          </w:tcPr>
          <w:p w14:paraId="4CAEEF8E"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24363</w:t>
            </w:r>
          </w:p>
        </w:tc>
        <w:tc>
          <w:tcPr>
            <w:tcW w:w="1006" w:type="dxa"/>
            <w:shd w:val="clear" w:color="auto" w:fill="F2DBDB" w:themeFill="accent2" w:themeFillTint="33"/>
          </w:tcPr>
          <w:p w14:paraId="6E290954" w14:textId="77777777" w:rsidR="002542D3" w:rsidRPr="00F618D8" w:rsidRDefault="002542D3" w:rsidP="00563E66">
            <w:pPr>
              <w:pStyle w:val="TableBody"/>
              <w:rPr>
                <w:rFonts w:ascii="Arial" w:hAnsi="Arial" w:cs="Arial"/>
                <w:b/>
                <w:sz w:val="20"/>
                <w:szCs w:val="20"/>
              </w:rPr>
            </w:pPr>
            <w:r w:rsidRPr="00F618D8">
              <w:rPr>
                <w:rFonts w:ascii="Arial" w:hAnsi="Arial" w:cs="Arial"/>
                <w:b/>
                <w:sz w:val="20"/>
                <w:szCs w:val="20"/>
              </w:rPr>
              <w:t>48% Y</w:t>
            </w:r>
          </w:p>
          <w:p w14:paraId="3757C730" w14:textId="77777777" w:rsidR="002542D3" w:rsidRPr="00F618D8" w:rsidRDefault="002542D3" w:rsidP="00563E66">
            <w:pPr>
              <w:pStyle w:val="TableBody"/>
              <w:rPr>
                <w:rFonts w:ascii="Arial" w:hAnsi="Arial" w:cs="Arial"/>
                <w:b/>
                <w:sz w:val="20"/>
                <w:szCs w:val="20"/>
              </w:rPr>
            </w:pPr>
            <w:r w:rsidRPr="00F618D8">
              <w:rPr>
                <w:rFonts w:ascii="Arial" w:hAnsi="Arial" w:cs="Arial"/>
                <w:b/>
                <w:sz w:val="20"/>
                <w:szCs w:val="20"/>
              </w:rPr>
              <w:t>50% N</w:t>
            </w:r>
          </w:p>
          <w:p w14:paraId="3D815707" w14:textId="77777777" w:rsidR="002542D3" w:rsidRPr="00F618D8" w:rsidRDefault="002542D3" w:rsidP="00563E66">
            <w:pPr>
              <w:pStyle w:val="TableBody"/>
              <w:rPr>
                <w:rFonts w:ascii="Arial" w:hAnsi="Arial" w:cs="Arial"/>
                <w:b/>
                <w:sz w:val="20"/>
                <w:szCs w:val="20"/>
              </w:rPr>
            </w:pPr>
            <w:r w:rsidRPr="00F618D8">
              <w:rPr>
                <w:rFonts w:ascii="Arial" w:hAnsi="Arial" w:cs="Arial"/>
                <w:b/>
                <w:sz w:val="20"/>
                <w:szCs w:val="20"/>
              </w:rPr>
              <w:t>2% DK</w:t>
            </w:r>
          </w:p>
        </w:tc>
      </w:tr>
      <w:tr w:rsidR="002542D3" w:rsidRPr="00F618D8" w14:paraId="417A9E77" w14:textId="77777777" w:rsidTr="00563E66">
        <w:tc>
          <w:tcPr>
            <w:tcW w:w="789" w:type="dxa"/>
            <w:shd w:val="clear" w:color="auto" w:fill="DBE5F1" w:themeFill="accent1" w:themeFillTint="33"/>
          </w:tcPr>
          <w:p w14:paraId="2DCCD887" w14:textId="77777777" w:rsidR="002542D3" w:rsidRPr="00F618D8" w:rsidRDefault="002542D3" w:rsidP="00563E66">
            <w:pPr>
              <w:pStyle w:val="TableBody"/>
              <w:rPr>
                <w:rFonts w:ascii="Arial" w:hAnsi="Arial" w:cs="Arial"/>
                <w:b/>
                <w:sz w:val="20"/>
                <w:szCs w:val="20"/>
              </w:rPr>
            </w:pPr>
            <w:r w:rsidRPr="00F618D8">
              <w:rPr>
                <w:rFonts w:ascii="Arial" w:hAnsi="Arial" w:cs="Arial"/>
                <w:b/>
                <w:sz w:val="20"/>
                <w:szCs w:val="20"/>
              </w:rPr>
              <w:t>75 +</w:t>
            </w:r>
          </w:p>
        </w:tc>
        <w:tc>
          <w:tcPr>
            <w:tcW w:w="999" w:type="dxa"/>
          </w:tcPr>
          <w:p w14:paraId="269B8504"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30% Y</w:t>
            </w:r>
          </w:p>
          <w:p w14:paraId="374AB95A"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65% N</w:t>
            </w:r>
          </w:p>
          <w:p w14:paraId="48B595CD"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lastRenderedPageBreak/>
              <w:t>6% DK</w:t>
            </w:r>
          </w:p>
        </w:tc>
        <w:tc>
          <w:tcPr>
            <w:tcW w:w="983" w:type="dxa"/>
          </w:tcPr>
          <w:p w14:paraId="7940A6B8"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lastRenderedPageBreak/>
              <w:t>13% Y</w:t>
            </w:r>
          </w:p>
          <w:p w14:paraId="4048EB76"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79% N</w:t>
            </w:r>
          </w:p>
          <w:p w14:paraId="487DE934"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lastRenderedPageBreak/>
              <w:t>9% DK</w:t>
            </w:r>
          </w:p>
        </w:tc>
        <w:tc>
          <w:tcPr>
            <w:tcW w:w="981" w:type="dxa"/>
          </w:tcPr>
          <w:p w14:paraId="216859D7"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lastRenderedPageBreak/>
              <w:t xml:space="preserve">15% Y </w:t>
            </w:r>
          </w:p>
          <w:p w14:paraId="3B4B60CD"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78% N</w:t>
            </w:r>
          </w:p>
          <w:p w14:paraId="55CD6E31"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lastRenderedPageBreak/>
              <w:t>7% DK</w:t>
            </w:r>
          </w:p>
        </w:tc>
        <w:tc>
          <w:tcPr>
            <w:tcW w:w="981" w:type="dxa"/>
          </w:tcPr>
          <w:p w14:paraId="45091FD9"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lastRenderedPageBreak/>
              <w:t>35% Y</w:t>
            </w:r>
          </w:p>
          <w:p w14:paraId="0A179DB4"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60% N</w:t>
            </w:r>
          </w:p>
          <w:p w14:paraId="4709BC03"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lastRenderedPageBreak/>
              <w:t>5% DK</w:t>
            </w:r>
          </w:p>
        </w:tc>
        <w:tc>
          <w:tcPr>
            <w:tcW w:w="981" w:type="dxa"/>
          </w:tcPr>
          <w:p w14:paraId="5B7E8CB7"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lastRenderedPageBreak/>
              <w:t>8% Y</w:t>
            </w:r>
          </w:p>
          <w:p w14:paraId="20E92937"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87% N</w:t>
            </w:r>
          </w:p>
          <w:p w14:paraId="2BDEE991"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lastRenderedPageBreak/>
              <w:t>5% DK</w:t>
            </w:r>
          </w:p>
        </w:tc>
        <w:tc>
          <w:tcPr>
            <w:tcW w:w="981" w:type="dxa"/>
          </w:tcPr>
          <w:p w14:paraId="21B31733"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lastRenderedPageBreak/>
              <w:t>22% Y</w:t>
            </w:r>
          </w:p>
          <w:p w14:paraId="6E8DC9DB"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76% N</w:t>
            </w:r>
          </w:p>
          <w:p w14:paraId="5085B797"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lastRenderedPageBreak/>
              <w:t>2% DK</w:t>
            </w:r>
          </w:p>
        </w:tc>
        <w:tc>
          <w:tcPr>
            <w:tcW w:w="981" w:type="dxa"/>
          </w:tcPr>
          <w:p w14:paraId="34E0FE63"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lastRenderedPageBreak/>
              <w:t>28% Y</w:t>
            </w:r>
          </w:p>
          <w:p w14:paraId="368BF056"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68% N</w:t>
            </w:r>
          </w:p>
          <w:p w14:paraId="318FDAF3"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lastRenderedPageBreak/>
              <w:t>1% DK</w:t>
            </w:r>
          </w:p>
        </w:tc>
        <w:tc>
          <w:tcPr>
            <w:tcW w:w="1069" w:type="dxa"/>
          </w:tcPr>
          <w:p w14:paraId="76CF6F98"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lastRenderedPageBreak/>
              <w:t>44% Y</w:t>
            </w:r>
          </w:p>
          <w:p w14:paraId="0EF919D3"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52% N</w:t>
            </w:r>
          </w:p>
          <w:p w14:paraId="05607405"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lastRenderedPageBreak/>
              <w:t>3% DK</w:t>
            </w:r>
          </w:p>
        </w:tc>
        <w:tc>
          <w:tcPr>
            <w:tcW w:w="1139" w:type="dxa"/>
          </w:tcPr>
          <w:p w14:paraId="604F986A"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lastRenderedPageBreak/>
              <w:t>785</w:t>
            </w:r>
          </w:p>
        </w:tc>
        <w:tc>
          <w:tcPr>
            <w:tcW w:w="1006" w:type="dxa"/>
            <w:shd w:val="clear" w:color="auto" w:fill="F2DBDB" w:themeFill="accent2" w:themeFillTint="33"/>
          </w:tcPr>
          <w:p w14:paraId="689707FA" w14:textId="77777777" w:rsidR="002542D3" w:rsidRPr="00F618D8" w:rsidRDefault="002542D3" w:rsidP="00563E66">
            <w:pPr>
              <w:pStyle w:val="TableBody"/>
              <w:rPr>
                <w:rFonts w:ascii="Arial" w:hAnsi="Arial" w:cs="Arial"/>
                <w:b/>
                <w:sz w:val="20"/>
                <w:szCs w:val="20"/>
              </w:rPr>
            </w:pPr>
            <w:r w:rsidRPr="00F618D8">
              <w:rPr>
                <w:rFonts w:ascii="Arial" w:hAnsi="Arial" w:cs="Arial"/>
                <w:b/>
                <w:sz w:val="20"/>
                <w:szCs w:val="20"/>
              </w:rPr>
              <w:t>24% Y</w:t>
            </w:r>
          </w:p>
          <w:p w14:paraId="0519EA20" w14:textId="77777777" w:rsidR="002542D3" w:rsidRPr="00F618D8" w:rsidRDefault="002542D3" w:rsidP="00563E66">
            <w:pPr>
              <w:pStyle w:val="TableBody"/>
              <w:rPr>
                <w:rFonts w:ascii="Arial" w:hAnsi="Arial" w:cs="Arial"/>
                <w:b/>
                <w:sz w:val="20"/>
                <w:szCs w:val="20"/>
              </w:rPr>
            </w:pPr>
            <w:r w:rsidRPr="00F618D8">
              <w:rPr>
                <w:rFonts w:ascii="Arial" w:hAnsi="Arial" w:cs="Arial"/>
                <w:b/>
                <w:sz w:val="20"/>
                <w:szCs w:val="20"/>
              </w:rPr>
              <w:t>71% N</w:t>
            </w:r>
          </w:p>
          <w:p w14:paraId="4E377B1B" w14:textId="77777777" w:rsidR="002542D3" w:rsidRPr="00F618D8" w:rsidRDefault="002542D3" w:rsidP="00563E66">
            <w:pPr>
              <w:pStyle w:val="TableBody"/>
              <w:rPr>
                <w:rFonts w:ascii="Arial" w:hAnsi="Arial" w:cs="Arial"/>
                <w:b/>
                <w:sz w:val="20"/>
                <w:szCs w:val="20"/>
              </w:rPr>
            </w:pPr>
            <w:r w:rsidRPr="00F618D8">
              <w:rPr>
                <w:rFonts w:ascii="Arial" w:hAnsi="Arial" w:cs="Arial"/>
                <w:b/>
                <w:sz w:val="20"/>
                <w:szCs w:val="20"/>
              </w:rPr>
              <w:lastRenderedPageBreak/>
              <w:t>5% DK</w:t>
            </w:r>
          </w:p>
        </w:tc>
      </w:tr>
    </w:tbl>
    <w:p w14:paraId="181E050A" w14:textId="77777777" w:rsidR="002542D3" w:rsidRPr="00F618D8" w:rsidRDefault="002542D3" w:rsidP="00563E66">
      <w:pPr>
        <w:pStyle w:val="TableBody"/>
        <w:rPr>
          <w:rFonts w:ascii="Arial" w:hAnsi="Arial" w:cs="Arial"/>
        </w:rPr>
      </w:pPr>
    </w:p>
    <w:p w14:paraId="52B400E3" w14:textId="77777777" w:rsidR="002542D3" w:rsidRPr="00F618D8" w:rsidRDefault="002542D3" w:rsidP="00563E66">
      <w:pPr>
        <w:pStyle w:val="AppendixParaNoIndent"/>
        <w:rPr>
          <w:rFonts w:ascii="Arial" w:hAnsi="Arial"/>
        </w:rPr>
      </w:pPr>
      <w:r w:rsidRPr="00F618D8">
        <w:rPr>
          <w:rFonts w:ascii="Arial" w:hAnsi="Arial"/>
        </w:rPr>
        <w:t xml:space="preserve">Note: </w:t>
      </w:r>
      <w:r w:rsidRPr="00F618D8">
        <w:rPr>
          <w:rFonts w:ascii="Arial" w:hAnsi="Arial"/>
        </w:rPr>
        <w:tab/>
        <w:t>18-22: 58% Y, 38% N, 5% DK (Total Respondents: 1178)</w:t>
      </w:r>
    </w:p>
    <w:p w14:paraId="5E92DD67" w14:textId="77777777" w:rsidR="002542D3" w:rsidRPr="00F618D8" w:rsidRDefault="002542D3" w:rsidP="00563E66">
      <w:pPr>
        <w:pStyle w:val="AppendixParaNoIndent"/>
        <w:rPr>
          <w:rFonts w:ascii="Arial" w:hAnsi="Arial"/>
        </w:rPr>
      </w:pPr>
      <w:r w:rsidRPr="00F618D8">
        <w:rPr>
          <w:rFonts w:ascii="Arial" w:hAnsi="Arial"/>
        </w:rPr>
        <w:tab/>
        <w:t>23-34: 53% Y, 43% N, 4% DK (Total Respo</w:t>
      </w:r>
      <w:r w:rsidR="0024680D" w:rsidRPr="00F618D8">
        <w:rPr>
          <w:rFonts w:ascii="Arial" w:hAnsi="Arial"/>
        </w:rPr>
        <w:t>n</w:t>
      </w:r>
      <w:r w:rsidRPr="00F618D8">
        <w:rPr>
          <w:rFonts w:ascii="Arial" w:hAnsi="Arial"/>
        </w:rPr>
        <w:t>dents: 5110)</w:t>
      </w:r>
    </w:p>
    <w:p w14:paraId="276EC0B1" w14:textId="77777777" w:rsidR="002542D3" w:rsidRPr="00F618D8" w:rsidRDefault="002542D3" w:rsidP="00563E66">
      <w:pPr>
        <w:pStyle w:val="Heading2"/>
        <w:rPr>
          <w:rFonts w:ascii="Arial" w:hAnsi="Arial" w:cs="Arial"/>
        </w:rPr>
      </w:pPr>
      <w:bookmarkStart w:id="151" w:name="_Toc10290998"/>
      <w:r w:rsidRPr="00F618D8">
        <w:rPr>
          <w:rFonts w:ascii="Arial" w:hAnsi="Arial" w:cs="Arial"/>
        </w:rPr>
        <w:t>Table 2: Gender &amp; Guardianship Status</w:t>
      </w:r>
      <w:bookmarkEnd w:id="151"/>
    </w:p>
    <w:tbl>
      <w:tblPr>
        <w:tblStyle w:val="TableGrid2"/>
        <w:tblW w:w="10890" w:type="dxa"/>
        <w:tblInd w:w="-545" w:type="dxa"/>
        <w:tblLook w:val="04A0" w:firstRow="1" w:lastRow="0" w:firstColumn="1" w:lastColumn="0" w:noHBand="0" w:noVBand="1"/>
        <w:tblCaption w:val=" , "/>
      </w:tblPr>
      <w:tblGrid>
        <w:gridCol w:w="917"/>
        <w:gridCol w:w="962"/>
        <w:gridCol w:w="980"/>
        <w:gridCol w:w="981"/>
        <w:gridCol w:w="981"/>
        <w:gridCol w:w="981"/>
        <w:gridCol w:w="981"/>
        <w:gridCol w:w="981"/>
        <w:gridCol w:w="981"/>
        <w:gridCol w:w="1139"/>
        <w:gridCol w:w="1006"/>
      </w:tblGrid>
      <w:tr w:rsidR="002542D3" w:rsidRPr="00F618D8" w14:paraId="4E8F8178" w14:textId="77777777" w:rsidTr="006B20FF">
        <w:trPr>
          <w:tblHeader/>
        </w:trPr>
        <w:tc>
          <w:tcPr>
            <w:tcW w:w="917" w:type="dxa"/>
            <w:shd w:val="clear" w:color="auto" w:fill="DBE5F1" w:themeFill="accent1" w:themeFillTint="33"/>
          </w:tcPr>
          <w:p w14:paraId="48CDE857" w14:textId="77777777" w:rsidR="002542D3" w:rsidRPr="00F618D8" w:rsidRDefault="002542D3" w:rsidP="00563E66">
            <w:pPr>
              <w:pStyle w:val="TableHeader"/>
              <w:rPr>
                <w:rFonts w:ascii="Arial" w:hAnsi="Arial"/>
                <w:sz w:val="20"/>
                <w:szCs w:val="20"/>
              </w:rPr>
            </w:pPr>
            <w:r w:rsidRPr="00F618D8">
              <w:rPr>
                <w:rFonts w:ascii="Arial" w:hAnsi="Arial"/>
                <w:sz w:val="20"/>
                <w:szCs w:val="20"/>
              </w:rPr>
              <w:t>Gender</w:t>
            </w:r>
          </w:p>
        </w:tc>
        <w:tc>
          <w:tcPr>
            <w:tcW w:w="962" w:type="dxa"/>
            <w:shd w:val="clear" w:color="auto" w:fill="DBE5F1" w:themeFill="accent1" w:themeFillTint="33"/>
          </w:tcPr>
          <w:p w14:paraId="1E571C03" w14:textId="77777777" w:rsidR="002542D3" w:rsidRPr="00F618D8" w:rsidRDefault="002542D3" w:rsidP="00563E66">
            <w:pPr>
              <w:pStyle w:val="TableHeader"/>
              <w:rPr>
                <w:rFonts w:ascii="Arial" w:hAnsi="Arial"/>
                <w:sz w:val="20"/>
                <w:szCs w:val="20"/>
              </w:rPr>
            </w:pPr>
            <w:r w:rsidRPr="00F618D8">
              <w:rPr>
                <w:rFonts w:ascii="Arial" w:hAnsi="Arial"/>
                <w:sz w:val="20"/>
                <w:szCs w:val="20"/>
              </w:rPr>
              <w:t>2008-09</w:t>
            </w:r>
          </w:p>
        </w:tc>
        <w:tc>
          <w:tcPr>
            <w:tcW w:w="980" w:type="dxa"/>
            <w:shd w:val="clear" w:color="auto" w:fill="DBE5F1" w:themeFill="accent1" w:themeFillTint="33"/>
          </w:tcPr>
          <w:p w14:paraId="0EDA60BB" w14:textId="77777777" w:rsidR="002542D3" w:rsidRPr="00F618D8" w:rsidRDefault="002542D3" w:rsidP="00563E66">
            <w:pPr>
              <w:pStyle w:val="TableHeader"/>
              <w:rPr>
                <w:rFonts w:ascii="Arial" w:hAnsi="Arial"/>
                <w:sz w:val="20"/>
                <w:szCs w:val="20"/>
              </w:rPr>
            </w:pPr>
            <w:r w:rsidRPr="00F618D8">
              <w:rPr>
                <w:rFonts w:ascii="Arial" w:hAnsi="Arial"/>
                <w:sz w:val="20"/>
                <w:szCs w:val="20"/>
              </w:rPr>
              <w:t>2009-10</w:t>
            </w:r>
          </w:p>
        </w:tc>
        <w:tc>
          <w:tcPr>
            <w:tcW w:w="981" w:type="dxa"/>
            <w:shd w:val="clear" w:color="auto" w:fill="DBE5F1" w:themeFill="accent1" w:themeFillTint="33"/>
          </w:tcPr>
          <w:p w14:paraId="6ABD9DE7" w14:textId="77777777" w:rsidR="002542D3" w:rsidRPr="00F618D8" w:rsidRDefault="002542D3" w:rsidP="00563E66">
            <w:pPr>
              <w:pStyle w:val="TableHeader"/>
              <w:rPr>
                <w:rFonts w:ascii="Arial" w:hAnsi="Arial"/>
                <w:sz w:val="20"/>
                <w:szCs w:val="20"/>
              </w:rPr>
            </w:pPr>
            <w:r w:rsidRPr="00F618D8">
              <w:rPr>
                <w:rFonts w:ascii="Arial" w:hAnsi="Arial"/>
                <w:sz w:val="20"/>
                <w:szCs w:val="20"/>
              </w:rPr>
              <w:t>2010-11</w:t>
            </w:r>
          </w:p>
        </w:tc>
        <w:tc>
          <w:tcPr>
            <w:tcW w:w="981" w:type="dxa"/>
            <w:shd w:val="clear" w:color="auto" w:fill="DBE5F1" w:themeFill="accent1" w:themeFillTint="33"/>
          </w:tcPr>
          <w:p w14:paraId="075F9B10" w14:textId="77777777" w:rsidR="002542D3" w:rsidRPr="00F618D8" w:rsidRDefault="002542D3" w:rsidP="00563E66">
            <w:pPr>
              <w:pStyle w:val="TableHeader"/>
              <w:rPr>
                <w:rFonts w:ascii="Arial" w:hAnsi="Arial"/>
                <w:sz w:val="20"/>
                <w:szCs w:val="20"/>
              </w:rPr>
            </w:pPr>
            <w:r w:rsidRPr="00F618D8">
              <w:rPr>
                <w:rFonts w:ascii="Arial" w:hAnsi="Arial"/>
                <w:sz w:val="20"/>
                <w:szCs w:val="20"/>
              </w:rPr>
              <w:t>2011-12</w:t>
            </w:r>
          </w:p>
        </w:tc>
        <w:tc>
          <w:tcPr>
            <w:tcW w:w="981" w:type="dxa"/>
            <w:shd w:val="clear" w:color="auto" w:fill="DBE5F1" w:themeFill="accent1" w:themeFillTint="33"/>
          </w:tcPr>
          <w:p w14:paraId="79CC56C0" w14:textId="77777777" w:rsidR="002542D3" w:rsidRPr="00F618D8" w:rsidRDefault="002542D3" w:rsidP="00563E66">
            <w:pPr>
              <w:pStyle w:val="TableHeader"/>
              <w:rPr>
                <w:rFonts w:ascii="Arial" w:hAnsi="Arial"/>
                <w:sz w:val="20"/>
                <w:szCs w:val="20"/>
              </w:rPr>
            </w:pPr>
            <w:r w:rsidRPr="00F618D8">
              <w:rPr>
                <w:rFonts w:ascii="Arial" w:hAnsi="Arial"/>
                <w:sz w:val="20"/>
                <w:szCs w:val="20"/>
              </w:rPr>
              <w:t>2012-13</w:t>
            </w:r>
          </w:p>
        </w:tc>
        <w:tc>
          <w:tcPr>
            <w:tcW w:w="981" w:type="dxa"/>
            <w:shd w:val="clear" w:color="auto" w:fill="DBE5F1" w:themeFill="accent1" w:themeFillTint="33"/>
          </w:tcPr>
          <w:p w14:paraId="2F290ED1" w14:textId="77777777" w:rsidR="002542D3" w:rsidRPr="00F618D8" w:rsidRDefault="002542D3" w:rsidP="00563E66">
            <w:pPr>
              <w:pStyle w:val="TableHeader"/>
              <w:rPr>
                <w:rFonts w:ascii="Arial" w:hAnsi="Arial"/>
                <w:sz w:val="20"/>
                <w:szCs w:val="20"/>
              </w:rPr>
            </w:pPr>
            <w:r w:rsidRPr="00F618D8">
              <w:rPr>
                <w:rFonts w:ascii="Arial" w:hAnsi="Arial"/>
                <w:sz w:val="20"/>
                <w:szCs w:val="20"/>
              </w:rPr>
              <w:t>2013-14</w:t>
            </w:r>
          </w:p>
        </w:tc>
        <w:tc>
          <w:tcPr>
            <w:tcW w:w="981" w:type="dxa"/>
            <w:shd w:val="clear" w:color="auto" w:fill="DBE5F1" w:themeFill="accent1" w:themeFillTint="33"/>
          </w:tcPr>
          <w:p w14:paraId="552A468F" w14:textId="77777777" w:rsidR="002542D3" w:rsidRPr="00F618D8" w:rsidRDefault="002542D3" w:rsidP="00563E66">
            <w:pPr>
              <w:pStyle w:val="TableHeader"/>
              <w:rPr>
                <w:rFonts w:ascii="Arial" w:hAnsi="Arial"/>
                <w:sz w:val="20"/>
                <w:szCs w:val="20"/>
              </w:rPr>
            </w:pPr>
            <w:r w:rsidRPr="00F618D8">
              <w:rPr>
                <w:rFonts w:ascii="Arial" w:hAnsi="Arial"/>
                <w:sz w:val="20"/>
                <w:szCs w:val="20"/>
              </w:rPr>
              <w:t>2014-15</w:t>
            </w:r>
          </w:p>
        </w:tc>
        <w:tc>
          <w:tcPr>
            <w:tcW w:w="981" w:type="dxa"/>
            <w:shd w:val="clear" w:color="auto" w:fill="DBE5F1" w:themeFill="accent1" w:themeFillTint="33"/>
          </w:tcPr>
          <w:p w14:paraId="51E1C599" w14:textId="77777777" w:rsidR="002542D3" w:rsidRPr="00F618D8" w:rsidRDefault="002542D3" w:rsidP="00563E66">
            <w:pPr>
              <w:pStyle w:val="TableHeader"/>
              <w:rPr>
                <w:rFonts w:ascii="Arial" w:hAnsi="Arial"/>
                <w:sz w:val="20"/>
                <w:szCs w:val="20"/>
              </w:rPr>
            </w:pPr>
            <w:r w:rsidRPr="00F618D8">
              <w:rPr>
                <w:rFonts w:ascii="Arial" w:hAnsi="Arial"/>
                <w:sz w:val="20"/>
                <w:szCs w:val="20"/>
              </w:rPr>
              <w:t>2015-16</w:t>
            </w:r>
          </w:p>
        </w:tc>
        <w:tc>
          <w:tcPr>
            <w:tcW w:w="1139" w:type="dxa"/>
            <w:shd w:val="clear" w:color="auto" w:fill="DBE5F1" w:themeFill="accent1" w:themeFillTint="33"/>
          </w:tcPr>
          <w:p w14:paraId="5D665CC4" w14:textId="77777777" w:rsidR="002542D3" w:rsidRPr="00F618D8" w:rsidRDefault="002542D3" w:rsidP="00563E66">
            <w:pPr>
              <w:pStyle w:val="TableHeader"/>
              <w:rPr>
                <w:rFonts w:ascii="Arial" w:hAnsi="Arial"/>
                <w:sz w:val="20"/>
                <w:szCs w:val="20"/>
              </w:rPr>
            </w:pPr>
            <w:r w:rsidRPr="00F618D8">
              <w:rPr>
                <w:rFonts w:ascii="Arial" w:hAnsi="Arial"/>
                <w:sz w:val="20"/>
                <w:szCs w:val="20"/>
              </w:rPr>
              <w:t>Total Respond.</w:t>
            </w:r>
          </w:p>
        </w:tc>
        <w:tc>
          <w:tcPr>
            <w:tcW w:w="1006" w:type="dxa"/>
            <w:shd w:val="clear" w:color="auto" w:fill="F2DBDB" w:themeFill="accent2" w:themeFillTint="33"/>
          </w:tcPr>
          <w:p w14:paraId="3B01B168" w14:textId="77777777" w:rsidR="002542D3" w:rsidRPr="00F618D8" w:rsidRDefault="002542D3" w:rsidP="00563E66">
            <w:pPr>
              <w:pStyle w:val="TableHeader"/>
              <w:rPr>
                <w:rFonts w:ascii="Arial" w:hAnsi="Arial"/>
                <w:sz w:val="20"/>
                <w:szCs w:val="20"/>
              </w:rPr>
            </w:pPr>
            <w:r w:rsidRPr="00F618D8">
              <w:rPr>
                <w:rFonts w:ascii="Arial" w:hAnsi="Arial"/>
                <w:sz w:val="20"/>
                <w:szCs w:val="20"/>
              </w:rPr>
              <w:t>Annual</w:t>
            </w:r>
          </w:p>
          <w:p w14:paraId="4AFFB354" w14:textId="77777777" w:rsidR="002542D3" w:rsidRPr="00F618D8" w:rsidRDefault="002542D3" w:rsidP="00563E66">
            <w:pPr>
              <w:pStyle w:val="TableHeader"/>
              <w:rPr>
                <w:rFonts w:ascii="Arial" w:hAnsi="Arial"/>
                <w:sz w:val="20"/>
                <w:szCs w:val="20"/>
              </w:rPr>
            </w:pPr>
            <w:r w:rsidRPr="00F618D8">
              <w:rPr>
                <w:rFonts w:ascii="Arial" w:hAnsi="Arial"/>
                <w:sz w:val="20"/>
                <w:szCs w:val="20"/>
              </w:rPr>
              <w:t>Average</w:t>
            </w:r>
          </w:p>
        </w:tc>
      </w:tr>
      <w:tr w:rsidR="002542D3" w:rsidRPr="00F618D8" w14:paraId="523FDBD2" w14:textId="77777777" w:rsidTr="00563E66">
        <w:tc>
          <w:tcPr>
            <w:tcW w:w="917" w:type="dxa"/>
            <w:shd w:val="clear" w:color="auto" w:fill="DBE5F1" w:themeFill="accent1" w:themeFillTint="33"/>
          </w:tcPr>
          <w:p w14:paraId="7266BE45" w14:textId="77777777" w:rsidR="002542D3" w:rsidRPr="00F618D8" w:rsidRDefault="002542D3" w:rsidP="00563E66">
            <w:pPr>
              <w:pStyle w:val="TableBody"/>
              <w:rPr>
                <w:rFonts w:ascii="Arial" w:hAnsi="Arial" w:cs="Arial"/>
                <w:b/>
                <w:sz w:val="20"/>
                <w:szCs w:val="20"/>
              </w:rPr>
            </w:pPr>
            <w:r w:rsidRPr="00F618D8">
              <w:rPr>
                <w:rFonts w:ascii="Arial" w:hAnsi="Arial" w:cs="Arial"/>
                <w:b/>
                <w:sz w:val="20"/>
                <w:szCs w:val="20"/>
              </w:rPr>
              <w:t>Male</w:t>
            </w:r>
          </w:p>
        </w:tc>
        <w:tc>
          <w:tcPr>
            <w:tcW w:w="962" w:type="dxa"/>
          </w:tcPr>
          <w:p w14:paraId="6A9E498F"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44% Y</w:t>
            </w:r>
          </w:p>
          <w:p w14:paraId="5578F3C0"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53% N</w:t>
            </w:r>
          </w:p>
          <w:p w14:paraId="1C2BEFCF"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3% DK</w:t>
            </w:r>
          </w:p>
        </w:tc>
        <w:tc>
          <w:tcPr>
            <w:tcW w:w="980" w:type="dxa"/>
          </w:tcPr>
          <w:p w14:paraId="5C9B909E"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46% Y</w:t>
            </w:r>
          </w:p>
          <w:p w14:paraId="5707F4FC"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52% N</w:t>
            </w:r>
          </w:p>
          <w:p w14:paraId="674E3D7D"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2% DK</w:t>
            </w:r>
          </w:p>
        </w:tc>
        <w:tc>
          <w:tcPr>
            <w:tcW w:w="981" w:type="dxa"/>
          </w:tcPr>
          <w:p w14:paraId="3F99CB5D"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49% Y</w:t>
            </w:r>
          </w:p>
          <w:p w14:paraId="0A1B784B"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50% N</w:t>
            </w:r>
          </w:p>
          <w:p w14:paraId="5AE28FFD"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2% DK</w:t>
            </w:r>
          </w:p>
        </w:tc>
        <w:tc>
          <w:tcPr>
            <w:tcW w:w="981" w:type="dxa"/>
          </w:tcPr>
          <w:p w14:paraId="40BAC656"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53% Y</w:t>
            </w:r>
          </w:p>
          <w:p w14:paraId="58579A85"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46% N</w:t>
            </w:r>
          </w:p>
          <w:p w14:paraId="33CFD2E2"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2% DK</w:t>
            </w:r>
          </w:p>
        </w:tc>
        <w:tc>
          <w:tcPr>
            <w:tcW w:w="981" w:type="dxa"/>
          </w:tcPr>
          <w:p w14:paraId="46D9F787"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44% Y</w:t>
            </w:r>
          </w:p>
          <w:p w14:paraId="32F9BE33"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53% N</w:t>
            </w:r>
          </w:p>
          <w:p w14:paraId="3202814C"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2% DK</w:t>
            </w:r>
          </w:p>
        </w:tc>
        <w:tc>
          <w:tcPr>
            <w:tcW w:w="981" w:type="dxa"/>
          </w:tcPr>
          <w:p w14:paraId="25270120"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50% Y</w:t>
            </w:r>
          </w:p>
          <w:p w14:paraId="6462EB29"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48% N</w:t>
            </w:r>
          </w:p>
          <w:p w14:paraId="41E4691F"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2% DK</w:t>
            </w:r>
          </w:p>
        </w:tc>
        <w:tc>
          <w:tcPr>
            <w:tcW w:w="981" w:type="dxa"/>
          </w:tcPr>
          <w:p w14:paraId="72A1B34F"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50% Y</w:t>
            </w:r>
          </w:p>
          <w:p w14:paraId="4068D0DD"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49% N</w:t>
            </w:r>
          </w:p>
          <w:p w14:paraId="10218F2C"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2% DK</w:t>
            </w:r>
          </w:p>
        </w:tc>
        <w:tc>
          <w:tcPr>
            <w:tcW w:w="981" w:type="dxa"/>
          </w:tcPr>
          <w:p w14:paraId="727E3923"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51% Y</w:t>
            </w:r>
          </w:p>
          <w:p w14:paraId="6F62EFB8"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45% N</w:t>
            </w:r>
          </w:p>
          <w:p w14:paraId="4193575C"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 DK</w:t>
            </w:r>
          </w:p>
        </w:tc>
        <w:tc>
          <w:tcPr>
            <w:tcW w:w="1139" w:type="dxa"/>
          </w:tcPr>
          <w:p w14:paraId="4C8B4574"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65088</w:t>
            </w:r>
          </w:p>
        </w:tc>
        <w:tc>
          <w:tcPr>
            <w:tcW w:w="1006" w:type="dxa"/>
            <w:shd w:val="clear" w:color="auto" w:fill="F2DBDB" w:themeFill="accent2" w:themeFillTint="33"/>
          </w:tcPr>
          <w:p w14:paraId="15F45599" w14:textId="77777777" w:rsidR="002542D3" w:rsidRPr="00F618D8" w:rsidRDefault="002542D3" w:rsidP="00563E66">
            <w:pPr>
              <w:pStyle w:val="TableBody"/>
              <w:rPr>
                <w:rFonts w:ascii="Arial" w:hAnsi="Arial" w:cs="Arial"/>
                <w:b/>
                <w:sz w:val="20"/>
                <w:szCs w:val="20"/>
              </w:rPr>
            </w:pPr>
            <w:r w:rsidRPr="00F618D8">
              <w:rPr>
                <w:rFonts w:ascii="Arial" w:hAnsi="Arial" w:cs="Arial"/>
                <w:b/>
                <w:sz w:val="20"/>
                <w:szCs w:val="20"/>
              </w:rPr>
              <w:t>48% Y</w:t>
            </w:r>
          </w:p>
          <w:p w14:paraId="59849BFB" w14:textId="77777777" w:rsidR="002542D3" w:rsidRPr="00F618D8" w:rsidRDefault="002542D3" w:rsidP="00563E66">
            <w:pPr>
              <w:pStyle w:val="TableBody"/>
              <w:rPr>
                <w:rFonts w:ascii="Arial" w:hAnsi="Arial" w:cs="Arial"/>
                <w:b/>
                <w:sz w:val="20"/>
                <w:szCs w:val="20"/>
              </w:rPr>
            </w:pPr>
            <w:r w:rsidRPr="00F618D8">
              <w:rPr>
                <w:rFonts w:ascii="Arial" w:hAnsi="Arial" w:cs="Arial"/>
                <w:b/>
                <w:sz w:val="20"/>
                <w:szCs w:val="20"/>
              </w:rPr>
              <w:t>50% N</w:t>
            </w:r>
          </w:p>
          <w:p w14:paraId="4F60DE60" w14:textId="77777777" w:rsidR="002542D3" w:rsidRPr="00F618D8" w:rsidRDefault="002542D3" w:rsidP="00563E66">
            <w:pPr>
              <w:pStyle w:val="TableBody"/>
              <w:rPr>
                <w:rFonts w:ascii="Arial" w:hAnsi="Arial" w:cs="Arial"/>
                <w:b/>
                <w:sz w:val="20"/>
                <w:szCs w:val="20"/>
              </w:rPr>
            </w:pPr>
            <w:r w:rsidRPr="00F618D8">
              <w:rPr>
                <w:rFonts w:ascii="Arial" w:hAnsi="Arial" w:cs="Arial"/>
                <w:b/>
                <w:sz w:val="20"/>
                <w:szCs w:val="20"/>
              </w:rPr>
              <w:t>2% DK</w:t>
            </w:r>
          </w:p>
        </w:tc>
      </w:tr>
      <w:tr w:rsidR="002542D3" w:rsidRPr="00F618D8" w14:paraId="4838BC80" w14:textId="77777777" w:rsidTr="00563E66">
        <w:tc>
          <w:tcPr>
            <w:tcW w:w="917" w:type="dxa"/>
            <w:shd w:val="clear" w:color="auto" w:fill="DBE5F1" w:themeFill="accent1" w:themeFillTint="33"/>
          </w:tcPr>
          <w:p w14:paraId="76E0E40C" w14:textId="77777777" w:rsidR="002542D3" w:rsidRPr="00F618D8" w:rsidRDefault="002542D3" w:rsidP="00563E66">
            <w:pPr>
              <w:pStyle w:val="TableBody"/>
              <w:rPr>
                <w:rFonts w:ascii="Arial" w:hAnsi="Arial" w:cs="Arial"/>
                <w:b/>
                <w:sz w:val="20"/>
                <w:szCs w:val="20"/>
              </w:rPr>
            </w:pPr>
            <w:r w:rsidRPr="00F618D8">
              <w:rPr>
                <w:rFonts w:ascii="Arial" w:hAnsi="Arial" w:cs="Arial"/>
                <w:b/>
                <w:sz w:val="20"/>
                <w:szCs w:val="20"/>
              </w:rPr>
              <w:t>Female</w:t>
            </w:r>
          </w:p>
        </w:tc>
        <w:tc>
          <w:tcPr>
            <w:tcW w:w="962" w:type="dxa"/>
          </w:tcPr>
          <w:p w14:paraId="2C999B9E"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46% Y</w:t>
            </w:r>
          </w:p>
          <w:p w14:paraId="1BF3CE99"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51% N</w:t>
            </w:r>
          </w:p>
          <w:p w14:paraId="73498105"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2% DK</w:t>
            </w:r>
          </w:p>
        </w:tc>
        <w:tc>
          <w:tcPr>
            <w:tcW w:w="980" w:type="dxa"/>
          </w:tcPr>
          <w:p w14:paraId="65E79AEB"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47% Y</w:t>
            </w:r>
          </w:p>
          <w:p w14:paraId="012F1E30"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51% N</w:t>
            </w:r>
          </w:p>
          <w:p w14:paraId="07A5D1BC"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2% DK</w:t>
            </w:r>
          </w:p>
        </w:tc>
        <w:tc>
          <w:tcPr>
            <w:tcW w:w="981" w:type="dxa"/>
          </w:tcPr>
          <w:p w14:paraId="7F6BD8E9"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48% Y</w:t>
            </w:r>
          </w:p>
          <w:p w14:paraId="676D5026"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50% N</w:t>
            </w:r>
          </w:p>
          <w:p w14:paraId="67A8C0CE"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2% DK</w:t>
            </w:r>
          </w:p>
        </w:tc>
        <w:tc>
          <w:tcPr>
            <w:tcW w:w="981" w:type="dxa"/>
          </w:tcPr>
          <w:p w14:paraId="4FF99A78"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54% Y</w:t>
            </w:r>
          </w:p>
          <w:p w14:paraId="35A7BC32"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45% N</w:t>
            </w:r>
          </w:p>
          <w:p w14:paraId="7EEB9264"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2% DK</w:t>
            </w:r>
          </w:p>
        </w:tc>
        <w:tc>
          <w:tcPr>
            <w:tcW w:w="981" w:type="dxa"/>
          </w:tcPr>
          <w:p w14:paraId="2E5C0A6E"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54% Y</w:t>
            </w:r>
          </w:p>
          <w:p w14:paraId="1C08DA6E"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45% N</w:t>
            </w:r>
          </w:p>
          <w:p w14:paraId="1AB077D8"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2% DK</w:t>
            </w:r>
          </w:p>
        </w:tc>
        <w:tc>
          <w:tcPr>
            <w:tcW w:w="981" w:type="dxa"/>
          </w:tcPr>
          <w:p w14:paraId="7EF250B0"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45% Y</w:t>
            </w:r>
          </w:p>
          <w:p w14:paraId="310E6B1F"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52% N</w:t>
            </w:r>
          </w:p>
          <w:p w14:paraId="11304F6B"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5% DK</w:t>
            </w:r>
          </w:p>
        </w:tc>
        <w:tc>
          <w:tcPr>
            <w:tcW w:w="981" w:type="dxa"/>
          </w:tcPr>
          <w:p w14:paraId="05637678"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49% Y</w:t>
            </w:r>
          </w:p>
          <w:p w14:paraId="53C48EB8"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47% No 4% DK</w:t>
            </w:r>
          </w:p>
        </w:tc>
        <w:tc>
          <w:tcPr>
            <w:tcW w:w="981" w:type="dxa"/>
          </w:tcPr>
          <w:p w14:paraId="36A3FA5E"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51% Y</w:t>
            </w:r>
          </w:p>
          <w:p w14:paraId="4BC8B39A"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45% N</w:t>
            </w:r>
          </w:p>
          <w:p w14:paraId="6D9EF169"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3% DK</w:t>
            </w:r>
          </w:p>
        </w:tc>
        <w:tc>
          <w:tcPr>
            <w:tcW w:w="1139" w:type="dxa"/>
          </w:tcPr>
          <w:p w14:paraId="05A03A84" w14:textId="77777777" w:rsidR="002542D3" w:rsidRPr="00F618D8" w:rsidRDefault="002542D3" w:rsidP="00563E66">
            <w:pPr>
              <w:pStyle w:val="TableBody"/>
              <w:rPr>
                <w:rFonts w:ascii="Arial" w:hAnsi="Arial" w:cs="Arial"/>
                <w:sz w:val="20"/>
                <w:szCs w:val="20"/>
              </w:rPr>
            </w:pPr>
            <w:r w:rsidRPr="00F618D8">
              <w:rPr>
                <w:rFonts w:ascii="Arial" w:hAnsi="Arial" w:cs="Arial"/>
                <w:sz w:val="20"/>
                <w:szCs w:val="20"/>
              </w:rPr>
              <w:t>48657</w:t>
            </w:r>
          </w:p>
        </w:tc>
        <w:tc>
          <w:tcPr>
            <w:tcW w:w="1006" w:type="dxa"/>
            <w:shd w:val="clear" w:color="auto" w:fill="F2DBDB" w:themeFill="accent2" w:themeFillTint="33"/>
          </w:tcPr>
          <w:p w14:paraId="6EF186AF" w14:textId="77777777" w:rsidR="002542D3" w:rsidRPr="00F618D8" w:rsidRDefault="002542D3" w:rsidP="00563E66">
            <w:pPr>
              <w:pStyle w:val="TableBody"/>
              <w:rPr>
                <w:rFonts w:ascii="Arial" w:hAnsi="Arial" w:cs="Arial"/>
                <w:b/>
                <w:sz w:val="20"/>
                <w:szCs w:val="20"/>
              </w:rPr>
            </w:pPr>
            <w:r w:rsidRPr="00F618D8">
              <w:rPr>
                <w:rFonts w:ascii="Arial" w:hAnsi="Arial" w:cs="Arial"/>
                <w:b/>
                <w:sz w:val="20"/>
                <w:szCs w:val="20"/>
              </w:rPr>
              <w:t>49% Y</w:t>
            </w:r>
          </w:p>
          <w:p w14:paraId="42C8D246" w14:textId="77777777" w:rsidR="002542D3" w:rsidRPr="00F618D8" w:rsidRDefault="002542D3" w:rsidP="00563E66">
            <w:pPr>
              <w:pStyle w:val="TableBody"/>
              <w:rPr>
                <w:rFonts w:ascii="Arial" w:hAnsi="Arial" w:cs="Arial"/>
                <w:b/>
                <w:sz w:val="20"/>
                <w:szCs w:val="20"/>
              </w:rPr>
            </w:pPr>
            <w:r w:rsidRPr="00F618D8">
              <w:rPr>
                <w:rFonts w:ascii="Arial" w:hAnsi="Arial" w:cs="Arial"/>
                <w:b/>
                <w:sz w:val="20"/>
                <w:szCs w:val="20"/>
              </w:rPr>
              <w:t>48% N</w:t>
            </w:r>
          </w:p>
          <w:p w14:paraId="2D379415" w14:textId="77777777" w:rsidR="002542D3" w:rsidRPr="00F618D8" w:rsidRDefault="002542D3" w:rsidP="00563E66">
            <w:pPr>
              <w:pStyle w:val="TableBody"/>
              <w:rPr>
                <w:rFonts w:ascii="Arial" w:hAnsi="Arial" w:cs="Arial"/>
                <w:b/>
                <w:sz w:val="20"/>
                <w:szCs w:val="20"/>
              </w:rPr>
            </w:pPr>
            <w:r w:rsidRPr="00F618D8">
              <w:rPr>
                <w:rFonts w:ascii="Arial" w:hAnsi="Arial" w:cs="Arial"/>
                <w:b/>
                <w:sz w:val="20"/>
                <w:szCs w:val="20"/>
              </w:rPr>
              <w:t>2% DK</w:t>
            </w:r>
          </w:p>
        </w:tc>
      </w:tr>
    </w:tbl>
    <w:p w14:paraId="066D5053" w14:textId="77777777" w:rsidR="00E120FF" w:rsidRPr="00F618D8" w:rsidRDefault="00E120FF" w:rsidP="00E120FF">
      <w:pPr>
        <w:pStyle w:val="Heading2"/>
        <w:rPr>
          <w:rFonts w:ascii="Arial" w:hAnsi="Arial" w:cs="Arial"/>
        </w:rPr>
      </w:pPr>
    </w:p>
    <w:p w14:paraId="4EFDD0AD" w14:textId="1818B1E5" w:rsidR="002542D3" w:rsidRPr="00F618D8" w:rsidRDefault="002542D3" w:rsidP="00E120FF">
      <w:pPr>
        <w:pStyle w:val="Heading2"/>
        <w:rPr>
          <w:rFonts w:ascii="Arial" w:hAnsi="Arial" w:cs="Arial"/>
        </w:rPr>
      </w:pPr>
      <w:bookmarkStart w:id="152" w:name="_Toc10290999"/>
      <w:r w:rsidRPr="00F618D8">
        <w:rPr>
          <w:rFonts w:ascii="Arial" w:hAnsi="Arial" w:cs="Arial"/>
        </w:rPr>
        <w:t>Table 3: Race/Ethnicity &amp; Guardianship Status</w:t>
      </w:r>
      <w:bookmarkEnd w:id="152"/>
    </w:p>
    <w:tbl>
      <w:tblPr>
        <w:tblStyle w:val="TableGrid3"/>
        <w:tblW w:w="11070" w:type="dxa"/>
        <w:tblInd w:w="-725" w:type="dxa"/>
        <w:tblLayout w:type="fixed"/>
        <w:tblLook w:val="04A0" w:firstRow="1" w:lastRow="0" w:firstColumn="1" w:lastColumn="0" w:noHBand="0" w:noVBand="1"/>
        <w:tblCaption w:val=" , "/>
      </w:tblPr>
      <w:tblGrid>
        <w:gridCol w:w="1170"/>
        <w:gridCol w:w="990"/>
        <w:gridCol w:w="990"/>
        <w:gridCol w:w="990"/>
        <w:gridCol w:w="1080"/>
        <w:gridCol w:w="990"/>
        <w:gridCol w:w="990"/>
        <w:gridCol w:w="990"/>
        <w:gridCol w:w="990"/>
        <w:gridCol w:w="810"/>
        <w:gridCol w:w="1080"/>
      </w:tblGrid>
      <w:tr w:rsidR="002542D3" w:rsidRPr="00F618D8" w14:paraId="7C23FDCA" w14:textId="77777777" w:rsidTr="006B20FF">
        <w:trPr>
          <w:tblHeader/>
        </w:trPr>
        <w:tc>
          <w:tcPr>
            <w:tcW w:w="1170" w:type="dxa"/>
            <w:shd w:val="clear" w:color="auto" w:fill="DBE5F1" w:themeFill="accent1" w:themeFillTint="33"/>
          </w:tcPr>
          <w:p w14:paraId="4FECC175" w14:textId="77777777" w:rsidR="002542D3" w:rsidRPr="00F618D8" w:rsidRDefault="002542D3" w:rsidP="00E120FF">
            <w:pPr>
              <w:pStyle w:val="TableHeader"/>
              <w:rPr>
                <w:rFonts w:ascii="Arial" w:hAnsi="Arial"/>
                <w:sz w:val="20"/>
                <w:szCs w:val="20"/>
              </w:rPr>
            </w:pPr>
            <w:r w:rsidRPr="00F618D8">
              <w:rPr>
                <w:rFonts w:ascii="Arial" w:hAnsi="Arial"/>
                <w:sz w:val="20"/>
                <w:szCs w:val="20"/>
              </w:rPr>
              <w:t>Race/</w:t>
            </w:r>
          </w:p>
          <w:p w14:paraId="48C67826" w14:textId="77777777" w:rsidR="002542D3" w:rsidRPr="00F618D8" w:rsidRDefault="002542D3" w:rsidP="00E120FF">
            <w:pPr>
              <w:pStyle w:val="TableHeader"/>
              <w:rPr>
                <w:rFonts w:ascii="Arial" w:hAnsi="Arial"/>
                <w:sz w:val="20"/>
                <w:szCs w:val="20"/>
              </w:rPr>
            </w:pPr>
            <w:r w:rsidRPr="00F618D8">
              <w:rPr>
                <w:rFonts w:ascii="Arial" w:hAnsi="Arial"/>
                <w:sz w:val="20"/>
                <w:szCs w:val="20"/>
              </w:rPr>
              <w:t>Ethnicity</w:t>
            </w:r>
          </w:p>
        </w:tc>
        <w:tc>
          <w:tcPr>
            <w:tcW w:w="990" w:type="dxa"/>
            <w:shd w:val="clear" w:color="auto" w:fill="DBE5F1" w:themeFill="accent1" w:themeFillTint="33"/>
          </w:tcPr>
          <w:p w14:paraId="00FC310F" w14:textId="77777777" w:rsidR="002542D3" w:rsidRPr="00F618D8" w:rsidRDefault="002542D3" w:rsidP="00E120FF">
            <w:pPr>
              <w:pStyle w:val="TableHeader"/>
              <w:rPr>
                <w:rFonts w:ascii="Arial" w:hAnsi="Arial"/>
                <w:sz w:val="20"/>
                <w:szCs w:val="20"/>
              </w:rPr>
            </w:pPr>
            <w:r w:rsidRPr="00F618D8">
              <w:rPr>
                <w:rFonts w:ascii="Arial" w:hAnsi="Arial"/>
                <w:sz w:val="20"/>
                <w:szCs w:val="20"/>
              </w:rPr>
              <w:t>2008-09</w:t>
            </w:r>
          </w:p>
        </w:tc>
        <w:tc>
          <w:tcPr>
            <w:tcW w:w="990" w:type="dxa"/>
            <w:shd w:val="clear" w:color="auto" w:fill="DBE5F1" w:themeFill="accent1" w:themeFillTint="33"/>
          </w:tcPr>
          <w:p w14:paraId="65F2CB76" w14:textId="77777777" w:rsidR="002542D3" w:rsidRPr="00F618D8" w:rsidRDefault="002542D3" w:rsidP="00E120FF">
            <w:pPr>
              <w:pStyle w:val="TableHeader"/>
              <w:rPr>
                <w:rFonts w:ascii="Arial" w:hAnsi="Arial"/>
                <w:sz w:val="20"/>
                <w:szCs w:val="20"/>
              </w:rPr>
            </w:pPr>
            <w:r w:rsidRPr="00F618D8">
              <w:rPr>
                <w:rFonts w:ascii="Arial" w:hAnsi="Arial"/>
                <w:sz w:val="20"/>
                <w:szCs w:val="20"/>
              </w:rPr>
              <w:t>2009-10</w:t>
            </w:r>
          </w:p>
        </w:tc>
        <w:tc>
          <w:tcPr>
            <w:tcW w:w="990" w:type="dxa"/>
            <w:shd w:val="clear" w:color="auto" w:fill="DBE5F1" w:themeFill="accent1" w:themeFillTint="33"/>
          </w:tcPr>
          <w:p w14:paraId="2E7464DB" w14:textId="77777777" w:rsidR="002542D3" w:rsidRPr="00F618D8" w:rsidRDefault="002542D3" w:rsidP="00E120FF">
            <w:pPr>
              <w:pStyle w:val="TableHeader"/>
              <w:rPr>
                <w:rFonts w:ascii="Arial" w:hAnsi="Arial"/>
                <w:sz w:val="20"/>
                <w:szCs w:val="20"/>
              </w:rPr>
            </w:pPr>
            <w:r w:rsidRPr="00F618D8">
              <w:rPr>
                <w:rFonts w:ascii="Arial" w:hAnsi="Arial"/>
                <w:sz w:val="20"/>
                <w:szCs w:val="20"/>
              </w:rPr>
              <w:t>2010-11</w:t>
            </w:r>
          </w:p>
        </w:tc>
        <w:tc>
          <w:tcPr>
            <w:tcW w:w="1080" w:type="dxa"/>
            <w:shd w:val="clear" w:color="auto" w:fill="DBE5F1" w:themeFill="accent1" w:themeFillTint="33"/>
          </w:tcPr>
          <w:p w14:paraId="424DF595" w14:textId="77777777" w:rsidR="002542D3" w:rsidRPr="00F618D8" w:rsidRDefault="002542D3" w:rsidP="00E120FF">
            <w:pPr>
              <w:pStyle w:val="TableHeader"/>
              <w:rPr>
                <w:rFonts w:ascii="Arial" w:hAnsi="Arial"/>
                <w:sz w:val="20"/>
                <w:szCs w:val="20"/>
              </w:rPr>
            </w:pPr>
            <w:r w:rsidRPr="00F618D8">
              <w:rPr>
                <w:rFonts w:ascii="Arial" w:hAnsi="Arial"/>
                <w:sz w:val="20"/>
                <w:szCs w:val="20"/>
              </w:rPr>
              <w:t>2011-12</w:t>
            </w:r>
          </w:p>
        </w:tc>
        <w:tc>
          <w:tcPr>
            <w:tcW w:w="990" w:type="dxa"/>
            <w:shd w:val="clear" w:color="auto" w:fill="DBE5F1" w:themeFill="accent1" w:themeFillTint="33"/>
          </w:tcPr>
          <w:p w14:paraId="43D32EAB" w14:textId="77777777" w:rsidR="002542D3" w:rsidRPr="00F618D8" w:rsidRDefault="002542D3" w:rsidP="00E120FF">
            <w:pPr>
              <w:pStyle w:val="TableHeader"/>
              <w:rPr>
                <w:rFonts w:ascii="Arial" w:hAnsi="Arial"/>
                <w:sz w:val="20"/>
                <w:szCs w:val="20"/>
              </w:rPr>
            </w:pPr>
            <w:r w:rsidRPr="00F618D8">
              <w:rPr>
                <w:rFonts w:ascii="Arial" w:hAnsi="Arial"/>
                <w:sz w:val="20"/>
                <w:szCs w:val="20"/>
              </w:rPr>
              <w:t>2012-13</w:t>
            </w:r>
          </w:p>
        </w:tc>
        <w:tc>
          <w:tcPr>
            <w:tcW w:w="990" w:type="dxa"/>
            <w:shd w:val="clear" w:color="auto" w:fill="DBE5F1" w:themeFill="accent1" w:themeFillTint="33"/>
          </w:tcPr>
          <w:p w14:paraId="17B23249" w14:textId="77777777" w:rsidR="002542D3" w:rsidRPr="00F618D8" w:rsidRDefault="002542D3" w:rsidP="00E120FF">
            <w:pPr>
              <w:pStyle w:val="TableHeader"/>
              <w:rPr>
                <w:rFonts w:ascii="Arial" w:hAnsi="Arial"/>
                <w:sz w:val="20"/>
                <w:szCs w:val="20"/>
              </w:rPr>
            </w:pPr>
            <w:r w:rsidRPr="00F618D8">
              <w:rPr>
                <w:rFonts w:ascii="Arial" w:hAnsi="Arial"/>
                <w:sz w:val="20"/>
                <w:szCs w:val="20"/>
              </w:rPr>
              <w:t>2013-14</w:t>
            </w:r>
          </w:p>
        </w:tc>
        <w:tc>
          <w:tcPr>
            <w:tcW w:w="990" w:type="dxa"/>
            <w:shd w:val="clear" w:color="auto" w:fill="DBE5F1" w:themeFill="accent1" w:themeFillTint="33"/>
          </w:tcPr>
          <w:p w14:paraId="2A3FDE08" w14:textId="77777777" w:rsidR="002542D3" w:rsidRPr="00F618D8" w:rsidRDefault="002542D3" w:rsidP="00E120FF">
            <w:pPr>
              <w:pStyle w:val="TableHeader"/>
              <w:rPr>
                <w:rFonts w:ascii="Arial" w:hAnsi="Arial"/>
                <w:sz w:val="20"/>
                <w:szCs w:val="20"/>
              </w:rPr>
            </w:pPr>
            <w:r w:rsidRPr="00F618D8">
              <w:rPr>
                <w:rFonts w:ascii="Arial" w:hAnsi="Arial"/>
                <w:sz w:val="20"/>
                <w:szCs w:val="20"/>
              </w:rPr>
              <w:t>2014-15</w:t>
            </w:r>
          </w:p>
        </w:tc>
        <w:tc>
          <w:tcPr>
            <w:tcW w:w="990" w:type="dxa"/>
            <w:shd w:val="clear" w:color="auto" w:fill="DBE5F1" w:themeFill="accent1" w:themeFillTint="33"/>
          </w:tcPr>
          <w:p w14:paraId="6F35A5A1" w14:textId="77777777" w:rsidR="002542D3" w:rsidRPr="00F618D8" w:rsidRDefault="002542D3" w:rsidP="00E120FF">
            <w:pPr>
              <w:pStyle w:val="TableHeader"/>
              <w:rPr>
                <w:rFonts w:ascii="Arial" w:hAnsi="Arial"/>
                <w:sz w:val="20"/>
                <w:szCs w:val="20"/>
              </w:rPr>
            </w:pPr>
            <w:r w:rsidRPr="00F618D8">
              <w:rPr>
                <w:rFonts w:ascii="Arial" w:hAnsi="Arial"/>
                <w:sz w:val="20"/>
                <w:szCs w:val="20"/>
              </w:rPr>
              <w:t>2015-16</w:t>
            </w:r>
          </w:p>
        </w:tc>
        <w:tc>
          <w:tcPr>
            <w:tcW w:w="810" w:type="dxa"/>
            <w:shd w:val="clear" w:color="auto" w:fill="DBE5F1" w:themeFill="accent1" w:themeFillTint="33"/>
          </w:tcPr>
          <w:p w14:paraId="782011B0" w14:textId="77777777" w:rsidR="002542D3" w:rsidRPr="00F618D8" w:rsidRDefault="002542D3" w:rsidP="00E120FF">
            <w:pPr>
              <w:pStyle w:val="TableHeader"/>
              <w:rPr>
                <w:rFonts w:ascii="Arial" w:hAnsi="Arial"/>
                <w:sz w:val="20"/>
                <w:szCs w:val="20"/>
              </w:rPr>
            </w:pPr>
            <w:r w:rsidRPr="00F618D8">
              <w:rPr>
                <w:rFonts w:ascii="Arial" w:hAnsi="Arial"/>
                <w:sz w:val="20"/>
                <w:szCs w:val="20"/>
              </w:rPr>
              <w:t>Total Respond</w:t>
            </w:r>
          </w:p>
        </w:tc>
        <w:tc>
          <w:tcPr>
            <w:tcW w:w="1080" w:type="dxa"/>
            <w:shd w:val="clear" w:color="auto" w:fill="F2DBDB"/>
          </w:tcPr>
          <w:p w14:paraId="0153850D" w14:textId="77777777" w:rsidR="002542D3" w:rsidRPr="00F618D8" w:rsidRDefault="002542D3" w:rsidP="00E120FF">
            <w:pPr>
              <w:pStyle w:val="TableHeader"/>
              <w:rPr>
                <w:rFonts w:ascii="Arial" w:hAnsi="Arial"/>
                <w:sz w:val="20"/>
                <w:szCs w:val="20"/>
              </w:rPr>
            </w:pPr>
            <w:r w:rsidRPr="00F618D8">
              <w:rPr>
                <w:rFonts w:ascii="Arial" w:hAnsi="Arial"/>
                <w:sz w:val="20"/>
                <w:szCs w:val="20"/>
              </w:rPr>
              <w:t>Annual Average</w:t>
            </w:r>
          </w:p>
        </w:tc>
      </w:tr>
      <w:tr w:rsidR="002542D3" w:rsidRPr="00F618D8" w14:paraId="31808667" w14:textId="77777777" w:rsidTr="00AA1F92">
        <w:tc>
          <w:tcPr>
            <w:tcW w:w="1170" w:type="dxa"/>
            <w:shd w:val="clear" w:color="auto" w:fill="DBE5F1" w:themeFill="accent1" w:themeFillTint="33"/>
          </w:tcPr>
          <w:p w14:paraId="0BCC25D3"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American Indian or Alaska Native</w:t>
            </w:r>
          </w:p>
        </w:tc>
        <w:tc>
          <w:tcPr>
            <w:tcW w:w="990" w:type="dxa"/>
            <w:shd w:val="clear" w:color="auto" w:fill="auto"/>
          </w:tcPr>
          <w:p w14:paraId="31D3BCD6"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auto"/>
          </w:tcPr>
          <w:p w14:paraId="23002587"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47% Y</w:t>
            </w:r>
          </w:p>
          <w:p w14:paraId="57AC5FF8"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51% N</w:t>
            </w:r>
          </w:p>
          <w:p w14:paraId="0AEA8237"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 DK</w:t>
            </w:r>
          </w:p>
        </w:tc>
        <w:tc>
          <w:tcPr>
            <w:tcW w:w="990" w:type="dxa"/>
            <w:shd w:val="clear" w:color="auto" w:fill="auto"/>
          </w:tcPr>
          <w:p w14:paraId="619238A4"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54% Y</w:t>
            </w:r>
          </w:p>
          <w:p w14:paraId="4193E26A"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41% N</w:t>
            </w:r>
          </w:p>
          <w:p w14:paraId="6161D97E"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 DK</w:t>
            </w:r>
          </w:p>
        </w:tc>
        <w:tc>
          <w:tcPr>
            <w:tcW w:w="1080" w:type="dxa"/>
            <w:shd w:val="clear" w:color="auto" w:fill="auto"/>
          </w:tcPr>
          <w:p w14:paraId="01E1A094"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71% Y</w:t>
            </w:r>
          </w:p>
          <w:p w14:paraId="47D9ED29"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29% N</w:t>
            </w:r>
          </w:p>
          <w:p w14:paraId="0E6C1BDC"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auto"/>
          </w:tcPr>
          <w:p w14:paraId="647588DB"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auto"/>
          </w:tcPr>
          <w:p w14:paraId="0C1033C5"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83% Y</w:t>
            </w:r>
          </w:p>
          <w:p w14:paraId="649EC9DB"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19% N</w:t>
            </w:r>
          </w:p>
          <w:p w14:paraId="3AB2C6BA"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 DK</w:t>
            </w:r>
          </w:p>
        </w:tc>
        <w:tc>
          <w:tcPr>
            <w:tcW w:w="990" w:type="dxa"/>
            <w:shd w:val="clear" w:color="auto" w:fill="auto"/>
          </w:tcPr>
          <w:p w14:paraId="777EA42F"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auto"/>
          </w:tcPr>
          <w:p w14:paraId="506D9E60"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69% Y</w:t>
            </w:r>
          </w:p>
          <w:p w14:paraId="1861BA18"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31% N</w:t>
            </w:r>
          </w:p>
          <w:p w14:paraId="782CEFCD"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0% DK</w:t>
            </w:r>
          </w:p>
        </w:tc>
        <w:tc>
          <w:tcPr>
            <w:tcW w:w="810" w:type="dxa"/>
            <w:shd w:val="clear" w:color="auto" w:fill="auto"/>
          </w:tcPr>
          <w:p w14:paraId="6EF87771"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2128</w:t>
            </w:r>
          </w:p>
        </w:tc>
        <w:tc>
          <w:tcPr>
            <w:tcW w:w="1080" w:type="dxa"/>
            <w:shd w:val="clear" w:color="auto" w:fill="F2DBDB"/>
          </w:tcPr>
          <w:p w14:paraId="4D0B2083"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65% Y</w:t>
            </w:r>
          </w:p>
          <w:p w14:paraId="3EEB222C"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34% N</w:t>
            </w:r>
          </w:p>
          <w:p w14:paraId="5D8AD0FE"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3% DK</w:t>
            </w:r>
          </w:p>
        </w:tc>
      </w:tr>
      <w:tr w:rsidR="002542D3" w:rsidRPr="00F618D8" w14:paraId="47A3B645" w14:textId="77777777" w:rsidTr="00AA1F92">
        <w:tc>
          <w:tcPr>
            <w:tcW w:w="1170" w:type="dxa"/>
            <w:shd w:val="clear" w:color="auto" w:fill="DBE5F1" w:themeFill="accent1" w:themeFillTint="33"/>
          </w:tcPr>
          <w:p w14:paraId="2AB0E700"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Asian</w:t>
            </w:r>
          </w:p>
        </w:tc>
        <w:tc>
          <w:tcPr>
            <w:tcW w:w="990" w:type="dxa"/>
            <w:shd w:val="clear" w:color="auto" w:fill="auto"/>
          </w:tcPr>
          <w:p w14:paraId="5F9AACB6"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52% Y</w:t>
            </w:r>
          </w:p>
          <w:p w14:paraId="4BE0A76B"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lastRenderedPageBreak/>
              <w:t>35% N</w:t>
            </w:r>
          </w:p>
          <w:p w14:paraId="0483A3E5"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13% DK</w:t>
            </w:r>
          </w:p>
        </w:tc>
        <w:tc>
          <w:tcPr>
            <w:tcW w:w="990" w:type="dxa"/>
            <w:shd w:val="clear" w:color="auto" w:fill="auto"/>
          </w:tcPr>
          <w:p w14:paraId="49332A82"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lastRenderedPageBreak/>
              <w:t>0% Y</w:t>
            </w:r>
          </w:p>
          <w:p w14:paraId="4AF29E69"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lastRenderedPageBreak/>
              <w:t>100% N</w:t>
            </w:r>
          </w:p>
          <w:p w14:paraId="58B3EC2C"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auto"/>
          </w:tcPr>
          <w:p w14:paraId="09783F83"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lastRenderedPageBreak/>
              <w:t>N/A</w:t>
            </w:r>
          </w:p>
        </w:tc>
        <w:tc>
          <w:tcPr>
            <w:tcW w:w="1080" w:type="dxa"/>
            <w:shd w:val="clear" w:color="auto" w:fill="auto"/>
          </w:tcPr>
          <w:p w14:paraId="65292ACD"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57% Y</w:t>
            </w:r>
          </w:p>
          <w:p w14:paraId="775BECBC"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lastRenderedPageBreak/>
              <w:t>35% N</w:t>
            </w:r>
          </w:p>
          <w:p w14:paraId="1C95E894"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8% DK</w:t>
            </w:r>
          </w:p>
        </w:tc>
        <w:tc>
          <w:tcPr>
            <w:tcW w:w="990" w:type="dxa"/>
            <w:shd w:val="clear" w:color="auto" w:fill="auto"/>
          </w:tcPr>
          <w:p w14:paraId="3E08280B"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lastRenderedPageBreak/>
              <w:t>80% Y</w:t>
            </w:r>
          </w:p>
          <w:p w14:paraId="59F50343"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lastRenderedPageBreak/>
              <w:t>21% N</w:t>
            </w:r>
          </w:p>
          <w:p w14:paraId="278B164E"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auto"/>
          </w:tcPr>
          <w:p w14:paraId="1DE37692"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lastRenderedPageBreak/>
              <w:t>71% Y</w:t>
            </w:r>
          </w:p>
          <w:p w14:paraId="3A487669"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lastRenderedPageBreak/>
              <w:t>29% N</w:t>
            </w:r>
          </w:p>
          <w:p w14:paraId="08F37CE7"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auto"/>
          </w:tcPr>
          <w:p w14:paraId="000B6CD5"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lastRenderedPageBreak/>
              <w:t>56% Y</w:t>
            </w:r>
          </w:p>
          <w:p w14:paraId="515AE2B9"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lastRenderedPageBreak/>
              <w:t>41% N</w:t>
            </w:r>
          </w:p>
          <w:p w14:paraId="26B8A7A8"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 DK</w:t>
            </w:r>
          </w:p>
        </w:tc>
        <w:tc>
          <w:tcPr>
            <w:tcW w:w="990" w:type="dxa"/>
            <w:shd w:val="clear" w:color="auto" w:fill="auto"/>
          </w:tcPr>
          <w:p w14:paraId="15048DFC"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lastRenderedPageBreak/>
              <w:t>56% Y</w:t>
            </w:r>
          </w:p>
          <w:p w14:paraId="6AC7A7A1"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lastRenderedPageBreak/>
              <w:t>44% N</w:t>
            </w:r>
          </w:p>
          <w:p w14:paraId="0876B657"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1% DK</w:t>
            </w:r>
          </w:p>
        </w:tc>
        <w:tc>
          <w:tcPr>
            <w:tcW w:w="810" w:type="dxa"/>
            <w:shd w:val="clear" w:color="auto" w:fill="auto"/>
          </w:tcPr>
          <w:p w14:paraId="4D3DDBFB"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lastRenderedPageBreak/>
              <w:t>1686</w:t>
            </w:r>
          </w:p>
        </w:tc>
        <w:tc>
          <w:tcPr>
            <w:tcW w:w="1080" w:type="dxa"/>
            <w:shd w:val="clear" w:color="auto" w:fill="F2DBDB"/>
          </w:tcPr>
          <w:p w14:paraId="592D04BF"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53% Y</w:t>
            </w:r>
          </w:p>
          <w:p w14:paraId="2F1C080D"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lastRenderedPageBreak/>
              <w:t>44% N</w:t>
            </w:r>
          </w:p>
          <w:p w14:paraId="616DAD71"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4% DK</w:t>
            </w:r>
          </w:p>
        </w:tc>
      </w:tr>
      <w:tr w:rsidR="002542D3" w:rsidRPr="00F618D8" w14:paraId="0584DEBE" w14:textId="77777777" w:rsidTr="00AA1F92">
        <w:tc>
          <w:tcPr>
            <w:tcW w:w="1170" w:type="dxa"/>
            <w:shd w:val="clear" w:color="auto" w:fill="DBE5F1" w:themeFill="accent1" w:themeFillTint="33"/>
          </w:tcPr>
          <w:p w14:paraId="6E945652"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lastRenderedPageBreak/>
              <w:t>Black/</w:t>
            </w:r>
          </w:p>
          <w:p w14:paraId="4BC07F26"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African American</w:t>
            </w:r>
          </w:p>
        </w:tc>
        <w:tc>
          <w:tcPr>
            <w:tcW w:w="990" w:type="dxa"/>
            <w:shd w:val="clear" w:color="auto" w:fill="auto"/>
          </w:tcPr>
          <w:p w14:paraId="32DABC48"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38% Y</w:t>
            </w:r>
          </w:p>
          <w:p w14:paraId="0C75EA14"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59% N</w:t>
            </w:r>
          </w:p>
          <w:p w14:paraId="22A1C587"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 DK</w:t>
            </w:r>
          </w:p>
        </w:tc>
        <w:tc>
          <w:tcPr>
            <w:tcW w:w="990" w:type="dxa"/>
            <w:shd w:val="clear" w:color="auto" w:fill="auto"/>
          </w:tcPr>
          <w:p w14:paraId="332391BA"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39% Y</w:t>
            </w:r>
          </w:p>
          <w:p w14:paraId="769A638F"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57% N</w:t>
            </w:r>
          </w:p>
          <w:p w14:paraId="1BEA60BC"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 DK</w:t>
            </w:r>
          </w:p>
        </w:tc>
        <w:tc>
          <w:tcPr>
            <w:tcW w:w="990" w:type="dxa"/>
            <w:shd w:val="clear" w:color="auto" w:fill="auto"/>
          </w:tcPr>
          <w:p w14:paraId="098DC279"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36% Y</w:t>
            </w:r>
          </w:p>
          <w:p w14:paraId="1E6A5BF3"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61% N</w:t>
            </w:r>
          </w:p>
          <w:p w14:paraId="71563165"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 DK</w:t>
            </w:r>
          </w:p>
        </w:tc>
        <w:tc>
          <w:tcPr>
            <w:tcW w:w="1080" w:type="dxa"/>
            <w:shd w:val="clear" w:color="auto" w:fill="auto"/>
          </w:tcPr>
          <w:p w14:paraId="12B1F1C5"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44% Y</w:t>
            </w:r>
          </w:p>
          <w:p w14:paraId="4F94D2A1"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54% N</w:t>
            </w:r>
          </w:p>
          <w:p w14:paraId="1B614FF2"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 DK</w:t>
            </w:r>
          </w:p>
        </w:tc>
        <w:tc>
          <w:tcPr>
            <w:tcW w:w="990" w:type="dxa"/>
            <w:shd w:val="clear" w:color="auto" w:fill="auto"/>
          </w:tcPr>
          <w:p w14:paraId="7F44A823"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35% Y</w:t>
            </w:r>
          </w:p>
          <w:p w14:paraId="07F353E2"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62% N</w:t>
            </w:r>
          </w:p>
          <w:p w14:paraId="1CE5C0AC"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 DK</w:t>
            </w:r>
          </w:p>
        </w:tc>
        <w:tc>
          <w:tcPr>
            <w:tcW w:w="990" w:type="dxa"/>
            <w:shd w:val="clear" w:color="auto" w:fill="auto"/>
          </w:tcPr>
          <w:p w14:paraId="351D4979"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40% Y</w:t>
            </w:r>
          </w:p>
          <w:p w14:paraId="3F986945"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57% N</w:t>
            </w:r>
          </w:p>
          <w:p w14:paraId="550B4C63"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 DK</w:t>
            </w:r>
          </w:p>
        </w:tc>
        <w:tc>
          <w:tcPr>
            <w:tcW w:w="990" w:type="dxa"/>
            <w:shd w:val="clear" w:color="auto" w:fill="auto"/>
          </w:tcPr>
          <w:p w14:paraId="2D7E6761"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38% Y</w:t>
            </w:r>
          </w:p>
          <w:p w14:paraId="6550BFEA"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58% N</w:t>
            </w:r>
          </w:p>
          <w:p w14:paraId="65DF5F61"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 DK</w:t>
            </w:r>
          </w:p>
        </w:tc>
        <w:tc>
          <w:tcPr>
            <w:tcW w:w="990" w:type="dxa"/>
            <w:shd w:val="clear" w:color="auto" w:fill="auto"/>
          </w:tcPr>
          <w:p w14:paraId="455AF13E"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41% Y</w:t>
            </w:r>
          </w:p>
          <w:p w14:paraId="4CE5ABAB"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54% N</w:t>
            </w:r>
          </w:p>
          <w:p w14:paraId="21F7984A"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 DK</w:t>
            </w:r>
          </w:p>
        </w:tc>
        <w:tc>
          <w:tcPr>
            <w:tcW w:w="810" w:type="dxa"/>
            <w:shd w:val="clear" w:color="auto" w:fill="auto"/>
          </w:tcPr>
          <w:p w14:paraId="329A0834"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20815</w:t>
            </w:r>
          </w:p>
        </w:tc>
        <w:tc>
          <w:tcPr>
            <w:tcW w:w="1080" w:type="dxa"/>
            <w:shd w:val="clear" w:color="auto" w:fill="F2DBDB"/>
          </w:tcPr>
          <w:p w14:paraId="5A398B01"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39% Y</w:t>
            </w:r>
          </w:p>
          <w:p w14:paraId="6C969694"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58% N</w:t>
            </w:r>
          </w:p>
          <w:p w14:paraId="681B9736"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3% DK</w:t>
            </w:r>
          </w:p>
        </w:tc>
      </w:tr>
      <w:tr w:rsidR="002542D3" w:rsidRPr="00F618D8" w14:paraId="2028A5CC" w14:textId="77777777" w:rsidTr="00AA1F92">
        <w:tc>
          <w:tcPr>
            <w:tcW w:w="1170" w:type="dxa"/>
            <w:shd w:val="clear" w:color="auto" w:fill="DBE5F1" w:themeFill="accent1" w:themeFillTint="33"/>
          </w:tcPr>
          <w:p w14:paraId="5561D69F"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 xml:space="preserve">Pacific Islander </w:t>
            </w:r>
            <w:r w:rsidRPr="00F618D8">
              <w:rPr>
                <w:rFonts w:ascii="Arial" w:hAnsi="Arial" w:cs="Arial"/>
                <w:b/>
                <w:sz w:val="20"/>
                <w:szCs w:val="20"/>
              </w:rPr>
              <w:softHyphen/>
            </w:r>
            <w:r w:rsidRPr="00F618D8">
              <w:rPr>
                <w:rFonts w:ascii="Arial" w:hAnsi="Arial" w:cs="Arial"/>
                <w:b/>
                <w:sz w:val="20"/>
                <w:szCs w:val="20"/>
              </w:rPr>
              <w:softHyphen/>
            </w:r>
            <w:r w:rsidRPr="00F618D8">
              <w:rPr>
                <w:rFonts w:ascii="Arial" w:hAnsi="Arial" w:cs="Arial"/>
                <w:b/>
                <w:sz w:val="20"/>
                <w:szCs w:val="20"/>
              </w:rPr>
              <w:softHyphen/>
            </w:r>
          </w:p>
        </w:tc>
        <w:tc>
          <w:tcPr>
            <w:tcW w:w="990" w:type="dxa"/>
            <w:shd w:val="clear" w:color="auto" w:fill="auto"/>
          </w:tcPr>
          <w:p w14:paraId="25736310"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auto"/>
          </w:tcPr>
          <w:p w14:paraId="56AC135C"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auto"/>
          </w:tcPr>
          <w:p w14:paraId="226F9341"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N/A</w:t>
            </w:r>
          </w:p>
        </w:tc>
        <w:tc>
          <w:tcPr>
            <w:tcW w:w="1080" w:type="dxa"/>
            <w:shd w:val="clear" w:color="auto" w:fill="auto"/>
          </w:tcPr>
          <w:p w14:paraId="2D70EE7E"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73% Y</w:t>
            </w:r>
          </w:p>
          <w:p w14:paraId="607A355B"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26% N</w:t>
            </w:r>
          </w:p>
          <w:p w14:paraId="4B5DDF3E"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auto"/>
          </w:tcPr>
          <w:p w14:paraId="6B4A18AD"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72% Y</w:t>
            </w:r>
          </w:p>
          <w:p w14:paraId="14A185CF"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28% N</w:t>
            </w:r>
          </w:p>
          <w:p w14:paraId="13970B7A"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auto"/>
          </w:tcPr>
          <w:p w14:paraId="24A0006B"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61% Y</w:t>
            </w:r>
          </w:p>
          <w:p w14:paraId="293CCC15"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37% N</w:t>
            </w:r>
          </w:p>
          <w:p w14:paraId="1C6E18D9"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auto"/>
          </w:tcPr>
          <w:p w14:paraId="46BC00CB"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66% Y</w:t>
            </w:r>
          </w:p>
          <w:p w14:paraId="35773BEC"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33% N</w:t>
            </w:r>
          </w:p>
          <w:p w14:paraId="3A428DD9"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auto"/>
          </w:tcPr>
          <w:p w14:paraId="264891C1"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63% Y</w:t>
            </w:r>
          </w:p>
          <w:p w14:paraId="490C5D5F"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38% N</w:t>
            </w:r>
          </w:p>
          <w:p w14:paraId="7A66F18E"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0% DK</w:t>
            </w:r>
          </w:p>
        </w:tc>
        <w:tc>
          <w:tcPr>
            <w:tcW w:w="810" w:type="dxa"/>
            <w:shd w:val="clear" w:color="auto" w:fill="auto"/>
          </w:tcPr>
          <w:p w14:paraId="5A4DD1F1"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385</w:t>
            </w:r>
          </w:p>
        </w:tc>
        <w:tc>
          <w:tcPr>
            <w:tcW w:w="1080" w:type="dxa"/>
            <w:shd w:val="clear" w:color="auto" w:fill="F2DBDB"/>
          </w:tcPr>
          <w:p w14:paraId="767BE00A"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67% Y</w:t>
            </w:r>
          </w:p>
          <w:p w14:paraId="094EE981"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32% N</w:t>
            </w:r>
          </w:p>
          <w:p w14:paraId="3360B5BB"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1% DK</w:t>
            </w:r>
          </w:p>
        </w:tc>
      </w:tr>
      <w:tr w:rsidR="002542D3" w:rsidRPr="00F618D8" w14:paraId="1A592F2C" w14:textId="77777777" w:rsidTr="00AA1F92">
        <w:tc>
          <w:tcPr>
            <w:tcW w:w="1170" w:type="dxa"/>
            <w:shd w:val="clear" w:color="auto" w:fill="DBE5F1" w:themeFill="accent1" w:themeFillTint="33"/>
          </w:tcPr>
          <w:p w14:paraId="526D34F0"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White</w:t>
            </w:r>
          </w:p>
        </w:tc>
        <w:tc>
          <w:tcPr>
            <w:tcW w:w="990" w:type="dxa"/>
            <w:shd w:val="clear" w:color="auto" w:fill="auto"/>
          </w:tcPr>
          <w:p w14:paraId="4294AD02"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48% Y</w:t>
            </w:r>
          </w:p>
          <w:p w14:paraId="5CBE0D0D"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50% N</w:t>
            </w:r>
          </w:p>
          <w:p w14:paraId="02079813"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 DK</w:t>
            </w:r>
          </w:p>
        </w:tc>
        <w:tc>
          <w:tcPr>
            <w:tcW w:w="990" w:type="dxa"/>
            <w:shd w:val="clear" w:color="auto" w:fill="auto"/>
          </w:tcPr>
          <w:p w14:paraId="7861B70A"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50% Y</w:t>
            </w:r>
          </w:p>
          <w:p w14:paraId="57B7E5EE"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48% N</w:t>
            </w:r>
          </w:p>
          <w:p w14:paraId="44FCD093"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 DK</w:t>
            </w:r>
          </w:p>
        </w:tc>
        <w:tc>
          <w:tcPr>
            <w:tcW w:w="990" w:type="dxa"/>
            <w:shd w:val="clear" w:color="auto" w:fill="auto"/>
          </w:tcPr>
          <w:p w14:paraId="31DA6D92"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51% Y</w:t>
            </w:r>
          </w:p>
          <w:p w14:paraId="23AA4F89"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48% N</w:t>
            </w:r>
          </w:p>
          <w:p w14:paraId="57B9F7E9"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 DK</w:t>
            </w:r>
          </w:p>
        </w:tc>
        <w:tc>
          <w:tcPr>
            <w:tcW w:w="1080" w:type="dxa"/>
            <w:shd w:val="clear" w:color="auto" w:fill="auto"/>
          </w:tcPr>
          <w:p w14:paraId="146887E1"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55% Y</w:t>
            </w:r>
          </w:p>
          <w:p w14:paraId="09317B3D"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43% N</w:t>
            </w:r>
          </w:p>
          <w:p w14:paraId="4A5184FD"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 DK</w:t>
            </w:r>
          </w:p>
        </w:tc>
        <w:tc>
          <w:tcPr>
            <w:tcW w:w="990" w:type="dxa"/>
            <w:shd w:val="clear" w:color="auto" w:fill="auto"/>
          </w:tcPr>
          <w:p w14:paraId="3467AFBC"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48% Y</w:t>
            </w:r>
          </w:p>
          <w:p w14:paraId="08CD8043"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51% N</w:t>
            </w:r>
          </w:p>
          <w:p w14:paraId="4EBE5053"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 DK</w:t>
            </w:r>
          </w:p>
        </w:tc>
        <w:tc>
          <w:tcPr>
            <w:tcW w:w="990" w:type="dxa"/>
            <w:shd w:val="clear" w:color="auto" w:fill="auto"/>
          </w:tcPr>
          <w:p w14:paraId="761C4CA7"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52% Y</w:t>
            </w:r>
          </w:p>
          <w:p w14:paraId="36B58DF7"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46% N</w:t>
            </w:r>
          </w:p>
          <w:p w14:paraId="6E141AC3"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auto"/>
          </w:tcPr>
          <w:p w14:paraId="1453A979"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51% Y</w:t>
            </w:r>
          </w:p>
          <w:p w14:paraId="68993988"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45% N</w:t>
            </w:r>
          </w:p>
          <w:p w14:paraId="5941078C"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 DK</w:t>
            </w:r>
          </w:p>
        </w:tc>
        <w:tc>
          <w:tcPr>
            <w:tcW w:w="990" w:type="dxa"/>
            <w:shd w:val="clear" w:color="auto" w:fill="auto"/>
          </w:tcPr>
          <w:p w14:paraId="2ECB6A57"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54% Y</w:t>
            </w:r>
          </w:p>
          <w:p w14:paraId="4CBB5556"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43% N</w:t>
            </w:r>
          </w:p>
          <w:p w14:paraId="49C593E4"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 DK</w:t>
            </w:r>
          </w:p>
        </w:tc>
        <w:tc>
          <w:tcPr>
            <w:tcW w:w="810" w:type="dxa"/>
            <w:shd w:val="clear" w:color="auto" w:fill="auto"/>
          </w:tcPr>
          <w:p w14:paraId="3BC76EE4"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80067</w:t>
            </w:r>
          </w:p>
        </w:tc>
        <w:tc>
          <w:tcPr>
            <w:tcW w:w="1080" w:type="dxa"/>
            <w:shd w:val="clear" w:color="auto" w:fill="F2DBDB"/>
          </w:tcPr>
          <w:p w14:paraId="6CF5EB3B"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51% Y</w:t>
            </w:r>
          </w:p>
          <w:p w14:paraId="314E1E6F"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46% N</w:t>
            </w:r>
          </w:p>
          <w:p w14:paraId="1CF266A9"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2% DK</w:t>
            </w:r>
          </w:p>
        </w:tc>
      </w:tr>
      <w:tr w:rsidR="002542D3" w:rsidRPr="00F618D8" w14:paraId="0EED60A3" w14:textId="77777777" w:rsidTr="00AA1F92">
        <w:tc>
          <w:tcPr>
            <w:tcW w:w="1170" w:type="dxa"/>
            <w:shd w:val="clear" w:color="auto" w:fill="DBE5F1" w:themeFill="accent1" w:themeFillTint="33"/>
          </w:tcPr>
          <w:p w14:paraId="6A73734A"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Hispanic/Latino</w:t>
            </w:r>
          </w:p>
        </w:tc>
        <w:tc>
          <w:tcPr>
            <w:tcW w:w="990" w:type="dxa"/>
            <w:shd w:val="clear" w:color="auto" w:fill="auto"/>
          </w:tcPr>
          <w:p w14:paraId="6A1AC296"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45% Y</w:t>
            </w:r>
          </w:p>
          <w:p w14:paraId="1FA7D321"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51% N</w:t>
            </w:r>
          </w:p>
          <w:p w14:paraId="045B5C47"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 DK</w:t>
            </w:r>
          </w:p>
        </w:tc>
        <w:tc>
          <w:tcPr>
            <w:tcW w:w="990" w:type="dxa"/>
            <w:shd w:val="clear" w:color="auto" w:fill="auto"/>
          </w:tcPr>
          <w:p w14:paraId="3FEFC79D"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23% Y</w:t>
            </w:r>
          </w:p>
          <w:p w14:paraId="6CC9B83C"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70% N</w:t>
            </w:r>
          </w:p>
          <w:p w14:paraId="11ADCCB6"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7% DK</w:t>
            </w:r>
          </w:p>
        </w:tc>
        <w:tc>
          <w:tcPr>
            <w:tcW w:w="990" w:type="dxa"/>
            <w:shd w:val="clear" w:color="auto" w:fill="auto"/>
          </w:tcPr>
          <w:p w14:paraId="53931FC8"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34% Y</w:t>
            </w:r>
          </w:p>
          <w:p w14:paraId="4E37284D"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57% N</w:t>
            </w:r>
          </w:p>
          <w:p w14:paraId="3511FA59"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9% DK</w:t>
            </w:r>
          </w:p>
        </w:tc>
        <w:tc>
          <w:tcPr>
            <w:tcW w:w="1080" w:type="dxa"/>
            <w:shd w:val="clear" w:color="auto" w:fill="auto"/>
          </w:tcPr>
          <w:p w14:paraId="0DBE0326"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47% Y</w:t>
            </w:r>
          </w:p>
          <w:p w14:paraId="4D8B81F9"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48% N</w:t>
            </w:r>
          </w:p>
          <w:p w14:paraId="7C061DFF"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 DK</w:t>
            </w:r>
          </w:p>
        </w:tc>
        <w:tc>
          <w:tcPr>
            <w:tcW w:w="990" w:type="dxa"/>
            <w:shd w:val="clear" w:color="auto" w:fill="auto"/>
          </w:tcPr>
          <w:p w14:paraId="11B9B919"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49% Y</w:t>
            </w:r>
          </w:p>
          <w:p w14:paraId="1CFEB87E"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47% N</w:t>
            </w:r>
          </w:p>
          <w:p w14:paraId="72F88D64"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 DK</w:t>
            </w:r>
          </w:p>
        </w:tc>
        <w:tc>
          <w:tcPr>
            <w:tcW w:w="990" w:type="dxa"/>
            <w:shd w:val="clear" w:color="auto" w:fill="auto"/>
          </w:tcPr>
          <w:p w14:paraId="44552A71"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47% Y</w:t>
            </w:r>
          </w:p>
          <w:p w14:paraId="124A074C"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50% N</w:t>
            </w:r>
          </w:p>
          <w:p w14:paraId="3D06A4B5"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 DK</w:t>
            </w:r>
          </w:p>
        </w:tc>
        <w:tc>
          <w:tcPr>
            <w:tcW w:w="990" w:type="dxa"/>
            <w:shd w:val="clear" w:color="auto" w:fill="auto"/>
          </w:tcPr>
          <w:p w14:paraId="42E99323"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42% Y</w:t>
            </w:r>
          </w:p>
          <w:p w14:paraId="15BE8853"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54% N</w:t>
            </w:r>
          </w:p>
          <w:p w14:paraId="49808D20"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 DK</w:t>
            </w:r>
          </w:p>
        </w:tc>
        <w:tc>
          <w:tcPr>
            <w:tcW w:w="990" w:type="dxa"/>
            <w:shd w:val="clear" w:color="auto" w:fill="auto"/>
          </w:tcPr>
          <w:p w14:paraId="63B2EE92"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39% Y</w:t>
            </w:r>
          </w:p>
          <w:p w14:paraId="62775118"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58% N</w:t>
            </w:r>
          </w:p>
          <w:p w14:paraId="166F01CE"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 DK</w:t>
            </w:r>
          </w:p>
        </w:tc>
        <w:tc>
          <w:tcPr>
            <w:tcW w:w="810" w:type="dxa"/>
            <w:shd w:val="clear" w:color="auto" w:fill="auto"/>
          </w:tcPr>
          <w:p w14:paraId="3BA4E785"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6704</w:t>
            </w:r>
          </w:p>
        </w:tc>
        <w:tc>
          <w:tcPr>
            <w:tcW w:w="1080" w:type="dxa"/>
            <w:shd w:val="clear" w:color="auto" w:fill="F2DBDB"/>
          </w:tcPr>
          <w:p w14:paraId="4052AF2F"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41% Y</w:t>
            </w:r>
          </w:p>
          <w:p w14:paraId="3F177E0F"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54% N</w:t>
            </w:r>
          </w:p>
          <w:p w14:paraId="034BD314"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5% DK</w:t>
            </w:r>
          </w:p>
        </w:tc>
      </w:tr>
      <w:tr w:rsidR="002542D3" w:rsidRPr="00F618D8" w14:paraId="36BB9E3D" w14:textId="77777777" w:rsidTr="00AA1F92">
        <w:tc>
          <w:tcPr>
            <w:tcW w:w="1170" w:type="dxa"/>
            <w:shd w:val="clear" w:color="auto" w:fill="DBE5F1" w:themeFill="accent1" w:themeFillTint="33"/>
          </w:tcPr>
          <w:p w14:paraId="43A113CD"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Other</w:t>
            </w:r>
          </w:p>
        </w:tc>
        <w:tc>
          <w:tcPr>
            <w:tcW w:w="990" w:type="dxa"/>
            <w:shd w:val="clear" w:color="auto" w:fill="auto"/>
          </w:tcPr>
          <w:p w14:paraId="15816E00"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51% Y</w:t>
            </w:r>
          </w:p>
          <w:p w14:paraId="2165B744"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43% N</w:t>
            </w:r>
          </w:p>
          <w:p w14:paraId="56346732"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10% DK</w:t>
            </w:r>
          </w:p>
        </w:tc>
        <w:tc>
          <w:tcPr>
            <w:tcW w:w="990" w:type="dxa"/>
            <w:shd w:val="clear" w:color="auto" w:fill="auto"/>
          </w:tcPr>
          <w:p w14:paraId="3367CB8C"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11% Y</w:t>
            </w:r>
          </w:p>
          <w:p w14:paraId="2FF8804B"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80% N</w:t>
            </w:r>
          </w:p>
          <w:p w14:paraId="6B5E8D31"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9% DK</w:t>
            </w:r>
          </w:p>
        </w:tc>
        <w:tc>
          <w:tcPr>
            <w:tcW w:w="990" w:type="dxa"/>
            <w:shd w:val="clear" w:color="auto" w:fill="auto"/>
          </w:tcPr>
          <w:p w14:paraId="255B89BD"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24% Y</w:t>
            </w:r>
          </w:p>
          <w:p w14:paraId="43BFD1BB"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63% N</w:t>
            </w:r>
          </w:p>
          <w:p w14:paraId="30DDC402"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14% DK</w:t>
            </w:r>
          </w:p>
        </w:tc>
        <w:tc>
          <w:tcPr>
            <w:tcW w:w="1080" w:type="dxa"/>
            <w:shd w:val="clear" w:color="auto" w:fill="auto"/>
          </w:tcPr>
          <w:p w14:paraId="46B548BC"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39% Y</w:t>
            </w:r>
          </w:p>
          <w:p w14:paraId="33B41D21"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51% N</w:t>
            </w:r>
          </w:p>
          <w:p w14:paraId="1FCE43BF"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10% DK</w:t>
            </w:r>
          </w:p>
        </w:tc>
        <w:tc>
          <w:tcPr>
            <w:tcW w:w="990" w:type="dxa"/>
            <w:shd w:val="clear" w:color="auto" w:fill="auto"/>
          </w:tcPr>
          <w:p w14:paraId="4709B82C"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28% Y</w:t>
            </w:r>
          </w:p>
          <w:p w14:paraId="5AEB5C41"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64% N</w:t>
            </w:r>
          </w:p>
          <w:p w14:paraId="123F1583"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8% DK</w:t>
            </w:r>
          </w:p>
        </w:tc>
        <w:tc>
          <w:tcPr>
            <w:tcW w:w="990" w:type="dxa"/>
            <w:shd w:val="clear" w:color="auto" w:fill="auto"/>
          </w:tcPr>
          <w:p w14:paraId="19290BA6"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48% Y</w:t>
            </w:r>
          </w:p>
          <w:p w14:paraId="56B0969A"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48% N</w:t>
            </w:r>
          </w:p>
          <w:p w14:paraId="4F8E6DBB"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 DK</w:t>
            </w:r>
          </w:p>
        </w:tc>
        <w:tc>
          <w:tcPr>
            <w:tcW w:w="990" w:type="dxa"/>
            <w:shd w:val="clear" w:color="auto" w:fill="auto"/>
          </w:tcPr>
          <w:p w14:paraId="26148C55"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33% Y</w:t>
            </w:r>
          </w:p>
          <w:p w14:paraId="7D5853D8"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63% N</w:t>
            </w:r>
          </w:p>
          <w:p w14:paraId="409583CC"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 DK</w:t>
            </w:r>
          </w:p>
        </w:tc>
        <w:tc>
          <w:tcPr>
            <w:tcW w:w="990" w:type="dxa"/>
            <w:shd w:val="clear" w:color="auto" w:fill="auto"/>
          </w:tcPr>
          <w:p w14:paraId="42EE0C8A"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43% Y</w:t>
            </w:r>
          </w:p>
          <w:p w14:paraId="4163E565"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57% N</w:t>
            </w:r>
          </w:p>
          <w:p w14:paraId="306436AC"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0% DK</w:t>
            </w:r>
          </w:p>
        </w:tc>
        <w:tc>
          <w:tcPr>
            <w:tcW w:w="810" w:type="dxa"/>
            <w:shd w:val="clear" w:color="auto" w:fill="auto"/>
          </w:tcPr>
          <w:p w14:paraId="0F923C4E"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3847</w:t>
            </w:r>
          </w:p>
        </w:tc>
        <w:tc>
          <w:tcPr>
            <w:tcW w:w="1080" w:type="dxa"/>
            <w:shd w:val="clear" w:color="auto" w:fill="F2DBDB"/>
          </w:tcPr>
          <w:p w14:paraId="78202B50"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35% Y</w:t>
            </w:r>
          </w:p>
          <w:p w14:paraId="052A97FF"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59% N</w:t>
            </w:r>
          </w:p>
          <w:p w14:paraId="4E15D5E5"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7% DK</w:t>
            </w:r>
          </w:p>
        </w:tc>
      </w:tr>
      <w:tr w:rsidR="002542D3" w:rsidRPr="00F618D8" w14:paraId="6F5AEBC0" w14:textId="77777777" w:rsidTr="00AA1F92">
        <w:tc>
          <w:tcPr>
            <w:tcW w:w="1170" w:type="dxa"/>
            <w:shd w:val="clear" w:color="auto" w:fill="DBE5F1" w:themeFill="accent1" w:themeFillTint="33"/>
          </w:tcPr>
          <w:p w14:paraId="56B26127"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Two or More Races</w:t>
            </w:r>
          </w:p>
        </w:tc>
        <w:tc>
          <w:tcPr>
            <w:tcW w:w="990" w:type="dxa"/>
            <w:shd w:val="clear" w:color="auto" w:fill="auto"/>
          </w:tcPr>
          <w:p w14:paraId="1445EA97"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auto"/>
          </w:tcPr>
          <w:p w14:paraId="59455907"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N/A</w:t>
            </w:r>
          </w:p>
        </w:tc>
        <w:tc>
          <w:tcPr>
            <w:tcW w:w="990" w:type="dxa"/>
            <w:shd w:val="clear" w:color="auto" w:fill="auto"/>
          </w:tcPr>
          <w:p w14:paraId="547547E5"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N/A</w:t>
            </w:r>
          </w:p>
        </w:tc>
        <w:tc>
          <w:tcPr>
            <w:tcW w:w="1080" w:type="dxa"/>
            <w:shd w:val="clear" w:color="auto" w:fill="auto"/>
          </w:tcPr>
          <w:p w14:paraId="3253FAAD"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76% Y</w:t>
            </w:r>
          </w:p>
          <w:p w14:paraId="5AC49A8F"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23% N</w:t>
            </w:r>
          </w:p>
          <w:p w14:paraId="436A4660"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1% DK</w:t>
            </w:r>
          </w:p>
        </w:tc>
        <w:tc>
          <w:tcPr>
            <w:tcW w:w="990" w:type="dxa"/>
            <w:shd w:val="clear" w:color="auto" w:fill="auto"/>
          </w:tcPr>
          <w:p w14:paraId="5F1AB654"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68% Y</w:t>
            </w:r>
          </w:p>
          <w:p w14:paraId="1ED18C1C"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32% N</w:t>
            </w:r>
          </w:p>
          <w:p w14:paraId="67F8CE9C"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0% DK</w:t>
            </w:r>
          </w:p>
        </w:tc>
        <w:tc>
          <w:tcPr>
            <w:tcW w:w="990" w:type="dxa"/>
            <w:shd w:val="clear" w:color="auto" w:fill="auto"/>
          </w:tcPr>
          <w:p w14:paraId="4F1B189A"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61% Y</w:t>
            </w:r>
          </w:p>
          <w:p w14:paraId="5D8BB54B"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37% N</w:t>
            </w:r>
          </w:p>
          <w:p w14:paraId="53B6E6EC"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 DK</w:t>
            </w:r>
          </w:p>
        </w:tc>
        <w:tc>
          <w:tcPr>
            <w:tcW w:w="990" w:type="dxa"/>
            <w:shd w:val="clear" w:color="auto" w:fill="auto"/>
          </w:tcPr>
          <w:p w14:paraId="2AC5BC0F"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35% Y</w:t>
            </w:r>
          </w:p>
          <w:p w14:paraId="7ECC5A7F"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62% N</w:t>
            </w:r>
          </w:p>
          <w:p w14:paraId="00B8AC2F"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 DK</w:t>
            </w:r>
          </w:p>
        </w:tc>
        <w:tc>
          <w:tcPr>
            <w:tcW w:w="990" w:type="dxa"/>
            <w:shd w:val="clear" w:color="auto" w:fill="auto"/>
          </w:tcPr>
          <w:p w14:paraId="47B225DF"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69% Y</w:t>
            </w:r>
          </w:p>
          <w:p w14:paraId="1863A898"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30% N</w:t>
            </w:r>
          </w:p>
          <w:p w14:paraId="42478039"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 xml:space="preserve">0% DK </w:t>
            </w:r>
          </w:p>
        </w:tc>
        <w:tc>
          <w:tcPr>
            <w:tcW w:w="810" w:type="dxa"/>
            <w:shd w:val="clear" w:color="auto" w:fill="auto"/>
          </w:tcPr>
          <w:p w14:paraId="4C0EDC9A"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290</w:t>
            </w:r>
          </w:p>
        </w:tc>
        <w:tc>
          <w:tcPr>
            <w:tcW w:w="1080" w:type="dxa"/>
            <w:shd w:val="clear" w:color="auto" w:fill="F2DBDB"/>
          </w:tcPr>
          <w:p w14:paraId="7131EE3D"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62% Y</w:t>
            </w:r>
          </w:p>
          <w:p w14:paraId="238D8263"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37% N</w:t>
            </w:r>
          </w:p>
          <w:p w14:paraId="06CFDCEC"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1% DK</w:t>
            </w:r>
          </w:p>
        </w:tc>
      </w:tr>
    </w:tbl>
    <w:p w14:paraId="0E13106D" w14:textId="77777777" w:rsidR="002542D3" w:rsidRPr="00F618D8" w:rsidRDefault="002542D3" w:rsidP="002542D3">
      <w:pPr>
        <w:spacing w:after="0" w:line="240" w:lineRule="auto"/>
        <w:rPr>
          <w:rFonts w:ascii="Arial" w:hAnsi="Arial" w:cs="Arial"/>
        </w:rPr>
      </w:pPr>
    </w:p>
    <w:p w14:paraId="02D263FC" w14:textId="77777777" w:rsidR="002542D3" w:rsidRPr="00F618D8" w:rsidRDefault="002542D3" w:rsidP="00E120FF">
      <w:pPr>
        <w:pStyle w:val="Heading2"/>
        <w:rPr>
          <w:rFonts w:ascii="Arial" w:hAnsi="Arial" w:cs="Arial"/>
        </w:rPr>
      </w:pPr>
      <w:bookmarkStart w:id="153" w:name="_Toc10291000"/>
      <w:r w:rsidRPr="00F618D8">
        <w:rPr>
          <w:rFonts w:ascii="Arial" w:hAnsi="Arial" w:cs="Arial"/>
        </w:rPr>
        <w:lastRenderedPageBreak/>
        <w:t>Table 5: Type of Residence &amp; Guardianship Status</w:t>
      </w:r>
      <w:bookmarkEnd w:id="153"/>
    </w:p>
    <w:tbl>
      <w:tblPr>
        <w:tblStyle w:val="TableGrid5"/>
        <w:tblW w:w="11250" w:type="dxa"/>
        <w:tblInd w:w="-905" w:type="dxa"/>
        <w:tblLayout w:type="fixed"/>
        <w:tblLook w:val="04A0" w:firstRow="1" w:lastRow="0" w:firstColumn="1" w:lastColumn="0" w:noHBand="0" w:noVBand="1"/>
        <w:tblCaption w:val=" , "/>
      </w:tblPr>
      <w:tblGrid>
        <w:gridCol w:w="2070"/>
        <w:gridCol w:w="900"/>
        <w:gridCol w:w="900"/>
        <w:gridCol w:w="990"/>
        <w:gridCol w:w="900"/>
        <w:gridCol w:w="900"/>
        <w:gridCol w:w="900"/>
        <w:gridCol w:w="900"/>
        <w:gridCol w:w="990"/>
        <w:gridCol w:w="900"/>
        <w:gridCol w:w="900"/>
      </w:tblGrid>
      <w:tr w:rsidR="002542D3" w:rsidRPr="00F618D8" w14:paraId="106E8984" w14:textId="77777777" w:rsidTr="006B20FF">
        <w:trPr>
          <w:tblHeader/>
        </w:trPr>
        <w:tc>
          <w:tcPr>
            <w:tcW w:w="2070" w:type="dxa"/>
            <w:shd w:val="clear" w:color="auto" w:fill="DBE5F1"/>
          </w:tcPr>
          <w:p w14:paraId="61B56974" w14:textId="77777777" w:rsidR="002542D3" w:rsidRPr="00F618D8" w:rsidRDefault="002542D3" w:rsidP="00E120FF">
            <w:pPr>
              <w:pStyle w:val="TableHeader"/>
              <w:rPr>
                <w:rFonts w:ascii="Arial" w:hAnsi="Arial"/>
                <w:sz w:val="20"/>
                <w:szCs w:val="20"/>
              </w:rPr>
            </w:pPr>
            <w:r w:rsidRPr="00F618D8">
              <w:rPr>
                <w:rFonts w:ascii="Arial" w:hAnsi="Arial"/>
                <w:sz w:val="20"/>
                <w:szCs w:val="20"/>
              </w:rPr>
              <w:t>Type of Residence</w:t>
            </w:r>
          </w:p>
        </w:tc>
        <w:tc>
          <w:tcPr>
            <w:tcW w:w="900" w:type="dxa"/>
            <w:shd w:val="clear" w:color="auto" w:fill="DBE5F1"/>
          </w:tcPr>
          <w:p w14:paraId="079B84E0" w14:textId="77777777" w:rsidR="002542D3" w:rsidRPr="00F618D8" w:rsidRDefault="002542D3" w:rsidP="00E120FF">
            <w:pPr>
              <w:pStyle w:val="TableHeader"/>
              <w:rPr>
                <w:rFonts w:ascii="Arial" w:hAnsi="Arial"/>
                <w:sz w:val="20"/>
                <w:szCs w:val="20"/>
              </w:rPr>
            </w:pPr>
            <w:r w:rsidRPr="00F618D8">
              <w:rPr>
                <w:rFonts w:ascii="Arial" w:hAnsi="Arial"/>
                <w:sz w:val="20"/>
                <w:szCs w:val="20"/>
              </w:rPr>
              <w:t>2008-09</w:t>
            </w:r>
          </w:p>
        </w:tc>
        <w:tc>
          <w:tcPr>
            <w:tcW w:w="900" w:type="dxa"/>
            <w:shd w:val="clear" w:color="auto" w:fill="DBE5F1"/>
          </w:tcPr>
          <w:p w14:paraId="744530E8" w14:textId="77777777" w:rsidR="002542D3" w:rsidRPr="00F618D8" w:rsidRDefault="002542D3" w:rsidP="00E120FF">
            <w:pPr>
              <w:pStyle w:val="TableHeader"/>
              <w:rPr>
                <w:rFonts w:ascii="Arial" w:hAnsi="Arial"/>
                <w:sz w:val="20"/>
                <w:szCs w:val="20"/>
              </w:rPr>
            </w:pPr>
            <w:r w:rsidRPr="00F618D8">
              <w:rPr>
                <w:rFonts w:ascii="Arial" w:hAnsi="Arial"/>
                <w:sz w:val="20"/>
                <w:szCs w:val="20"/>
              </w:rPr>
              <w:t>2009-10</w:t>
            </w:r>
          </w:p>
        </w:tc>
        <w:tc>
          <w:tcPr>
            <w:tcW w:w="990" w:type="dxa"/>
            <w:shd w:val="clear" w:color="auto" w:fill="DBE5F1"/>
          </w:tcPr>
          <w:p w14:paraId="1D722294" w14:textId="77777777" w:rsidR="002542D3" w:rsidRPr="00F618D8" w:rsidRDefault="002542D3" w:rsidP="00E120FF">
            <w:pPr>
              <w:pStyle w:val="TableHeader"/>
              <w:rPr>
                <w:rFonts w:ascii="Arial" w:hAnsi="Arial"/>
                <w:sz w:val="20"/>
                <w:szCs w:val="20"/>
              </w:rPr>
            </w:pPr>
            <w:r w:rsidRPr="00F618D8">
              <w:rPr>
                <w:rFonts w:ascii="Arial" w:hAnsi="Arial"/>
                <w:sz w:val="20"/>
                <w:szCs w:val="20"/>
              </w:rPr>
              <w:t>2010-</w:t>
            </w:r>
          </w:p>
          <w:p w14:paraId="3EA549A1" w14:textId="77777777" w:rsidR="002542D3" w:rsidRPr="00F618D8" w:rsidRDefault="002542D3" w:rsidP="00E120FF">
            <w:pPr>
              <w:pStyle w:val="TableHeader"/>
              <w:rPr>
                <w:rFonts w:ascii="Arial" w:hAnsi="Arial"/>
                <w:sz w:val="20"/>
                <w:szCs w:val="20"/>
              </w:rPr>
            </w:pPr>
            <w:r w:rsidRPr="00F618D8">
              <w:rPr>
                <w:rFonts w:ascii="Arial" w:hAnsi="Arial"/>
                <w:sz w:val="20"/>
                <w:szCs w:val="20"/>
              </w:rPr>
              <w:t>11</w:t>
            </w:r>
          </w:p>
        </w:tc>
        <w:tc>
          <w:tcPr>
            <w:tcW w:w="900" w:type="dxa"/>
            <w:shd w:val="clear" w:color="auto" w:fill="DBE5F1"/>
          </w:tcPr>
          <w:p w14:paraId="6606725D" w14:textId="77777777" w:rsidR="002542D3" w:rsidRPr="00F618D8" w:rsidRDefault="002542D3" w:rsidP="00E120FF">
            <w:pPr>
              <w:pStyle w:val="TableHeader"/>
              <w:rPr>
                <w:rFonts w:ascii="Arial" w:hAnsi="Arial"/>
                <w:sz w:val="20"/>
                <w:szCs w:val="20"/>
              </w:rPr>
            </w:pPr>
            <w:r w:rsidRPr="00F618D8">
              <w:rPr>
                <w:rFonts w:ascii="Arial" w:hAnsi="Arial"/>
                <w:sz w:val="20"/>
                <w:szCs w:val="20"/>
              </w:rPr>
              <w:t>2011-12</w:t>
            </w:r>
          </w:p>
        </w:tc>
        <w:tc>
          <w:tcPr>
            <w:tcW w:w="900" w:type="dxa"/>
            <w:shd w:val="clear" w:color="auto" w:fill="DBE5F1"/>
          </w:tcPr>
          <w:p w14:paraId="205E4190" w14:textId="77777777" w:rsidR="002542D3" w:rsidRPr="00F618D8" w:rsidRDefault="002542D3" w:rsidP="00E120FF">
            <w:pPr>
              <w:pStyle w:val="TableHeader"/>
              <w:rPr>
                <w:rFonts w:ascii="Arial" w:hAnsi="Arial"/>
                <w:sz w:val="20"/>
                <w:szCs w:val="20"/>
              </w:rPr>
            </w:pPr>
            <w:r w:rsidRPr="00F618D8">
              <w:rPr>
                <w:rFonts w:ascii="Arial" w:hAnsi="Arial"/>
                <w:sz w:val="20"/>
                <w:szCs w:val="20"/>
              </w:rPr>
              <w:t>2012-13</w:t>
            </w:r>
          </w:p>
        </w:tc>
        <w:tc>
          <w:tcPr>
            <w:tcW w:w="900" w:type="dxa"/>
            <w:shd w:val="clear" w:color="auto" w:fill="DBE5F1"/>
          </w:tcPr>
          <w:p w14:paraId="5B05FABE" w14:textId="77777777" w:rsidR="002542D3" w:rsidRPr="00F618D8" w:rsidRDefault="002542D3" w:rsidP="00E120FF">
            <w:pPr>
              <w:pStyle w:val="TableHeader"/>
              <w:rPr>
                <w:rFonts w:ascii="Arial" w:hAnsi="Arial"/>
                <w:sz w:val="20"/>
                <w:szCs w:val="20"/>
              </w:rPr>
            </w:pPr>
            <w:r w:rsidRPr="00F618D8">
              <w:rPr>
                <w:rFonts w:ascii="Arial" w:hAnsi="Arial"/>
                <w:sz w:val="20"/>
                <w:szCs w:val="20"/>
              </w:rPr>
              <w:t>2013-14</w:t>
            </w:r>
          </w:p>
        </w:tc>
        <w:tc>
          <w:tcPr>
            <w:tcW w:w="900" w:type="dxa"/>
            <w:shd w:val="clear" w:color="auto" w:fill="DBE5F1"/>
          </w:tcPr>
          <w:p w14:paraId="0F71252A" w14:textId="77777777" w:rsidR="002542D3" w:rsidRPr="00F618D8" w:rsidRDefault="002542D3" w:rsidP="00E120FF">
            <w:pPr>
              <w:pStyle w:val="TableHeader"/>
              <w:rPr>
                <w:rFonts w:ascii="Arial" w:hAnsi="Arial"/>
                <w:sz w:val="20"/>
                <w:szCs w:val="20"/>
              </w:rPr>
            </w:pPr>
            <w:r w:rsidRPr="00F618D8">
              <w:rPr>
                <w:rFonts w:ascii="Arial" w:hAnsi="Arial"/>
                <w:sz w:val="20"/>
                <w:szCs w:val="20"/>
              </w:rPr>
              <w:t>2014-15</w:t>
            </w:r>
          </w:p>
        </w:tc>
        <w:tc>
          <w:tcPr>
            <w:tcW w:w="990" w:type="dxa"/>
            <w:shd w:val="clear" w:color="auto" w:fill="DBE5F1"/>
          </w:tcPr>
          <w:p w14:paraId="02AB8372" w14:textId="77777777" w:rsidR="002542D3" w:rsidRPr="00F618D8" w:rsidRDefault="002542D3" w:rsidP="00E120FF">
            <w:pPr>
              <w:pStyle w:val="TableHeader"/>
              <w:rPr>
                <w:rFonts w:ascii="Arial" w:hAnsi="Arial"/>
                <w:sz w:val="20"/>
                <w:szCs w:val="20"/>
              </w:rPr>
            </w:pPr>
            <w:r w:rsidRPr="00F618D8">
              <w:rPr>
                <w:rFonts w:ascii="Arial" w:hAnsi="Arial"/>
                <w:sz w:val="20"/>
                <w:szCs w:val="20"/>
              </w:rPr>
              <w:t>2015-</w:t>
            </w:r>
          </w:p>
          <w:p w14:paraId="08DE4EF6" w14:textId="77777777" w:rsidR="002542D3" w:rsidRPr="00F618D8" w:rsidRDefault="002542D3" w:rsidP="00E120FF">
            <w:pPr>
              <w:pStyle w:val="TableHeader"/>
              <w:rPr>
                <w:rFonts w:ascii="Arial" w:hAnsi="Arial"/>
                <w:sz w:val="20"/>
                <w:szCs w:val="20"/>
              </w:rPr>
            </w:pPr>
            <w:r w:rsidRPr="00F618D8">
              <w:rPr>
                <w:rFonts w:ascii="Arial" w:hAnsi="Arial"/>
                <w:sz w:val="20"/>
                <w:szCs w:val="20"/>
              </w:rPr>
              <w:t>16</w:t>
            </w:r>
          </w:p>
        </w:tc>
        <w:tc>
          <w:tcPr>
            <w:tcW w:w="900" w:type="dxa"/>
            <w:shd w:val="clear" w:color="auto" w:fill="DBE5F1"/>
          </w:tcPr>
          <w:p w14:paraId="5387DCBB" w14:textId="77777777" w:rsidR="002542D3" w:rsidRPr="00F618D8" w:rsidRDefault="002542D3" w:rsidP="00E120FF">
            <w:pPr>
              <w:pStyle w:val="TableHeader"/>
              <w:rPr>
                <w:rFonts w:ascii="Arial" w:hAnsi="Arial"/>
                <w:sz w:val="20"/>
                <w:szCs w:val="20"/>
              </w:rPr>
            </w:pPr>
            <w:r w:rsidRPr="00F618D8">
              <w:rPr>
                <w:rFonts w:ascii="Arial" w:hAnsi="Arial"/>
                <w:sz w:val="20"/>
                <w:szCs w:val="20"/>
              </w:rPr>
              <w:t>Total Respondents</w:t>
            </w:r>
          </w:p>
        </w:tc>
        <w:tc>
          <w:tcPr>
            <w:tcW w:w="900" w:type="dxa"/>
            <w:shd w:val="clear" w:color="auto" w:fill="F2DBDB" w:themeFill="accent2" w:themeFillTint="33"/>
          </w:tcPr>
          <w:p w14:paraId="1E2BC698" w14:textId="77777777" w:rsidR="002542D3" w:rsidRPr="00F618D8" w:rsidRDefault="002542D3" w:rsidP="00E120FF">
            <w:pPr>
              <w:pStyle w:val="TableHeader"/>
              <w:rPr>
                <w:rFonts w:ascii="Arial" w:hAnsi="Arial"/>
                <w:sz w:val="20"/>
                <w:szCs w:val="20"/>
              </w:rPr>
            </w:pPr>
            <w:r w:rsidRPr="00F618D8">
              <w:rPr>
                <w:rFonts w:ascii="Arial" w:hAnsi="Arial"/>
                <w:sz w:val="20"/>
                <w:szCs w:val="20"/>
              </w:rPr>
              <w:t>Annual Aver-age</w:t>
            </w:r>
          </w:p>
        </w:tc>
      </w:tr>
      <w:tr w:rsidR="002542D3" w:rsidRPr="00F618D8" w14:paraId="1188767D" w14:textId="77777777" w:rsidTr="00FB2667">
        <w:tc>
          <w:tcPr>
            <w:tcW w:w="2070" w:type="dxa"/>
            <w:shd w:val="clear" w:color="auto" w:fill="DBE5F1"/>
          </w:tcPr>
          <w:p w14:paraId="7B9E4DB0"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Specialized Institutional Facility for Persons with ID/DD</w:t>
            </w:r>
          </w:p>
        </w:tc>
        <w:tc>
          <w:tcPr>
            <w:tcW w:w="900" w:type="dxa"/>
          </w:tcPr>
          <w:p w14:paraId="031756BF"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69% Y</w:t>
            </w:r>
          </w:p>
          <w:p w14:paraId="31678FF7"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27% N</w:t>
            </w:r>
          </w:p>
          <w:p w14:paraId="6D0AC182"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 DK</w:t>
            </w:r>
          </w:p>
        </w:tc>
        <w:tc>
          <w:tcPr>
            <w:tcW w:w="900" w:type="dxa"/>
          </w:tcPr>
          <w:p w14:paraId="50AE93B5"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64% Y</w:t>
            </w:r>
          </w:p>
          <w:p w14:paraId="54656DC8"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32% N</w:t>
            </w:r>
          </w:p>
          <w:p w14:paraId="52316221"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 DK</w:t>
            </w:r>
          </w:p>
        </w:tc>
        <w:tc>
          <w:tcPr>
            <w:tcW w:w="990" w:type="dxa"/>
          </w:tcPr>
          <w:p w14:paraId="4B8E68F9"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76% Y</w:t>
            </w:r>
          </w:p>
          <w:p w14:paraId="315E0242"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22% N</w:t>
            </w:r>
          </w:p>
          <w:p w14:paraId="7E8963BB"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 DK</w:t>
            </w:r>
          </w:p>
        </w:tc>
        <w:tc>
          <w:tcPr>
            <w:tcW w:w="900" w:type="dxa"/>
          </w:tcPr>
          <w:p w14:paraId="77C40141"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72% Y</w:t>
            </w:r>
          </w:p>
          <w:p w14:paraId="3571126D"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24% N</w:t>
            </w:r>
          </w:p>
          <w:p w14:paraId="4DDCA428"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 DK</w:t>
            </w:r>
          </w:p>
        </w:tc>
        <w:tc>
          <w:tcPr>
            <w:tcW w:w="900" w:type="dxa"/>
          </w:tcPr>
          <w:p w14:paraId="24927417"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71% Y</w:t>
            </w:r>
          </w:p>
          <w:p w14:paraId="217C5CDD"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27% N</w:t>
            </w:r>
          </w:p>
          <w:p w14:paraId="3B036134"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 DK</w:t>
            </w:r>
          </w:p>
        </w:tc>
        <w:tc>
          <w:tcPr>
            <w:tcW w:w="900" w:type="dxa"/>
          </w:tcPr>
          <w:p w14:paraId="0BB4D658"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71% Y</w:t>
            </w:r>
          </w:p>
          <w:p w14:paraId="338FA844"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27% N</w:t>
            </w:r>
          </w:p>
          <w:p w14:paraId="2936F852"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 DK</w:t>
            </w:r>
          </w:p>
        </w:tc>
        <w:tc>
          <w:tcPr>
            <w:tcW w:w="900" w:type="dxa"/>
          </w:tcPr>
          <w:p w14:paraId="3CE11D6F"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N/A (see below)</w:t>
            </w:r>
          </w:p>
        </w:tc>
        <w:tc>
          <w:tcPr>
            <w:tcW w:w="990" w:type="dxa"/>
          </w:tcPr>
          <w:p w14:paraId="2332F548"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N/A (see below)</w:t>
            </w:r>
          </w:p>
        </w:tc>
        <w:tc>
          <w:tcPr>
            <w:tcW w:w="900" w:type="dxa"/>
          </w:tcPr>
          <w:p w14:paraId="74F88958"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5335</w:t>
            </w:r>
          </w:p>
        </w:tc>
        <w:tc>
          <w:tcPr>
            <w:tcW w:w="900" w:type="dxa"/>
            <w:shd w:val="clear" w:color="auto" w:fill="F2DBDB" w:themeFill="accent2" w:themeFillTint="33"/>
          </w:tcPr>
          <w:p w14:paraId="7DB9EC07"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71% Y</w:t>
            </w:r>
          </w:p>
          <w:p w14:paraId="60A0BA82"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27% N</w:t>
            </w:r>
          </w:p>
          <w:p w14:paraId="111FF1B5"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3% DK</w:t>
            </w:r>
          </w:p>
        </w:tc>
      </w:tr>
      <w:tr w:rsidR="002542D3" w:rsidRPr="00F618D8" w14:paraId="01F6F8F4" w14:textId="77777777" w:rsidTr="00FB2667">
        <w:tc>
          <w:tcPr>
            <w:tcW w:w="2070" w:type="dxa"/>
            <w:shd w:val="clear" w:color="auto" w:fill="DBE5F1"/>
          </w:tcPr>
          <w:p w14:paraId="3B3642B2"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Nursing Facility</w:t>
            </w:r>
          </w:p>
        </w:tc>
        <w:tc>
          <w:tcPr>
            <w:tcW w:w="900" w:type="dxa"/>
          </w:tcPr>
          <w:p w14:paraId="2BA983BA"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24% Y</w:t>
            </w:r>
          </w:p>
          <w:p w14:paraId="212F40FA"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73% N</w:t>
            </w:r>
          </w:p>
          <w:p w14:paraId="2CDC7876"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 DK</w:t>
            </w:r>
          </w:p>
        </w:tc>
        <w:tc>
          <w:tcPr>
            <w:tcW w:w="900" w:type="dxa"/>
          </w:tcPr>
          <w:p w14:paraId="2105FED7"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28% Y</w:t>
            </w:r>
          </w:p>
          <w:p w14:paraId="7E0E4BE1"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64% N</w:t>
            </w:r>
          </w:p>
          <w:p w14:paraId="0581E569"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8% DK</w:t>
            </w:r>
          </w:p>
        </w:tc>
        <w:tc>
          <w:tcPr>
            <w:tcW w:w="990" w:type="dxa"/>
          </w:tcPr>
          <w:p w14:paraId="634AAB8F"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26% Y</w:t>
            </w:r>
          </w:p>
          <w:p w14:paraId="42A4728D"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59% N</w:t>
            </w:r>
          </w:p>
          <w:p w14:paraId="39CB70C0"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15% DK</w:t>
            </w:r>
          </w:p>
        </w:tc>
        <w:tc>
          <w:tcPr>
            <w:tcW w:w="900" w:type="dxa"/>
          </w:tcPr>
          <w:p w14:paraId="4CB1544F"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34% Y</w:t>
            </w:r>
          </w:p>
          <w:p w14:paraId="49FC3D61"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60% N</w:t>
            </w:r>
          </w:p>
          <w:p w14:paraId="6CCB948B"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6% DK</w:t>
            </w:r>
          </w:p>
        </w:tc>
        <w:tc>
          <w:tcPr>
            <w:tcW w:w="900" w:type="dxa"/>
          </w:tcPr>
          <w:p w14:paraId="590E7E53"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20% Y</w:t>
            </w:r>
          </w:p>
          <w:p w14:paraId="1C110A4D"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81% N</w:t>
            </w:r>
          </w:p>
          <w:p w14:paraId="54C4DEC6"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0% DK</w:t>
            </w:r>
          </w:p>
        </w:tc>
        <w:tc>
          <w:tcPr>
            <w:tcW w:w="900" w:type="dxa"/>
          </w:tcPr>
          <w:p w14:paraId="1FA3319E"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38% Y</w:t>
            </w:r>
          </w:p>
          <w:p w14:paraId="52B32C26"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55% N</w:t>
            </w:r>
          </w:p>
          <w:p w14:paraId="3EB19F06"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7% DK</w:t>
            </w:r>
          </w:p>
        </w:tc>
        <w:tc>
          <w:tcPr>
            <w:tcW w:w="900" w:type="dxa"/>
          </w:tcPr>
          <w:p w14:paraId="3F2E6E44"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N/A (see below)</w:t>
            </w:r>
          </w:p>
        </w:tc>
        <w:tc>
          <w:tcPr>
            <w:tcW w:w="990" w:type="dxa"/>
          </w:tcPr>
          <w:p w14:paraId="7348EC4F"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N/A (see below)</w:t>
            </w:r>
          </w:p>
        </w:tc>
        <w:tc>
          <w:tcPr>
            <w:tcW w:w="900" w:type="dxa"/>
          </w:tcPr>
          <w:p w14:paraId="4F9E8916"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210 (PA, VA)</w:t>
            </w:r>
          </w:p>
        </w:tc>
        <w:tc>
          <w:tcPr>
            <w:tcW w:w="900" w:type="dxa"/>
            <w:shd w:val="clear" w:color="auto" w:fill="F2DBDB" w:themeFill="accent2" w:themeFillTint="33"/>
          </w:tcPr>
          <w:p w14:paraId="0FFDEA89"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28% Y</w:t>
            </w:r>
          </w:p>
          <w:p w14:paraId="1B1B3F92"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65% N</w:t>
            </w:r>
          </w:p>
          <w:p w14:paraId="7F62878C"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7% DK</w:t>
            </w:r>
          </w:p>
        </w:tc>
      </w:tr>
      <w:tr w:rsidR="002542D3" w:rsidRPr="00F618D8" w14:paraId="6A5E6E05" w14:textId="77777777" w:rsidTr="00FB2667">
        <w:tc>
          <w:tcPr>
            <w:tcW w:w="2070" w:type="dxa"/>
            <w:shd w:val="clear" w:color="auto" w:fill="DBE5F1"/>
          </w:tcPr>
          <w:p w14:paraId="7AB95C1D"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Institutional Setting (ICF/ID, nursing home, or other institutional setting)</w:t>
            </w:r>
          </w:p>
        </w:tc>
        <w:tc>
          <w:tcPr>
            <w:tcW w:w="900" w:type="dxa"/>
          </w:tcPr>
          <w:p w14:paraId="340FBC93"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N/A (see above)</w:t>
            </w:r>
          </w:p>
        </w:tc>
        <w:tc>
          <w:tcPr>
            <w:tcW w:w="900" w:type="dxa"/>
          </w:tcPr>
          <w:p w14:paraId="5AC21D81"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N/A</w:t>
            </w:r>
          </w:p>
          <w:p w14:paraId="63F2D05A"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(see above)</w:t>
            </w:r>
          </w:p>
        </w:tc>
        <w:tc>
          <w:tcPr>
            <w:tcW w:w="990" w:type="dxa"/>
          </w:tcPr>
          <w:p w14:paraId="752FFB83"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N/A</w:t>
            </w:r>
          </w:p>
          <w:p w14:paraId="4CD0C33B"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(see above)</w:t>
            </w:r>
          </w:p>
        </w:tc>
        <w:tc>
          <w:tcPr>
            <w:tcW w:w="900" w:type="dxa"/>
          </w:tcPr>
          <w:p w14:paraId="7FDE84F9"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N/A</w:t>
            </w:r>
          </w:p>
          <w:p w14:paraId="16A03CCB"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 xml:space="preserve">(see above) </w:t>
            </w:r>
          </w:p>
        </w:tc>
        <w:tc>
          <w:tcPr>
            <w:tcW w:w="900" w:type="dxa"/>
          </w:tcPr>
          <w:p w14:paraId="1C4906CC"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N/A</w:t>
            </w:r>
          </w:p>
          <w:p w14:paraId="38968BCA"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(see above)</w:t>
            </w:r>
          </w:p>
        </w:tc>
        <w:tc>
          <w:tcPr>
            <w:tcW w:w="900" w:type="dxa"/>
          </w:tcPr>
          <w:p w14:paraId="027D8965"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N/A</w:t>
            </w:r>
          </w:p>
          <w:p w14:paraId="250CA655"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(see above)</w:t>
            </w:r>
          </w:p>
        </w:tc>
        <w:tc>
          <w:tcPr>
            <w:tcW w:w="900" w:type="dxa"/>
          </w:tcPr>
          <w:p w14:paraId="7155DF06"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62% Y</w:t>
            </w:r>
          </w:p>
          <w:p w14:paraId="0659D95A"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33% N</w:t>
            </w:r>
          </w:p>
          <w:p w14:paraId="3FF40206"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6% DK</w:t>
            </w:r>
          </w:p>
        </w:tc>
        <w:tc>
          <w:tcPr>
            <w:tcW w:w="990" w:type="dxa"/>
          </w:tcPr>
          <w:p w14:paraId="0EFE8017"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64% Y</w:t>
            </w:r>
          </w:p>
          <w:p w14:paraId="5484B903"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25% N</w:t>
            </w:r>
          </w:p>
          <w:p w14:paraId="02BA8CF3"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11% DK</w:t>
            </w:r>
          </w:p>
        </w:tc>
        <w:tc>
          <w:tcPr>
            <w:tcW w:w="900" w:type="dxa"/>
          </w:tcPr>
          <w:p w14:paraId="49BDE61F"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2892</w:t>
            </w:r>
          </w:p>
        </w:tc>
        <w:tc>
          <w:tcPr>
            <w:tcW w:w="900" w:type="dxa"/>
            <w:shd w:val="clear" w:color="auto" w:fill="F2DBDB" w:themeFill="accent2" w:themeFillTint="33"/>
          </w:tcPr>
          <w:p w14:paraId="153214AC"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63% Y</w:t>
            </w:r>
          </w:p>
          <w:p w14:paraId="3D4FDA0F"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29% N</w:t>
            </w:r>
          </w:p>
          <w:p w14:paraId="3B6D478B"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9% DK</w:t>
            </w:r>
          </w:p>
        </w:tc>
      </w:tr>
      <w:tr w:rsidR="002542D3" w:rsidRPr="00F618D8" w14:paraId="1D5B81F7" w14:textId="77777777" w:rsidTr="00FB2667">
        <w:tc>
          <w:tcPr>
            <w:tcW w:w="2070" w:type="dxa"/>
            <w:shd w:val="clear" w:color="auto" w:fill="DBE5F1"/>
          </w:tcPr>
          <w:p w14:paraId="43AF9D71"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Group Home*</w:t>
            </w:r>
          </w:p>
        </w:tc>
        <w:tc>
          <w:tcPr>
            <w:tcW w:w="900" w:type="dxa"/>
          </w:tcPr>
          <w:p w14:paraId="4337D9E8"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51% Y</w:t>
            </w:r>
          </w:p>
          <w:p w14:paraId="50AF7BA9"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46% N</w:t>
            </w:r>
          </w:p>
          <w:p w14:paraId="7727EF30"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 DK</w:t>
            </w:r>
          </w:p>
        </w:tc>
        <w:tc>
          <w:tcPr>
            <w:tcW w:w="900" w:type="dxa"/>
          </w:tcPr>
          <w:p w14:paraId="520FFAC0"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50% Y</w:t>
            </w:r>
          </w:p>
          <w:p w14:paraId="4A136A65"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48% N</w:t>
            </w:r>
          </w:p>
          <w:p w14:paraId="65E58BF1"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 DK</w:t>
            </w:r>
          </w:p>
        </w:tc>
        <w:tc>
          <w:tcPr>
            <w:tcW w:w="990" w:type="dxa"/>
          </w:tcPr>
          <w:p w14:paraId="323681EE"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54% Y</w:t>
            </w:r>
          </w:p>
          <w:p w14:paraId="70235815"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45% N</w:t>
            </w:r>
          </w:p>
          <w:p w14:paraId="16F7088E"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 K</w:t>
            </w:r>
          </w:p>
        </w:tc>
        <w:tc>
          <w:tcPr>
            <w:tcW w:w="900" w:type="dxa"/>
          </w:tcPr>
          <w:p w14:paraId="1E0FEADB"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60% Y</w:t>
            </w:r>
          </w:p>
          <w:p w14:paraId="63B1A108"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39% N</w:t>
            </w:r>
          </w:p>
          <w:p w14:paraId="307BA911"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1% DK</w:t>
            </w:r>
          </w:p>
        </w:tc>
        <w:tc>
          <w:tcPr>
            <w:tcW w:w="900" w:type="dxa"/>
          </w:tcPr>
          <w:p w14:paraId="1311C001"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49% Y</w:t>
            </w:r>
          </w:p>
          <w:p w14:paraId="2AFF9D23"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49% N</w:t>
            </w:r>
          </w:p>
          <w:p w14:paraId="2B3C1917"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 DK</w:t>
            </w:r>
          </w:p>
        </w:tc>
        <w:tc>
          <w:tcPr>
            <w:tcW w:w="900" w:type="dxa"/>
          </w:tcPr>
          <w:p w14:paraId="3B9B44DF"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54% Y</w:t>
            </w:r>
          </w:p>
          <w:p w14:paraId="4EADFDB8"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45% N</w:t>
            </w:r>
          </w:p>
          <w:p w14:paraId="03EB6C77"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 DK</w:t>
            </w:r>
          </w:p>
        </w:tc>
        <w:tc>
          <w:tcPr>
            <w:tcW w:w="900" w:type="dxa"/>
          </w:tcPr>
          <w:p w14:paraId="79ACC4EE"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57% Y</w:t>
            </w:r>
          </w:p>
          <w:p w14:paraId="740BC509"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40% N</w:t>
            </w:r>
          </w:p>
          <w:p w14:paraId="0292DDBD"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 DK</w:t>
            </w:r>
          </w:p>
        </w:tc>
        <w:tc>
          <w:tcPr>
            <w:tcW w:w="990" w:type="dxa"/>
          </w:tcPr>
          <w:p w14:paraId="57514BB0"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58% Y</w:t>
            </w:r>
          </w:p>
          <w:p w14:paraId="64D18956"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39% N</w:t>
            </w:r>
          </w:p>
          <w:p w14:paraId="558E9663"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 DK</w:t>
            </w:r>
          </w:p>
        </w:tc>
        <w:tc>
          <w:tcPr>
            <w:tcW w:w="900" w:type="dxa"/>
          </w:tcPr>
          <w:p w14:paraId="5A2C2E41"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31807</w:t>
            </w:r>
          </w:p>
        </w:tc>
        <w:tc>
          <w:tcPr>
            <w:tcW w:w="900" w:type="dxa"/>
            <w:shd w:val="clear" w:color="auto" w:fill="F2DBDB" w:themeFill="accent2" w:themeFillTint="33"/>
          </w:tcPr>
          <w:p w14:paraId="6BF748BB"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54% Y</w:t>
            </w:r>
          </w:p>
          <w:p w14:paraId="08AE14F7"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44% N</w:t>
            </w:r>
          </w:p>
          <w:p w14:paraId="1966F1EB"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2% DK</w:t>
            </w:r>
          </w:p>
        </w:tc>
      </w:tr>
      <w:tr w:rsidR="002542D3" w:rsidRPr="00F618D8" w14:paraId="2EADCF6B" w14:textId="77777777" w:rsidTr="00FB2667">
        <w:tc>
          <w:tcPr>
            <w:tcW w:w="2070" w:type="dxa"/>
            <w:shd w:val="clear" w:color="auto" w:fill="DBE5F1"/>
          </w:tcPr>
          <w:p w14:paraId="5A95A00B"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Agency-Operated Apartment Type Setting</w:t>
            </w:r>
          </w:p>
        </w:tc>
        <w:tc>
          <w:tcPr>
            <w:tcW w:w="900" w:type="dxa"/>
          </w:tcPr>
          <w:p w14:paraId="3929B27E"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37% Y</w:t>
            </w:r>
          </w:p>
          <w:p w14:paraId="0FB16637"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62% N</w:t>
            </w:r>
          </w:p>
          <w:p w14:paraId="23AB08AD"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1% DK</w:t>
            </w:r>
          </w:p>
        </w:tc>
        <w:tc>
          <w:tcPr>
            <w:tcW w:w="900" w:type="dxa"/>
          </w:tcPr>
          <w:p w14:paraId="73788D44"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47% Y</w:t>
            </w:r>
          </w:p>
          <w:p w14:paraId="72D06149"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52% N</w:t>
            </w:r>
          </w:p>
          <w:p w14:paraId="3F3129D3"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 DK</w:t>
            </w:r>
          </w:p>
        </w:tc>
        <w:tc>
          <w:tcPr>
            <w:tcW w:w="990" w:type="dxa"/>
          </w:tcPr>
          <w:p w14:paraId="5C1E6AAD"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40% Y</w:t>
            </w:r>
          </w:p>
          <w:p w14:paraId="15EF65B0"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57% N</w:t>
            </w:r>
          </w:p>
          <w:p w14:paraId="1C1CC790"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 DK</w:t>
            </w:r>
          </w:p>
        </w:tc>
        <w:tc>
          <w:tcPr>
            <w:tcW w:w="900" w:type="dxa"/>
          </w:tcPr>
          <w:p w14:paraId="1720A2C0"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52% Y</w:t>
            </w:r>
          </w:p>
          <w:p w14:paraId="5A106582"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46% N</w:t>
            </w:r>
          </w:p>
          <w:p w14:paraId="42130A30"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 DK</w:t>
            </w:r>
          </w:p>
        </w:tc>
        <w:tc>
          <w:tcPr>
            <w:tcW w:w="900" w:type="dxa"/>
          </w:tcPr>
          <w:p w14:paraId="6F7AA4BB"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37% Y</w:t>
            </w:r>
          </w:p>
          <w:p w14:paraId="4F0E9D35"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59% N</w:t>
            </w:r>
          </w:p>
          <w:p w14:paraId="7EB1DD15"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 DK</w:t>
            </w:r>
          </w:p>
        </w:tc>
        <w:tc>
          <w:tcPr>
            <w:tcW w:w="900" w:type="dxa"/>
          </w:tcPr>
          <w:p w14:paraId="087B5EE0"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51% Y</w:t>
            </w:r>
          </w:p>
          <w:p w14:paraId="7FF36EBE"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48% N</w:t>
            </w:r>
          </w:p>
          <w:p w14:paraId="38EC7825"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1% DK</w:t>
            </w:r>
          </w:p>
        </w:tc>
        <w:tc>
          <w:tcPr>
            <w:tcW w:w="900" w:type="dxa"/>
          </w:tcPr>
          <w:p w14:paraId="62C9E680"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N/A</w:t>
            </w:r>
          </w:p>
        </w:tc>
        <w:tc>
          <w:tcPr>
            <w:tcW w:w="990" w:type="dxa"/>
          </w:tcPr>
          <w:p w14:paraId="769CAC24"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N/A</w:t>
            </w:r>
          </w:p>
        </w:tc>
        <w:tc>
          <w:tcPr>
            <w:tcW w:w="900" w:type="dxa"/>
          </w:tcPr>
          <w:p w14:paraId="7384D3A4"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3804</w:t>
            </w:r>
          </w:p>
        </w:tc>
        <w:tc>
          <w:tcPr>
            <w:tcW w:w="900" w:type="dxa"/>
            <w:shd w:val="clear" w:color="auto" w:fill="F2DBDB" w:themeFill="accent2" w:themeFillTint="33"/>
          </w:tcPr>
          <w:p w14:paraId="49B83071"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44% Y</w:t>
            </w:r>
          </w:p>
          <w:p w14:paraId="3A272E40"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54% N</w:t>
            </w:r>
          </w:p>
          <w:p w14:paraId="0C2626DE"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2% DK</w:t>
            </w:r>
          </w:p>
        </w:tc>
      </w:tr>
      <w:tr w:rsidR="002542D3" w:rsidRPr="00F618D8" w14:paraId="1944C371" w14:textId="77777777" w:rsidTr="00FB2667">
        <w:tc>
          <w:tcPr>
            <w:tcW w:w="2070" w:type="dxa"/>
            <w:shd w:val="clear" w:color="auto" w:fill="DBE5F1"/>
          </w:tcPr>
          <w:p w14:paraId="5CFAFB42"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Independent Home/Apartment**</w:t>
            </w:r>
          </w:p>
        </w:tc>
        <w:tc>
          <w:tcPr>
            <w:tcW w:w="900" w:type="dxa"/>
          </w:tcPr>
          <w:p w14:paraId="23860671"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22% Y</w:t>
            </w:r>
          </w:p>
          <w:p w14:paraId="67B1F35E"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77% N</w:t>
            </w:r>
          </w:p>
          <w:p w14:paraId="30D24094"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1% DK</w:t>
            </w:r>
          </w:p>
        </w:tc>
        <w:tc>
          <w:tcPr>
            <w:tcW w:w="900" w:type="dxa"/>
          </w:tcPr>
          <w:p w14:paraId="0D044908"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28% Y</w:t>
            </w:r>
          </w:p>
          <w:p w14:paraId="78727485"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71% N</w:t>
            </w:r>
          </w:p>
          <w:p w14:paraId="59ED107F"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1% DK</w:t>
            </w:r>
          </w:p>
        </w:tc>
        <w:tc>
          <w:tcPr>
            <w:tcW w:w="990" w:type="dxa"/>
          </w:tcPr>
          <w:p w14:paraId="769EAD7A"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29% Y</w:t>
            </w:r>
          </w:p>
          <w:p w14:paraId="40721D41"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70% N</w:t>
            </w:r>
          </w:p>
          <w:p w14:paraId="74D90ADF"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1% DK</w:t>
            </w:r>
          </w:p>
        </w:tc>
        <w:tc>
          <w:tcPr>
            <w:tcW w:w="900" w:type="dxa"/>
          </w:tcPr>
          <w:p w14:paraId="4582F90F"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31% Y</w:t>
            </w:r>
          </w:p>
          <w:p w14:paraId="4C998B97"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68% N</w:t>
            </w:r>
          </w:p>
          <w:p w14:paraId="398D0336"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1% DK</w:t>
            </w:r>
          </w:p>
        </w:tc>
        <w:tc>
          <w:tcPr>
            <w:tcW w:w="900" w:type="dxa"/>
          </w:tcPr>
          <w:p w14:paraId="71C102E9"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25% Y</w:t>
            </w:r>
          </w:p>
          <w:p w14:paraId="14998BC0"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74% N</w:t>
            </w:r>
          </w:p>
          <w:p w14:paraId="6192F5D4"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1% DK</w:t>
            </w:r>
          </w:p>
        </w:tc>
        <w:tc>
          <w:tcPr>
            <w:tcW w:w="900" w:type="dxa"/>
          </w:tcPr>
          <w:p w14:paraId="5DED9EE1"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28% Y</w:t>
            </w:r>
          </w:p>
          <w:p w14:paraId="7FF507E8"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71% N</w:t>
            </w:r>
          </w:p>
          <w:p w14:paraId="763D5E3E"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1% DK</w:t>
            </w:r>
          </w:p>
        </w:tc>
        <w:tc>
          <w:tcPr>
            <w:tcW w:w="900" w:type="dxa"/>
          </w:tcPr>
          <w:p w14:paraId="2B55603E"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28% Y</w:t>
            </w:r>
          </w:p>
          <w:p w14:paraId="0559FDC6"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69% N</w:t>
            </w:r>
          </w:p>
          <w:p w14:paraId="686940D6"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 DK</w:t>
            </w:r>
          </w:p>
          <w:p w14:paraId="28E93C84" w14:textId="77777777" w:rsidR="002542D3" w:rsidRPr="00F618D8" w:rsidRDefault="002542D3" w:rsidP="00E120FF">
            <w:pPr>
              <w:pStyle w:val="TableBody"/>
              <w:rPr>
                <w:rFonts w:ascii="Arial" w:hAnsi="Arial" w:cs="Arial"/>
                <w:sz w:val="20"/>
                <w:szCs w:val="20"/>
              </w:rPr>
            </w:pPr>
          </w:p>
        </w:tc>
        <w:tc>
          <w:tcPr>
            <w:tcW w:w="990" w:type="dxa"/>
          </w:tcPr>
          <w:p w14:paraId="16C36793"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34% Y</w:t>
            </w:r>
          </w:p>
          <w:p w14:paraId="61694126"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64% N</w:t>
            </w:r>
          </w:p>
          <w:p w14:paraId="1DF54B57"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 DK</w:t>
            </w:r>
          </w:p>
        </w:tc>
        <w:tc>
          <w:tcPr>
            <w:tcW w:w="900" w:type="dxa"/>
          </w:tcPr>
          <w:p w14:paraId="6657F7BC"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16949</w:t>
            </w:r>
          </w:p>
        </w:tc>
        <w:tc>
          <w:tcPr>
            <w:tcW w:w="900" w:type="dxa"/>
            <w:shd w:val="clear" w:color="auto" w:fill="F2DBDB" w:themeFill="accent2" w:themeFillTint="33"/>
          </w:tcPr>
          <w:p w14:paraId="57C7CACD"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28% Y</w:t>
            </w:r>
          </w:p>
          <w:p w14:paraId="26BBFCB5"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71% N</w:t>
            </w:r>
          </w:p>
          <w:p w14:paraId="14DA6441"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2% DK</w:t>
            </w:r>
          </w:p>
        </w:tc>
      </w:tr>
      <w:tr w:rsidR="002542D3" w:rsidRPr="00F618D8" w14:paraId="36D28E26" w14:textId="77777777" w:rsidTr="00FB2667">
        <w:tc>
          <w:tcPr>
            <w:tcW w:w="2070" w:type="dxa"/>
            <w:shd w:val="clear" w:color="auto" w:fill="DBE5F1"/>
          </w:tcPr>
          <w:p w14:paraId="7E0A97DE"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Parent/Relative’s Home</w:t>
            </w:r>
          </w:p>
        </w:tc>
        <w:tc>
          <w:tcPr>
            <w:tcW w:w="900" w:type="dxa"/>
          </w:tcPr>
          <w:p w14:paraId="77712D56"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41% Y</w:t>
            </w:r>
          </w:p>
          <w:p w14:paraId="4BE528AA"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lastRenderedPageBreak/>
              <w:t>56% N</w:t>
            </w:r>
          </w:p>
          <w:p w14:paraId="3155D54E"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 DK</w:t>
            </w:r>
          </w:p>
        </w:tc>
        <w:tc>
          <w:tcPr>
            <w:tcW w:w="900" w:type="dxa"/>
          </w:tcPr>
          <w:p w14:paraId="44E4D91E"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lastRenderedPageBreak/>
              <w:t>33% Y</w:t>
            </w:r>
          </w:p>
          <w:p w14:paraId="1A6A2E31"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lastRenderedPageBreak/>
              <w:t>64% N</w:t>
            </w:r>
          </w:p>
          <w:p w14:paraId="767ABC8E"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 DK</w:t>
            </w:r>
          </w:p>
        </w:tc>
        <w:tc>
          <w:tcPr>
            <w:tcW w:w="990" w:type="dxa"/>
          </w:tcPr>
          <w:p w14:paraId="5DA07A9C"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lastRenderedPageBreak/>
              <w:t>46% Y</w:t>
            </w:r>
          </w:p>
          <w:p w14:paraId="708CA995"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lastRenderedPageBreak/>
              <w:t>52% N</w:t>
            </w:r>
          </w:p>
          <w:p w14:paraId="5F529D15"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 DK</w:t>
            </w:r>
          </w:p>
        </w:tc>
        <w:tc>
          <w:tcPr>
            <w:tcW w:w="900" w:type="dxa"/>
          </w:tcPr>
          <w:p w14:paraId="7F611474"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lastRenderedPageBreak/>
              <w:t>49% Y</w:t>
            </w:r>
          </w:p>
          <w:p w14:paraId="4A5AA093"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lastRenderedPageBreak/>
              <w:t>50% N</w:t>
            </w:r>
          </w:p>
          <w:p w14:paraId="11CEF9C0"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 DK</w:t>
            </w:r>
          </w:p>
        </w:tc>
        <w:tc>
          <w:tcPr>
            <w:tcW w:w="900" w:type="dxa"/>
          </w:tcPr>
          <w:p w14:paraId="4C500621"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lastRenderedPageBreak/>
              <w:t>46% Y</w:t>
            </w:r>
          </w:p>
          <w:p w14:paraId="3507EF7D"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lastRenderedPageBreak/>
              <w:t>52% N</w:t>
            </w:r>
          </w:p>
          <w:p w14:paraId="0C7B5D8A"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 DK</w:t>
            </w:r>
          </w:p>
        </w:tc>
        <w:tc>
          <w:tcPr>
            <w:tcW w:w="900" w:type="dxa"/>
          </w:tcPr>
          <w:p w14:paraId="73C0236A"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lastRenderedPageBreak/>
              <w:t>48% Y</w:t>
            </w:r>
          </w:p>
          <w:p w14:paraId="2D1B80C3"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lastRenderedPageBreak/>
              <w:t>50% N</w:t>
            </w:r>
          </w:p>
          <w:p w14:paraId="13277802"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 DK</w:t>
            </w:r>
          </w:p>
        </w:tc>
        <w:tc>
          <w:tcPr>
            <w:tcW w:w="900" w:type="dxa"/>
          </w:tcPr>
          <w:p w14:paraId="6C339CEC"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lastRenderedPageBreak/>
              <w:t>49% Y</w:t>
            </w:r>
          </w:p>
          <w:p w14:paraId="1317EC6B"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lastRenderedPageBreak/>
              <w:t>47% N</w:t>
            </w:r>
          </w:p>
          <w:p w14:paraId="17D580E4"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 DK</w:t>
            </w:r>
          </w:p>
        </w:tc>
        <w:tc>
          <w:tcPr>
            <w:tcW w:w="990" w:type="dxa"/>
          </w:tcPr>
          <w:p w14:paraId="74BE7142"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lastRenderedPageBreak/>
              <w:t>54% Y</w:t>
            </w:r>
          </w:p>
          <w:p w14:paraId="490BE74A"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lastRenderedPageBreak/>
              <w:t>43% N</w:t>
            </w:r>
          </w:p>
          <w:p w14:paraId="68B4D487"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 DK</w:t>
            </w:r>
          </w:p>
        </w:tc>
        <w:tc>
          <w:tcPr>
            <w:tcW w:w="900" w:type="dxa"/>
          </w:tcPr>
          <w:p w14:paraId="7C4A264A"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lastRenderedPageBreak/>
              <w:t>39914</w:t>
            </w:r>
          </w:p>
        </w:tc>
        <w:tc>
          <w:tcPr>
            <w:tcW w:w="900" w:type="dxa"/>
            <w:shd w:val="clear" w:color="auto" w:fill="F2DBDB" w:themeFill="accent2" w:themeFillTint="33"/>
          </w:tcPr>
          <w:p w14:paraId="43ABF0A0"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46% Y</w:t>
            </w:r>
          </w:p>
          <w:p w14:paraId="363AFAD3"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lastRenderedPageBreak/>
              <w:t>52% N</w:t>
            </w:r>
          </w:p>
          <w:p w14:paraId="0FB53C2F"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2% DK</w:t>
            </w:r>
          </w:p>
        </w:tc>
      </w:tr>
      <w:tr w:rsidR="002542D3" w:rsidRPr="00F618D8" w14:paraId="01232777" w14:textId="77777777" w:rsidTr="00FB2667">
        <w:tc>
          <w:tcPr>
            <w:tcW w:w="2070" w:type="dxa"/>
            <w:shd w:val="clear" w:color="auto" w:fill="DBE5F1"/>
          </w:tcPr>
          <w:p w14:paraId="46A40EB0"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lastRenderedPageBreak/>
              <w:t>Foster Care/Host Home</w:t>
            </w:r>
          </w:p>
        </w:tc>
        <w:tc>
          <w:tcPr>
            <w:tcW w:w="900" w:type="dxa"/>
          </w:tcPr>
          <w:p w14:paraId="1ED44956"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48% Y</w:t>
            </w:r>
          </w:p>
          <w:p w14:paraId="510E2216"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49% N</w:t>
            </w:r>
          </w:p>
          <w:p w14:paraId="263E8886"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 DK</w:t>
            </w:r>
          </w:p>
        </w:tc>
        <w:tc>
          <w:tcPr>
            <w:tcW w:w="900" w:type="dxa"/>
          </w:tcPr>
          <w:p w14:paraId="4808510C"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46% Y</w:t>
            </w:r>
          </w:p>
          <w:p w14:paraId="021A276F"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51% N</w:t>
            </w:r>
          </w:p>
          <w:p w14:paraId="40677A48"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 DK</w:t>
            </w:r>
          </w:p>
        </w:tc>
        <w:tc>
          <w:tcPr>
            <w:tcW w:w="990" w:type="dxa"/>
          </w:tcPr>
          <w:p w14:paraId="5CCAF566"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55% Y</w:t>
            </w:r>
          </w:p>
          <w:p w14:paraId="71352158"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44% N</w:t>
            </w:r>
          </w:p>
          <w:p w14:paraId="1E4D1E43"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 DK</w:t>
            </w:r>
          </w:p>
        </w:tc>
        <w:tc>
          <w:tcPr>
            <w:tcW w:w="900" w:type="dxa"/>
          </w:tcPr>
          <w:p w14:paraId="0F8EBC65"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55% Y</w:t>
            </w:r>
          </w:p>
          <w:p w14:paraId="71DE302D"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43% N</w:t>
            </w:r>
          </w:p>
          <w:p w14:paraId="73EB251B"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 DK</w:t>
            </w:r>
          </w:p>
        </w:tc>
        <w:tc>
          <w:tcPr>
            <w:tcW w:w="900" w:type="dxa"/>
          </w:tcPr>
          <w:p w14:paraId="1EFB7944"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53% Y</w:t>
            </w:r>
          </w:p>
          <w:p w14:paraId="3067F44E"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46% N</w:t>
            </w:r>
          </w:p>
          <w:p w14:paraId="1F141C92"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0% DK</w:t>
            </w:r>
          </w:p>
        </w:tc>
        <w:tc>
          <w:tcPr>
            <w:tcW w:w="900" w:type="dxa"/>
          </w:tcPr>
          <w:p w14:paraId="6198C469"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61% Y</w:t>
            </w:r>
          </w:p>
          <w:p w14:paraId="3CB3D2E7"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39% N</w:t>
            </w:r>
          </w:p>
          <w:p w14:paraId="59AEAAD4"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0% DK</w:t>
            </w:r>
          </w:p>
        </w:tc>
        <w:tc>
          <w:tcPr>
            <w:tcW w:w="900" w:type="dxa"/>
          </w:tcPr>
          <w:p w14:paraId="1CDC68B9"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54% Y</w:t>
            </w:r>
          </w:p>
          <w:p w14:paraId="4EAA55A7"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44% N</w:t>
            </w:r>
          </w:p>
          <w:p w14:paraId="77A4B657"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 DK</w:t>
            </w:r>
          </w:p>
        </w:tc>
        <w:tc>
          <w:tcPr>
            <w:tcW w:w="990" w:type="dxa"/>
          </w:tcPr>
          <w:p w14:paraId="04F41D2C"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57% Y</w:t>
            </w:r>
          </w:p>
          <w:p w14:paraId="240FD450"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40% N</w:t>
            </w:r>
          </w:p>
          <w:p w14:paraId="0E50C4CD"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 DK</w:t>
            </w:r>
          </w:p>
        </w:tc>
        <w:tc>
          <w:tcPr>
            <w:tcW w:w="900" w:type="dxa"/>
          </w:tcPr>
          <w:p w14:paraId="4B9AA7BE"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5818</w:t>
            </w:r>
          </w:p>
        </w:tc>
        <w:tc>
          <w:tcPr>
            <w:tcW w:w="900" w:type="dxa"/>
            <w:shd w:val="clear" w:color="auto" w:fill="F2DBDB" w:themeFill="accent2" w:themeFillTint="33"/>
          </w:tcPr>
          <w:p w14:paraId="0721F181"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54% Y</w:t>
            </w:r>
          </w:p>
          <w:p w14:paraId="3C3A8E4C"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45% N</w:t>
            </w:r>
          </w:p>
          <w:p w14:paraId="2D71C86F"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2% DK</w:t>
            </w:r>
          </w:p>
        </w:tc>
      </w:tr>
      <w:tr w:rsidR="002542D3" w:rsidRPr="00F618D8" w14:paraId="5F058A24" w14:textId="77777777" w:rsidTr="00FB2667">
        <w:tc>
          <w:tcPr>
            <w:tcW w:w="2070" w:type="dxa"/>
            <w:shd w:val="clear" w:color="auto" w:fill="DBE5F1"/>
          </w:tcPr>
          <w:p w14:paraId="3CADAB3D"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Other</w:t>
            </w:r>
          </w:p>
        </w:tc>
        <w:tc>
          <w:tcPr>
            <w:tcW w:w="900" w:type="dxa"/>
          </w:tcPr>
          <w:p w14:paraId="6D8F270A"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40% Y</w:t>
            </w:r>
          </w:p>
          <w:p w14:paraId="27D994CF"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55% N</w:t>
            </w:r>
          </w:p>
          <w:p w14:paraId="612E8B82"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 DK</w:t>
            </w:r>
          </w:p>
        </w:tc>
        <w:tc>
          <w:tcPr>
            <w:tcW w:w="900" w:type="dxa"/>
          </w:tcPr>
          <w:p w14:paraId="51AAF0EA"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52% Y</w:t>
            </w:r>
          </w:p>
          <w:p w14:paraId="25E9100F"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43% N</w:t>
            </w:r>
          </w:p>
          <w:p w14:paraId="7919DB20"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6% DK</w:t>
            </w:r>
          </w:p>
        </w:tc>
        <w:tc>
          <w:tcPr>
            <w:tcW w:w="990" w:type="dxa"/>
          </w:tcPr>
          <w:p w14:paraId="6FF845FF"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58% Y</w:t>
            </w:r>
          </w:p>
          <w:p w14:paraId="22A22CB8"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40% N</w:t>
            </w:r>
          </w:p>
          <w:p w14:paraId="429A43AB"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 DK</w:t>
            </w:r>
          </w:p>
        </w:tc>
        <w:tc>
          <w:tcPr>
            <w:tcW w:w="900" w:type="dxa"/>
          </w:tcPr>
          <w:p w14:paraId="3322D322"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49% Y</w:t>
            </w:r>
          </w:p>
          <w:p w14:paraId="5A0A9B4A"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45% N</w:t>
            </w:r>
          </w:p>
          <w:p w14:paraId="63F43ADA"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6% DK</w:t>
            </w:r>
          </w:p>
        </w:tc>
        <w:tc>
          <w:tcPr>
            <w:tcW w:w="900" w:type="dxa"/>
          </w:tcPr>
          <w:p w14:paraId="2B829649"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36% Y</w:t>
            </w:r>
          </w:p>
          <w:p w14:paraId="4BCC473C"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59% N</w:t>
            </w:r>
          </w:p>
          <w:p w14:paraId="76D5A508"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 DK</w:t>
            </w:r>
          </w:p>
        </w:tc>
        <w:tc>
          <w:tcPr>
            <w:tcW w:w="900" w:type="dxa"/>
          </w:tcPr>
          <w:p w14:paraId="7D2914BF"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50% Y</w:t>
            </w:r>
          </w:p>
          <w:p w14:paraId="2C0DD282"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46% N</w:t>
            </w:r>
          </w:p>
          <w:p w14:paraId="29518717"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4% DK</w:t>
            </w:r>
          </w:p>
        </w:tc>
        <w:tc>
          <w:tcPr>
            <w:tcW w:w="900" w:type="dxa"/>
          </w:tcPr>
          <w:p w14:paraId="37B84A3C"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20% Y</w:t>
            </w:r>
          </w:p>
          <w:p w14:paraId="3404A136"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66% N</w:t>
            </w:r>
          </w:p>
          <w:p w14:paraId="30A95E0C"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15% DK</w:t>
            </w:r>
          </w:p>
        </w:tc>
        <w:tc>
          <w:tcPr>
            <w:tcW w:w="990" w:type="dxa"/>
          </w:tcPr>
          <w:p w14:paraId="6C89CC7F"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N/A</w:t>
            </w:r>
          </w:p>
        </w:tc>
        <w:tc>
          <w:tcPr>
            <w:tcW w:w="900" w:type="dxa"/>
          </w:tcPr>
          <w:p w14:paraId="7D7711AE" w14:textId="77777777" w:rsidR="002542D3" w:rsidRPr="00F618D8" w:rsidRDefault="002542D3" w:rsidP="00E120FF">
            <w:pPr>
              <w:pStyle w:val="TableBody"/>
              <w:rPr>
                <w:rFonts w:ascii="Arial" w:hAnsi="Arial" w:cs="Arial"/>
                <w:sz w:val="20"/>
                <w:szCs w:val="20"/>
              </w:rPr>
            </w:pPr>
            <w:r w:rsidRPr="00F618D8">
              <w:rPr>
                <w:rFonts w:ascii="Arial" w:hAnsi="Arial" w:cs="Arial"/>
                <w:sz w:val="20"/>
                <w:szCs w:val="20"/>
              </w:rPr>
              <w:t>2461</w:t>
            </w:r>
          </w:p>
        </w:tc>
        <w:tc>
          <w:tcPr>
            <w:tcW w:w="900" w:type="dxa"/>
            <w:shd w:val="clear" w:color="auto" w:fill="F2DBDB" w:themeFill="accent2" w:themeFillTint="33"/>
          </w:tcPr>
          <w:p w14:paraId="5BEE2FA1"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44% Y</w:t>
            </w:r>
          </w:p>
          <w:p w14:paraId="5BA61139"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51% N</w:t>
            </w:r>
          </w:p>
          <w:p w14:paraId="0CEF9A77" w14:textId="77777777" w:rsidR="002542D3" w:rsidRPr="00F618D8" w:rsidRDefault="002542D3" w:rsidP="00E120FF">
            <w:pPr>
              <w:pStyle w:val="TableBody"/>
              <w:rPr>
                <w:rFonts w:ascii="Arial" w:hAnsi="Arial" w:cs="Arial"/>
                <w:b/>
                <w:sz w:val="20"/>
                <w:szCs w:val="20"/>
              </w:rPr>
            </w:pPr>
            <w:r w:rsidRPr="00F618D8">
              <w:rPr>
                <w:rFonts w:ascii="Arial" w:hAnsi="Arial" w:cs="Arial"/>
                <w:b/>
                <w:sz w:val="20"/>
                <w:szCs w:val="20"/>
              </w:rPr>
              <w:t>6% DK</w:t>
            </w:r>
          </w:p>
        </w:tc>
      </w:tr>
    </w:tbl>
    <w:p w14:paraId="729168C8" w14:textId="77777777" w:rsidR="002542D3" w:rsidRPr="00F618D8" w:rsidRDefault="002542D3" w:rsidP="002542D3">
      <w:pPr>
        <w:spacing w:after="0" w:line="240" w:lineRule="auto"/>
        <w:rPr>
          <w:rFonts w:ascii="Arial" w:hAnsi="Arial" w:cs="Arial"/>
        </w:rPr>
      </w:pPr>
    </w:p>
    <w:p w14:paraId="4F6DBB77" w14:textId="77777777" w:rsidR="002542D3" w:rsidRPr="00F618D8" w:rsidRDefault="002542D3" w:rsidP="00E120FF">
      <w:pPr>
        <w:pStyle w:val="AppendixParaNoIndent"/>
        <w:rPr>
          <w:rFonts w:ascii="Arial" w:hAnsi="Arial"/>
        </w:rPr>
      </w:pPr>
      <w:r w:rsidRPr="00F618D8">
        <w:rPr>
          <w:rFonts w:ascii="Arial" w:hAnsi="Arial"/>
        </w:rPr>
        <w:t>* Referred to as a “Community-based residence/group home” in 2014-15 and “Group residential setting (group home)” in 2015-16</w:t>
      </w:r>
      <w:r w:rsidR="00AA1F92" w:rsidRPr="00F618D8">
        <w:rPr>
          <w:rFonts w:ascii="Arial" w:hAnsi="Arial"/>
        </w:rPr>
        <w:t xml:space="preserve">. </w:t>
      </w:r>
    </w:p>
    <w:p w14:paraId="66BC7D59" w14:textId="77777777" w:rsidR="002542D3" w:rsidRPr="00F618D8" w:rsidRDefault="002542D3" w:rsidP="00E120FF">
      <w:pPr>
        <w:pStyle w:val="AppendixParaNoIndent"/>
        <w:rPr>
          <w:rFonts w:ascii="Arial" w:hAnsi="Arial"/>
          <w:b/>
        </w:rPr>
      </w:pPr>
      <w:r w:rsidRPr="00F618D8">
        <w:rPr>
          <w:rFonts w:ascii="Arial" w:hAnsi="Arial"/>
        </w:rPr>
        <w:t>** Referred to as “own home or apartment” in 2015-16</w:t>
      </w:r>
    </w:p>
    <w:p w14:paraId="6821BB30" w14:textId="77777777" w:rsidR="000E1301" w:rsidRPr="00F618D8" w:rsidRDefault="000E1301" w:rsidP="00DB2316">
      <w:pPr>
        <w:spacing w:after="0" w:line="240" w:lineRule="auto"/>
        <w:jc w:val="center"/>
        <w:rPr>
          <w:rFonts w:ascii="Arial" w:hAnsi="Arial" w:cs="Arial"/>
          <w:b/>
          <w:sz w:val="36"/>
          <w:szCs w:val="36"/>
        </w:rPr>
        <w:sectPr w:rsidR="000E1301" w:rsidRPr="00F618D8" w:rsidSect="00277F85">
          <w:endnotePr>
            <w:numFmt w:val="decimal"/>
          </w:endnotePr>
          <w:pgSz w:w="12240" w:h="15840"/>
          <w:pgMar w:top="1440" w:right="1440" w:bottom="1440" w:left="1440" w:header="720" w:footer="720" w:gutter="0"/>
          <w:cols w:space="720"/>
          <w:docGrid w:linePitch="360"/>
        </w:sectPr>
      </w:pPr>
    </w:p>
    <w:p w14:paraId="711703F1" w14:textId="77777777" w:rsidR="00016078" w:rsidRPr="004B7879" w:rsidRDefault="00016078" w:rsidP="00387358">
      <w:pPr>
        <w:pStyle w:val="Heading1"/>
        <w:rPr>
          <w:rFonts w:ascii="Arial" w:hAnsi="Arial" w:cs="Arial"/>
        </w:rPr>
      </w:pPr>
      <w:bookmarkStart w:id="154" w:name="_Toc10291001"/>
      <w:r w:rsidRPr="00F618D8">
        <w:rPr>
          <w:rFonts w:ascii="Arial" w:hAnsi="Arial" w:cs="Arial"/>
        </w:rPr>
        <w:lastRenderedPageBreak/>
        <w:t>Endnotes</w:t>
      </w:r>
      <w:bookmarkEnd w:id="154"/>
    </w:p>
    <w:sectPr w:rsidR="00016078" w:rsidRPr="004B7879" w:rsidSect="00277F85">
      <w:endnotePr>
        <w:numFmt w:val="decimal"/>
      </w:endnotePr>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1EC3E" w14:textId="77777777" w:rsidR="00E81103" w:rsidRDefault="00E81103" w:rsidP="005B5C98">
      <w:pPr>
        <w:spacing w:after="0" w:line="240" w:lineRule="auto"/>
      </w:pPr>
      <w:r>
        <w:separator/>
      </w:r>
    </w:p>
  </w:endnote>
  <w:endnote w:type="continuationSeparator" w:id="0">
    <w:p w14:paraId="1B4BC44A" w14:textId="77777777" w:rsidR="00E81103" w:rsidRDefault="00E81103" w:rsidP="005B5C98">
      <w:pPr>
        <w:spacing w:after="0" w:line="240" w:lineRule="auto"/>
      </w:pPr>
      <w:r>
        <w:continuationSeparator/>
      </w:r>
    </w:p>
  </w:endnote>
  <w:endnote w:id="1">
    <w:p w14:paraId="3AA03119" w14:textId="77777777" w:rsidR="00C40185" w:rsidRPr="0014730D" w:rsidRDefault="00C40185" w:rsidP="007749CE">
      <w:pPr>
        <w:pStyle w:val="EndnoteText"/>
        <w:rPr>
          <w:color w:val="000000" w:themeColor="text1"/>
          <w:shd w:val="clear" w:color="auto" w:fill="FFFFFF"/>
        </w:rPr>
      </w:pPr>
      <w:r w:rsidRPr="0014730D">
        <w:rPr>
          <w:rStyle w:val="EndnoteReference"/>
          <w:rFonts w:cs="Arial"/>
        </w:rPr>
        <w:endnoteRef/>
      </w:r>
      <w:r w:rsidRPr="0014730D">
        <w:rPr>
          <w:shd w:val="clear" w:color="auto" w:fill="FFFFFF"/>
        </w:rPr>
        <w:t xml:space="preserve"> National Council on Disability, </w:t>
      </w:r>
      <w:r w:rsidRPr="0014730D">
        <w:rPr>
          <w:i/>
          <w:shd w:val="clear" w:color="auto" w:fill="FFFFFF"/>
        </w:rPr>
        <w:t>The State of 21st Century Long-Term Services and Supports: Financing and Systems Reform for Americans with Disabilities</w:t>
      </w:r>
      <w:r w:rsidRPr="0014730D">
        <w:rPr>
          <w:shd w:val="clear" w:color="auto" w:fill="FFFFFF"/>
        </w:rPr>
        <w:t>, December 2005, accessed February 11, 2019, </w:t>
      </w:r>
      <w:hyperlink r:id="rId1" w:history="1">
        <w:r w:rsidRPr="0014730D">
          <w:rPr>
            <w:color w:val="0000FF"/>
            <w:u w:val="single"/>
            <w:shd w:val="clear" w:color="auto" w:fill="FFFFFF"/>
          </w:rPr>
          <w:t>www.ncd.gov/publications/2005/12152005</w:t>
        </w:r>
      </w:hyperlink>
      <w:r w:rsidRPr="0014730D">
        <w:rPr>
          <w:shd w:val="clear" w:color="auto" w:fill="FFFFFF"/>
        </w:rPr>
        <w:t>.</w:t>
      </w:r>
    </w:p>
  </w:endnote>
  <w:endnote w:id="2">
    <w:p w14:paraId="2E885E21" w14:textId="032481F7" w:rsidR="00C40185" w:rsidRPr="0014730D" w:rsidRDefault="00C40185" w:rsidP="007749CE">
      <w:pPr>
        <w:pStyle w:val="EndnoteText"/>
        <w:rPr>
          <w:color w:val="0000FF"/>
          <w:u w:val="single"/>
        </w:rPr>
      </w:pPr>
      <w:r w:rsidRPr="0014730D">
        <w:rPr>
          <w:rStyle w:val="EndnoteReference"/>
          <w:rFonts w:cs="Arial"/>
          <w:color w:val="000000" w:themeColor="text1"/>
        </w:rPr>
        <w:endnoteRef/>
      </w:r>
      <w:r w:rsidRPr="0014730D">
        <w:rPr>
          <w:shd w:val="clear" w:color="auto" w:fill="FFFFFF"/>
        </w:rPr>
        <w:t xml:space="preserve"> National Guardianship Association, </w:t>
      </w:r>
      <w:r w:rsidRPr="0014730D">
        <w:rPr>
          <w:i/>
          <w:iCs/>
          <w:shd w:val="clear" w:color="auto" w:fill="FFFFFF"/>
        </w:rPr>
        <w:t>Standards of Practice</w:t>
      </w:r>
      <w:r w:rsidRPr="0014730D">
        <w:rPr>
          <w:shd w:val="clear" w:color="auto" w:fill="FFFFFF"/>
        </w:rPr>
        <w:t xml:space="preserve"> (2013), 10, accessed July 20, 2017, </w:t>
      </w:r>
      <w:hyperlink r:id="rId2" w:tooltip="https://www.guardianship.org/wp-content/uploads/2017/07/NGA-Standards-with-Summit-Revisions-2017.pdf" w:history="1">
        <w:r w:rsidRPr="0014730D">
          <w:rPr>
            <w:rStyle w:val="Hyperlink"/>
            <w:rFonts w:cs="Arial"/>
            <w:sz w:val="18"/>
          </w:rPr>
          <w:t>https://www.guardianship.org/wp-content/uploads/2017/07/NGA-Standards-with-Summit-Revisions-2017.pdf</w:t>
        </w:r>
      </w:hyperlink>
      <w:r w:rsidRPr="0014730D">
        <w:rPr>
          <w:rStyle w:val="Hyperlink"/>
          <w:rFonts w:cs="Arial"/>
          <w:sz w:val="18"/>
        </w:rPr>
        <w:t>.</w:t>
      </w:r>
    </w:p>
  </w:endnote>
  <w:endnote w:id="3">
    <w:p w14:paraId="408FEDDB" w14:textId="7D3EB72C" w:rsidR="00C40185" w:rsidRPr="0014730D" w:rsidRDefault="00C40185" w:rsidP="007749CE">
      <w:pPr>
        <w:pStyle w:val="EndnoteText"/>
        <w:rPr>
          <w:color w:val="000000" w:themeColor="text1"/>
        </w:rPr>
      </w:pPr>
      <w:r w:rsidRPr="0014730D">
        <w:rPr>
          <w:color w:val="000000" w:themeColor="text1"/>
          <w:vertAlign w:val="superscript"/>
        </w:rPr>
        <w:endnoteRef/>
      </w:r>
      <w:r w:rsidRPr="0014730D">
        <w:rPr>
          <w:color w:val="000000" w:themeColor="text1"/>
        </w:rPr>
        <w:t xml:space="preserve"> </w:t>
      </w:r>
      <w:r w:rsidRPr="0014730D">
        <w:t>Unif. Guardianship and Protective Proceedings Act § 102 (Nat’l Conference of Comm’rs on Unif. State Laws 1997).</w:t>
      </w:r>
    </w:p>
  </w:endnote>
  <w:endnote w:id="4">
    <w:p w14:paraId="6CA4CA8A" w14:textId="032D969A" w:rsidR="00C40185" w:rsidRPr="0014730D" w:rsidRDefault="00C40185" w:rsidP="007749CE">
      <w:pPr>
        <w:pStyle w:val="EndnoteText"/>
      </w:pPr>
      <w:r w:rsidRPr="0014730D">
        <w:rPr>
          <w:rStyle w:val="EndnoteReference"/>
          <w:rFonts w:cs="Arial"/>
          <w:color w:val="000000" w:themeColor="text1"/>
        </w:rPr>
        <w:endnoteRef/>
      </w:r>
      <w:r w:rsidRPr="0014730D">
        <w:rPr>
          <w:color w:val="000000" w:themeColor="text1"/>
        </w:rPr>
        <w:t xml:space="preserve"> </w:t>
      </w:r>
      <w:r w:rsidRPr="0014730D">
        <w:t xml:space="preserve">Uniform Law Commission, </w:t>
      </w:r>
      <w:r w:rsidRPr="0014730D">
        <w:rPr>
          <w:i/>
        </w:rPr>
        <w:t>Guardianship, Conservatorship, and Other Protective Arrangements Act Committee</w:t>
      </w:r>
      <w:r w:rsidRPr="0014730D">
        <w:t xml:space="preserve">, accessed January 24, 2018, </w:t>
      </w:r>
      <w:hyperlink r:id="rId3" w:tooltip="http://www.uniformlaws.org/Committee.aspx?title=Guardianship,%20Conservatorship,%20and%20Other%20Protective%20Arrangements%20Act">
        <w:r w:rsidRPr="0014730D">
          <w:rPr>
            <w:color w:val="0000FF"/>
            <w:u w:val="single"/>
          </w:rPr>
          <w:t>http://www.uniformlaws.org/Committee.aspx?title=Guardianship,%20Conservatorship,%20and%20Other%20Protective%20Arrangements%20Act</w:t>
        </w:r>
      </w:hyperlink>
      <w:r w:rsidRPr="0014730D">
        <w:t>.</w:t>
      </w:r>
    </w:p>
  </w:endnote>
  <w:endnote w:id="5">
    <w:p w14:paraId="08FB0420" w14:textId="1CD4D80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American Association on Intellectual and Developmental Disabilities, “Definition of Intellectual Disability,” accessed January 11, 2018, </w:t>
      </w:r>
      <w:hyperlink r:id="rId4" w:tooltip="https://aaidd.org/intellectual-disability/definition" w:history="1">
        <w:r w:rsidRPr="0014730D">
          <w:rPr>
            <w:rStyle w:val="Hyperlink"/>
            <w:rFonts w:cs="Arial"/>
            <w:sz w:val="18"/>
          </w:rPr>
          <w:t>https://aaidd.org/intellectual-disability/definition</w:t>
        </w:r>
      </w:hyperlink>
      <w:r w:rsidRPr="0014730D">
        <w:rPr>
          <w:color w:val="000000" w:themeColor="text1"/>
        </w:rPr>
        <w:t>.</w:t>
      </w:r>
    </w:p>
  </w:endnote>
  <w:endnote w:id="6">
    <w:p w14:paraId="20D9F9FF" w14:textId="53E5827A"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Rosa’s Law, Pub. L. No 111-256, 124 Stat. 2643, October 5, 2010, accessed November 27, 2018, </w:t>
      </w:r>
      <w:hyperlink r:id="rId5" w:tooltip="http://www.gpo.gov/fdsys/pkg/PLAW-111publ256/html/PLAW-111publ256.htm" w:history="1">
        <w:r w:rsidRPr="0014730D">
          <w:rPr>
            <w:rStyle w:val="Hyperlink"/>
            <w:rFonts w:cs="Arial"/>
            <w:sz w:val="18"/>
          </w:rPr>
          <w:t>http://www.gpo.gov/fdsys/pkg/PLAW-111publ256/html/PLAW-111publ256.htm</w:t>
        </w:r>
      </w:hyperlink>
      <w:r w:rsidRPr="0014730D">
        <w:rPr>
          <w:color w:val="000000" w:themeColor="text1"/>
        </w:rPr>
        <w:t xml:space="preserve">; U.S. President Barack Obama, </w:t>
      </w:r>
      <w:r w:rsidRPr="0014730D">
        <w:rPr>
          <w:i/>
          <w:iCs/>
          <w:color w:val="000000" w:themeColor="text1"/>
        </w:rPr>
        <w:t>Remarks by the President at the Signing of the 21</w:t>
      </w:r>
      <w:r w:rsidRPr="0014730D">
        <w:rPr>
          <w:i/>
          <w:iCs/>
          <w:color w:val="000000" w:themeColor="text1"/>
          <w:vertAlign w:val="superscript"/>
        </w:rPr>
        <w:t>st</w:t>
      </w:r>
      <w:r w:rsidRPr="0014730D">
        <w:rPr>
          <w:i/>
          <w:iCs/>
          <w:color w:val="000000" w:themeColor="text1"/>
        </w:rPr>
        <w:t xml:space="preserve"> Century Communications and Video Accessibility Act of 2010, </w:t>
      </w:r>
      <w:r w:rsidRPr="0014730D">
        <w:rPr>
          <w:color w:val="000000" w:themeColor="text1"/>
        </w:rPr>
        <w:t>October 8, 2010, (including Presidential remarks on “Rosa’s Law”), accessed November 27, 2018, http://www.whitehouse.gov/the-press-office/2010/10/08/remarks-president-signing-21st-century-communications-and-video-accessib.</w:t>
      </w:r>
    </w:p>
  </w:endnote>
  <w:endnote w:id="7">
    <w:p w14:paraId="65587238" w14:textId="7777777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42 U.S.C. § 15002(8).</w:t>
      </w:r>
    </w:p>
  </w:endnote>
  <w:endnote w:id="8">
    <w:p w14:paraId="0D22AC3B" w14:textId="77777777" w:rsidR="00C40185" w:rsidRPr="0014730D" w:rsidRDefault="00C40185" w:rsidP="007749CE">
      <w:pPr>
        <w:pStyle w:val="EndnoteText"/>
        <w:rPr>
          <w:color w:val="000000" w:themeColor="text1"/>
          <w:u w:val="single"/>
        </w:rPr>
      </w:pPr>
      <w:r w:rsidRPr="0014730D">
        <w:rPr>
          <w:rStyle w:val="EndnoteReference"/>
          <w:rFonts w:cs="Arial"/>
          <w:color w:val="000000" w:themeColor="text1"/>
        </w:rPr>
        <w:endnoteRef/>
      </w:r>
      <w:r w:rsidRPr="0014730D">
        <w:rPr>
          <w:color w:val="000000" w:themeColor="text1"/>
        </w:rPr>
        <w:t xml:space="preserve"> Etienne Benson, “Intelligent Intelligence Testing: Psychologists Are Broadening the Concept of Intelligence and How to Test It,” American Psychological Association 34, no. 2 (2003): 48.</w:t>
      </w:r>
    </w:p>
  </w:endnote>
  <w:endnote w:id="9">
    <w:p w14:paraId="06361DC4" w14:textId="1E2EE60D" w:rsidR="00C40185" w:rsidRPr="0014730D" w:rsidRDefault="00C40185" w:rsidP="007749CE">
      <w:pPr>
        <w:pStyle w:val="EndnoteText"/>
        <w:rPr>
          <w:color w:val="000000" w:themeColor="text1"/>
          <w:u w:val="single"/>
        </w:rPr>
      </w:pPr>
      <w:r w:rsidRPr="0014730D">
        <w:rPr>
          <w:rStyle w:val="EndnoteReference"/>
          <w:rFonts w:cs="Arial"/>
          <w:color w:val="000000" w:themeColor="text1"/>
        </w:rPr>
        <w:endnoteRef/>
      </w:r>
      <w:r w:rsidRPr="0014730D">
        <w:rPr>
          <w:color w:val="000000" w:themeColor="text1"/>
        </w:rPr>
        <w:t xml:space="preserve"> Margaret Semrud-Clikeman, “Research in Brain Function and Learning: The Importance of Matching Instruction to a Child's Maturity Level,” </w:t>
      </w:r>
      <w:r w:rsidRPr="0014730D">
        <w:rPr>
          <w:i/>
          <w:color w:val="000000" w:themeColor="text1"/>
        </w:rPr>
        <w:t>American Psychological Association</w:t>
      </w:r>
      <w:r w:rsidRPr="0014730D">
        <w:rPr>
          <w:color w:val="000000" w:themeColor="text1"/>
        </w:rPr>
        <w:t>,</w:t>
      </w:r>
      <w:r w:rsidRPr="0014730D">
        <w:rPr>
          <w:i/>
          <w:color w:val="000000" w:themeColor="text1"/>
        </w:rPr>
        <w:t xml:space="preserve"> </w:t>
      </w:r>
      <w:r w:rsidRPr="0014730D">
        <w:rPr>
          <w:color w:val="000000" w:themeColor="text1"/>
        </w:rPr>
        <w:t xml:space="preserve">accessed February 11, 2019, </w:t>
      </w:r>
      <w:hyperlink r:id="rId6" w:tooltip="https://www.apa.org/education/k12/brain-function.aspx" w:history="1">
        <w:r w:rsidRPr="0014730D">
          <w:rPr>
            <w:rStyle w:val="Hyperlink"/>
            <w:rFonts w:cs="Arial"/>
            <w:sz w:val="18"/>
          </w:rPr>
          <w:t>https://www.apa.org/education/k12/brain-function.aspx</w:t>
        </w:r>
      </w:hyperlink>
      <w:r w:rsidRPr="0014730D">
        <w:rPr>
          <w:rStyle w:val="Hyperlink"/>
          <w:rFonts w:cs="Arial"/>
          <w:color w:val="000000" w:themeColor="text1"/>
          <w:sz w:val="18"/>
          <w:u w:val="none"/>
        </w:rPr>
        <w:t>.</w:t>
      </w:r>
    </w:p>
  </w:endnote>
  <w:endnote w:id="10">
    <w:p w14:paraId="6520A2DF" w14:textId="2EF57022"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National Council on Disability,</w:t>
      </w:r>
      <w:r w:rsidRPr="0014730D">
        <w:rPr>
          <w:i/>
          <w:color w:val="000000" w:themeColor="text1"/>
        </w:rPr>
        <w:t xml:space="preserve"> Beyond Guardianship: Toward Alternatives That Promote Greater Self-Determination for People with Disabilities</w:t>
      </w:r>
      <w:r w:rsidRPr="0014730D">
        <w:rPr>
          <w:color w:val="000000" w:themeColor="text1"/>
        </w:rPr>
        <w:t xml:space="preserve"> (March 22, 2018), 27-36, accessed February 11, 2019, </w:t>
      </w:r>
      <w:hyperlink r:id="rId7" w:tooltip="https://www.ncd.gov/publications/2018/beyond-guardianship-toward-alternatives" w:history="1">
        <w:r w:rsidRPr="0014730D">
          <w:rPr>
            <w:rStyle w:val="Hyperlink"/>
            <w:rFonts w:cs="Arial"/>
            <w:sz w:val="18"/>
          </w:rPr>
          <w:t>https://www.ncd.gov/publications/2018/beyond-guardianship-toward-alternatives</w:t>
        </w:r>
      </w:hyperlink>
      <w:r w:rsidRPr="0014730D">
        <w:t>.</w:t>
      </w:r>
    </w:p>
  </w:endnote>
  <w:endnote w:id="11">
    <w:p w14:paraId="30152778" w14:textId="6377BD8E"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Ibid.</w:t>
      </w:r>
    </w:p>
  </w:endnote>
  <w:endnote w:id="12">
    <w:p w14:paraId="3697F3FF" w14:textId="77777777" w:rsidR="00C40185" w:rsidRPr="0014730D" w:rsidRDefault="00C40185" w:rsidP="007749CE">
      <w:pPr>
        <w:pStyle w:val="EndnoteText"/>
        <w:rPr>
          <w:color w:val="000000" w:themeColor="text1"/>
          <w:spacing w:val="-2"/>
        </w:rPr>
      </w:pPr>
      <w:r w:rsidRPr="0014730D">
        <w:rPr>
          <w:color w:val="000000" w:themeColor="text1"/>
          <w:spacing w:val="-2"/>
          <w:vertAlign w:val="superscript"/>
        </w:rPr>
        <w:endnoteRef/>
      </w:r>
      <w:r w:rsidRPr="0014730D">
        <w:rPr>
          <w:color w:val="000000" w:themeColor="text1"/>
          <w:spacing w:val="-2"/>
        </w:rPr>
        <w:t xml:space="preserve"> Robert D. Dinerstein, "Implementing Legal Capacity Under Article 12 of the UN Convention on the Rights of Persons with Disabilities: The Difficult Road from Guardianship to Supported Decision-Making," </w:t>
      </w:r>
      <w:r w:rsidRPr="0014730D">
        <w:rPr>
          <w:i/>
          <w:iCs/>
          <w:color w:val="000000" w:themeColor="text1"/>
          <w:spacing w:val="-2"/>
        </w:rPr>
        <w:t>Human Rights Brief</w:t>
      </w:r>
      <w:r w:rsidRPr="0014730D">
        <w:rPr>
          <w:color w:val="000000" w:themeColor="text1"/>
          <w:spacing w:val="-2"/>
        </w:rPr>
        <w:t xml:space="preserve"> 19 (2012): 8-12.</w:t>
      </w:r>
    </w:p>
  </w:endnote>
  <w:endnote w:id="13">
    <w:p w14:paraId="7E784976" w14:textId="77777777" w:rsidR="00C40185" w:rsidRPr="0014730D" w:rsidRDefault="00C40185" w:rsidP="007749CE">
      <w:pPr>
        <w:pStyle w:val="EndnoteText"/>
        <w:rPr>
          <w:color w:val="000000"/>
        </w:rPr>
      </w:pPr>
      <w:r w:rsidRPr="0014730D">
        <w:rPr>
          <w:rStyle w:val="EndnoteReference"/>
          <w:rFonts w:cs="Arial"/>
          <w:color w:val="000000" w:themeColor="text1"/>
        </w:rPr>
        <w:endnoteRef/>
      </w:r>
      <w:r w:rsidRPr="0014730D">
        <w:rPr>
          <w:color w:val="000000" w:themeColor="text1"/>
        </w:rPr>
        <w:t xml:space="preserve"> </w:t>
      </w:r>
      <w:r w:rsidRPr="0014730D">
        <w:rPr>
          <w:color w:val="000000"/>
        </w:rPr>
        <w:t>In re Orshansky, 804 A.2d 1077 (D.C. 2002).</w:t>
      </w:r>
    </w:p>
    <w:p w14:paraId="67A72D2D" w14:textId="77777777" w:rsidR="00C40185" w:rsidRPr="0014730D" w:rsidRDefault="00C40185" w:rsidP="007749CE">
      <w:pPr>
        <w:pStyle w:val="EndnoteText"/>
      </w:pPr>
    </w:p>
  </w:endnote>
  <w:endnote w:id="14">
    <w:p w14:paraId="137CF430" w14:textId="7777777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w:t>
      </w:r>
      <w:r w:rsidRPr="0014730D">
        <w:rPr>
          <w:rFonts w:eastAsia="Calibri"/>
          <w:i/>
          <w:color w:val="000000" w:themeColor="text1"/>
        </w:rPr>
        <w:t>In the Matter of M.R.</w:t>
      </w:r>
      <w:r w:rsidRPr="0014730D">
        <w:rPr>
          <w:rFonts w:eastAsia="Calibri"/>
          <w:color w:val="000000" w:themeColor="text1"/>
        </w:rPr>
        <w:t>, 638 A.2d 1274, 1282 (N.J. 1994).</w:t>
      </w:r>
    </w:p>
  </w:endnote>
  <w:endnote w:id="15">
    <w:p w14:paraId="3BB08AF0" w14:textId="7777777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w:t>
      </w:r>
      <w:r w:rsidRPr="0014730D">
        <w:t xml:space="preserve">Kristen Booth Glen. "Supported Decision-Making and the Human Right of Legal Capacity." </w:t>
      </w:r>
      <w:r w:rsidRPr="0014730D">
        <w:rPr>
          <w:i/>
        </w:rPr>
        <w:t>Inclusion</w:t>
      </w:r>
      <w:r w:rsidRPr="0014730D">
        <w:t xml:space="preserve"> 3, no. 1 (2015): 2-16.</w:t>
      </w:r>
    </w:p>
  </w:endnote>
  <w:endnote w:id="16">
    <w:p w14:paraId="7ECEE72F" w14:textId="416F26C1"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w:t>
      </w:r>
      <w:r w:rsidRPr="0014730D">
        <w:t xml:space="preserve">Tina M.Campanella, “Supported Decision-Making in Practice,” </w:t>
      </w:r>
      <w:r w:rsidRPr="0014730D">
        <w:rPr>
          <w:i/>
        </w:rPr>
        <w:t>Inclusion</w:t>
      </w:r>
      <w:r w:rsidRPr="0014730D">
        <w:t xml:space="preserve"> 3, no. 1 (2015): 35-39.</w:t>
      </w:r>
    </w:p>
  </w:endnote>
  <w:endnote w:id="17">
    <w:p w14:paraId="6287F9A6" w14:textId="7777777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w:t>
      </w:r>
      <w:r w:rsidRPr="0014730D">
        <w:t xml:space="preserve">Rebecca Bailey, Paul Wilner, and Simon Dymond, “A Visual Aid to Decision-Making for People with Intellectual Disabilities,” </w:t>
      </w:r>
      <w:r w:rsidRPr="0014730D">
        <w:rPr>
          <w:i/>
        </w:rPr>
        <w:t>Research in Developmental Disabilities</w:t>
      </w:r>
      <w:r w:rsidRPr="0014730D">
        <w:t xml:space="preserve"> 32, no. 1 (2011): 37-46; </w:t>
      </w:r>
      <w:r w:rsidRPr="0014730D">
        <w:rPr>
          <w:rFonts w:eastAsia="Times New Roman"/>
        </w:rPr>
        <w:t>Guilt Lotan and CaroLyn Ells, “</w:t>
      </w:r>
      <w:r w:rsidRPr="0014730D">
        <w:rPr>
          <w:rFonts w:eastAsia="Times New Roman"/>
          <w:bCs/>
          <w:kern w:val="36"/>
        </w:rPr>
        <w:t xml:space="preserve">Adults With Intellectual and Developmental Disabilities and Participation in Decision Making: Ethical Considerations for Professional—Client Practice,” </w:t>
      </w:r>
      <w:r w:rsidRPr="0014730D">
        <w:rPr>
          <w:rFonts w:eastAsia="Times New Roman"/>
          <w:bCs/>
          <w:i/>
          <w:kern w:val="36"/>
        </w:rPr>
        <w:t>Intellectual and Developmental Disabilities</w:t>
      </w:r>
      <w:r w:rsidRPr="0014730D">
        <w:rPr>
          <w:rFonts w:eastAsia="Times New Roman"/>
          <w:bCs/>
          <w:kern w:val="36"/>
        </w:rPr>
        <w:t xml:space="preserve"> 48, no. 2 (2010): </w:t>
      </w:r>
      <w:r w:rsidRPr="0014730D">
        <w:rPr>
          <w:shd w:val="clear" w:color="auto" w:fill="FFFFFF"/>
        </w:rPr>
        <w:t xml:space="preserve">112-25; R. Saaltink et al., </w:t>
      </w:r>
      <w:r w:rsidRPr="0014730D">
        <w:rPr>
          <w:rFonts w:eastAsia="Times New Roman"/>
          <w:bCs/>
          <w:kern w:val="36"/>
        </w:rPr>
        <w:t xml:space="preserve">“Protection, Participation and Protection through Participation: Young People with Intellectual Disabilities and Decision Making in the Family Context,” </w:t>
      </w:r>
      <w:r w:rsidRPr="0014730D">
        <w:rPr>
          <w:rFonts w:eastAsia="Times New Roman"/>
          <w:bCs/>
          <w:i/>
          <w:kern w:val="36"/>
        </w:rPr>
        <w:t>Journal of Intellectual Disability Research</w:t>
      </w:r>
      <w:r w:rsidRPr="0014730D">
        <w:rPr>
          <w:rFonts w:eastAsia="Times New Roman"/>
          <w:bCs/>
          <w:kern w:val="36"/>
        </w:rPr>
        <w:t xml:space="preserve"> 56, No. 11 (2012): 1076-86.</w:t>
      </w:r>
    </w:p>
  </w:endnote>
  <w:endnote w:id="18">
    <w:p w14:paraId="15812DA6" w14:textId="77777777" w:rsidR="00C40185" w:rsidRPr="0014730D" w:rsidRDefault="00C40185" w:rsidP="007749CE">
      <w:pPr>
        <w:pStyle w:val="EndnoteText"/>
      </w:pPr>
      <w:r w:rsidRPr="0014730D">
        <w:rPr>
          <w:rStyle w:val="EndnoteReference"/>
          <w:rFonts w:cs="Arial"/>
          <w:color w:val="000000" w:themeColor="text1"/>
        </w:rPr>
        <w:endnoteRef/>
      </w:r>
      <w:r w:rsidRPr="0014730D">
        <w:rPr>
          <w:color w:val="000000" w:themeColor="text1"/>
        </w:rPr>
        <w:t xml:space="preserve"> Nina A. </w:t>
      </w:r>
      <w:r w:rsidRPr="0014730D">
        <w:t xml:space="preserve">Kohn, Jeremy A. Blumenthal, and Amy T. Campbell. "Supported Decision-Making: A Viable Alternative to Guardianship?," </w:t>
      </w:r>
      <w:r w:rsidRPr="0014730D">
        <w:rPr>
          <w:i/>
        </w:rPr>
        <w:t>Penn State Law Review</w:t>
      </w:r>
      <w:r w:rsidRPr="0014730D">
        <w:t xml:space="preserve"> 117, no. 4 (2013): 1111-1157.</w:t>
      </w:r>
    </w:p>
  </w:endnote>
  <w:endnote w:id="19">
    <w:p w14:paraId="17C0F2B4" w14:textId="643DCC64"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The Arc for People with Intellectual and Developmental Disabilities, </w:t>
      </w:r>
      <w:r w:rsidRPr="0014730D">
        <w:rPr>
          <w:i/>
          <w:color w:val="000000" w:themeColor="text1"/>
        </w:rPr>
        <w:t>Autonomy, Decision-Making Supports, and Guardianship</w:t>
      </w:r>
      <w:r w:rsidRPr="0014730D">
        <w:rPr>
          <w:color w:val="000000" w:themeColor="text1"/>
        </w:rPr>
        <w:t xml:space="preserve">, accessed February 11, 2019, </w:t>
      </w:r>
      <w:hyperlink r:id="rId8" w:tooltip="https://www.thearc.org/sslpage.aspx?pid=2351" w:history="1">
        <w:r w:rsidRPr="0014730D">
          <w:rPr>
            <w:rStyle w:val="Hyperlink"/>
            <w:rFonts w:cs="Arial"/>
            <w:sz w:val="18"/>
          </w:rPr>
          <w:t>https://www.thearc.org/sslpage.aspx?pid=2351</w:t>
        </w:r>
      </w:hyperlink>
      <w:r w:rsidRPr="0014730D">
        <w:rPr>
          <w:color w:val="000000" w:themeColor="text1"/>
        </w:rPr>
        <w:t>.</w:t>
      </w:r>
    </w:p>
  </w:endnote>
  <w:endnote w:id="20">
    <w:p w14:paraId="602B9C1C" w14:textId="77777777" w:rsidR="00C40185" w:rsidRPr="0014730D" w:rsidRDefault="00C40185" w:rsidP="007749CE">
      <w:pPr>
        <w:pStyle w:val="EndnoteText"/>
      </w:pPr>
      <w:r w:rsidRPr="0014730D">
        <w:rPr>
          <w:rStyle w:val="EndnoteReference"/>
          <w:rFonts w:cs="Arial"/>
          <w:color w:val="000000" w:themeColor="text1"/>
        </w:rPr>
        <w:endnoteRef/>
      </w:r>
      <w:r w:rsidRPr="0014730D">
        <w:rPr>
          <w:color w:val="000000" w:themeColor="text1"/>
        </w:rPr>
        <w:t xml:space="preserve"> </w:t>
      </w:r>
      <w:r w:rsidRPr="0014730D">
        <w:t xml:space="preserve">Dorothy Millar, "Addition to Transition Assessment Resources: A Template for Determining the Use of Guardianship Alternatives for Students who have Intellectual Disability," </w:t>
      </w:r>
      <w:r w:rsidRPr="0014730D">
        <w:rPr>
          <w:i/>
        </w:rPr>
        <w:t>Education and Training in Autism and Developmental Disabilities</w:t>
      </w:r>
      <w:r w:rsidRPr="0014730D">
        <w:t xml:space="preserve"> 49, no. 2 (2014): 171-188.</w:t>
      </w:r>
    </w:p>
  </w:endnote>
  <w:endnote w:id="21">
    <w:p w14:paraId="62B3A2A1" w14:textId="77777777" w:rsidR="00C40185" w:rsidRPr="0014730D" w:rsidRDefault="00C40185" w:rsidP="007749CE">
      <w:pPr>
        <w:pStyle w:val="EndnoteText"/>
        <w:rPr>
          <w:rFonts w:eastAsia="Times New Roman"/>
          <w:color w:val="000000" w:themeColor="text1"/>
        </w:rPr>
      </w:pPr>
      <w:r w:rsidRPr="0014730D">
        <w:rPr>
          <w:rStyle w:val="EndnoteReference"/>
          <w:rFonts w:cs="Arial"/>
          <w:color w:val="000000" w:themeColor="text1"/>
        </w:rPr>
        <w:endnoteRef/>
      </w:r>
      <w:r w:rsidRPr="0014730D">
        <w:rPr>
          <w:color w:val="000000" w:themeColor="text1"/>
        </w:rPr>
        <w:t xml:space="preserve"> </w:t>
      </w:r>
      <w:r w:rsidRPr="0014730D">
        <w:rPr>
          <w:rFonts w:eastAsia="Times New Roman"/>
        </w:rPr>
        <w:t xml:space="preserve">Marsha Katz, “Alternatives to Guardianship,” </w:t>
      </w:r>
      <w:r w:rsidRPr="0014730D">
        <w:rPr>
          <w:rFonts w:eastAsia="Times New Roman"/>
          <w:i/>
        </w:rPr>
        <w:t xml:space="preserve">Rural Institute for Inclusive Communities </w:t>
      </w:r>
      <w:r w:rsidRPr="0014730D">
        <w:rPr>
          <w:rFonts w:eastAsia="Times New Roman"/>
        </w:rPr>
        <w:t>5 (2008): 1-4.</w:t>
      </w:r>
    </w:p>
  </w:endnote>
  <w:endnote w:id="22">
    <w:p w14:paraId="1352DB87" w14:textId="77777777" w:rsidR="00C40185" w:rsidRPr="0014730D" w:rsidRDefault="00C40185" w:rsidP="007749CE">
      <w:pPr>
        <w:pStyle w:val="EndnoteText"/>
      </w:pPr>
      <w:r w:rsidRPr="0014730D">
        <w:rPr>
          <w:rStyle w:val="EndnoteReference"/>
          <w:rFonts w:cs="Arial"/>
          <w:color w:val="000000" w:themeColor="text1"/>
        </w:rPr>
        <w:endnoteRef/>
      </w:r>
      <w:r w:rsidRPr="0014730D">
        <w:rPr>
          <w:color w:val="000000" w:themeColor="text1"/>
        </w:rPr>
        <w:t xml:space="preserve"> </w:t>
      </w:r>
      <w:r w:rsidRPr="0014730D">
        <w:t xml:space="preserve">Erin M. Payne-Christiansen and Patricia L. Sitlington, “Guardianship: Its Role in the Transition Process for Students with Developmental Disabilities,” </w:t>
      </w:r>
      <w:r w:rsidRPr="0014730D">
        <w:rPr>
          <w:i/>
        </w:rPr>
        <w:t xml:space="preserve">Education and Training in Developmental Disabilities </w:t>
      </w:r>
      <w:r w:rsidRPr="0014730D">
        <w:t>43, no. 1 (2008): 7.</w:t>
      </w:r>
    </w:p>
  </w:endnote>
  <w:endnote w:id="23">
    <w:p w14:paraId="6CBC8C21" w14:textId="77777777" w:rsidR="00C40185" w:rsidRPr="0014730D" w:rsidRDefault="00C40185" w:rsidP="007749CE">
      <w:pPr>
        <w:pStyle w:val="EndnoteText"/>
      </w:pPr>
      <w:r w:rsidRPr="0014730D">
        <w:rPr>
          <w:rStyle w:val="EndnoteReference"/>
          <w:rFonts w:cs="Arial"/>
          <w:color w:val="000000" w:themeColor="text1"/>
        </w:rPr>
        <w:endnoteRef/>
      </w:r>
      <w:r w:rsidRPr="0014730D">
        <w:rPr>
          <w:color w:val="000000" w:themeColor="text1"/>
        </w:rPr>
        <w:t xml:space="preserve"> National Council on Disability,</w:t>
      </w:r>
      <w:r w:rsidRPr="0014730D">
        <w:rPr>
          <w:i/>
          <w:color w:val="000000" w:themeColor="text1"/>
        </w:rPr>
        <w:t xml:space="preserve"> Beyond Guardianship</w:t>
      </w:r>
      <w:r w:rsidRPr="0014730D">
        <w:rPr>
          <w:color w:val="000000" w:themeColor="text1"/>
        </w:rPr>
        <w:t>, pages 119-37.</w:t>
      </w:r>
    </w:p>
  </w:endnote>
  <w:endnote w:id="24">
    <w:p w14:paraId="1858AFC6" w14:textId="2B6DA547" w:rsidR="00C40185" w:rsidRPr="0014730D" w:rsidRDefault="00C40185" w:rsidP="007749CE">
      <w:pPr>
        <w:pStyle w:val="EndnoteText"/>
        <w:rPr>
          <w:b/>
        </w:rPr>
      </w:pPr>
      <w:r w:rsidRPr="0014730D">
        <w:rPr>
          <w:rStyle w:val="EndnoteReference"/>
          <w:rFonts w:cs="Arial"/>
        </w:rPr>
        <w:endnoteRef/>
      </w:r>
      <w:r w:rsidRPr="0014730D">
        <w:t xml:space="preserve"> Kohn, "Supported Decision-Making: A Viable Alternative to Guardianship?,” 1111 – 1157, 1117; Gary L. Stein, “Advance Directives and Advance Care Planning for People with Intellectual and Physical Disabilities,” </w:t>
      </w:r>
      <w:r w:rsidRPr="0014730D">
        <w:rPr>
          <w:i/>
        </w:rPr>
        <w:t xml:space="preserve">U.S. Dept. of Health and Human Services, Office of the Assistant Secretary for Evaluation and Planning </w:t>
      </w:r>
      <w:r w:rsidRPr="0014730D">
        <w:t xml:space="preserve">(October 2007), accessed February 11, 2019, </w:t>
      </w:r>
      <w:hyperlink r:id="rId9" w:tooltip="https://aspe.hhs.gov/basic-report/advance-directives-and-advance-care-planning-people-intellectual-and-physical-disabilities" w:history="1">
        <w:r w:rsidRPr="0014730D">
          <w:rPr>
            <w:rStyle w:val="Hyperlink"/>
            <w:rFonts w:cs="Arial"/>
            <w:sz w:val="18"/>
          </w:rPr>
          <w:t>https://aspe.hhs.gov/basic-report/advance-directives-and-advance-care-planning-people-intellectual-and-physical-disabilities</w:t>
        </w:r>
      </w:hyperlink>
      <w:r w:rsidRPr="0014730D">
        <w:rPr>
          <w:rStyle w:val="Hyperlink"/>
          <w:rFonts w:cs="Arial"/>
          <w:color w:val="auto"/>
          <w:sz w:val="18"/>
          <w:u w:val="none"/>
        </w:rPr>
        <w:t xml:space="preserve">; </w:t>
      </w:r>
      <w:r w:rsidRPr="0014730D">
        <w:rPr>
          <w:rFonts w:eastAsia="Times New Roman"/>
        </w:rPr>
        <w:t xml:space="preserve">Marshall Kapp, </w:t>
      </w:r>
      <w:r w:rsidRPr="0014730D">
        <w:t xml:space="preserve">“Health Care Decision Making,” in </w:t>
      </w:r>
      <w:r w:rsidRPr="0014730D">
        <w:rPr>
          <w:i/>
        </w:rPr>
        <w:t>Aging, Rights and Quality of Life: Prospects for Older People with Developmental Disabilities</w:t>
      </w:r>
      <w:r w:rsidRPr="0014730D">
        <w:t>, edited by Stanley Herr (Baltimore: Paul H. Brookes Publishing Company, 1999), 45, 53</w:t>
      </w:r>
      <w:r w:rsidRPr="0014730D">
        <w:rPr>
          <w:color w:val="000000" w:themeColor="text1"/>
        </w:rPr>
        <w:t>.(stating that “many older adults with [intellectual disabilities] are capable and, with adequate and timely counseling, desirous of executing a proxy directive when a close family member or friend is available to serve in the surrogate role,” and noting that less capacity may be needed to appoint a surrogate decision-maker than to make the ultimate health care decision the surrogate is appointed to make).</w:t>
      </w:r>
    </w:p>
  </w:endnote>
  <w:endnote w:id="25">
    <w:p w14:paraId="1D5BF40E" w14:textId="75A0A5BB"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Paul S. Appelbaum, Carol Mason Spicer, and Frank R. Valliere, “Informing Social Security’s Process for Financial Capability Determination,” </w:t>
      </w:r>
      <w:r w:rsidRPr="0014730D">
        <w:rPr>
          <w:i/>
          <w:color w:val="000000" w:themeColor="text1"/>
        </w:rPr>
        <w:t>The National Academies Press</w:t>
      </w:r>
      <w:r w:rsidRPr="0014730D">
        <w:rPr>
          <w:color w:val="000000" w:themeColor="text1"/>
        </w:rPr>
        <w:t xml:space="preserve">, accessed February 11, 2019, </w:t>
      </w:r>
      <w:hyperlink r:id="rId10" w:tooltip="https://www.ncbi.nlm.nih.gov/books/NBK367675/" w:history="1">
        <w:r w:rsidRPr="0014730D">
          <w:rPr>
            <w:rStyle w:val="Hyperlink"/>
            <w:rFonts w:cs="Arial"/>
            <w:sz w:val="18"/>
          </w:rPr>
          <w:t>https://www.ncbi.nlm.nih.gov/books/NBK367675/</w:t>
        </w:r>
      </w:hyperlink>
      <w:r w:rsidRPr="0014730D">
        <w:rPr>
          <w:color w:val="000000" w:themeColor="text1"/>
        </w:rPr>
        <w:t>.</w:t>
      </w:r>
    </w:p>
  </w:endnote>
  <w:endnote w:id="26">
    <w:p w14:paraId="6BAE8E9B" w14:textId="7777777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Ibid.</w:t>
      </w:r>
    </w:p>
  </w:endnote>
  <w:endnote w:id="27">
    <w:p w14:paraId="22A1C220" w14:textId="3C280288"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Social Security Administration, </w:t>
      </w:r>
      <w:r w:rsidRPr="0014730D">
        <w:rPr>
          <w:i/>
          <w:color w:val="000000" w:themeColor="text1"/>
        </w:rPr>
        <w:t xml:space="preserve">Representative Payees: A Call to Action, </w:t>
      </w:r>
      <w:r w:rsidRPr="0014730D">
        <w:rPr>
          <w:color w:val="000000" w:themeColor="text1"/>
        </w:rPr>
        <w:t xml:space="preserve">2016, accessed February 11, 2019, </w:t>
      </w:r>
      <w:hyperlink r:id="rId11" w:tooltip="https://www.ssab.gov/Portals/0/OUR_WORK/REPORTS/Rep_Payees_Call_to_Action_Brief_2016.pdf" w:history="1">
        <w:r w:rsidRPr="0014730D">
          <w:rPr>
            <w:rStyle w:val="Hyperlink"/>
            <w:rFonts w:cs="Arial"/>
            <w:sz w:val="18"/>
          </w:rPr>
          <w:t>https://www.ssab.gov/Portals/0/OUR_WORK/REPORTS/Rep_Payees_Call_to_Action_Brief_2016.pdf</w:t>
        </w:r>
      </w:hyperlink>
      <w:r w:rsidRPr="0014730D">
        <w:rPr>
          <w:color w:val="000000" w:themeColor="text1"/>
        </w:rPr>
        <w:t>.</w:t>
      </w:r>
    </w:p>
  </w:endnote>
  <w:endnote w:id="28">
    <w:p w14:paraId="32A11C2B" w14:textId="08CCA294"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National Resource Center for Supported Decision-Making, </w:t>
      </w:r>
      <w:r w:rsidRPr="0014730D">
        <w:rPr>
          <w:i/>
          <w:color w:val="000000" w:themeColor="text1"/>
        </w:rPr>
        <w:t>In Your State</w:t>
      </w:r>
      <w:r w:rsidRPr="0014730D">
        <w:rPr>
          <w:color w:val="000000" w:themeColor="text1"/>
        </w:rPr>
        <w:t xml:space="preserve">, accessed January 11, 2018, </w:t>
      </w:r>
      <w:hyperlink r:id="rId12" w:tooltip="http://www.supporteddecisionmaking.org/states" w:history="1">
        <w:r w:rsidRPr="0014730D">
          <w:rPr>
            <w:rStyle w:val="Hyperlink"/>
            <w:rFonts w:cs="Arial"/>
            <w:sz w:val="18"/>
          </w:rPr>
          <w:t>http://www.supporteddecisionmaking.org/states</w:t>
        </w:r>
      </w:hyperlink>
      <w:r w:rsidRPr="0014730D">
        <w:rPr>
          <w:color w:val="000000" w:themeColor="text1"/>
        </w:rPr>
        <w:t>.</w:t>
      </w:r>
    </w:p>
  </w:endnote>
  <w:endnote w:id="29">
    <w:p w14:paraId="69C26F97" w14:textId="7AC2CBFF"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National Council on Disability,</w:t>
      </w:r>
      <w:r w:rsidRPr="0014730D">
        <w:rPr>
          <w:i/>
          <w:color w:val="000000" w:themeColor="text1"/>
        </w:rPr>
        <w:t xml:space="preserve"> Beyond Guardianship, </w:t>
      </w:r>
      <w:r w:rsidRPr="0014730D">
        <w:rPr>
          <w:color w:val="000000" w:themeColor="text1"/>
        </w:rPr>
        <w:t>pages</w:t>
      </w:r>
      <w:r w:rsidRPr="0014730D">
        <w:t xml:space="preserve"> </w:t>
      </w:r>
      <w:r w:rsidRPr="0014730D">
        <w:rPr>
          <w:color w:val="000000" w:themeColor="text1"/>
        </w:rPr>
        <w:t>53, 63-64.</w:t>
      </w:r>
    </w:p>
  </w:endnote>
  <w:endnote w:id="30">
    <w:p w14:paraId="633FE91E" w14:textId="322C4A1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Ibid., 90-92.</w:t>
      </w:r>
    </w:p>
  </w:endnote>
  <w:endnote w:id="31">
    <w:p w14:paraId="25DF0801" w14:textId="7777777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National Resource Center for Supported Decision-Making website, accessed February 11, 2010, www.supporteddecisions.org.</w:t>
      </w:r>
    </w:p>
  </w:endnote>
  <w:endnote w:id="32">
    <w:p w14:paraId="7842DB9C" w14:textId="7777777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Kristin Booth Glen, “Piloting Personhood: Reflections from the First Year of a Supported Decision-Making Project,” </w:t>
      </w:r>
      <w:r w:rsidRPr="0014730D">
        <w:rPr>
          <w:i/>
          <w:color w:val="000000" w:themeColor="text1"/>
        </w:rPr>
        <w:t xml:space="preserve">Cardozo Law Review </w:t>
      </w:r>
      <w:r w:rsidRPr="0014730D">
        <w:rPr>
          <w:color w:val="000000" w:themeColor="text1"/>
        </w:rPr>
        <w:t>39, no. 2 (2017): 495.</w:t>
      </w:r>
    </w:p>
  </w:endnote>
  <w:endnote w:id="33">
    <w:p w14:paraId="37EFFA4A" w14:textId="53E37851"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Disability Rights Maine, </w:t>
      </w:r>
      <w:r w:rsidRPr="0014730D">
        <w:rPr>
          <w:i/>
          <w:color w:val="000000" w:themeColor="text1"/>
        </w:rPr>
        <w:t>Supported Decision-Making</w:t>
      </w:r>
      <w:r w:rsidRPr="0014730D">
        <w:rPr>
          <w:color w:val="000000" w:themeColor="text1"/>
        </w:rPr>
        <w:t>, Support My Decision, accessed February 11, 2019, www.Supportmydecision.org.</w:t>
      </w:r>
    </w:p>
  </w:endnote>
  <w:endnote w:id="34">
    <w:p w14:paraId="0C61C439" w14:textId="7B99ADD6"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Center for Public Representation, “Legal Capacity: Supported Decision Making,” accessed February 11, 2019, https://centerforpublicrep.org/initiative/supported-decision-making/.</w:t>
      </w:r>
    </w:p>
  </w:endnote>
  <w:endnote w:id="35">
    <w:p w14:paraId="1DB1824B" w14:textId="1D7B5E62" w:rsidR="00C40185" w:rsidRPr="0014730D" w:rsidRDefault="00C40185" w:rsidP="007749CE">
      <w:pPr>
        <w:pStyle w:val="EndnoteText"/>
      </w:pPr>
      <w:r w:rsidRPr="0014730D">
        <w:rPr>
          <w:rStyle w:val="EndnoteReference"/>
          <w:rFonts w:cs="Arial"/>
        </w:rPr>
        <w:endnoteRef/>
      </w:r>
      <w:r w:rsidRPr="0014730D">
        <w:t xml:space="preserve"> Grace Raso and Nicole Newnham (producers) with Bread &amp; Butter Films, “Supported Decision-Making: Gabby’s Story,” accessed February 11, 2019., </w:t>
      </w:r>
      <w:hyperlink r:id="rId13" w:tooltip="https://www.youtube.com/watch?time_continue=1&amp;v=UInXHR1YHMg" w:history="1">
        <w:r w:rsidRPr="0014730D">
          <w:rPr>
            <w:rStyle w:val="Hyperlink"/>
            <w:rFonts w:cs="Arial"/>
            <w:sz w:val="18"/>
          </w:rPr>
          <w:t>https://www.youtube.com/watch?time_continue=1&amp;v=UInXHR1YHMg</w:t>
        </w:r>
      </w:hyperlink>
      <w:r w:rsidRPr="0014730D">
        <w:rPr>
          <w:rStyle w:val="Hyperlink"/>
          <w:rFonts w:cs="Arial"/>
          <w:sz w:val="18"/>
        </w:rPr>
        <w:t>.</w:t>
      </w:r>
    </w:p>
    <w:p w14:paraId="3DE04AF1" w14:textId="77777777" w:rsidR="00C40185" w:rsidRPr="0014730D" w:rsidRDefault="00C40185" w:rsidP="007749CE">
      <w:pPr>
        <w:pStyle w:val="EndnoteText"/>
      </w:pPr>
    </w:p>
  </w:endnote>
  <w:endnote w:id="36">
    <w:p w14:paraId="4446763A" w14:textId="74FFC2B1" w:rsidR="0014730D" w:rsidRPr="0014730D" w:rsidRDefault="0014730D" w:rsidP="007749CE">
      <w:pPr>
        <w:pStyle w:val="EndnoteText"/>
      </w:pPr>
      <w:r w:rsidRPr="0014730D">
        <w:rPr>
          <w:rStyle w:val="EndnoteReference"/>
          <w:rFonts w:cs="Arial"/>
        </w:rPr>
        <w:endnoteRef/>
      </w:r>
      <w:r w:rsidRPr="0014730D">
        <w:t xml:space="preserve"> </w:t>
      </w:r>
      <w:r w:rsidRPr="0014730D">
        <w:rPr>
          <w:color w:val="000000"/>
        </w:rPr>
        <w:t>National Disability Rights Network, "Supported Decision Making and Health Car</w:t>
      </w:r>
      <w:r>
        <w:rPr>
          <w:color w:val="000000"/>
        </w:rPr>
        <w:t xml:space="preserve">e," accessed on May 30th, 2019. </w:t>
      </w:r>
      <w:r w:rsidRPr="0014730D">
        <w:rPr>
          <w:rStyle w:val="Hyperlink"/>
        </w:rPr>
        <w:t>https://www.ndrn.org/resource/supported-decision-making-and-health-care/</w:t>
      </w:r>
      <w:r>
        <w:rPr>
          <w:color w:val="000000"/>
        </w:rPr>
        <w:t>.</w:t>
      </w:r>
    </w:p>
  </w:endnote>
  <w:endnote w:id="37">
    <w:p w14:paraId="60A7D544" w14:textId="2F731A57" w:rsidR="00C40185" w:rsidRPr="0014730D" w:rsidRDefault="00C40185" w:rsidP="007749CE">
      <w:pPr>
        <w:pStyle w:val="EndnoteText"/>
        <w:rPr>
          <w:color w:val="000000" w:themeColor="text1"/>
        </w:rPr>
      </w:pPr>
      <w:r w:rsidRPr="0014730D">
        <w:rPr>
          <w:rStyle w:val="EndnoteReference"/>
          <w:rFonts w:cs="Arial"/>
        </w:rPr>
        <w:endnoteRef/>
      </w:r>
      <w:r w:rsidRPr="0014730D">
        <w:t xml:space="preserve"> Mark Kantrowitz, “Age of Majority,” </w:t>
      </w:r>
      <w:r w:rsidRPr="0014730D">
        <w:rPr>
          <w:i/>
        </w:rPr>
        <w:t>Savings for College</w:t>
      </w:r>
      <w:r w:rsidRPr="0014730D">
        <w:t xml:space="preserve">, August 29, 2018, accessed February 11, 2019, </w:t>
      </w:r>
      <w:hyperlink r:id="rId14" w:tooltip="https://www.savingforcollege.com/article/age-of-majority" w:history="1">
        <w:r w:rsidRPr="0014730D">
          <w:rPr>
            <w:rStyle w:val="Hyperlink"/>
            <w:rFonts w:cs="Arial"/>
            <w:sz w:val="18"/>
          </w:rPr>
          <w:t>https://www.savingforcollege.com/article/age-of-majority</w:t>
        </w:r>
      </w:hyperlink>
      <w:r w:rsidRPr="0014730D">
        <w:t xml:space="preserve"> (indicating that exceptions to 18 being the age of majority </w:t>
      </w:r>
      <w:r w:rsidRPr="0014730D">
        <w:rPr>
          <w:i/>
        </w:rPr>
        <w:t>included</w:t>
      </w:r>
      <w:r w:rsidRPr="0014730D">
        <w:t xml:space="preserve"> Alabama (19), Mississippi (21), and Puerto Rico (21)).</w:t>
      </w:r>
    </w:p>
  </w:endnote>
  <w:endnote w:id="38">
    <w:p w14:paraId="21AD8A1D" w14:textId="7777777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Individuals with Disabilities Education Act, 20 U.S.C. § 1415(m)(1) (2012); 34 C.F.R. § 300.530(a) (2015).</w:t>
      </w:r>
    </w:p>
  </w:endnote>
  <w:endnote w:id="39">
    <w:p w14:paraId="19985068" w14:textId="3D203B8E"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Office of Special Education Programs, </w:t>
      </w:r>
      <w:r w:rsidRPr="0014730D">
        <w:rPr>
          <w:i/>
          <w:color w:val="000000" w:themeColor="text1"/>
        </w:rPr>
        <w:t>IDEA Part B Existing for School Year 2013-2014</w:t>
      </w:r>
      <w:r w:rsidRPr="0014730D">
        <w:rPr>
          <w:color w:val="000000" w:themeColor="text1"/>
        </w:rPr>
        <w:t xml:space="preserve">,  accessed February 11, 2019, </w:t>
      </w:r>
      <w:hyperlink r:id="rId15" w:tooltip="https://www2.ed.gov/programs/osepidea/618-data/collection-documentation/data-documentation-files/part-b/exiting/idea-partb-exiting-2013.doc" w:history="1">
        <w:r w:rsidRPr="0014730D">
          <w:rPr>
            <w:rStyle w:val="Hyperlink"/>
            <w:rFonts w:cs="Arial"/>
            <w:sz w:val="18"/>
          </w:rPr>
          <w:t>https://www2.ed.gov/programs/osepidea/618-data/collection-documentation/data-documentation-files/part-b/exiting/idea-partb-exiting-2013.doc</w:t>
        </w:r>
      </w:hyperlink>
      <w:r w:rsidRPr="0014730D">
        <w:rPr>
          <w:color w:val="000000" w:themeColor="text1"/>
        </w:rPr>
        <w:t xml:space="preserve">. </w:t>
      </w:r>
    </w:p>
  </w:endnote>
  <w:endnote w:id="40">
    <w:p w14:paraId="03515F68" w14:textId="77777777" w:rsidR="00C40185" w:rsidRPr="0014730D" w:rsidRDefault="00C40185" w:rsidP="007749CE">
      <w:pPr>
        <w:pStyle w:val="EndnoteText"/>
        <w:rPr>
          <w:rFonts w:eastAsia="Times New Roman"/>
          <w:color w:val="000000" w:themeColor="text1"/>
        </w:rPr>
      </w:pPr>
      <w:r w:rsidRPr="0014730D">
        <w:rPr>
          <w:rStyle w:val="EndnoteReference"/>
          <w:rFonts w:cs="Arial"/>
          <w:color w:val="000000" w:themeColor="text1"/>
        </w:rPr>
        <w:endnoteRef/>
      </w:r>
      <w:r w:rsidRPr="0014730D">
        <w:rPr>
          <w:color w:val="000000" w:themeColor="text1"/>
        </w:rPr>
        <w:t xml:space="preserve"> </w:t>
      </w:r>
      <w:r w:rsidRPr="0014730D">
        <w:t xml:space="preserve">Arlene S. </w:t>
      </w:r>
      <w:r w:rsidRPr="0014730D">
        <w:rPr>
          <w:rFonts w:eastAsia="Times New Roman"/>
        </w:rPr>
        <w:t xml:space="preserve">Kanter, “Guardianship for Young Adults with Disabilities as a Violation of the Purpose of the Individuals with Disabilities Education Improvement Act,” </w:t>
      </w:r>
      <w:r w:rsidRPr="0014730D">
        <w:rPr>
          <w:rFonts w:eastAsia="Times New Roman"/>
          <w:i/>
          <w:iCs/>
        </w:rPr>
        <w:t xml:space="preserve">Journal of International Aging Law and Policy </w:t>
      </w:r>
      <w:r w:rsidRPr="0014730D">
        <w:rPr>
          <w:rFonts w:eastAsia="Times New Roman"/>
        </w:rPr>
        <w:t xml:space="preserve">8 (2015): </w:t>
      </w:r>
      <w:r w:rsidRPr="0014730D">
        <w:rPr>
          <w:color w:val="000000" w:themeColor="text1"/>
        </w:rPr>
        <w:t>5.</w:t>
      </w:r>
    </w:p>
  </w:endnote>
  <w:endnote w:id="41">
    <w:p w14:paraId="63C5C00B" w14:textId="77777777" w:rsidR="00C40185" w:rsidRPr="0014730D" w:rsidRDefault="00C40185" w:rsidP="007749CE">
      <w:pPr>
        <w:pStyle w:val="EndnoteText"/>
      </w:pPr>
      <w:r w:rsidRPr="0014730D">
        <w:rPr>
          <w:rStyle w:val="EndnoteReference"/>
          <w:rFonts w:cs="Arial"/>
          <w:color w:val="000000" w:themeColor="text1"/>
        </w:rPr>
        <w:endnoteRef/>
      </w:r>
      <w:r w:rsidRPr="0014730D">
        <w:rPr>
          <w:color w:val="000000" w:themeColor="text1"/>
        </w:rPr>
        <w:t xml:space="preserve"> </w:t>
      </w:r>
      <w:r w:rsidRPr="0014730D">
        <w:t xml:space="preserve">Arlene Kanter, Julie Causton and Carrie E. Rood, “Presumption of Incompetence: The Systematic Assignment of Guardianship within the Transition Process,” </w:t>
      </w:r>
      <w:r w:rsidRPr="0014730D">
        <w:rPr>
          <w:i/>
        </w:rPr>
        <w:t>Research and Practice for Persons with Severe Disabilities</w:t>
      </w:r>
      <w:r w:rsidRPr="0014730D">
        <w:t xml:space="preserve"> 39, no. 4 (2015): 323; </w:t>
      </w:r>
      <w:r w:rsidRPr="0014730D">
        <w:rPr>
          <w:color w:val="000000" w:themeColor="text1"/>
        </w:rPr>
        <w:t xml:space="preserve">Kanter, “Guardianship for Young Adults with Disabilities as a Violation of the Purpose of the Individuals with Disabilities Education Improvement Act,” </w:t>
      </w:r>
      <w:r w:rsidRPr="0014730D">
        <w:rPr>
          <w:i/>
        </w:rPr>
        <w:t>Journal of International Law &amp; Aging Policy</w:t>
      </w:r>
      <w:r w:rsidRPr="0014730D">
        <w:t xml:space="preserve"> 8 (2015): </w:t>
      </w:r>
      <w:r w:rsidRPr="0014730D">
        <w:rPr>
          <w:color w:val="000000" w:themeColor="text1"/>
        </w:rPr>
        <w:t>52</w:t>
      </w:r>
      <w:r w:rsidRPr="0014730D">
        <w:rPr>
          <w:rFonts w:eastAsia="Times New Roman"/>
          <w:color w:val="000000" w:themeColor="text1"/>
        </w:rPr>
        <w:t xml:space="preserve">; Pam Lindsey, Barbara Guy, Michael L. Wehmeyer, and James Martin. “Age of Majority and Mental Retardation: A Position Statement of the Division on Mental Retardation and Developmental Disabilities,” </w:t>
      </w:r>
      <w:r w:rsidRPr="0014730D">
        <w:rPr>
          <w:rFonts w:eastAsia="Times New Roman"/>
          <w:i/>
          <w:color w:val="000000" w:themeColor="text1"/>
        </w:rPr>
        <w:t>Education and Training in Mental Retardation and Developmental Disabilities 36</w:t>
      </w:r>
      <w:r w:rsidRPr="0014730D">
        <w:rPr>
          <w:rFonts w:eastAsia="Times New Roman"/>
          <w:color w:val="000000" w:themeColor="text1"/>
        </w:rPr>
        <w:t>, no. 1 (2001): 13.</w:t>
      </w:r>
    </w:p>
  </w:endnote>
  <w:endnote w:id="42">
    <w:p w14:paraId="346546BB" w14:textId="441F21B6"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30 U.S.C. § 1415(m)(2); 34 C.F.R. § 300.520(b) (“A State must establish procedures for appointing the parent of a child with a disability, or, if the parent is not available, another appropriate individual to represent the educational interests of the child through the period of the child’s eligibility under Part B of the Act if, under State law, a child who has reached the age of majority, but has not been determined to be incompetent, can be determined not to have the ability to provide informed consent with respect to the child’s educational program”).</w:t>
      </w:r>
    </w:p>
  </w:endnote>
  <w:endnote w:id="43">
    <w:p w14:paraId="2C575185" w14:textId="77777777" w:rsidR="00C40185" w:rsidRPr="0014730D" w:rsidRDefault="00C40185" w:rsidP="007749CE">
      <w:pPr>
        <w:pStyle w:val="EndnoteText"/>
        <w:rPr>
          <w:rFonts w:eastAsia="Arial"/>
        </w:rPr>
      </w:pPr>
      <w:r w:rsidRPr="0014730D">
        <w:rPr>
          <w:rStyle w:val="EndnoteReference"/>
          <w:rFonts w:cs="Arial"/>
          <w:color w:val="000000" w:themeColor="text1"/>
        </w:rPr>
        <w:endnoteRef/>
      </w:r>
      <w:r w:rsidRPr="0014730D">
        <w:rPr>
          <w:color w:val="000000" w:themeColor="text1"/>
        </w:rPr>
        <w:t xml:space="preserve">  Kanter</w:t>
      </w:r>
      <w:r w:rsidRPr="0014730D">
        <w:rPr>
          <w:rFonts w:eastAsia="Arial"/>
        </w:rPr>
        <w:t>, “</w:t>
      </w:r>
      <w:r w:rsidRPr="0014730D">
        <w:rPr>
          <w:rFonts w:eastAsia="Arial"/>
          <w:shd w:val="clear" w:color="auto" w:fill="FFFFFF"/>
        </w:rPr>
        <w:t xml:space="preserve">Presumption of Incompetence,” </w:t>
      </w:r>
      <w:r w:rsidRPr="0014730D">
        <w:rPr>
          <w:rFonts w:eastAsia="Arial"/>
        </w:rPr>
        <w:t xml:space="preserve">321-22; Jonathan G. Martinis, </w:t>
      </w:r>
      <w:r w:rsidRPr="0014730D">
        <w:rPr>
          <w:rFonts w:eastAsia="Arial"/>
          <w:shd w:val="clear" w:color="auto" w:fill="FFFFFF"/>
        </w:rPr>
        <w:t xml:space="preserve">"Supported Decision-Making: Protecting Rights, Ensuring Choices," </w:t>
      </w:r>
      <w:r w:rsidRPr="0014730D">
        <w:rPr>
          <w:i/>
        </w:rPr>
        <w:t>Bifocal</w:t>
      </w:r>
      <w:r w:rsidRPr="0014730D">
        <w:t xml:space="preserve"> 36, no. 5 (2015): 107-110.</w:t>
      </w:r>
    </w:p>
  </w:endnote>
  <w:endnote w:id="44">
    <w:p w14:paraId="2CDF3023" w14:textId="7777777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These states included Florida, Indiana, Louisiana, Nevada, Virginia, and Washington. Quality Trust for Individuals with Disabilities, Memorandum on Transfer of Parental Rights at Age of Majority, May 23, 2012, on file with authors.</w:t>
      </w:r>
    </w:p>
  </w:endnote>
  <w:endnote w:id="45">
    <w:p w14:paraId="094679DF" w14:textId="7777777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Md. Education Code Ann. § 8-412.1(a).</w:t>
      </w:r>
    </w:p>
  </w:endnote>
  <w:endnote w:id="46">
    <w:p w14:paraId="6FBE1A9A" w14:textId="77777777" w:rsidR="00C40185" w:rsidRPr="0014730D" w:rsidRDefault="00C40185" w:rsidP="007749CE">
      <w:pPr>
        <w:pStyle w:val="EndnoteText"/>
      </w:pPr>
      <w:r w:rsidRPr="0014730D">
        <w:rPr>
          <w:rStyle w:val="EndnoteReference"/>
          <w:rFonts w:cs="Arial"/>
          <w:color w:val="000000" w:themeColor="text1"/>
        </w:rPr>
        <w:endnoteRef/>
      </w:r>
      <w:r w:rsidRPr="0014730D">
        <w:rPr>
          <w:color w:val="000000" w:themeColor="text1"/>
        </w:rPr>
        <w:t xml:space="preserve"> </w:t>
      </w:r>
      <w:r w:rsidRPr="0014730D">
        <w:t xml:space="preserve">Matt J. Jameson, Tim Riesen, Shamby Polychronis, Barbara Trader, Susan Mizner, Jonathan Martinis, and Dohn Hoyle. "Guardianship and the Potential of Supported Decision Making With Individuals with Disabilities," </w:t>
      </w:r>
      <w:r w:rsidRPr="0014730D">
        <w:rPr>
          <w:i/>
        </w:rPr>
        <w:t>Research and Practice for Persons with Severe Disabilities</w:t>
      </w:r>
      <w:r w:rsidRPr="0014730D">
        <w:t xml:space="preserve"> 40, no. 1 (2015): 36-51. </w:t>
      </w:r>
    </w:p>
  </w:endnote>
  <w:endnote w:id="47">
    <w:p w14:paraId="6B0F87CB" w14:textId="7777777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w:t>
      </w:r>
      <w:r w:rsidRPr="0014730D">
        <w:t>Payne-Christiansen, “Guardianship: Its Role in the Transition Process for Students with Developmental Disabilities,” 7.</w:t>
      </w:r>
    </w:p>
  </w:endnote>
  <w:endnote w:id="48">
    <w:p w14:paraId="4DD96EB5" w14:textId="77777777" w:rsidR="00C40185" w:rsidRPr="0014730D" w:rsidRDefault="00C40185" w:rsidP="007749CE">
      <w:pPr>
        <w:pStyle w:val="EndnoteText"/>
      </w:pPr>
      <w:r w:rsidRPr="0014730D">
        <w:rPr>
          <w:rStyle w:val="EndnoteReference"/>
          <w:rFonts w:cs="Arial"/>
          <w:color w:val="000000" w:themeColor="text1"/>
        </w:rPr>
        <w:endnoteRef/>
      </w:r>
      <w:r w:rsidRPr="0014730D">
        <w:rPr>
          <w:color w:val="000000" w:themeColor="text1"/>
        </w:rPr>
        <w:t xml:space="preserve"> </w:t>
      </w:r>
      <w:r w:rsidRPr="0014730D">
        <w:t xml:space="preserve">Peter Blanck and Jonathan Martinis, “The Right to Make Choices: The National Resource Center for Supported Decision-Making,” </w:t>
      </w:r>
      <w:r w:rsidRPr="0014730D">
        <w:rPr>
          <w:i/>
        </w:rPr>
        <w:t xml:space="preserve">Inclusion </w:t>
      </w:r>
      <w:r w:rsidRPr="0014730D">
        <w:t>3, no. 1 (2015): 26–27;</w:t>
      </w:r>
      <w:r w:rsidRPr="0014730D">
        <w:rPr>
          <w:color w:val="000000" w:themeColor="text1"/>
          <w:spacing w:val="-1"/>
        </w:rPr>
        <w:t xml:space="preserve"> Karrie A. Shogren and Michael L. </w:t>
      </w:r>
      <w:r w:rsidRPr="0014730D">
        <w:rPr>
          <w:spacing w:val="-1"/>
        </w:rPr>
        <w:t>Wehmeyer, “</w:t>
      </w:r>
      <w:r w:rsidRPr="0014730D">
        <w:rPr>
          <w:bCs/>
          <w:shd w:val="clear" w:color="auto" w:fill="FFFFFF"/>
        </w:rPr>
        <w:t xml:space="preserve">A Framework for Research and Intervention Design in Supported Decision-Making,” </w:t>
      </w:r>
      <w:r w:rsidRPr="0014730D">
        <w:rPr>
          <w:bCs/>
          <w:i/>
          <w:shd w:val="clear" w:color="auto" w:fill="FFFFFF"/>
        </w:rPr>
        <w:t>Inclusion</w:t>
      </w:r>
      <w:r w:rsidRPr="0014730D">
        <w:rPr>
          <w:bCs/>
          <w:shd w:val="clear" w:color="auto" w:fill="FFFFFF"/>
        </w:rPr>
        <w:t xml:space="preserve"> 3, no. 1 (2015): 17-23.</w:t>
      </w:r>
    </w:p>
  </w:endnote>
  <w:endnote w:id="49">
    <w:p w14:paraId="2978E840" w14:textId="77777777" w:rsidR="00C40185" w:rsidRPr="0014730D" w:rsidRDefault="00C40185" w:rsidP="007749CE">
      <w:pPr>
        <w:pStyle w:val="EndnoteText"/>
        <w:rPr>
          <w:rFonts w:eastAsia="Times New Roman"/>
          <w:color w:val="000000" w:themeColor="text1"/>
        </w:rPr>
      </w:pPr>
      <w:r w:rsidRPr="0014730D">
        <w:rPr>
          <w:rStyle w:val="EndnoteReference"/>
          <w:rFonts w:cs="Arial"/>
          <w:color w:val="000000" w:themeColor="text1"/>
        </w:rPr>
        <w:endnoteRef/>
      </w:r>
      <w:r w:rsidRPr="0014730D">
        <w:rPr>
          <w:color w:val="000000" w:themeColor="text1"/>
        </w:rPr>
        <w:t xml:space="preserve"> </w:t>
      </w:r>
      <w:r w:rsidRPr="0014730D">
        <w:rPr>
          <w:rFonts w:eastAsia="Times New Roman"/>
        </w:rPr>
        <w:t xml:space="preserve">Kanter, “Guardianship for Young Adults with Disabilities as a Violation of the Purpose of the Individuals with Disabilities Education Improvement Act,” </w:t>
      </w:r>
      <w:r w:rsidRPr="0014730D">
        <w:rPr>
          <w:color w:val="000000" w:themeColor="text1"/>
        </w:rPr>
        <w:t>5.</w:t>
      </w:r>
    </w:p>
  </w:endnote>
  <w:endnote w:id="50">
    <w:p w14:paraId="1E72B891" w14:textId="77777777" w:rsidR="00C40185" w:rsidRPr="0014730D" w:rsidRDefault="00C40185" w:rsidP="007749CE">
      <w:pPr>
        <w:pStyle w:val="EndnoteText"/>
      </w:pPr>
      <w:r w:rsidRPr="0014730D">
        <w:rPr>
          <w:rStyle w:val="EndnoteReference"/>
          <w:rFonts w:cs="Arial"/>
          <w:color w:val="000000" w:themeColor="text1"/>
        </w:rPr>
        <w:endnoteRef/>
      </w:r>
      <w:r w:rsidRPr="0014730D">
        <w:rPr>
          <w:color w:val="000000" w:themeColor="text1"/>
        </w:rPr>
        <w:t xml:space="preserve"> </w:t>
      </w:r>
      <w:r w:rsidRPr="0014730D">
        <w:t xml:space="preserve">Michelle Schwartz and Michael Wehmeyer, “Self Determination and Positive Adult Outcomes: A Follow-Up Study of Youth with Mental Retardation or Learning Disabilities,” </w:t>
      </w:r>
      <w:r w:rsidRPr="0014730D">
        <w:rPr>
          <w:i/>
        </w:rPr>
        <w:t>Exceptional Children</w:t>
      </w:r>
      <w:r w:rsidRPr="0014730D">
        <w:t xml:space="preserve"> 63, no. 2 (1997): 245-255.</w:t>
      </w:r>
    </w:p>
  </w:endnote>
  <w:endnote w:id="51">
    <w:p w14:paraId="321F59EF" w14:textId="30112655" w:rsidR="00C40185" w:rsidRPr="0014730D" w:rsidRDefault="00C40185" w:rsidP="007749CE">
      <w:pPr>
        <w:pStyle w:val="EndnoteText"/>
        <w:rPr>
          <w:color w:val="FF0000"/>
        </w:rPr>
      </w:pPr>
      <w:r w:rsidRPr="0014730D">
        <w:rPr>
          <w:rStyle w:val="EndnoteReference"/>
          <w:rFonts w:cs="Arial"/>
          <w:color w:val="000000" w:themeColor="text1"/>
        </w:rPr>
        <w:endnoteRef/>
      </w:r>
      <w:r w:rsidRPr="0014730D">
        <w:rPr>
          <w:color w:val="000000" w:themeColor="text1"/>
        </w:rPr>
        <w:t xml:space="preserve"> </w:t>
      </w:r>
      <w:r w:rsidRPr="0014730D">
        <w:rPr>
          <w:spacing w:val="2"/>
        </w:rPr>
        <w:t xml:space="preserve">Dorothy Squatrito Millar, “Age of Majority, Transfer of Rights and Guardianship: Considerations for Families and Educators,” </w:t>
      </w:r>
      <w:r w:rsidRPr="0014730D">
        <w:rPr>
          <w:i/>
          <w:iCs/>
          <w:spacing w:val="2"/>
        </w:rPr>
        <w:t xml:space="preserve">Education and Training in Developmental Disabilities </w:t>
      </w:r>
      <w:r w:rsidRPr="0014730D">
        <w:rPr>
          <w:spacing w:val="2"/>
        </w:rPr>
        <w:t>38, no. 4, Special Conference Issue Research to Practice (December 2003):  378–397;</w:t>
      </w:r>
      <w:r w:rsidRPr="0014730D">
        <w:rPr>
          <w:rFonts w:eastAsia="Times New Roman"/>
          <w:color w:val="000000" w:themeColor="text1"/>
        </w:rPr>
        <w:t xml:space="preserve"> </w:t>
      </w:r>
      <w:r w:rsidRPr="0014730D">
        <w:t xml:space="preserve">Jennifer Moye and Aanand Naik, “Preserving Rights for Individuals Facing Guardianship,” </w:t>
      </w:r>
      <w:r w:rsidRPr="0014730D">
        <w:rPr>
          <w:i/>
          <w:iCs/>
        </w:rPr>
        <w:t xml:space="preserve">Journal of the American Medical Association </w:t>
      </w:r>
      <w:r w:rsidRPr="0014730D">
        <w:t>305, no. 9 (2011): 937.</w:t>
      </w:r>
    </w:p>
  </w:endnote>
  <w:endnote w:id="52">
    <w:p w14:paraId="77C9F5B2" w14:textId="3931F443" w:rsidR="00C40185" w:rsidRPr="0014730D" w:rsidRDefault="00C40185" w:rsidP="007749CE">
      <w:pPr>
        <w:pStyle w:val="EndnoteText"/>
      </w:pPr>
      <w:r w:rsidRPr="0014730D">
        <w:rPr>
          <w:rStyle w:val="EndnoteReference"/>
          <w:rFonts w:cs="Arial"/>
          <w:color w:val="000000" w:themeColor="text1"/>
        </w:rPr>
        <w:endnoteRef/>
      </w:r>
      <w:r w:rsidRPr="0014730D">
        <w:rPr>
          <w:color w:val="000000" w:themeColor="text1"/>
        </w:rPr>
        <w:t xml:space="preserve"> </w:t>
      </w:r>
      <w:r w:rsidRPr="0014730D">
        <w:rPr>
          <w:shd w:val="clear" w:color="auto" w:fill="FFFFFF"/>
        </w:rPr>
        <w:t>Jennifer Moye and Aanand D Naik. “Preserving Rights for Individuals Facing Guardianship” </w:t>
      </w:r>
      <w:r w:rsidRPr="0014730D">
        <w:rPr>
          <w:i/>
          <w:iCs/>
          <w:shd w:val="clear" w:color="auto" w:fill="FFFFFF"/>
        </w:rPr>
        <w:t>JAMA</w:t>
      </w:r>
      <w:r w:rsidRPr="0014730D">
        <w:rPr>
          <w:shd w:val="clear" w:color="auto" w:fill="FFFFFF"/>
        </w:rPr>
        <w:t> vol. 305,9 (2011): 936-7.</w:t>
      </w:r>
    </w:p>
  </w:endnote>
  <w:endnote w:id="53">
    <w:p w14:paraId="19E39FA2" w14:textId="51FF17F9"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National Council on Disability,</w:t>
      </w:r>
      <w:r w:rsidRPr="0014730D">
        <w:rPr>
          <w:i/>
          <w:color w:val="000000" w:themeColor="text1"/>
        </w:rPr>
        <w:t xml:space="preserve"> Beyond Guardianship</w:t>
      </w:r>
      <w:r w:rsidRPr="0014730D">
        <w:rPr>
          <w:color w:val="000000" w:themeColor="text1"/>
        </w:rPr>
        <w:t>, pages 59 – 60, 139.</w:t>
      </w:r>
    </w:p>
  </w:endnote>
  <w:endnote w:id="54">
    <w:p w14:paraId="4C6FC7F7" w14:textId="77777777" w:rsidR="00C40185" w:rsidRPr="0014730D" w:rsidRDefault="00C40185" w:rsidP="007749CE">
      <w:pPr>
        <w:pStyle w:val="EndnoteText"/>
        <w:rPr>
          <w:color w:val="000000" w:themeColor="text1"/>
        </w:rPr>
      </w:pPr>
      <w:r w:rsidRPr="0014730D">
        <w:rPr>
          <w:color w:val="000000" w:themeColor="text1"/>
          <w:vertAlign w:val="superscript"/>
        </w:rPr>
        <w:endnoteRef/>
      </w:r>
      <w:r w:rsidRPr="0014730D">
        <w:rPr>
          <w:color w:val="000000" w:themeColor="text1"/>
        </w:rPr>
        <w:t xml:space="preserve"> </w:t>
      </w:r>
      <w:r w:rsidRPr="0014730D">
        <w:rPr>
          <w:i/>
          <w:color w:val="000000" w:themeColor="text1"/>
        </w:rPr>
        <w:t>Olmstead v. L.C. ex rel Zimring</w:t>
      </w:r>
      <w:r w:rsidRPr="0014730D">
        <w:rPr>
          <w:color w:val="000000" w:themeColor="text1"/>
        </w:rPr>
        <w:t>, 527 U.S. 581, 581-82, 607 (1999).</w:t>
      </w:r>
    </w:p>
  </w:endnote>
  <w:endnote w:id="55">
    <w:p w14:paraId="77573ED2" w14:textId="77777777" w:rsidR="00C40185" w:rsidRPr="0014730D" w:rsidRDefault="00C40185" w:rsidP="007749CE">
      <w:pPr>
        <w:pStyle w:val="EndnoteText"/>
        <w:rPr>
          <w:color w:val="000000" w:themeColor="text1"/>
        </w:rPr>
      </w:pPr>
      <w:r w:rsidRPr="0014730D">
        <w:rPr>
          <w:color w:val="000000" w:themeColor="text1"/>
          <w:vertAlign w:val="superscript"/>
        </w:rPr>
        <w:endnoteRef/>
      </w:r>
      <w:r w:rsidRPr="0014730D">
        <w:rPr>
          <w:color w:val="000000" w:themeColor="text1"/>
        </w:rPr>
        <w:t xml:space="preserve"> Margaret “Jenny” Hatch, Samantha Alexandra Crane, and Jonathan G. Martinis, “Unjustified Isolation Is Discrimination: The </w:t>
      </w:r>
      <w:r w:rsidRPr="0014730D">
        <w:rPr>
          <w:i/>
          <w:color w:val="000000" w:themeColor="text1"/>
        </w:rPr>
        <w:t>Olmstead</w:t>
      </w:r>
      <w:r w:rsidRPr="0014730D">
        <w:rPr>
          <w:color w:val="000000" w:themeColor="text1"/>
        </w:rPr>
        <w:t xml:space="preserve"> Case Against Overbroad and Undue Organizational and Public Guardianship,” </w:t>
      </w:r>
      <w:r w:rsidRPr="0014730D">
        <w:rPr>
          <w:i/>
          <w:color w:val="000000" w:themeColor="text1"/>
        </w:rPr>
        <w:t xml:space="preserve">Inclusion </w:t>
      </w:r>
      <w:r w:rsidRPr="0014730D">
        <w:rPr>
          <w:color w:val="000000" w:themeColor="text1"/>
        </w:rPr>
        <w:t xml:space="preserve">3, no. 2 (2015): 65–74; Salzman, “Rethinking Guardianship (Again): Substituted Decision Making As a Violation of the Integration Mandate of Title II of the Americans with Disabilities Act,” </w:t>
      </w:r>
      <w:r w:rsidRPr="0014730D">
        <w:rPr>
          <w:i/>
          <w:color w:val="000000" w:themeColor="text1"/>
        </w:rPr>
        <w:t xml:space="preserve">University of Colorado Law Review </w:t>
      </w:r>
      <w:r w:rsidRPr="0014730D">
        <w:rPr>
          <w:color w:val="000000" w:themeColor="text1"/>
        </w:rPr>
        <w:t>81 (2010): 221–231.</w:t>
      </w:r>
    </w:p>
  </w:endnote>
  <w:endnote w:id="56">
    <w:p w14:paraId="6911F44D" w14:textId="7777777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w:t>
      </w:r>
      <w:r w:rsidRPr="0014730D">
        <w:t>Kanter, “</w:t>
      </w:r>
      <w:r w:rsidRPr="0014730D">
        <w:rPr>
          <w:shd w:val="clear" w:color="auto" w:fill="FFFFFF"/>
        </w:rPr>
        <w:t xml:space="preserve">Presumption of Incompetence,” </w:t>
      </w:r>
      <w:r w:rsidRPr="0014730D">
        <w:rPr>
          <w:color w:val="000000" w:themeColor="text1"/>
        </w:rPr>
        <w:t>322.</w:t>
      </w:r>
    </w:p>
  </w:endnote>
  <w:endnote w:id="57">
    <w:p w14:paraId="70D60B1B" w14:textId="7777777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20 U.S.C. § 1401(34); 34 C.F.R. § 300.320(b)(2015).</w:t>
      </w:r>
    </w:p>
  </w:endnote>
  <w:endnote w:id="58">
    <w:p w14:paraId="5E75028B" w14:textId="7777777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Kanter, “</w:t>
      </w:r>
      <w:r w:rsidRPr="0014730D">
        <w:rPr>
          <w:color w:val="000000" w:themeColor="text1"/>
          <w:shd w:val="clear" w:color="auto" w:fill="FFFFFF"/>
        </w:rPr>
        <w:t xml:space="preserve">Presumption of Incompetence,” </w:t>
      </w:r>
      <w:r w:rsidRPr="0014730D">
        <w:rPr>
          <w:color w:val="000000" w:themeColor="text1"/>
        </w:rPr>
        <w:t xml:space="preserve">321-22; Martinis, </w:t>
      </w:r>
      <w:r w:rsidRPr="0014730D">
        <w:rPr>
          <w:color w:val="000000" w:themeColor="text1"/>
          <w:shd w:val="clear" w:color="auto" w:fill="FFFFFF"/>
        </w:rPr>
        <w:t xml:space="preserve">"Supported Decision-Making: Protecting Rights, Ensuring Choices," </w:t>
      </w:r>
      <w:r w:rsidRPr="0014730D">
        <w:rPr>
          <w:color w:val="000000" w:themeColor="text1"/>
        </w:rPr>
        <w:t>225.</w:t>
      </w:r>
    </w:p>
  </w:endnote>
  <w:endnote w:id="59">
    <w:p w14:paraId="49EF7286" w14:textId="211ECF5F"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Kanter, “</w:t>
      </w:r>
      <w:r w:rsidRPr="0014730D">
        <w:rPr>
          <w:color w:val="000000" w:themeColor="text1"/>
          <w:shd w:val="clear" w:color="auto" w:fill="FFFFFF"/>
        </w:rPr>
        <w:t xml:space="preserve">Presumption of Incompetence,” </w:t>
      </w:r>
      <w:r w:rsidRPr="0014730D">
        <w:rPr>
          <w:color w:val="000000" w:themeColor="text1"/>
        </w:rPr>
        <w:t>321-22.</w:t>
      </w:r>
    </w:p>
  </w:endnote>
  <w:endnote w:id="60">
    <w:p w14:paraId="02096B54" w14:textId="35D56720"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w:t>
      </w:r>
      <w:r w:rsidRPr="0014730D">
        <w:t xml:space="preserve">Payne-Christiansen “Guardianship: Its Role in the Transition Process for Students with Developmental Disabilities.” </w:t>
      </w:r>
      <w:r w:rsidRPr="0014730D">
        <w:rPr>
          <w:color w:val="000000" w:themeColor="text1"/>
        </w:rPr>
        <w:t>10.</w:t>
      </w:r>
    </w:p>
  </w:endnote>
  <w:endnote w:id="61">
    <w:p w14:paraId="3E673787" w14:textId="7777777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42 U.S.C. § 15001(b).</w:t>
      </w:r>
    </w:p>
  </w:endnote>
  <w:endnote w:id="62">
    <w:p w14:paraId="18CA10DC" w14:textId="7777777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Rehabilitation Act of 1973, 29 U.S.C. §701 </w:t>
      </w:r>
      <w:r w:rsidRPr="0014730D">
        <w:rPr>
          <w:i/>
          <w:iCs/>
          <w:color w:val="000000" w:themeColor="text1"/>
        </w:rPr>
        <w:t xml:space="preserve">et. seq. </w:t>
      </w:r>
      <w:r w:rsidRPr="0014730D">
        <w:rPr>
          <w:color w:val="000000" w:themeColor="text1"/>
        </w:rPr>
        <w:t>(2014).</w:t>
      </w:r>
    </w:p>
  </w:endnote>
  <w:endnote w:id="63">
    <w:p w14:paraId="1AF59819" w14:textId="73AFD7EB"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34 CFR 361.22.</w:t>
      </w:r>
    </w:p>
  </w:endnote>
  <w:endnote w:id="64">
    <w:p w14:paraId="5AD8B832" w14:textId="7777777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w:t>
      </w:r>
      <w:r w:rsidRPr="0014730D">
        <w:rPr>
          <w:color w:val="000000" w:themeColor="text1"/>
          <w:shd w:val="clear" w:color="auto" w:fill="FFFFFF"/>
        </w:rPr>
        <w:t>29 U.S.C. § 3101, P.L. 113-128.</w:t>
      </w:r>
    </w:p>
  </w:endnote>
  <w:endnote w:id="65">
    <w:p w14:paraId="471F2A15" w14:textId="7777777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Rehabilitation Act of 1973 (as amended in 2014), 721(a)(15)(D)(iii)); see also Jonathan G. Martinis, “The Right to Make Choices: How Vocational Rehabilitation Can Help Young Adults with Disabilities Increase Self-Determination and Avoid Guardianship,” </w:t>
      </w:r>
      <w:r w:rsidRPr="0014730D">
        <w:rPr>
          <w:i/>
          <w:color w:val="000000" w:themeColor="text1"/>
        </w:rPr>
        <w:t>Journal of Vocational Rehabilitation</w:t>
      </w:r>
      <w:r w:rsidRPr="0014730D">
        <w:rPr>
          <w:color w:val="000000" w:themeColor="text1"/>
        </w:rPr>
        <w:t xml:space="preserve"> 42 (2015): 221-227.</w:t>
      </w:r>
    </w:p>
  </w:endnote>
  <w:endnote w:id="66">
    <w:p w14:paraId="119E5241" w14:textId="7777777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Karrie A. Shogren, Michael L. Wehmeyer, Susan B. Palmer, Graham G. Rifenbark, and Todd D. Little, “</w:t>
      </w:r>
      <w:r w:rsidRPr="0014730D">
        <w:rPr>
          <w:rFonts w:eastAsia="Arial"/>
        </w:rPr>
        <w:t>Relationships Between Self-Determination and Postschool Outcomes for Youth with Disabilities</w:t>
      </w:r>
      <w:r w:rsidRPr="0014730D">
        <w:rPr>
          <w:color w:val="000000" w:themeColor="text1"/>
        </w:rPr>
        <w:t xml:space="preserve">. </w:t>
      </w:r>
      <w:r w:rsidRPr="0014730D">
        <w:rPr>
          <w:i/>
          <w:iCs/>
          <w:color w:val="000000" w:themeColor="text1"/>
        </w:rPr>
        <w:t xml:space="preserve">The Journal of Special Education </w:t>
      </w:r>
      <w:r w:rsidRPr="0014730D">
        <w:rPr>
          <w:iCs/>
          <w:color w:val="000000" w:themeColor="text1"/>
        </w:rPr>
        <w:t>48, no. 4 (2015): 256-267</w:t>
      </w:r>
      <w:r w:rsidRPr="0014730D">
        <w:rPr>
          <w:color w:val="000000" w:themeColor="text1"/>
        </w:rPr>
        <w:t xml:space="preserve">; Laurie E. Powers, Sarah Geenen, Jennifer Powers, Summer Pommier-Satya, Alison Turner, Lawrence D. Dalton, et al. (2012). “My Life: Effects of a Longitudinal, Randomized Study of Self-Determination Enhancement on the Transition Outcomes of Youth in Foster Care and Special Education.” </w:t>
      </w:r>
      <w:r w:rsidRPr="0014730D">
        <w:rPr>
          <w:i/>
        </w:rPr>
        <w:t>Children and Youth Services Review</w:t>
      </w:r>
      <w:r w:rsidRPr="0014730D">
        <w:t xml:space="preserve"> 34, no. 11 (2012);</w:t>
      </w:r>
      <w:r w:rsidRPr="0014730D">
        <w:rPr>
          <w:color w:val="000000" w:themeColor="text1"/>
        </w:rPr>
        <w:t xml:space="preserve"> Michael Wehmeyer and Michelle Schwartz, “Self-Determination and Positive Adult Outcomes: A Follow-up Study of Youth with Mental Retardation or Learning Disabilities, </w:t>
      </w:r>
      <w:r w:rsidRPr="0014730D">
        <w:rPr>
          <w:i/>
          <w:iCs/>
          <w:color w:val="000000" w:themeColor="text1"/>
        </w:rPr>
        <w:t>Exceptional Children</w:t>
      </w:r>
      <w:r w:rsidRPr="0014730D">
        <w:rPr>
          <w:iCs/>
          <w:color w:val="000000" w:themeColor="text1"/>
        </w:rPr>
        <w:t xml:space="preserve">, 63, no. 2 (1997): </w:t>
      </w:r>
      <w:r w:rsidRPr="0014730D">
        <w:rPr>
          <w:color w:val="000000" w:themeColor="text1"/>
        </w:rPr>
        <w:t xml:space="preserve">245-255; Michael Wehmeyer and Susan Palmer, “Adult Outcomes for Students with Cognitive Disabilities Three-Years After High School: The Impact of Self-Determination.” </w:t>
      </w:r>
      <w:r w:rsidRPr="0014730D">
        <w:rPr>
          <w:i/>
          <w:iCs/>
          <w:color w:val="000000" w:themeColor="text1"/>
        </w:rPr>
        <w:t>Education and Training in Developmental Disabilities</w:t>
      </w:r>
      <w:r w:rsidRPr="0014730D">
        <w:rPr>
          <w:iCs/>
          <w:color w:val="000000" w:themeColor="text1"/>
        </w:rPr>
        <w:t xml:space="preserve"> 38, no. 2 (2003): </w:t>
      </w:r>
      <w:r w:rsidRPr="0014730D">
        <w:rPr>
          <w:color w:val="000000" w:themeColor="text1"/>
        </w:rPr>
        <w:t>131-144.</w:t>
      </w:r>
    </w:p>
  </w:endnote>
  <w:endnote w:id="67">
    <w:p w14:paraId="01C64D4D" w14:textId="7334E32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Valerie Bradley, Dorothy Hiersteiner, Jane St. John, and Mary Lou Bourne, “National Core Indicators Data Brief,” April 2019, 5, accessed May 9, 2019, </w:t>
      </w:r>
      <w:hyperlink w:history="1">
        <w:r w:rsidRPr="0014730D">
          <w:rPr>
            <w:rStyle w:val="Hyperlink"/>
            <w:rFonts w:cs="Arial"/>
            <w:sz w:val="18"/>
          </w:rPr>
          <w:t>https://www.national coreindicators.org/upload/core-indicators/NCI_GuardianshipBrief_April2019_Final.pdf</w:t>
        </w:r>
      </w:hyperlink>
      <w:r w:rsidRPr="0014730D">
        <w:t xml:space="preserve">;  </w:t>
      </w:r>
      <w:r w:rsidRPr="0014730D">
        <w:rPr>
          <w:color w:val="000000" w:themeColor="text1"/>
        </w:rPr>
        <w:t xml:space="preserve">Elizabeth Pell and Virginia Mulkern, “Supported Decision-Making Pilot: Pilot Program Evaluation Year 2 Report,” Human Services Research Institute, accessed January 11, 2018, </w:t>
      </w:r>
      <w:hyperlink r:id="rId16" w:tooltip="http://supporteddecisions.org/wp-content/uploads/2016/11/Evaluation-Year-2-Report_HSRI-2016_FINAL-2-1.pdf" w:history="1">
        <w:r w:rsidRPr="0014730D">
          <w:rPr>
            <w:rStyle w:val="Hyperlink"/>
            <w:rFonts w:cs="Arial"/>
            <w:sz w:val="18"/>
          </w:rPr>
          <w:t>http://supporteddecisions.org/wp-content/uploads/2016/11/Evaluation-Year-2-Report_HSRI-2016_FINAL-2-1.pdf</w:t>
        </w:r>
      </w:hyperlink>
      <w:r w:rsidRPr="0014730D">
        <w:rPr>
          <w:color w:val="000000" w:themeColor="text1"/>
        </w:rPr>
        <w:t>.</w:t>
      </w:r>
    </w:p>
  </w:endnote>
  <w:endnote w:id="68">
    <w:p w14:paraId="2F90339A" w14:textId="44C60986" w:rsidR="00C40185" w:rsidRPr="0014730D" w:rsidRDefault="00C40185" w:rsidP="007749CE">
      <w:pPr>
        <w:pStyle w:val="EndnoteText"/>
      </w:pPr>
      <w:r w:rsidRPr="0014730D">
        <w:rPr>
          <w:rStyle w:val="EndnoteReference"/>
          <w:rFonts w:cs="Arial"/>
        </w:rPr>
        <w:endnoteRef/>
      </w:r>
      <w:r w:rsidRPr="0014730D">
        <w:t xml:space="preserve"> Bradley et al., “National Core Indicators Data Brief,” 5.</w:t>
      </w:r>
    </w:p>
    <w:p w14:paraId="4A18705E" w14:textId="77777777" w:rsidR="00C40185" w:rsidRPr="0014730D" w:rsidRDefault="00C40185" w:rsidP="007749CE">
      <w:pPr>
        <w:pStyle w:val="EndnoteText"/>
      </w:pPr>
    </w:p>
  </w:endnote>
  <w:endnote w:id="69">
    <w:p w14:paraId="269B9354" w14:textId="0670B901"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John B. King, Jr., Sue Swenson, Janet L. LaBreck, Ruth E. Ryder, “A Transition Guide To Postsecondary Education And Employment For Students And Youth With Disabilities,” Office of Special Education and Rehabilitative Services United States Department Of Education, January 2017, accessed February 11, 2019, </w:t>
      </w:r>
      <w:hyperlink r:id="rId17" w:tooltip="https://www2.ed.gov/about/offices/list/osers/transition/products/postsecondary-transition-guide-2017.pdf" w:history="1">
        <w:r w:rsidRPr="0014730D">
          <w:rPr>
            <w:rStyle w:val="Hyperlink"/>
            <w:rFonts w:cs="Arial"/>
            <w:sz w:val="18"/>
          </w:rPr>
          <w:t>https://www2.ed.gov/about/offices/list/osers/transition/products/postsecondary-transition-guide-2017.pdf</w:t>
        </w:r>
      </w:hyperlink>
      <w:r w:rsidRPr="0014730D">
        <w:rPr>
          <w:color w:val="000000" w:themeColor="text1"/>
        </w:rPr>
        <w:t>.</w:t>
      </w:r>
    </w:p>
  </w:endnote>
  <w:endnote w:id="70">
    <w:p w14:paraId="396FB470" w14:textId="7777777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Ibid.</w:t>
      </w:r>
    </w:p>
  </w:endnote>
  <w:endnote w:id="71">
    <w:p w14:paraId="0D6A0C00" w14:textId="77777777" w:rsidR="00C40185" w:rsidRPr="0014730D" w:rsidRDefault="00C40185" w:rsidP="007749CE">
      <w:pPr>
        <w:pStyle w:val="EndnoteText"/>
        <w:rPr>
          <w:rFonts w:eastAsia="Times New Roman"/>
          <w:color w:val="000000" w:themeColor="text1"/>
        </w:rPr>
      </w:pPr>
      <w:r w:rsidRPr="0014730D">
        <w:rPr>
          <w:rStyle w:val="EndnoteReference"/>
          <w:rFonts w:cs="Arial"/>
          <w:color w:val="000000" w:themeColor="text1"/>
        </w:rPr>
        <w:endnoteRef/>
      </w:r>
      <w:r w:rsidRPr="0014730D">
        <w:rPr>
          <w:color w:val="000000" w:themeColor="text1"/>
        </w:rPr>
        <w:t xml:space="preserve"> </w:t>
      </w:r>
      <w:r w:rsidRPr="0014730D">
        <w:rPr>
          <w:rFonts w:eastAsia="Times New Roman"/>
          <w:color w:val="000000" w:themeColor="text1"/>
        </w:rPr>
        <w:t>Glen, “Supported Decision-Making and the Human Right of Legal Capacity,” 3</w:t>
      </w:r>
      <w:r w:rsidRPr="0014730D">
        <w:rPr>
          <w:color w:val="000000" w:themeColor="text1"/>
        </w:rPr>
        <w:t>;</w:t>
      </w:r>
      <w:r w:rsidRPr="0014730D">
        <w:rPr>
          <w:rFonts w:eastAsia="Times New Roman"/>
          <w:color w:val="000000" w:themeColor="text1"/>
        </w:rPr>
        <w:t xml:space="preserve"> Kanter, “Guardianship for Young Adults with Disabilities as a Violation of the Purpose of the Individuals with Disabilities Education Improvement Act,” 18-21.</w:t>
      </w:r>
    </w:p>
  </w:endnote>
  <w:endnote w:id="72">
    <w:p w14:paraId="385B1146" w14:textId="7777777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w:t>
      </w:r>
      <w:r w:rsidRPr="0014730D">
        <w:rPr>
          <w:rFonts w:eastAsia="Arial"/>
          <w:i/>
          <w:color w:val="000000" w:themeColor="text1"/>
        </w:rPr>
        <w:t>Neal v. Neal</w:t>
      </w:r>
      <w:r w:rsidRPr="0014730D">
        <w:rPr>
          <w:rFonts w:eastAsia="Arial"/>
          <w:color w:val="000000" w:themeColor="text1"/>
        </w:rPr>
        <w:t>, 584 N.W.2d 654 (Mich. Ct. App.1998) (holding that the guardianship statute for people without developmental disabilities did not contain the “more stringent” safeguards found in the guardianship statute with developmental disabilities).</w:t>
      </w:r>
    </w:p>
  </w:endnote>
  <w:endnote w:id="73">
    <w:p w14:paraId="18B289E4" w14:textId="7E95160B"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Florida Developmental Disabilities Council and Guardian Trust, “Restoration of Capacity Study and Work Group Report,” February 28, 2014, accessed February 11, 2019, </w:t>
      </w:r>
      <w:hyperlink r:id="rId18" w:tooltip="http://www.guardianship.org/IRL/Resources/Handouts/Charting%20a%20New%20Course_Restoration%20Report.pdf" w:history="1">
        <w:r w:rsidRPr="0014730D">
          <w:rPr>
            <w:rStyle w:val="Hyperlink"/>
            <w:rFonts w:cs="Arial"/>
            <w:sz w:val="18"/>
          </w:rPr>
          <w:t>http://www.guardianship.org/IRL/Resources/Handouts/Charting%20a%20New%20Course_Restoration%20Report.pdf</w:t>
        </w:r>
      </w:hyperlink>
      <w:r w:rsidRPr="0014730D">
        <w:rPr>
          <w:color w:val="000000" w:themeColor="text1"/>
        </w:rPr>
        <w:t>.</w:t>
      </w:r>
    </w:p>
  </w:endnote>
  <w:endnote w:id="74">
    <w:p w14:paraId="1460B30B" w14:textId="77777777" w:rsidR="00C40185" w:rsidRPr="0014730D" w:rsidRDefault="00C40185" w:rsidP="007749CE">
      <w:pPr>
        <w:pStyle w:val="EndnoteText"/>
      </w:pPr>
      <w:r w:rsidRPr="0014730D">
        <w:rPr>
          <w:rStyle w:val="EndnoteReference"/>
          <w:rFonts w:cs="Arial"/>
        </w:rPr>
        <w:endnoteRef/>
      </w:r>
      <w:r w:rsidRPr="0014730D">
        <w:t xml:space="preserve"> Jason Stevenson, “Disability Law Center, ACLU Reach Settlement to Strengthen Legal Representation for Guardianship Hearings in Utah,” </w:t>
      </w:r>
      <w:r w:rsidRPr="0014730D">
        <w:rPr>
          <w:i/>
        </w:rPr>
        <w:t>The Independent</w:t>
      </w:r>
      <w:r w:rsidRPr="0014730D">
        <w:t xml:space="preserve">, December 19, 2018, accessed February 11, 2019, </w:t>
      </w:r>
      <w:hyperlink r:id="rId19" w:history="1">
        <w:r w:rsidRPr="0014730D">
          <w:rPr>
            <w:rStyle w:val="Hyperlink"/>
            <w:rFonts w:eastAsia="Times New Roman" w:cs="Arial"/>
            <w:sz w:val="18"/>
          </w:rPr>
          <w:t>http://suindependent.com/disability-law-center-aclu-reach-settlement-strengthen-legal-representation-guardianship-hearings-utah/</w:t>
        </w:r>
      </w:hyperlink>
      <w:r w:rsidRPr="0014730D">
        <w:rPr>
          <w:rStyle w:val="Hyperlink"/>
          <w:rFonts w:eastAsia="Times New Roman" w:cs="Arial"/>
          <w:sz w:val="18"/>
        </w:rPr>
        <w:t>.</w:t>
      </w:r>
    </w:p>
  </w:endnote>
  <w:endnote w:id="75">
    <w:p w14:paraId="5CC15DD9" w14:textId="75EEB125" w:rsidR="00C40185" w:rsidRPr="0014730D" w:rsidRDefault="00C40185" w:rsidP="007749CE">
      <w:pPr>
        <w:pStyle w:val="EndnoteText"/>
        <w:rPr>
          <w:color w:val="000000" w:themeColor="text1"/>
          <w:u w:val="single"/>
        </w:rPr>
      </w:pPr>
      <w:r w:rsidRPr="0014730D">
        <w:rPr>
          <w:rStyle w:val="EndnoteReference"/>
          <w:rFonts w:cs="Arial"/>
          <w:color w:val="000000" w:themeColor="text1"/>
        </w:rPr>
        <w:endnoteRef/>
      </w:r>
      <w:r w:rsidRPr="0014730D">
        <w:rPr>
          <w:color w:val="000000" w:themeColor="text1"/>
        </w:rPr>
        <w:t xml:space="preserve"> Dennis Romboy, “ACLU Sues Utah Over Disabled People's Right To A Lawyer In Guardianship Cases,” </w:t>
      </w:r>
      <w:r w:rsidRPr="0014730D">
        <w:rPr>
          <w:i/>
          <w:color w:val="000000" w:themeColor="text1"/>
        </w:rPr>
        <w:t>Deseret News</w:t>
      </w:r>
      <w:r w:rsidRPr="0014730D">
        <w:rPr>
          <w:color w:val="000000" w:themeColor="text1"/>
        </w:rPr>
        <w:t xml:space="preserve">, July 7, 2017, accessed February 11, 2019, </w:t>
      </w:r>
      <w:hyperlink r:id="rId20" w:tooltip="https://www.deseretnews.com/article/865684409/ACLU-sues-Utah-over-disabled-peoples-right-to-a-lawyer-in-guardianship-cases.html" w:history="1">
        <w:r w:rsidRPr="0014730D">
          <w:rPr>
            <w:rStyle w:val="Hyperlink"/>
            <w:rFonts w:cs="Arial"/>
            <w:sz w:val="18"/>
          </w:rPr>
          <w:t>https://www.deseretnews.com/article/865684409/ACLU-sues-Utah-over-disabled-peoples-right-to-a-lawyer-in-guardianship-cases.html</w:t>
        </w:r>
      </w:hyperlink>
      <w:r w:rsidRPr="0014730D">
        <w:t>.</w:t>
      </w:r>
    </w:p>
  </w:endnote>
  <w:endnote w:id="76">
    <w:p w14:paraId="013A3829" w14:textId="7777777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Utah Code Ann. § 75-5-303 (2018).</w:t>
      </w:r>
    </w:p>
  </w:endnote>
  <w:endnote w:id="77">
    <w:p w14:paraId="318926B5" w14:textId="43D68870" w:rsidR="00C40185" w:rsidRPr="0014730D" w:rsidRDefault="00C40185" w:rsidP="007749CE">
      <w:pPr>
        <w:pStyle w:val="EndnoteText"/>
      </w:pPr>
      <w:r w:rsidRPr="0014730D">
        <w:rPr>
          <w:rStyle w:val="EndnoteReference"/>
          <w:rFonts w:cs="Arial"/>
        </w:rPr>
        <w:endnoteRef/>
      </w:r>
      <w:r w:rsidRPr="0014730D">
        <w:t xml:space="preserve"> Stevenson, “Disability Law Center, ACLU reach settlement to strengthen legal representation for guardianship hearings in Utah.” </w:t>
      </w:r>
      <w:r w:rsidRPr="0014730D">
        <w:rPr>
          <w:i/>
        </w:rPr>
        <w:t>The Independent</w:t>
      </w:r>
      <w:r w:rsidRPr="0014730D">
        <w:t>, December 19, 2018.</w:t>
      </w:r>
    </w:p>
  </w:endnote>
  <w:endnote w:id="78">
    <w:p w14:paraId="759EAEDD" w14:textId="02EF1D5C" w:rsidR="00C40185" w:rsidRPr="0014730D" w:rsidRDefault="00C40185" w:rsidP="007749CE">
      <w:pPr>
        <w:pStyle w:val="EndnoteText"/>
        <w:rPr>
          <w:rFonts w:eastAsia="Times New Roman"/>
          <w:color w:val="000000" w:themeColor="text1"/>
        </w:rPr>
      </w:pPr>
      <w:r w:rsidRPr="0014730D">
        <w:rPr>
          <w:rStyle w:val="EndnoteReference"/>
          <w:rFonts w:cs="Arial"/>
          <w:color w:val="000000" w:themeColor="text1"/>
        </w:rPr>
        <w:endnoteRef/>
      </w:r>
      <w:r w:rsidRPr="0014730D">
        <w:rPr>
          <w:color w:val="000000" w:themeColor="text1"/>
        </w:rPr>
        <w:t xml:space="preserve"> Karen </w:t>
      </w:r>
      <w:r w:rsidRPr="0014730D">
        <w:rPr>
          <w:rFonts w:eastAsia="Times New Roman"/>
          <w:color w:val="000000" w:themeColor="text1"/>
        </w:rPr>
        <w:t xml:space="preserve">Andreasian et al., “Revisiting S.C.P.A. 17-A: Guardianship for People with Intellectual and Developmental Disabilities,” </w:t>
      </w:r>
      <w:r w:rsidRPr="0014730D">
        <w:rPr>
          <w:rFonts w:eastAsia="Times New Roman"/>
          <w:i/>
          <w:color w:val="000000" w:themeColor="text1"/>
        </w:rPr>
        <w:t>CUNY Law Review</w:t>
      </w:r>
      <w:r w:rsidRPr="0014730D">
        <w:rPr>
          <w:rFonts w:eastAsia="Times New Roman"/>
          <w:color w:val="000000" w:themeColor="text1"/>
        </w:rPr>
        <w:t xml:space="preserve"> 18, no. 287 (2015): 335.</w:t>
      </w:r>
    </w:p>
  </w:endnote>
  <w:endnote w:id="79">
    <w:p w14:paraId="63A75A11" w14:textId="16D20060" w:rsidR="00C40185" w:rsidRPr="0014730D" w:rsidRDefault="00C40185" w:rsidP="007749CE">
      <w:pPr>
        <w:pStyle w:val="EndnoteText"/>
        <w:rPr>
          <w:rFonts w:eastAsia="Times New Roman"/>
          <w:color w:val="000000" w:themeColor="text1"/>
        </w:rPr>
      </w:pPr>
      <w:r w:rsidRPr="0014730D">
        <w:rPr>
          <w:rStyle w:val="EndnoteReference"/>
          <w:rFonts w:cs="Arial"/>
          <w:color w:val="000000" w:themeColor="text1"/>
        </w:rPr>
        <w:endnoteRef/>
      </w:r>
      <w:r w:rsidRPr="0014730D">
        <w:rPr>
          <w:color w:val="000000" w:themeColor="text1"/>
        </w:rPr>
        <w:t xml:space="preserve"> Olmstead Development and Implementation Cabinet, “Report and Recommendations of the Olmstead Cabinet: A Comprehensive Plan for Serving New Yorkers with Disabilities in the Most Integrated Setting,” October 2013, accessed February 11, 2019,</w:t>
      </w:r>
      <w:r w:rsidRPr="0014730D">
        <w:rPr>
          <w:i/>
          <w:color w:val="000000" w:themeColor="text1"/>
        </w:rPr>
        <w:t xml:space="preserve"> </w:t>
      </w:r>
      <w:hyperlink r:id="rId21" w:tooltip="http://www.governor.ny.gov/sites/governor.ny.gov/files/archive/assets/documents/olmstead-cabinet-report101013.pdf" w:history="1">
        <w:r w:rsidRPr="0014730D">
          <w:rPr>
            <w:rStyle w:val="Hyperlink"/>
            <w:rFonts w:cs="Arial"/>
            <w:sz w:val="18"/>
          </w:rPr>
          <w:t>http://www.governor.ny.gov/sites/governor.ny.gov/files/archive/assets/documents/olmstead-cabinet-report101013.pdf</w:t>
        </w:r>
      </w:hyperlink>
      <w:r w:rsidRPr="0014730D">
        <w:rPr>
          <w:color w:val="000000" w:themeColor="text1"/>
        </w:rPr>
        <w:t>.</w:t>
      </w:r>
    </w:p>
  </w:endnote>
  <w:endnote w:id="80">
    <w:p w14:paraId="2637377D" w14:textId="435B5746"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ABA Commission on Law and Aging, “Guardian Health Care Decision-Making Authority and Statutory Restrictions,” April 11, 2014, accessed on February 11, 2019, </w:t>
      </w:r>
      <w:hyperlink r:id="rId22" w:tooltip="https://www.americanbar.org/content/dam/aba/administrative/law_aging/2014_HealthCareDecisionMakingAuthorityofGuardiansChart.pdf" w:history="1">
        <w:r w:rsidRPr="0014730D">
          <w:rPr>
            <w:rStyle w:val="Hyperlink"/>
            <w:rFonts w:cs="Arial"/>
            <w:sz w:val="18"/>
          </w:rPr>
          <w:t>https://www.americanbar.org/content/dam/aba/administrative/law_aging/2014_HealthCareDecisionMakingAuthorityofGuardiansChart.pdf</w:t>
        </w:r>
      </w:hyperlink>
      <w:r w:rsidRPr="0014730D">
        <w:rPr>
          <w:color w:val="000000" w:themeColor="text1"/>
        </w:rPr>
        <w:t>.</w:t>
      </w:r>
    </w:p>
  </w:endnote>
  <w:endnote w:id="81">
    <w:p w14:paraId="2F586CCF" w14:textId="5B333711"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Unif. Guardianship and Protective Proceedings Act § 102 (Nat’l Conference of Comm’rs on Unif. State Laws 1997).</w:t>
      </w:r>
    </w:p>
  </w:endnote>
  <w:endnote w:id="82">
    <w:p w14:paraId="6E531617" w14:textId="77777777" w:rsidR="00C40185" w:rsidRPr="0014730D" w:rsidRDefault="00C40185" w:rsidP="007749CE">
      <w:pPr>
        <w:pStyle w:val="EndnoteText"/>
      </w:pPr>
      <w:r w:rsidRPr="0014730D">
        <w:rPr>
          <w:rStyle w:val="EndnoteReference"/>
          <w:rFonts w:cs="Arial"/>
          <w:color w:val="000000" w:themeColor="text1"/>
        </w:rPr>
        <w:endnoteRef/>
      </w:r>
      <w:r w:rsidRPr="0014730D">
        <w:rPr>
          <w:color w:val="000000" w:themeColor="text1"/>
        </w:rPr>
        <w:t xml:space="preserve"> National Council on Disability,</w:t>
      </w:r>
      <w:r w:rsidRPr="0014730D">
        <w:rPr>
          <w:i/>
          <w:color w:val="000000" w:themeColor="text1"/>
        </w:rPr>
        <w:t xml:space="preserve"> Beyond Guardianship, </w:t>
      </w:r>
      <w:r w:rsidRPr="0014730D">
        <w:t>71-73.</w:t>
      </w:r>
    </w:p>
  </w:endnote>
  <w:endnote w:id="83">
    <w:p w14:paraId="048368D8" w14:textId="77777777" w:rsidR="00C40185" w:rsidRPr="0014730D" w:rsidRDefault="00C40185" w:rsidP="007749CE">
      <w:pPr>
        <w:pStyle w:val="EndnoteText"/>
      </w:pPr>
      <w:r w:rsidRPr="0014730D">
        <w:rPr>
          <w:rStyle w:val="EndnoteReference"/>
          <w:rFonts w:cs="Arial"/>
        </w:rPr>
        <w:endnoteRef/>
      </w:r>
      <w:r w:rsidRPr="0014730D">
        <w:t xml:space="preserve"> </w:t>
      </w:r>
      <w:r w:rsidRPr="0014730D">
        <w:rPr>
          <w:rFonts w:eastAsia="Times New Roman"/>
        </w:rPr>
        <w:t>Erica Wood, “Guardian Accountability: Key Questions and Promising Practices,”</w:t>
      </w:r>
      <w:r w:rsidRPr="0014730D">
        <w:t xml:space="preserve"> </w:t>
      </w:r>
      <w:r w:rsidRPr="0014730D">
        <w:rPr>
          <w:i/>
        </w:rPr>
        <w:t xml:space="preserve">Comparative Perspectives on Adult Guardianship, </w:t>
      </w:r>
      <w:r w:rsidRPr="0014730D">
        <w:t>ed. Kimberly Dayton (2014) pp. 313-327</w:t>
      </w:r>
      <w:r w:rsidRPr="0014730D">
        <w:rPr>
          <w:lang w:val="en"/>
        </w:rPr>
        <w:t>.</w:t>
      </w:r>
    </w:p>
  </w:endnote>
  <w:endnote w:id="84">
    <w:p w14:paraId="4059DCF1" w14:textId="77777777" w:rsidR="00C40185" w:rsidRPr="0014730D" w:rsidRDefault="00C40185" w:rsidP="007749CE">
      <w:pPr>
        <w:pStyle w:val="EndnoteText"/>
        <w:rPr>
          <w:color w:val="000000" w:themeColor="text1"/>
        </w:rPr>
      </w:pPr>
      <w:r w:rsidRPr="0014730D">
        <w:rPr>
          <w:vertAlign w:val="superscript"/>
        </w:rPr>
        <w:endnoteRef/>
      </w:r>
      <w:r w:rsidRPr="0014730D">
        <w:t xml:space="preserve"> Brenda K. Uekert and Richard Y. Shouffler, “Caseload Highlights: The Need for Improved Guardianship Data,” </w:t>
      </w:r>
      <w:r w:rsidRPr="0014730D">
        <w:rPr>
          <w:i/>
        </w:rPr>
        <w:t>Court Statistics Project</w:t>
      </w:r>
      <w:r w:rsidRPr="0014730D">
        <w:t xml:space="preserve"> 15, no. 2 (2008).</w:t>
      </w:r>
    </w:p>
  </w:endnote>
  <w:endnote w:id="85">
    <w:p w14:paraId="527DE569" w14:textId="5D11BB32" w:rsidR="00C40185" w:rsidRPr="0014730D" w:rsidRDefault="00C40185" w:rsidP="007749CE">
      <w:pPr>
        <w:pStyle w:val="EndnoteText"/>
      </w:pPr>
      <w:r w:rsidRPr="0014730D">
        <w:rPr>
          <w:rStyle w:val="EndnoteReference"/>
          <w:rFonts w:cs="Arial"/>
        </w:rPr>
        <w:endnoteRef/>
      </w:r>
      <w:r w:rsidRPr="0014730D">
        <w:t xml:space="preserve"> </w:t>
      </w:r>
      <w:r w:rsidRPr="0014730D">
        <w:rPr>
          <w:color w:val="000000" w:themeColor="text1"/>
        </w:rPr>
        <w:t>Bradley et al., “National Core Indicators Data Brief.”</w:t>
      </w:r>
    </w:p>
  </w:endnote>
  <w:endnote w:id="86">
    <w:p w14:paraId="42D6E182" w14:textId="77777777" w:rsidR="00C40185" w:rsidRPr="0014730D" w:rsidRDefault="00C40185" w:rsidP="007749CE">
      <w:pPr>
        <w:pStyle w:val="EndnoteText"/>
      </w:pPr>
      <w:r w:rsidRPr="0014730D">
        <w:rPr>
          <w:rStyle w:val="EndnoteReference"/>
          <w:rFonts w:cs="Arial"/>
        </w:rPr>
        <w:endnoteRef/>
      </w:r>
      <w:r w:rsidRPr="0014730D">
        <w:t xml:space="preserve"> Ibid at 4.</w:t>
      </w:r>
    </w:p>
  </w:endnote>
  <w:endnote w:id="87">
    <w:p w14:paraId="48961570" w14:textId="7D1D8E0B" w:rsidR="00C40185" w:rsidRPr="0014730D" w:rsidRDefault="00C40185" w:rsidP="007749CE">
      <w:pPr>
        <w:pStyle w:val="EndnoteText"/>
      </w:pPr>
      <w:r w:rsidRPr="0014730D">
        <w:rPr>
          <w:rStyle w:val="EndnoteReference"/>
          <w:rFonts w:cs="Arial"/>
        </w:rPr>
        <w:endnoteRef/>
      </w:r>
      <w:r w:rsidRPr="0014730D">
        <w:t xml:space="preserve"> National Core Indicators, “NCI Adult Family Survey State Outcomes: Alaska Report, 2015-16 Data, 7 (Graph 10), accessed May 9, 2019, </w:t>
      </w:r>
      <w:hyperlink w:history="1">
        <w:r w:rsidRPr="0014730D">
          <w:rPr>
            <w:rStyle w:val="Hyperlink"/>
            <w:rFonts w:cs="Arial"/>
            <w:sz w:val="18"/>
          </w:rPr>
          <w:t>https://www.nationalcore indicators.org/ upload/state-reports/Alaska_AFS_Report_2015.pdf</w:t>
        </w:r>
      </w:hyperlink>
      <w:r w:rsidRPr="0014730D">
        <w:rPr>
          <w:color w:val="0000FF"/>
          <w:u w:val="single"/>
        </w:rPr>
        <w:t>.  0.</w:t>
      </w:r>
    </w:p>
  </w:endnote>
  <w:endnote w:id="88">
    <w:p w14:paraId="40C14207" w14:textId="362F83E8" w:rsidR="00C40185" w:rsidRPr="0014730D" w:rsidRDefault="00C40185" w:rsidP="007749CE">
      <w:pPr>
        <w:pStyle w:val="EndnoteText"/>
      </w:pPr>
      <w:r w:rsidRPr="0014730D">
        <w:rPr>
          <w:rStyle w:val="EndnoteReference"/>
          <w:rFonts w:cs="Arial"/>
        </w:rPr>
        <w:endnoteRef/>
      </w:r>
      <w:r w:rsidRPr="0014730D">
        <w:t xml:space="preserve"> </w:t>
      </w:r>
      <w:r w:rsidRPr="0014730D">
        <w:rPr>
          <w:shd w:val="clear" w:color="auto" w:fill="FFFFFF"/>
        </w:rPr>
        <w:t>H.R. 336, 30th Leg., 2nd Reg. Sess. (Alaska 2017) (signed into law as Chapter 108 SLA 18, effective December 26, 2018).</w:t>
      </w:r>
    </w:p>
  </w:endnote>
  <w:endnote w:id="89">
    <w:p w14:paraId="510EE64D" w14:textId="55230861"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Bradley et al., “National Core Indicators Data Brief,” </w:t>
      </w:r>
      <w:r w:rsidRPr="0014730D">
        <w:t>5-6.  Se</w:t>
      </w:r>
      <w:r w:rsidRPr="0014730D">
        <w:rPr>
          <w:color w:val="000000" w:themeColor="text1"/>
        </w:rPr>
        <w:t xml:space="preserve">e also Elizabeth Pell and Virginia Mulkhern, “Supported Decision Making Pilot: A Collaborative Report, Pilot Evaluation Year 1 Report,” Center for Public Representation, November 30, 2015, accessed February 11, 2019, </w:t>
      </w:r>
      <w:hyperlink r:id="rId23" w:tooltip="http://supporteddecisions.org/wp-content/uploads/2015/04/SDM-Evaluation-Report-Year-1_HSRI-2015.pdf" w:history="1">
        <w:r w:rsidRPr="0014730D">
          <w:rPr>
            <w:rStyle w:val="Hyperlink"/>
            <w:rFonts w:cs="Arial"/>
            <w:sz w:val="18"/>
          </w:rPr>
          <w:t>http://supporteddecisions.org/wp-content/uploads/2015/04/SDM-Evaluation-Report-Year-1_HSRI-2015.pdf</w:t>
        </w:r>
      </w:hyperlink>
      <w:r w:rsidRPr="0014730D">
        <w:rPr>
          <w:color w:val="000000" w:themeColor="text1"/>
        </w:rPr>
        <w:t>.</w:t>
      </w:r>
    </w:p>
  </w:endnote>
  <w:endnote w:id="90">
    <w:p w14:paraId="43A5F70F" w14:textId="53C6DFD5"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w:t>
      </w:r>
      <w:r w:rsidRPr="0014730D">
        <w:rPr>
          <w:color w:val="000000" w:themeColor="text1"/>
          <w:shd w:val="clear" w:color="auto" w:fill="FFFFFF"/>
        </w:rPr>
        <w:t>Hatch et. al., “Unjustified Isolation Is Discrimination: The Olmstead Case against Overbroad and Undue Organizational and Public Guardianship," 65-74.</w:t>
      </w:r>
    </w:p>
  </w:endnote>
  <w:endnote w:id="91">
    <w:p w14:paraId="5103C12E" w14:textId="14CAE2D3"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Pamela B. Teaster, et al., "Public Guardianship After 25 Years: In the Best Interest of Incapacitated People? National Study of Public Guardianship Phase II Report,” ABA Commission on Law and Aging (2007), accessed February 11, 2019, </w:t>
      </w:r>
      <w:hyperlink r:id="rId24" w:tooltip="https://www.americanbar.org/content/dam/aba/administrative/law_aging/PublicGuardianshipAfter25YearsIntheBestInterestofIncapacitatedPeople.pdf" w:history="1">
        <w:r w:rsidRPr="0014730D">
          <w:rPr>
            <w:rStyle w:val="Hyperlink"/>
            <w:rFonts w:cs="Arial"/>
            <w:sz w:val="18"/>
          </w:rPr>
          <w:t>https://www.americanbar.org/content/dam/aba/administrative/law_aging/PublicGuardianshipAfter25YearsIntheBestInterestofIncapacitatedPeople.pdf</w:t>
        </w:r>
      </w:hyperlink>
      <w:r w:rsidRPr="0014730D">
        <w:rPr>
          <w:color w:val="000000" w:themeColor="text1"/>
        </w:rPr>
        <w:t>.</w:t>
      </w:r>
    </w:p>
  </w:endnote>
  <w:endnote w:id="92">
    <w:p w14:paraId="1816ED89" w14:textId="2CFAD73F"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w:t>
      </w:r>
      <w:r w:rsidRPr="0014730D">
        <w:t xml:space="preserve">Naomi Karp and Erica Wood, </w:t>
      </w:r>
      <w:r w:rsidRPr="0014730D">
        <w:rPr>
          <w:i/>
          <w:iCs/>
        </w:rPr>
        <w:t>Choosing Home for Someone Else: Guardian Decisions on Long-Term Services and Supports</w:t>
      </w:r>
      <w:r w:rsidRPr="0014730D">
        <w:t xml:space="preserve">, 1, August 2013, accessed February 11, 2019, </w:t>
      </w:r>
      <w:hyperlink r:id="rId25" w:tooltip="http://www.aarp.org/content/dam/aarp/research/public_policy_institute/cons_prot/2013/guardian-decisions-on-ltss-report-AARP-ppi-cons-prot.pdf" w:history="1">
        <w:r w:rsidRPr="0014730D">
          <w:rPr>
            <w:rStyle w:val="Hyperlink"/>
            <w:rFonts w:cs="Arial"/>
            <w:sz w:val="18"/>
          </w:rPr>
          <w:t>http://www.aarp.org/content/dam/aarp/research/public_policy_institute/cons_prot/2013/guardian-decisions-on-ltss-report-AARP-ppi-cons-prot.pdf</w:t>
        </w:r>
      </w:hyperlink>
      <w:r w:rsidRPr="0014730D">
        <w:t>.</w:t>
      </w:r>
    </w:p>
  </w:endnote>
  <w:endnote w:id="93">
    <w:p w14:paraId="42A362DB" w14:textId="77777777" w:rsidR="00C40185" w:rsidRPr="0014730D" w:rsidRDefault="00C40185" w:rsidP="007749CE">
      <w:pPr>
        <w:pStyle w:val="EndnoteText"/>
      </w:pPr>
      <w:r w:rsidRPr="0014730D">
        <w:rPr>
          <w:rStyle w:val="EndnoteReference"/>
          <w:rFonts w:cs="Arial"/>
        </w:rPr>
        <w:endnoteRef/>
      </w:r>
      <w:r w:rsidRPr="0014730D">
        <w:t xml:space="preserve"> </w:t>
      </w:r>
      <w:r w:rsidRPr="0014730D">
        <w:rPr>
          <w:color w:val="000000" w:themeColor="text1"/>
        </w:rPr>
        <w:t xml:space="preserve">Bradley et al., “National Core Indicators Data Brief,” </w:t>
      </w:r>
      <w:r w:rsidRPr="0014730D">
        <w:t>5.</w:t>
      </w:r>
    </w:p>
    <w:p w14:paraId="11144D58" w14:textId="2694EC63" w:rsidR="00C40185" w:rsidRPr="0014730D" w:rsidRDefault="00C40185" w:rsidP="007749CE">
      <w:pPr>
        <w:pStyle w:val="EndnoteText"/>
      </w:pPr>
    </w:p>
  </w:endnote>
  <w:endnote w:id="94">
    <w:p w14:paraId="52E7DE04" w14:textId="77777777" w:rsidR="00C40185" w:rsidRPr="0014730D" w:rsidRDefault="00C40185" w:rsidP="007749CE">
      <w:pPr>
        <w:pStyle w:val="EndnoteText"/>
      </w:pPr>
      <w:r w:rsidRPr="0014730D">
        <w:rPr>
          <w:rStyle w:val="EndnoteReference"/>
          <w:rFonts w:cs="Arial"/>
        </w:rPr>
        <w:endnoteRef/>
      </w:r>
      <w:r w:rsidRPr="0014730D">
        <w:t xml:space="preserve"> Ibid. at 5.</w:t>
      </w:r>
    </w:p>
    <w:p w14:paraId="243D305F" w14:textId="77777777" w:rsidR="00C40185" w:rsidRPr="0014730D" w:rsidRDefault="00C40185" w:rsidP="007749CE">
      <w:pPr>
        <w:pStyle w:val="EndnoteText"/>
      </w:pPr>
    </w:p>
  </w:endnote>
  <w:endnote w:id="95">
    <w:p w14:paraId="5A757C16" w14:textId="7777777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489 F.3d 376 (D.C. Cir. 2007).</w:t>
      </w:r>
    </w:p>
  </w:endnote>
  <w:endnote w:id="96">
    <w:p w14:paraId="68262E15" w14:textId="490A70DB"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“Kavanaugh Letter,” The Association of University Centers on Disabilities, August 20, 2018, accessed February 11, 2019, </w:t>
      </w:r>
      <w:hyperlink r:id="rId26" w:tooltip="https://www.aucd.org/docs/policy/kavanaugh_letter_2018_0820_full_senate.pdf" w:history="1">
        <w:r w:rsidRPr="0014730D">
          <w:rPr>
            <w:rStyle w:val="Hyperlink"/>
            <w:rFonts w:cs="Arial"/>
            <w:sz w:val="18"/>
          </w:rPr>
          <w:t>https://www.aucd.org/docs/policy/kavanaugh_letter_2018_0820_full_senate.pdf</w:t>
        </w:r>
      </w:hyperlink>
      <w:r w:rsidRPr="0014730D">
        <w:rPr>
          <w:color w:val="000000" w:themeColor="text1"/>
        </w:rPr>
        <w:t>.</w:t>
      </w:r>
    </w:p>
  </w:endnote>
  <w:endnote w:id="97">
    <w:p w14:paraId="1BC2D085" w14:textId="6688F169"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“Confirming Judge Kavanaugh Will Jeopardize Civil Rights for People with Disabilities,” The Association of University Centers on Disabilities, August 28, 2018, accessed February 11, 2019, </w:t>
      </w:r>
      <w:hyperlink r:id="rId27" w:tooltip="https://www.aucd.org/template/news.cfm?news_id=13683&amp;id=17" w:history="1">
        <w:r w:rsidRPr="0014730D">
          <w:rPr>
            <w:rStyle w:val="Hyperlink"/>
            <w:rFonts w:cs="Arial"/>
            <w:sz w:val="18"/>
          </w:rPr>
          <w:t>https://www.aucd.org/template/news.cfm?news_id=13683&amp;id=17</w:t>
        </w:r>
      </w:hyperlink>
      <w:r w:rsidRPr="0014730D">
        <w:t>.</w:t>
      </w:r>
    </w:p>
  </w:endnote>
  <w:endnote w:id="98">
    <w:p w14:paraId="1BC63F95" w14:textId="25C503A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Please note that, despite its name, the DC Department on Disabilities Services Developmental Disabilities Administration only serves people with intellectual disabilities. It does not serve people with developmental disabilities that do not also have an intellectual disability.</w:t>
      </w:r>
    </w:p>
  </w:endnote>
  <w:endnote w:id="99">
    <w:p w14:paraId="1F81F2A0" w14:textId="77777777" w:rsidR="00C40185" w:rsidRPr="0014730D" w:rsidRDefault="00C40185" w:rsidP="007749CE">
      <w:pPr>
        <w:pStyle w:val="EndnoteText"/>
        <w:rPr>
          <w:color w:val="000000" w:themeColor="text1"/>
          <w:lang w:val="fr-FR"/>
        </w:rPr>
      </w:pPr>
      <w:r w:rsidRPr="0014730D">
        <w:rPr>
          <w:rStyle w:val="EndnoteReference"/>
          <w:rFonts w:cs="Arial"/>
          <w:color w:val="000000" w:themeColor="text1"/>
        </w:rPr>
        <w:endnoteRef/>
      </w:r>
      <w:r w:rsidRPr="0014730D">
        <w:rPr>
          <w:color w:val="000000" w:themeColor="text1"/>
          <w:lang w:val="fr-FR"/>
        </w:rPr>
        <w:t xml:space="preserve"> </w:t>
      </w:r>
      <w:r w:rsidRPr="0014730D">
        <w:rPr>
          <w:color w:val="000000" w:themeColor="text1"/>
          <w:shd w:val="clear" w:color="auto" w:fill="FFFFFF"/>
          <w:lang w:val="fr-FR"/>
        </w:rPr>
        <w:t>D.C. Code §§ 21-2041(d); 21-2049(b); 21-2049(c).</w:t>
      </w:r>
    </w:p>
  </w:endnote>
  <w:endnote w:id="100">
    <w:p w14:paraId="5745A024" w14:textId="77777777" w:rsidR="00C40185" w:rsidRPr="0014730D" w:rsidRDefault="00C40185" w:rsidP="007749CE">
      <w:pPr>
        <w:pStyle w:val="EndnoteText"/>
        <w:rPr>
          <w:color w:val="000000" w:themeColor="text1"/>
          <w:lang w:val="fr-FR"/>
        </w:rPr>
      </w:pPr>
      <w:r w:rsidRPr="0014730D">
        <w:rPr>
          <w:rStyle w:val="EndnoteReference"/>
          <w:rFonts w:cs="Arial"/>
          <w:color w:val="000000" w:themeColor="text1"/>
        </w:rPr>
        <w:endnoteRef/>
      </w:r>
      <w:r w:rsidRPr="0014730D">
        <w:rPr>
          <w:color w:val="000000" w:themeColor="text1"/>
          <w:lang w:val="fr-FR"/>
        </w:rPr>
        <w:t xml:space="preserve"> D.C. Code § 21-2002(d).</w:t>
      </w:r>
    </w:p>
  </w:endnote>
  <w:endnote w:id="101">
    <w:p w14:paraId="251D71E0" w14:textId="77777777" w:rsidR="00C40185" w:rsidRPr="0014730D" w:rsidRDefault="00C40185" w:rsidP="007749CE">
      <w:pPr>
        <w:pStyle w:val="EndnoteText"/>
        <w:rPr>
          <w:color w:val="000000" w:themeColor="text1"/>
          <w:lang w:val="fr-FR"/>
        </w:rPr>
      </w:pPr>
      <w:r w:rsidRPr="0014730D">
        <w:rPr>
          <w:rStyle w:val="EndnoteReference"/>
          <w:rFonts w:cs="Arial"/>
          <w:color w:val="000000" w:themeColor="text1"/>
        </w:rPr>
        <w:endnoteRef/>
      </w:r>
      <w:r w:rsidRPr="0014730D">
        <w:rPr>
          <w:color w:val="000000" w:themeColor="text1"/>
          <w:lang w:val="fr-FR"/>
        </w:rPr>
        <w:t xml:space="preserve"> D.C. Code § 21-2044(a).</w:t>
      </w:r>
    </w:p>
  </w:endnote>
  <w:endnote w:id="102">
    <w:p w14:paraId="75A66E52" w14:textId="77777777" w:rsidR="00C40185" w:rsidRPr="0014730D" w:rsidRDefault="00C40185" w:rsidP="007749CE">
      <w:pPr>
        <w:pStyle w:val="EndnoteText"/>
        <w:rPr>
          <w:color w:val="000000" w:themeColor="text1"/>
          <w:lang w:val="fr-FR"/>
        </w:rPr>
      </w:pPr>
      <w:r w:rsidRPr="0014730D">
        <w:rPr>
          <w:rStyle w:val="EndnoteReference"/>
          <w:rFonts w:cs="Arial"/>
          <w:color w:val="000000" w:themeColor="text1"/>
        </w:rPr>
        <w:endnoteRef/>
      </w:r>
      <w:r w:rsidRPr="0014730D">
        <w:rPr>
          <w:color w:val="000000" w:themeColor="text1"/>
          <w:lang w:val="fr-FR"/>
        </w:rPr>
        <w:t xml:space="preserve"> D.C. Code § 21-2044(a).</w:t>
      </w:r>
    </w:p>
  </w:endnote>
  <w:endnote w:id="103">
    <w:p w14:paraId="0CE338BA" w14:textId="77777777" w:rsidR="00C40185" w:rsidRPr="0014730D" w:rsidRDefault="00C40185" w:rsidP="007749CE">
      <w:pPr>
        <w:pStyle w:val="EndnoteText"/>
        <w:rPr>
          <w:color w:val="000000" w:themeColor="text1"/>
          <w:lang w:val="fr-FR"/>
        </w:rPr>
      </w:pPr>
      <w:r w:rsidRPr="0014730D">
        <w:rPr>
          <w:rStyle w:val="EndnoteReference"/>
          <w:rFonts w:cs="Arial"/>
          <w:color w:val="000000" w:themeColor="text1"/>
        </w:rPr>
        <w:endnoteRef/>
      </w:r>
      <w:r w:rsidRPr="0014730D">
        <w:rPr>
          <w:color w:val="000000" w:themeColor="text1"/>
          <w:lang w:val="fr-FR"/>
        </w:rPr>
        <w:t xml:space="preserve"> D.C. Code § 21-2047(a)(6).</w:t>
      </w:r>
    </w:p>
  </w:endnote>
  <w:endnote w:id="104">
    <w:p w14:paraId="0403F1A5" w14:textId="6F305BE6" w:rsidR="00C40185" w:rsidRPr="0014730D" w:rsidRDefault="00C40185" w:rsidP="007749CE">
      <w:pPr>
        <w:pStyle w:val="EndnoteText"/>
        <w:rPr>
          <w:color w:val="000000" w:themeColor="text1"/>
          <w:lang w:val="fr-FR"/>
        </w:rPr>
      </w:pPr>
      <w:r w:rsidRPr="0014730D">
        <w:rPr>
          <w:rStyle w:val="EndnoteReference"/>
          <w:rFonts w:cs="Arial"/>
          <w:color w:val="000000" w:themeColor="text1"/>
        </w:rPr>
        <w:endnoteRef/>
      </w:r>
      <w:r w:rsidRPr="0014730D">
        <w:rPr>
          <w:color w:val="000000" w:themeColor="text1"/>
          <w:lang w:val="fr-FR"/>
        </w:rPr>
        <w:t xml:space="preserve"> D.C. Code § 21-2047(a)(7) &amp; (8).</w:t>
      </w:r>
    </w:p>
  </w:endnote>
  <w:endnote w:id="105">
    <w:p w14:paraId="2659F1A7" w14:textId="524016E2"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Quality Trust for Individuals with Disabilities, “Protecting the Right to Make Choices,” National Resource Center for Supported Decision-Making, accessed December 4, 2018, </w:t>
      </w:r>
      <w:hyperlink r:id="rId28" w:tooltip="http://www.supporteddecisionmaking.org/impact-stories/protecting-right-make-choices" w:history="1">
        <w:r w:rsidRPr="0014730D">
          <w:rPr>
            <w:rStyle w:val="Hyperlink"/>
            <w:rFonts w:cs="Arial"/>
            <w:sz w:val="18"/>
          </w:rPr>
          <w:t>http://www.supporteddecisionmaking.org/impact-stories/protecting-right-make-choices</w:t>
        </w:r>
      </w:hyperlink>
      <w:r w:rsidRPr="0014730D">
        <w:rPr>
          <w:color w:val="000000" w:themeColor="text1"/>
        </w:rPr>
        <w:t xml:space="preserve">; University Legal Services, “Time for Change: A Call to Reform the District of Columbia’s Guardianship System,” March 10, 2014,  accessed February 11, 2019, </w:t>
      </w:r>
      <w:hyperlink r:id="rId29" w:tooltip="http://www.uls-dc.org/Time%20for%20Change.pdf" w:history="1">
        <w:r w:rsidRPr="0014730D">
          <w:rPr>
            <w:rStyle w:val="Hyperlink"/>
            <w:rFonts w:cs="Arial"/>
            <w:sz w:val="18"/>
          </w:rPr>
          <w:t>http://www.uls-dc.org/Time%20for%20Change.pdf</w:t>
        </w:r>
      </w:hyperlink>
      <w:r w:rsidRPr="0014730D">
        <w:rPr>
          <w:color w:val="000000" w:themeColor="text1"/>
        </w:rPr>
        <w:t>.</w:t>
      </w:r>
    </w:p>
  </w:endnote>
  <w:endnote w:id="106">
    <w:p w14:paraId="63985BAC" w14:textId="7777777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w:t>
      </w:r>
      <w:r w:rsidRPr="0014730D">
        <w:rPr>
          <w:rFonts w:eastAsia="Times New Roman"/>
          <w:color w:val="000000" w:themeColor="text1"/>
        </w:rPr>
        <w:t>D.C. Act 20-552 (2014).</w:t>
      </w:r>
    </w:p>
  </w:endnote>
  <w:endnote w:id="107">
    <w:p w14:paraId="6701C4AD" w14:textId="7777777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w:t>
      </w:r>
      <w:r w:rsidRPr="0014730D">
        <w:rPr>
          <w:rFonts w:eastAsia="Times New Roman"/>
          <w:color w:val="000000" w:themeColor="text1"/>
        </w:rPr>
        <w:t>D.C. Code § 20-2033(b).</w:t>
      </w:r>
    </w:p>
  </w:endnote>
  <w:endnote w:id="108">
    <w:p w14:paraId="49E30FF7" w14:textId="77777777" w:rsidR="00C40185" w:rsidRPr="0014730D" w:rsidRDefault="00C40185" w:rsidP="007749CE">
      <w:pPr>
        <w:pStyle w:val="EndnoteText"/>
        <w:rPr>
          <w:color w:val="000000" w:themeColor="text1"/>
          <w:lang w:val="fr-FR"/>
        </w:rPr>
      </w:pPr>
      <w:r w:rsidRPr="0014730D">
        <w:rPr>
          <w:rStyle w:val="EndnoteReference"/>
          <w:rFonts w:cs="Arial"/>
          <w:color w:val="000000" w:themeColor="text1"/>
        </w:rPr>
        <w:endnoteRef/>
      </w:r>
      <w:r w:rsidRPr="0014730D">
        <w:rPr>
          <w:color w:val="000000" w:themeColor="text1"/>
        </w:rPr>
        <w:t xml:space="preserve"> </w:t>
      </w:r>
      <w:r w:rsidRPr="0014730D">
        <w:rPr>
          <w:i/>
          <w:color w:val="000000" w:themeColor="text1"/>
        </w:rPr>
        <w:t>In re Martel</w:t>
      </w:r>
      <w:r w:rsidRPr="0014730D">
        <w:rPr>
          <w:color w:val="000000" w:themeColor="text1"/>
        </w:rPr>
        <w:t xml:space="preserve">, slip op. </w:t>
      </w:r>
      <w:r w:rsidRPr="0014730D">
        <w:rPr>
          <w:color w:val="000000" w:themeColor="text1"/>
          <w:lang w:val="fr-FR"/>
        </w:rPr>
        <w:t>No. 09-PR-281 (D.C. 2010).</w:t>
      </w:r>
    </w:p>
  </w:endnote>
  <w:endnote w:id="109">
    <w:p w14:paraId="26E85EE2" w14:textId="77777777" w:rsidR="00C40185" w:rsidRPr="0014730D" w:rsidRDefault="00C40185" w:rsidP="007749CE">
      <w:pPr>
        <w:pStyle w:val="EndnoteText"/>
        <w:rPr>
          <w:color w:val="000000" w:themeColor="text1"/>
          <w:lang w:val="fr-FR"/>
        </w:rPr>
      </w:pPr>
      <w:r w:rsidRPr="0014730D">
        <w:rPr>
          <w:rStyle w:val="EndnoteReference"/>
          <w:rFonts w:cs="Arial"/>
          <w:color w:val="000000" w:themeColor="text1"/>
        </w:rPr>
        <w:endnoteRef/>
      </w:r>
      <w:r w:rsidRPr="0014730D">
        <w:rPr>
          <w:color w:val="000000" w:themeColor="text1"/>
          <w:lang w:val="fr-FR"/>
        </w:rPr>
        <w:t xml:space="preserve"> </w:t>
      </w:r>
      <w:r w:rsidRPr="0014730D">
        <w:rPr>
          <w:rFonts w:eastAsia="Times New Roman"/>
          <w:color w:val="000000" w:themeColor="text1"/>
          <w:lang w:val="fr-FR"/>
        </w:rPr>
        <w:t xml:space="preserve"> D.C. Code § 21-2045.01.</w:t>
      </w:r>
    </w:p>
  </w:endnote>
  <w:endnote w:id="110">
    <w:p w14:paraId="3B8CCA03" w14:textId="7777777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w:t>
      </w:r>
      <w:bookmarkStart w:id="105" w:name="_Hlk801550"/>
      <w:r w:rsidRPr="0014730D">
        <w:rPr>
          <w:color w:val="000000" w:themeColor="text1"/>
        </w:rPr>
        <w:t xml:space="preserve">Aisha Ivey-Nixon, “District of Columbia Working Interdisciplinary Network of Guardianship Stakeholders Final Report,” April 15. 2016, accessed February 11, 2019, </w:t>
      </w:r>
      <w:r w:rsidRPr="007749CE">
        <w:rPr>
          <w:rStyle w:val="Hyperlink"/>
        </w:rPr>
        <w:t>http://naela.informz.net/NAELA/data/images/PDFs/2015%20DC%20WINGS%20final%20report%20without%20appendices.pdf.</w:t>
      </w:r>
    </w:p>
    <w:bookmarkEnd w:id="105"/>
  </w:endnote>
  <w:endnote w:id="111">
    <w:p w14:paraId="232E9AA0" w14:textId="05CC1872"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t xml:space="preserve"> D.C. Courts, “Making a Complaint in an Adult Guardianship Proceeding,” accessed February 11, 2019, </w:t>
      </w:r>
      <w:hyperlink r:id="rId30" w:tooltip="https://www.dccourts.gov/sites/default/files/Making-a-Complaint-in-an-Adult-Guardianship-Proceeding_0.pdf" w:history="1">
        <w:r w:rsidRPr="0014730D">
          <w:rPr>
            <w:rStyle w:val="Hyperlink"/>
            <w:rFonts w:cs="Arial"/>
            <w:sz w:val="18"/>
          </w:rPr>
          <w:t>https://www.dccourts.gov/sites/default/files/Making-a-Complaint-in-an-Adult-Guardianship-Proceeding_0.pdf</w:t>
        </w:r>
      </w:hyperlink>
      <w:r w:rsidRPr="0014730D">
        <w:rPr>
          <w:color w:val="000000" w:themeColor="text1"/>
        </w:rPr>
        <w:t>.</w:t>
      </w:r>
    </w:p>
  </w:endnote>
  <w:endnote w:id="112">
    <w:p w14:paraId="4DEEB52E" w14:textId="7777777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D.C. Mun. Regs. tit. 5, § E3002(b) (2018).</w:t>
      </w:r>
    </w:p>
  </w:endnote>
  <w:endnote w:id="113">
    <w:p w14:paraId="59A9835F" w14:textId="7777777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D.C. Mun. Regs. tit. 5, § E3023.1 (2016).</w:t>
      </w:r>
    </w:p>
  </w:endnote>
  <w:endnote w:id="114">
    <w:p w14:paraId="5721AF4C" w14:textId="570C9D05"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“Supporting Decision-Making for Students with Disabilities in DC,” National Resource Center for Supported Decision-Making, accessed February 11, 2019, </w:t>
      </w:r>
      <w:hyperlink r:id="rId31" w:tooltip="http://www.supporteddecisionmaking.org/impact-stories/supporting-decision-making-students-disabilities-dc" w:history="1">
        <w:r w:rsidRPr="0014730D">
          <w:rPr>
            <w:rStyle w:val="Hyperlink"/>
            <w:rFonts w:cs="Arial"/>
            <w:sz w:val="18"/>
          </w:rPr>
          <w:t>http://www.supporteddecisionmaking.org/impact-stories/supporting-decision-making-students-disabilities-dc</w:t>
        </w:r>
      </w:hyperlink>
      <w:r w:rsidRPr="0014730D">
        <w:rPr>
          <w:rStyle w:val="Hyperlink"/>
          <w:rFonts w:cs="Arial"/>
          <w:color w:val="000000" w:themeColor="text1"/>
          <w:sz w:val="18"/>
          <w:u w:val="none"/>
        </w:rPr>
        <w:t>.</w:t>
      </w:r>
    </w:p>
  </w:endnote>
  <w:endnote w:id="115">
    <w:p w14:paraId="424EE401" w14:textId="33508D2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Morgan K. Whitlatch, “Moving Supported Decision-Making into Policy and Practice,” National Resource Center for Supported Decision-Making, accessed January 11, 2018, </w:t>
      </w:r>
      <w:hyperlink r:id="rId32" w:tooltip="http://www.supporteddecisionmaking.org/sites/default/files/event_files//052516-ppt-2.pdf" w:history="1">
        <w:r w:rsidRPr="0014730D">
          <w:rPr>
            <w:rStyle w:val="Hyperlink"/>
            <w:rFonts w:cs="Arial"/>
            <w:sz w:val="18"/>
          </w:rPr>
          <w:t>http://www.supporteddecisionmaking.org/sites/default/files/event_files//052516-ppt-2.pdf</w:t>
        </w:r>
      </w:hyperlink>
      <w:r w:rsidRPr="0014730D">
        <w:rPr>
          <w:color w:val="000000" w:themeColor="text1"/>
        </w:rPr>
        <w:t>.</w:t>
      </w:r>
    </w:p>
  </w:endnote>
  <w:endnote w:id="116">
    <w:p w14:paraId="678DDBB1" w14:textId="7777777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“Supporting Decision-Making for Students with Disabilities in DC.” National Resource Center for Supported Decision-Making.</w:t>
      </w:r>
    </w:p>
  </w:endnote>
  <w:endnote w:id="117">
    <w:p w14:paraId="483213A1" w14:textId="1C1BE37A"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D.C. Public Schools, </w:t>
      </w:r>
      <w:r w:rsidRPr="0014730D">
        <w:rPr>
          <w:i/>
          <w:iCs/>
          <w:color w:val="000000" w:themeColor="text1"/>
        </w:rPr>
        <w:t>Transfer of Rights Guidelines</w:t>
      </w:r>
      <w:r w:rsidRPr="0014730D">
        <w:rPr>
          <w:iCs/>
          <w:color w:val="000000" w:themeColor="text1"/>
        </w:rPr>
        <w:t xml:space="preserve">, August, 15, 2013, accessed February 11, 2019, </w:t>
      </w:r>
      <w:hyperlink r:id="rId33" w:tooltip="http://transitioncentral.files.wordpress.com/2011/12/transfer-of-rights-guidelines.pdf" w:history="1">
        <w:r w:rsidRPr="0014730D">
          <w:rPr>
            <w:rStyle w:val="Hyperlink"/>
            <w:rFonts w:cs="Arial"/>
            <w:sz w:val="18"/>
          </w:rPr>
          <w:t>http://transitioncentral.files.wordpress.com/2011/12/transfer-of-rights-guidelines.pdf</w:t>
        </w:r>
      </w:hyperlink>
      <w:r w:rsidRPr="0014730D">
        <w:rPr>
          <w:color w:val="000000" w:themeColor="text1"/>
        </w:rPr>
        <w:t>.</w:t>
      </w:r>
    </w:p>
  </w:endnote>
  <w:endnote w:id="118">
    <w:p w14:paraId="4427EAC5" w14:textId="723F713E"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D.C. Public Schools, Supported Decision-Making Form, accessed February 11, 2019, </w:t>
      </w:r>
      <w:hyperlink r:id="rId34" w:tooltip="http://www.supporteddecisionmaking.org/sites/default/files/dcps_supported_decision_making_form_0.pdf" w:history="1">
        <w:r w:rsidRPr="0014730D">
          <w:rPr>
            <w:rStyle w:val="Hyperlink"/>
            <w:rFonts w:cs="Arial"/>
            <w:sz w:val="18"/>
          </w:rPr>
          <w:t>http://www.supporteddecisionmaking.org/sites/default/files/dcps_supported_decision_making_form_0.pdf</w:t>
        </w:r>
      </w:hyperlink>
      <w:r w:rsidRPr="0014730D">
        <w:rPr>
          <w:color w:val="000000" w:themeColor="text1"/>
        </w:rPr>
        <w:t>.</w:t>
      </w:r>
    </w:p>
  </w:endnote>
  <w:endnote w:id="119">
    <w:p w14:paraId="4A6654E4" w14:textId="7777777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w:t>
      </w:r>
      <w:bookmarkStart w:id="110" w:name="_Hlk801580"/>
      <w:r w:rsidRPr="0014730D">
        <w:rPr>
          <w:color w:val="000000" w:themeColor="text1"/>
        </w:rPr>
        <w:t xml:space="preserve">Pamela R. Downing-Hosten, “Planning for Transition by Creating a Supported Decision-Making Network,” </w:t>
      </w:r>
      <w:r w:rsidRPr="0014730D">
        <w:rPr>
          <w:i/>
          <w:color w:val="000000" w:themeColor="text1"/>
        </w:rPr>
        <w:t>Supported Decision Making</w:t>
      </w:r>
      <w:r w:rsidRPr="0014730D">
        <w:rPr>
          <w:color w:val="000000" w:themeColor="text1"/>
        </w:rPr>
        <w:t xml:space="preserve">, accessed February 11, 2019, </w:t>
      </w:r>
      <w:r w:rsidRPr="007749CE">
        <w:rPr>
          <w:rStyle w:val="Hyperlink"/>
        </w:rPr>
        <w:t>http://www.supporteddecisionmaking.org/sites/default/files/event_files/041615_ppt_handouts.pdf</w:t>
      </w:r>
      <w:r w:rsidRPr="0014730D">
        <w:rPr>
          <w:color w:val="000000" w:themeColor="text1"/>
        </w:rPr>
        <w:t>.</w:t>
      </w:r>
    </w:p>
    <w:bookmarkEnd w:id="110"/>
  </w:endnote>
  <w:endnote w:id="120">
    <w:p w14:paraId="52D39A0D" w14:textId="7777777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B. 20-0723, 20</w:t>
      </w:r>
      <w:r w:rsidRPr="0014730D">
        <w:rPr>
          <w:color w:val="000000" w:themeColor="text1"/>
          <w:vertAlign w:val="superscript"/>
        </w:rPr>
        <w:t>th</w:t>
      </w:r>
      <w:r w:rsidRPr="0014730D">
        <w:rPr>
          <w:color w:val="000000" w:themeColor="text1"/>
        </w:rPr>
        <w:t xml:space="preserve"> Council Period, Reg. Sess. (D.C. 2015) (effective March 10, 2015).</w:t>
      </w:r>
    </w:p>
  </w:endnote>
  <w:endnote w:id="121">
    <w:p w14:paraId="1AC9BBCB" w14:textId="77777777" w:rsidR="00C40185" w:rsidRPr="0014730D" w:rsidRDefault="00C40185" w:rsidP="007749CE">
      <w:pPr>
        <w:pStyle w:val="EndnoteText"/>
        <w:rPr>
          <w:color w:val="000000" w:themeColor="text1"/>
          <w:lang w:val="fr-FR"/>
        </w:rPr>
      </w:pPr>
      <w:r w:rsidRPr="0014730D">
        <w:rPr>
          <w:rStyle w:val="EndnoteReference"/>
          <w:rFonts w:cs="Arial"/>
          <w:color w:val="000000" w:themeColor="text1"/>
        </w:rPr>
        <w:endnoteRef/>
      </w:r>
      <w:r w:rsidRPr="0014730D">
        <w:rPr>
          <w:color w:val="000000" w:themeColor="text1"/>
          <w:lang w:val="fr-FR"/>
        </w:rPr>
        <w:t xml:space="preserve"> </w:t>
      </w:r>
      <w:r w:rsidRPr="0014730D">
        <w:rPr>
          <w:rFonts w:eastAsia="Times New Roman"/>
          <w:color w:val="000000" w:themeColor="text1"/>
          <w:lang w:val="fr-FR"/>
        </w:rPr>
        <w:t xml:space="preserve">D.C. Code </w:t>
      </w:r>
      <w:bookmarkStart w:id="111" w:name="_Hlk531611954"/>
      <w:r w:rsidRPr="0014730D">
        <w:rPr>
          <w:rFonts w:eastAsia="Times New Roman"/>
          <w:color w:val="000000" w:themeColor="text1"/>
          <w:lang w:val="fr-FR"/>
        </w:rPr>
        <w:t>§ 38-2571.04(b)</w:t>
      </w:r>
      <w:bookmarkEnd w:id="111"/>
      <w:r w:rsidRPr="0014730D">
        <w:rPr>
          <w:rFonts w:eastAsia="Times New Roman"/>
          <w:color w:val="000000" w:themeColor="text1"/>
          <w:lang w:val="fr-FR"/>
        </w:rPr>
        <w:t>.</w:t>
      </w:r>
    </w:p>
  </w:endnote>
  <w:endnote w:id="122">
    <w:p w14:paraId="483610C5" w14:textId="77777777" w:rsidR="00C40185" w:rsidRPr="0014730D" w:rsidRDefault="00C40185" w:rsidP="007749CE">
      <w:pPr>
        <w:pStyle w:val="EndnoteText"/>
        <w:rPr>
          <w:color w:val="000000" w:themeColor="text1"/>
          <w:lang w:val="fr-FR"/>
        </w:rPr>
      </w:pPr>
      <w:r w:rsidRPr="0014730D">
        <w:rPr>
          <w:rStyle w:val="EndnoteReference"/>
          <w:rFonts w:cs="Arial"/>
          <w:color w:val="000000" w:themeColor="text1"/>
        </w:rPr>
        <w:endnoteRef/>
      </w:r>
      <w:r w:rsidRPr="0014730D">
        <w:rPr>
          <w:color w:val="000000" w:themeColor="text1"/>
          <w:lang w:val="fr-FR"/>
        </w:rPr>
        <w:t xml:space="preserve"> D.C. Code </w:t>
      </w:r>
      <w:r w:rsidRPr="0014730D">
        <w:rPr>
          <w:rFonts w:eastAsia="Times New Roman"/>
          <w:color w:val="000000" w:themeColor="text1"/>
          <w:lang w:val="fr-FR"/>
        </w:rPr>
        <w:t>§ 38-2571.04(a)(3).</w:t>
      </w:r>
    </w:p>
  </w:endnote>
  <w:endnote w:id="123">
    <w:p w14:paraId="5D2E2DFB" w14:textId="77777777" w:rsidR="00C40185" w:rsidRPr="0014730D" w:rsidRDefault="00C40185" w:rsidP="007749CE">
      <w:pPr>
        <w:pStyle w:val="EndnoteText"/>
        <w:rPr>
          <w:color w:val="000000" w:themeColor="text1"/>
          <w:lang w:val="fr-FR"/>
        </w:rPr>
      </w:pPr>
      <w:r w:rsidRPr="0014730D">
        <w:rPr>
          <w:rStyle w:val="EndnoteReference"/>
          <w:rFonts w:cs="Arial"/>
          <w:color w:val="000000" w:themeColor="text1"/>
        </w:rPr>
        <w:endnoteRef/>
      </w:r>
      <w:r w:rsidRPr="0014730D">
        <w:rPr>
          <w:color w:val="000000" w:themeColor="text1"/>
          <w:lang w:val="fr-FR"/>
        </w:rPr>
        <w:t xml:space="preserve"> D.C. Code </w:t>
      </w:r>
      <w:r w:rsidRPr="0014730D">
        <w:rPr>
          <w:rFonts w:eastAsia="Times New Roman"/>
          <w:color w:val="000000" w:themeColor="text1"/>
          <w:lang w:val="fr-FR"/>
        </w:rPr>
        <w:t>§ 38-2571.04(a)(2).</w:t>
      </w:r>
    </w:p>
  </w:endnote>
  <w:endnote w:id="124">
    <w:p w14:paraId="4FA6DCE9" w14:textId="77777777" w:rsidR="00C40185" w:rsidRPr="0014730D" w:rsidRDefault="00C40185" w:rsidP="007749CE">
      <w:pPr>
        <w:pStyle w:val="EndnoteText"/>
        <w:rPr>
          <w:color w:val="000000" w:themeColor="text1"/>
          <w:lang w:val="fr-FR"/>
        </w:rPr>
      </w:pPr>
      <w:r w:rsidRPr="0014730D">
        <w:rPr>
          <w:rStyle w:val="EndnoteReference"/>
          <w:rFonts w:cs="Arial"/>
          <w:color w:val="000000" w:themeColor="text1"/>
        </w:rPr>
        <w:endnoteRef/>
      </w:r>
      <w:r w:rsidRPr="0014730D">
        <w:rPr>
          <w:color w:val="000000" w:themeColor="text1"/>
          <w:lang w:val="fr-FR"/>
        </w:rPr>
        <w:t xml:space="preserve"> D.C. Code </w:t>
      </w:r>
      <w:r w:rsidRPr="0014730D">
        <w:rPr>
          <w:rFonts w:eastAsia="Times New Roman"/>
          <w:color w:val="000000" w:themeColor="text1"/>
          <w:lang w:val="fr-FR"/>
        </w:rPr>
        <w:t>§ 38-2571.04(c).</w:t>
      </w:r>
    </w:p>
  </w:endnote>
  <w:endnote w:id="125">
    <w:p w14:paraId="4F75B19B" w14:textId="4A6D16B0"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D.C. Office of the State Superintendent of Educatio, </w:t>
      </w:r>
      <w:r w:rsidRPr="0014730D">
        <w:rPr>
          <w:i/>
          <w:color w:val="000000" w:themeColor="text1"/>
        </w:rPr>
        <w:t>Notice of Final Transfer of Rights Rulemaking</w:t>
      </w:r>
      <w:r w:rsidRPr="0014730D">
        <w:rPr>
          <w:color w:val="000000" w:themeColor="text1"/>
        </w:rPr>
        <w:t xml:space="preserve">, accessed on February 11, 2019, </w:t>
      </w:r>
      <w:hyperlink r:id="rId35" w:tooltip="https://osse.dc.gov/sites/default/files/dc/sites/osse/page_content/attachments/Notice%20of%20Final%20Transfer%20of%20Rights%20Rulemaking.pdf" w:history="1">
        <w:r w:rsidRPr="0014730D">
          <w:rPr>
            <w:rStyle w:val="Hyperlink"/>
            <w:rFonts w:cs="Arial"/>
            <w:sz w:val="18"/>
          </w:rPr>
          <w:t>https://osse.dc.gov/sites/default/files/dc/sites/osse/page_content/attachments/Notice%20of%20Final%20Transfer%20of%20Rights%20Rulemaking.pdf</w:t>
        </w:r>
      </w:hyperlink>
      <w:r w:rsidRPr="0014730D">
        <w:rPr>
          <w:i/>
          <w:color w:val="000000" w:themeColor="text1"/>
        </w:rPr>
        <w:t>.</w:t>
      </w:r>
    </w:p>
  </w:endnote>
  <w:endnote w:id="126">
    <w:p w14:paraId="712B74C7" w14:textId="3D3E4B52"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D.C. Office Of The State Superintendent Of Education, </w:t>
      </w:r>
      <w:r w:rsidRPr="0014730D">
        <w:rPr>
          <w:i/>
          <w:color w:val="000000" w:themeColor="text1"/>
        </w:rPr>
        <w:t>Education Decision-Making &amp; Transfer of Rights: Special Education Decision-Making for Students Age 18 and Older</w:t>
      </w:r>
      <w:r w:rsidRPr="0014730D">
        <w:rPr>
          <w:color w:val="000000" w:themeColor="text1"/>
        </w:rPr>
        <w:t xml:space="preserve">, accessed February 11, 2019, </w:t>
      </w:r>
      <w:hyperlink r:id="rId36" w:tooltip="https://osse.dc.gov/service/education-decision-making" w:history="1">
        <w:r w:rsidRPr="0014730D">
          <w:rPr>
            <w:rStyle w:val="Hyperlink"/>
            <w:rFonts w:cs="Arial"/>
            <w:sz w:val="18"/>
          </w:rPr>
          <w:t>https://osse.dc.gov/service/education-decision-making</w:t>
        </w:r>
      </w:hyperlink>
      <w:r w:rsidRPr="0014730D">
        <w:rPr>
          <w:color w:val="000000" w:themeColor="text1"/>
        </w:rPr>
        <w:t>.</w:t>
      </w:r>
    </w:p>
  </w:endnote>
  <w:endnote w:id="127">
    <w:p w14:paraId="2B2BDE98" w14:textId="657AC099"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D.C. Mun. Regs. tit. 5-E, </w:t>
      </w:r>
      <w:r w:rsidRPr="0014730D">
        <w:rPr>
          <w:rFonts w:eastAsia="Times New Roman"/>
          <w:color w:val="000000" w:themeColor="text1"/>
        </w:rPr>
        <w:t>§§ 3035.3 – 3035.15.</w:t>
      </w:r>
    </w:p>
  </w:endnote>
  <w:endnote w:id="128">
    <w:p w14:paraId="4D074110" w14:textId="77777777"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w:t>
      </w:r>
      <w:r w:rsidRPr="0014730D">
        <w:rPr>
          <w:rFonts w:eastAsia="Times New Roman"/>
          <w:color w:val="000000" w:themeColor="text1"/>
        </w:rPr>
        <w:t>Disability Services Reform Amendment Act Of 2018, D.C Law 22-93, D.C. Act 22-277.</w:t>
      </w:r>
    </w:p>
  </w:endnote>
  <w:endnote w:id="129">
    <w:p w14:paraId="2A57E678" w14:textId="3273309F"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National Resource Center for Supported Decision-Making, “Freedom for Ryan King,” December 12, 2016, accessed February 11, 2019, </w:t>
      </w:r>
      <w:hyperlink r:id="rId37" w:tooltip="http://www.supporteddecisionmaking.org/node/427" w:history="1">
        <w:r w:rsidRPr="0014730D">
          <w:rPr>
            <w:rStyle w:val="Hyperlink"/>
            <w:rFonts w:cs="Arial"/>
            <w:sz w:val="18"/>
          </w:rPr>
          <w:t>http://www.supporteddecisionmaking.org/node/427</w:t>
        </w:r>
      </w:hyperlink>
      <w:r w:rsidRPr="0014730D">
        <w:rPr>
          <w:color w:val="000000" w:themeColor="text1"/>
        </w:rPr>
        <w:t>.</w:t>
      </w:r>
    </w:p>
  </w:endnote>
  <w:endnote w:id="130">
    <w:p w14:paraId="09315367" w14:textId="6F7FC864"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2016 Olmstead Plan and Appendices, D.C. Office of Disability Rights, accessed February 11, 2019, </w:t>
      </w:r>
      <w:hyperlink r:id="rId38" w:tooltip="https://odr.dc.gov/page/016-olmstead-plan-and-appendices" w:history="1">
        <w:r w:rsidRPr="0014730D">
          <w:rPr>
            <w:rStyle w:val="Hyperlink"/>
            <w:rFonts w:cs="Arial"/>
            <w:sz w:val="18"/>
          </w:rPr>
          <w:t>https://odr.dc.gov/page/016-olmstead-plan-and-appendices</w:t>
        </w:r>
      </w:hyperlink>
      <w:r w:rsidRPr="0014730D">
        <w:rPr>
          <w:color w:val="000000" w:themeColor="text1"/>
        </w:rPr>
        <w:t>.</w:t>
      </w:r>
    </w:p>
  </w:endnote>
  <w:endnote w:id="131">
    <w:p w14:paraId="445946AC" w14:textId="77777777" w:rsidR="00C40185" w:rsidRPr="0014730D" w:rsidRDefault="00C40185" w:rsidP="007749CE">
      <w:pPr>
        <w:pStyle w:val="EndnoteText"/>
        <w:rPr>
          <w:color w:val="000000" w:themeColor="text1"/>
          <w:lang w:val="fr-FR"/>
        </w:rPr>
      </w:pPr>
      <w:r w:rsidRPr="0014730D">
        <w:rPr>
          <w:rStyle w:val="EndnoteReference"/>
          <w:rFonts w:cs="Arial"/>
          <w:color w:val="000000" w:themeColor="text1"/>
        </w:rPr>
        <w:endnoteRef/>
      </w:r>
      <w:r w:rsidRPr="0014730D">
        <w:rPr>
          <w:color w:val="000000" w:themeColor="text1"/>
          <w:lang w:val="fr-FR"/>
        </w:rPr>
        <w:t xml:space="preserve"> D.C. Code § 7-1305.07a.</w:t>
      </w:r>
    </w:p>
  </w:endnote>
  <w:endnote w:id="132">
    <w:p w14:paraId="2FF90D6D" w14:textId="13014751" w:rsidR="00C40185" w:rsidRPr="0014730D" w:rsidRDefault="00C40185" w:rsidP="007749CE">
      <w:pPr>
        <w:pStyle w:val="EndnoteText"/>
        <w:rPr>
          <w:color w:val="000000" w:themeColor="text1"/>
          <w:lang w:val="fr-FR"/>
        </w:rPr>
      </w:pPr>
      <w:r w:rsidRPr="0014730D">
        <w:rPr>
          <w:rStyle w:val="EndnoteReference"/>
          <w:rFonts w:cs="Arial"/>
          <w:color w:val="000000" w:themeColor="text1"/>
        </w:rPr>
        <w:endnoteRef/>
      </w:r>
      <w:r w:rsidRPr="0014730D">
        <w:rPr>
          <w:color w:val="000000" w:themeColor="text1"/>
          <w:lang w:val="fr-FR"/>
        </w:rPr>
        <w:t xml:space="preserve"> D.C. Code </w:t>
      </w:r>
      <w:r w:rsidRPr="0014730D">
        <w:rPr>
          <w:rFonts w:eastAsia="Times New Roman"/>
          <w:color w:val="000000" w:themeColor="text1"/>
          <w:lang w:val="fr-FR"/>
        </w:rPr>
        <w:t xml:space="preserve">§ </w:t>
      </w:r>
      <w:r w:rsidRPr="0014730D">
        <w:rPr>
          <w:color w:val="000000" w:themeColor="text1"/>
          <w:lang w:val="fr-FR"/>
        </w:rPr>
        <w:t>21-2210.</w:t>
      </w:r>
    </w:p>
  </w:endnote>
  <w:endnote w:id="133">
    <w:p w14:paraId="0084D961" w14:textId="2C27929B"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D.C. Department on Disability Services, Annual Report for Fiscal Year 2018 and Plan for Fiscal Year 2019 to the Council of the District of Columbia on Substitute Decision-Makers and Psychotropic Medication for People with Developmental Disabilities,” November 1, 2018, accessed on February 11, 2019, </w:t>
      </w:r>
      <w:hyperlink r:id="rId39" w:tooltip="http://lims.dccouncil.us/Download/41243/RC22-0228-Introduction.pdf" w:history="1">
        <w:r w:rsidRPr="0014730D">
          <w:rPr>
            <w:rStyle w:val="Hyperlink"/>
            <w:rFonts w:cs="Arial"/>
            <w:sz w:val="18"/>
          </w:rPr>
          <w:t>http://lims.dccouncil.us/Download/41243/RC22-0228-Introduction.pdf</w:t>
        </w:r>
      </w:hyperlink>
      <w:r w:rsidRPr="0014730D">
        <w:rPr>
          <w:color w:val="000000" w:themeColor="text1"/>
        </w:rPr>
        <w:t>.</w:t>
      </w:r>
    </w:p>
  </w:endnote>
  <w:endnote w:id="134">
    <w:p w14:paraId="03941C5C" w14:textId="516E2272" w:rsidR="00C40185" w:rsidRPr="0014730D" w:rsidRDefault="00C40185" w:rsidP="007749CE">
      <w:pPr>
        <w:pStyle w:val="EndnoteText"/>
        <w:rPr>
          <w:color w:val="000000" w:themeColor="text1"/>
          <w:shd w:val="clear" w:color="auto" w:fill="FFFFFF"/>
        </w:rPr>
      </w:pPr>
      <w:r w:rsidRPr="0014730D">
        <w:rPr>
          <w:rStyle w:val="EndnoteReference"/>
          <w:rFonts w:cs="Arial"/>
          <w:color w:val="000000" w:themeColor="text1"/>
        </w:rPr>
        <w:endnoteRef/>
      </w:r>
      <w:r w:rsidRPr="0014730D">
        <w:rPr>
          <w:color w:val="000000" w:themeColor="text1"/>
        </w:rPr>
        <w:t xml:space="preserve"> Katherine Boo, “</w:t>
      </w:r>
      <w:r w:rsidRPr="0014730D">
        <w:rPr>
          <w:rFonts w:eastAsia="Times New Roman"/>
          <w:bCs/>
          <w:color w:val="000000" w:themeColor="text1"/>
          <w:shd w:val="clear" w:color="auto" w:fill="FFFFFF"/>
        </w:rPr>
        <w:t>Forest Haven Is Gone, But the Agony Remains</w:t>
      </w:r>
      <w:r w:rsidRPr="0014730D">
        <w:rPr>
          <w:rFonts w:eastAsia="Times New Roman"/>
          <w:color w:val="000000" w:themeColor="text1"/>
        </w:rPr>
        <w:t xml:space="preserve">,” </w:t>
      </w:r>
      <w:r w:rsidRPr="0014730D">
        <w:rPr>
          <w:rFonts w:eastAsia="Times New Roman"/>
          <w:i/>
          <w:color w:val="000000" w:themeColor="text1"/>
        </w:rPr>
        <w:t>The Washington Post</w:t>
      </w:r>
      <w:r w:rsidRPr="0014730D">
        <w:rPr>
          <w:rFonts w:eastAsia="Times New Roman"/>
          <w:color w:val="000000" w:themeColor="text1"/>
        </w:rPr>
        <w:t xml:space="preserve">, </w:t>
      </w:r>
      <w:r w:rsidRPr="0014730D">
        <w:rPr>
          <w:color w:val="000000" w:themeColor="text1"/>
          <w:shd w:val="clear" w:color="auto" w:fill="FFFFFF"/>
        </w:rPr>
        <w:t>March 14, 1999, accessed on February 11, 2019,</w:t>
      </w:r>
      <w:r w:rsidRPr="0014730D">
        <w:t xml:space="preserve"> </w:t>
      </w:r>
      <w:hyperlink r:id="rId40" w:tooltip="https://www.washingtonpost.com/archive/politics/1999/03/14/forest-haven-is-gone-but-the-agony-remains/c2e3340a-08c6-4745-abdb-badb334648eb/?utm_term=.e49e2c855aed" w:history="1">
        <w:r w:rsidRPr="0014730D">
          <w:rPr>
            <w:rStyle w:val="Hyperlink"/>
            <w:rFonts w:cs="Arial"/>
            <w:sz w:val="18"/>
            <w:shd w:val="clear" w:color="auto" w:fill="FFFFFF"/>
          </w:rPr>
          <w:t>https://www.washingtonpost.com/archive/politics/1999/03/14/forest-haven-is-gone-but-the-agony-remains/c2e3340a-08c6-4745-abdb-badb334648eb/?utm_term=.e49e2c855aed</w:t>
        </w:r>
      </w:hyperlink>
      <w:r w:rsidRPr="0014730D">
        <w:rPr>
          <w:color w:val="000000" w:themeColor="text1"/>
          <w:shd w:val="clear" w:color="auto" w:fill="FFFFFF"/>
        </w:rPr>
        <w:t>.</w:t>
      </w:r>
    </w:p>
  </w:endnote>
  <w:endnote w:id="135">
    <w:p w14:paraId="641098CA" w14:textId="4747445E" w:rsidR="00C40185" w:rsidRPr="0014730D" w:rsidRDefault="00C40185" w:rsidP="007749CE">
      <w:pPr>
        <w:pStyle w:val="EndnoteText"/>
        <w:rPr>
          <w:rFonts w:eastAsia="Times New Roman"/>
          <w:color w:val="000000" w:themeColor="text1"/>
          <w:bdr w:val="none" w:sz="0" w:space="0" w:color="auto" w:frame="1"/>
        </w:rPr>
      </w:pPr>
      <w:r w:rsidRPr="0014730D">
        <w:rPr>
          <w:rStyle w:val="EndnoteReference"/>
          <w:rFonts w:cs="Arial"/>
          <w:color w:val="000000" w:themeColor="text1"/>
        </w:rPr>
        <w:endnoteRef/>
      </w:r>
      <w:r w:rsidRPr="0014730D">
        <w:rPr>
          <w:color w:val="000000" w:themeColor="text1"/>
        </w:rPr>
        <w:t xml:space="preserve"> Patrice Gaines-Carter, “</w:t>
      </w:r>
      <w:r w:rsidRPr="0014730D">
        <w:rPr>
          <w:bCs/>
          <w:color w:val="000000" w:themeColor="text1"/>
        </w:rPr>
        <w:t>Life at Forest Haven Leads Couple to the Altar,”</w:t>
      </w:r>
      <w:r w:rsidRPr="0014730D">
        <w:rPr>
          <w:rFonts w:eastAsia="Times New Roman"/>
          <w:color w:val="000000" w:themeColor="text1"/>
        </w:rPr>
        <w:t xml:space="preserve"> </w:t>
      </w:r>
      <w:r w:rsidRPr="0014730D">
        <w:rPr>
          <w:rFonts w:eastAsia="Times New Roman"/>
          <w:i/>
          <w:color w:val="000000" w:themeColor="text1"/>
        </w:rPr>
        <w:t>The Washington Post</w:t>
      </w:r>
      <w:r w:rsidRPr="0014730D">
        <w:rPr>
          <w:rFonts w:eastAsia="Times New Roman"/>
          <w:color w:val="000000" w:themeColor="text1"/>
        </w:rPr>
        <w:t xml:space="preserve">, July 5, 1984, accessed February 11, 2019, </w:t>
      </w:r>
      <w:hyperlink r:id="rId41" w:tooltip="https://www.washingtonpost.com/archive/local/1984/07/05/life-at-forest-haven-leads-couple-to-the-altar/7a406614-3956-4aa1-8831-5bf4acb5682d/?utm_term=.2a7f40712834" w:history="1">
        <w:r w:rsidRPr="0014730D">
          <w:rPr>
            <w:rStyle w:val="Hyperlink"/>
            <w:rFonts w:cs="Arial"/>
            <w:sz w:val="18"/>
          </w:rPr>
          <w:t>https://www.washingtonpost.com/archive/local/1984/07/05/life-at-forest-haven-leads-couple-to-the-altar/7a406614-3956-4aa1-8831-5bf4acb5682d/?utm_term=.2a7f40712834</w:t>
        </w:r>
      </w:hyperlink>
      <w:r w:rsidRPr="0014730D">
        <w:rPr>
          <w:rFonts w:eastAsia="Times New Roman"/>
          <w:bdr w:val="none" w:sz="0" w:space="0" w:color="auto" w:frame="1"/>
        </w:rPr>
        <w:t>.</w:t>
      </w:r>
    </w:p>
  </w:endnote>
  <w:endnote w:id="136">
    <w:p w14:paraId="6BC25887" w14:textId="55A46921"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w:t>
      </w:r>
      <w:r w:rsidRPr="0014730D">
        <w:rPr>
          <w:bCs/>
          <w:color w:val="000000" w:themeColor="text1"/>
        </w:rPr>
        <w:t xml:space="preserve">Tiny Boy Is Born To Retarded Couple Seen on '60 Minutes,’” </w:t>
      </w:r>
      <w:r w:rsidRPr="0014730D">
        <w:rPr>
          <w:bCs/>
          <w:i/>
          <w:color w:val="000000" w:themeColor="text1"/>
        </w:rPr>
        <w:t>Washington Post</w:t>
      </w:r>
      <w:r w:rsidRPr="0014730D">
        <w:rPr>
          <w:bCs/>
          <w:color w:val="000000" w:themeColor="text1"/>
        </w:rPr>
        <w:t xml:space="preserve">, July 5, 1984, accessed February 11, 2019,  </w:t>
      </w:r>
      <w:hyperlink r:id="rId42" w:tooltip="https://www.washingtonpost.com/archive/local/1986/12/08/tiny-boy-is-born-to-retarded-couple-seen-on-60-minutes/de56b320-66d9-44b2-98d8-36a51ef9326c/?utm_term=.0130fdb3081e" w:history="1">
        <w:r w:rsidRPr="0014730D">
          <w:rPr>
            <w:rStyle w:val="Hyperlink"/>
            <w:rFonts w:cs="Arial"/>
            <w:sz w:val="18"/>
          </w:rPr>
          <w:t>https://www.washingtonpost.com/archive/local/1986/12/08/tiny-boy-is-born-to-retarded-couple-seen-on-60-minutes/de56b320-66d9-44b2-98d8-36a51ef9326c/?utm_term=.0130fdb3081e</w:t>
        </w:r>
      </w:hyperlink>
      <w:r w:rsidRPr="0014730D">
        <w:rPr>
          <w:bCs/>
          <w:color w:val="000000" w:themeColor="text1"/>
        </w:rPr>
        <w:t>.</w:t>
      </w:r>
    </w:p>
  </w:endnote>
  <w:endnote w:id="137">
    <w:p w14:paraId="19CB1726" w14:textId="6AE5E0C6" w:rsidR="00C40185" w:rsidRPr="0014730D" w:rsidRDefault="00C40185" w:rsidP="007749CE">
      <w:pPr>
        <w:pStyle w:val="EndnoteText"/>
        <w:rPr>
          <w:i/>
          <w:color w:val="000000" w:themeColor="text1"/>
        </w:rPr>
      </w:pPr>
      <w:r w:rsidRPr="0014730D">
        <w:rPr>
          <w:rStyle w:val="EndnoteReference"/>
          <w:rFonts w:cs="Arial"/>
          <w:color w:val="000000" w:themeColor="text1"/>
        </w:rPr>
        <w:endnoteRef/>
      </w:r>
      <w:r w:rsidRPr="0014730D">
        <w:rPr>
          <w:color w:val="000000" w:themeColor="text1"/>
        </w:rPr>
        <w:t xml:space="preserve"> “Statement of Ricardo Thornton, Sr. Before the U.S. Senate, Committee on Health, Education, Labor and Pensions, </w:t>
      </w:r>
      <w:r w:rsidRPr="0014730D">
        <w:t>Regarding Olmstead Enforcement Update: Using the ADA to Promote Community Integration</w:t>
      </w:r>
      <w:r w:rsidRPr="0014730D">
        <w:rPr>
          <w:color w:val="000000" w:themeColor="text1"/>
        </w:rPr>
        <w:t xml:space="preserve">” June 21, 2012, accessed February 11, 2019, </w:t>
      </w:r>
      <w:hyperlink r:id="rId43" w:tooltip="https://www.help.senate.gov/imo/media/doc/Thornton1.pdf" w:history="1">
        <w:r w:rsidRPr="0014730D">
          <w:rPr>
            <w:rStyle w:val="Hyperlink"/>
            <w:rFonts w:cs="Arial"/>
            <w:sz w:val="18"/>
          </w:rPr>
          <w:t>https://www.help.senate.gov/imo/media/doc/Thornton1.pdf</w:t>
        </w:r>
      </w:hyperlink>
      <w:r w:rsidRPr="0014730D">
        <w:rPr>
          <w:color w:val="000000" w:themeColor="text1"/>
        </w:rPr>
        <w:t>.</w:t>
      </w:r>
    </w:p>
  </w:endnote>
  <w:endnote w:id="138">
    <w:p w14:paraId="1F43DA0F" w14:textId="1DC5D976"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Graeme Clifford and Paris Qualles, “Profoundly Normal,” 2003, </w:t>
      </w:r>
      <w:hyperlink r:id="rId44" w:tooltip="https://www.imdb.com/title/tt0344236/" w:history="1">
        <w:r w:rsidRPr="0014730D">
          <w:rPr>
            <w:rStyle w:val="Hyperlink"/>
            <w:rFonts w:cs="Arial"/>
            <w:sz w:val="18"/>
          </w:rPr>
          <w:t>https://www.imdb.com/title/tt0344236/</w:t>
        </w:r>
      </w:hyperlink>
      <w:r w:rsidRPr="0014730D">
        <w:t>.</w:t>
      </w:r>
    </w:p>
  </w:endnote>
  <w:endnote w:id="139">
    <w:p w14:paraId="09112F58" w14:textId="27558579"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Aurelien, G., Beatrice, M., Cannizzo, J., Capehart, A., Gassoumis, Z., Ph.D., Greene, M. (2018). </w:t>
      </w:r>
      <w:r w:rsidRPr="0014730D">
        <w:rPr>
          <w:i/>
          <w:color w:val="000000" w:themeColor="text1"/>
        </w:rPr>
        <w:t>National Adult Maltreatment Reporting System (NAMRS) FFY2017 Report 3: Case Component</w:t>
      </w:r>
      <w:r w:rsidRPr="0014730D">
        <w:rPr>
          <w:color w:val="000000" w:themeColor="text1"/>
        </w:rPr>
        <w:t xml:space="preserve">: 12. Administration of Community Living, U.S. Department of Health and Human Services, September 27, 2018, accessed February 11, 2019, </w:t>
      </w:r>
      <w:hyperlink r:id="rId45" w:tooltip="https://acl.gov/sites/default/files/programs/2018-11/NAMRSFY17Case%20Component.pdf" w:history="1">
        <w:r w:rsidRPr="0014730D">
          <w:rPr>
            <w:rStyle w:val="Hyperlink"/>
            <w:rFonts w:cs="Arial"/>
            <w:sz w:val="18"/>
          </w:rPr>
          <w:t>https://acl.gov/sites/default/files/programs/2018-11/NAMRSFY17Case%20Component.pdf</w:t>
        </w:r>
      </w:hyperlink>
      <w:r w:rsidRPr="0014730D">
        <w:rPr>
          <w:color w:val="000000" w:themeColor="text1"/>
        </w:rPr>
        <w:t>.</w:t>
      </w:r>
    </w:p>
  </w:endnote>
  <w:endnote w:id="140">
    <w:p w14:paraId="7351F7CA" w14:textId="10EAF1C9"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Ibid., 15.</w:t>
      </w:r>
    </w:p>
  </w:endnote>
  <w:endnote w:id="141">
    <w:p w14:paraId="2A9C02C2" w14:textId="5A63EF8C" w:rsidR="00C40185" w:rsidRPr="0014730D" w:rsidRDefault="00C40185" w:rsidP="007749CE">
      <w:pPr>
        <w:pStyle w:val="EndnoteText"/>
        <w:rPr>
          <w:color w:val="000000" w:themeColor="text1"/>
        </w:rPr>
      </w:pPr>
      <w:r w:rsidRPr="0014730D">
        <w:rPr>
          <w:rStyle w:val="EndnoteReference"/>
          <w:rFonts w:cs="Arial"/>
          <w:color w:val="000000" w:themeColor="text1"/>
        </w:rPr>
        <w:endnoteRef/>
      </w:r>
      <w:r w:rsidRPr="0014730D">
        <w:rPr>
          <w:color w:val="000000" w:themeColor="text1"/>
        </w:rPr>
        <w:t xml:space="preserve"> Ibid., 66; see also Acker, D., Aurelien, G., Beatrice, M., Capehart, A., Gassoumis, Z., Ph.D., Gervais-Voss, P., Greene, M., Phillippi, M. (2018). </w:t>
      </w:r>
      <w:r w:rsidRPr="0014730D">
        <w:rPr>
          <w:i/>
          <w:color w:val="000000" w:themeColor="text1"/>
        </w:rPr>
        <w:t>NAMRS FFY2016 Report 3: Case Component</w:t>
      </w:r>
      <w:r w:rsidRPr="0014730D">
        <w:rPr>
          <w:color w:val="000000" w:themeColor="text1"/>
        </w:rPr>
        <w:t xml:space="preserve">: 60, Administration for Community Living, U.S. Department of Health and Human Services, July 23, 2018, accessed February 11, 2019, </w:t>
      </w:r>
      <w:hyperlink r:id="rId46" w:tooltip="https://acl.gov/sites/default/files/programs/2018-07/NAMRSFY16CaseComponent-Final.pdf" w:history="1">
        <w:r w:rsidRPr="0014730D">
          <w:rPr>
            <w:rStyle w:val="Hyperlink"/>
            <w:rFonts w:cs="Arial"/>
            <w:sz w:val="18"/>
          </w:rPr>
          <w:t>https://acl.gov/sites/default/files/programs/2018-07/NAMRSFY16CaseComponent-Final.pdf</w:t>
        </w:r>
      </w:hyperlink>
      <w:r w:rsidRPr="0014730D">
        <w:rPr>
          <w:color w:val="000000" w:themeColor="text1"/>
        </w:rPr>
        <w:t>.</w:t>
      </w:r>
    </w:p>
    <w:p w14:paraId="6EF58468" w14:textId="77777777" w:rsidR="00C40185" w:rsidRPr="0014730D" w:rsidRDefault="00C40185" w:rsidP="007749CE">
      <w:pPr>
        <w:pStyle w:val="EndnoteText"/>
        <w:rPr>
          <w:color w:val="000000" w:themeColor="text1"/>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Univers LT Std 55">
    <w:charset w:val="00"/>
    <w:family w:val="swiss"/>
    <w:notTrueType/>
    <w:pitch w:val="variable"/>
    <w:sig w:usb0="800000AF" w:usb1="4000204A" w:usb2="00000000" w:usb3="00000000" w:csb0="00000001"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Univers LT Std 45 Light">
    <w:charset w:val="00"/>
    <w:family w:val="swiss"/>
    <w:notTrueType/>
    <w:pitch w:val="variable"/>
    <w:sig w:usb0="800000AF" w:usb1="4000204A" w:usb2="00000000" w:usb3="00000000" w:csb0="00000001" w:csb1="00000000"/>
  </w:font>
  <w:font w:name="Segoe UI">
    <w:charset w:val="00"/>
    <w:family w:val="swiss"/>
    <w:pitch w:val="variable"/>
    <w:sig w:usb0="E4002EFF" w:usb1="C000E47F" w:usb2="00000009" w:usb3="00000000" w:csb0="000001FF" w:csb1="00000000"/>
  </w:font>
  <w:font w:name=".SF UI Text">
    <w:altName w:val="Cambria"/>
    <w:panose1 w:val="00000000000000000000"/>
    <w:charset w:val="00"/>
    <w:family w:val="roman"/>
    <w:notTrueType/>
    <w:pitch w:val="default"/>
  </w:font>
  <w:font w:name=".SFUIText-Regular">
    <w:altName w:val="Cambria"/>
    <w:panose1 w:val="00000000000000000000"/>
    <w:charset w:val="00"/>
    <w:family w:val="roman"/>
    <w:notTrueType/>
    <w:pitch w:val="default"/>
  </w:font>
  <w:font w:name="MS PGothic">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9968767"/>
      <w:docPartObj>
        <w:docPartGallery w:val="Page Numbers (Bottom of Page)"/>
        <w:docPartUnique/>
      </w:docPartObj>
    </w:sdtPr>
    <w:sdtEndPr>
      <w:rPr>
        <w:rFonts w:ascii="Arial" w:hAnsi="Arial" w:cs="Arial"/>
        <w:noProof/>
        <w:sz w:val="24"/>
        <w:szCs w:val="24"/>
      </w:rPr>
    </w:sdtEndPr>
    <w:sdtContent>
      <w:p w14:paraId="633B83A0" w14:textId="0CF8BDEC" w:rsidR="00C40185" w:rsidRPr="00DB2316" w:rsidRDefault="00C40185">
        <w:pPr>
          <w:pStyle w:val="Footer"/>
          <w:jc w:val="center"/>
          <w:rPr>
            <w:rFonts w:ascii="Arial" w:hAnsi="Arial" w:cs="Arial"/>
            <w:sz w:val="24"/>
            <w:szCs w:val="24"/>
          </w:rPr>
        </w:pPr>
        <w:r w:rsidRPr="00DB2316">
          <w:rPr>
            <w:rFonts w:ascii="Arial" w:hAnsi="Arial" w:cs="Arial"/>
            <w:sz w:val="24"/>
            <w:szCs w:val="24"/>
          </w:rPr>
          <w:fldChar w:fldCharType="begin"/>
        </w:r>
        <w:r w:rsidRPr="00DB2316">
          <w:rPr>
            <w:rFonts w:ascii="Arial" w:hAnsi="Arial" w:cs="Arial"/>
            <w:sz w:val="24"/>
            <w:szCs w:val="24"/>
          </w:rPr>
          <w:instrText xml:space="preserve"> PAGE   \* MERGEFORMAT </w:instrText>
        </w:r>
        <w:r w:rsidRPr="00DB2316">
          <w:rPr>
            <w:rFonts w:ascii="Arial" w:hAnsi="Arial" w:cs="Arial"/>
            <w:sz w:val="24"/>
            <w:szCs w:val="24"/>
          </w:rPr>
          <w:fldChar w:fldCharType="separate"/>
        </w:r>
        <w:r w:rsidR="00535B24" w:rsidRPr="00535B24">
          <w:rPr>
            <w:rFonts w:cs="Arial"/>
            <w:noProof/>
            <w:sz w:val="24"/>
            <w:szCs w:val="24"/>
          </w:rPr>
          <w:t>7</w:t>
        </w:r>
        <w:r w:rsidRPr="00DB2316">
          <w:rPr>
            <w:rFonts w:ascii="Arial" w:hAnsi="Arial" w:cs="Arial"/>
            <w:noProof/>
            <w:sz w:val="24"/>
            <w:szCs w:val="24"/>
          </w:rPr>
          <w:fldChar w:fldCharType="end"/>
        </w:r>
      </w:p>
    </w:sdtContent>
  </w:sdt>
  <w:p w14:paraId="7D357959" w14:textId="77777777" w:rsidR="00C40185" w:rsidRDefault="00C40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265F2" w14:textId="77777777" w:rsidR="00E81103" w:rsidRDefault="00E81103" w:rsidP="005B5C98">
      <w:pPr>
        <w:spacing w:after="0" w:line="240" w:lineRule="auto"/>
      </w:pPr>
      <w:r>
        <w:separator/>
      </w:r>
    </w:p>
  </w:footnote>
  <w:footnote w:type="continuationSeparator" w:id="0">
    <w:p w14:paraId="46DFC17A" w14:textId="77777777" w:rsidR="00E81103" w:rsidRDefault="00E81103" w:rsidP="005B5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F0A74"/>
    <w:multiLevelType w:val="hybridMultilevel"/>
    <w:tmpl w:val="47D67260"/>
    <w:lvl w:ilvl="0" w:tplc="F90C078E">
      <w:start w:val="1"/>
      <w:numFmt w:val="bullet"/>
      <w:pStyle w:val="RecommendationLis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1D517109"/>
    <w:multiLevelType w:val="hybridMultilevel"/>
    <w:tmpl w:val="8EFAA9D8"/>
    <w:lvl w:ilvl="0" w:tplc="48E4B28C">
      <w:start w:val="1"/>
      <w:numFmt w:val="bullet"/>
      <w:pStyle w:val="LetterListParagraph"/>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D5505D9"/>
    <w:multiLevelType w:val="hybridMultilevel"/>
    <w:tmpl w:val="246A50FC"/>
    <w:lvl w:ilvl="0" w:tplc="37C270F2">
      <w:start w:val="1"/>
      <w:numFmt w:val="bullet"/>
      <w:pStyle w:val="NCD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D221C1B"/>
    <w:multiLevelType w:val="hybridMultilevel"/>
    <w:tmpl w:val="24346320"/>
    <w:lvl w:ilvl="0" w:tplc="27EABE9A">
      <w:start w:val="1"/>
      <w:numFmt w:val="bullet"/>
      <w:pStyle w:val="ListParaLevel2"/>
      <w:lvlText w:val="o"/>
      <w:lvlJc w:val="left"/>
      <w:pPr>
        <w:ind w:left="1008" w:hanging="360"/>
      </w:pPr>
      <w:rPr>
        <w:rFonts w:ascii="Courier New" w:hAnsi="Courier New" w:cs="Courier New"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36B92312"/>
    <w:multiLevelType w:val="hybridMultilevel"/>
    <w:tmpl w:val="D0608BA8"/>
    <w:lvl w:ilvl="0" w:tplc="351A7572">
      <w:start w:val="1"/>
      <w:numFmt w:val="bullet"/>
      <w:pStyle w:val="ListParagraph"/>
      <w:lvlText w:val=""/>
      <w:lvlJc w:val="left"/>
      <w:pPr>
        <w:ind w:left="720" w:hanging="360"/>
      </w:pPr>
      <w:rPr>
        <w:rFonts w:ascii="Wingdings" w:hAnsi="Wingdings" w:hint="default"/>
        <w:color w:val="auto"/>
      </w:rPr>
    </w:lvl>
    <w:lvl w:ilvl="1" w:tplc="40090003" w:tentative="1">
      <w:start w:val="1"/>
      <w:numFmt w:val="bullet"/>
      <w:lvlText w:val="o"/>
      <w:lvlJc w:val="left"/>
      <w:pPr>
        <w:ind w:left="1871" w:hanging="360"/>
      </w:pPr>
      <w:rPr>
        <w:rFonts w:ascii="Courier New" w:hAnsi="Courier New" w:cs="Courier New" w:hint="default"/>
      </w:rPr>
    </w:lvl>
    <w:lvl w:ilvl="2" w:tplc="40090005" w:tentative="1">
      <w:start w:val="1"/>
      <w:numFmt w:val="bullet"/>
      <w:lvlText w:val=""/>
      <w:lvlJc w:val="left"/>
      <w:pPr>
        <w:ind w:left="2591" w:hanging="360"/>
      </w:pPr>
      <w:rPr>
        <w:rFonts w:ascii="Wingdings" w:hAnsi="Wingdings" w:hint="default"/>
      </w:rPr>
    </w:lvl>
    <w:lvl w:ilvl="3" w:tplc="40090001" w:tentative="1">
      <w:start w:val="1"/>
      <w:numFmt w:val="bullet"/>
      <w:lvlText w:val=""/>
      <w:lvlJc w:val="left"/>
      <w:pPr>
        <w:ind w:left="3311" w:hanging="360"/>
      </w:pPr>
      <w:rPr>
        <w:rFonts w:ascii="Symbol" w:hAnsi="Symbol" w:hint="default"/>
      </w:rPr>
    </w:lvl>
    <w:lvl w:ilvl="4" w:tplc="40090003" w:tentative="1">
      <w:start w:val="1"/>
      <w:numFmt w:val="bullet"/>
      <w:lvlText w:val="o"/>
      <w:lvlJc w:val="left"/>
      <w:pPr>
        <w:ind w:left="4031" w:hanging="360"/>
      </w:pPr>
      <w:rPr>
        <w:rFonts w:ascii="Courier New" w:hAnsi="Courier New" w:cs="Courier New" w:hint="default"/>
      </w:rPr>
    </w:lvl>
    <w:lvl w:ilvl="5" w:tplc="40090005" w:tentative="1">
      <w:start w:val="1"/>
      <w:numFmt w:val="bullet"/>
      <w:lvlText w:val=""/>
      <w:lvlJc w:val="left"/>
      <w:pPr>
        <w:ind w:left="4751" w:hanging="360"/>
      </w:pPr>
      <w:rPr>
        <w:rFonts w:ascii="Wingdings" w:hAnsi="Wingdings" w:hint="default"/>
      </w:rPr>
    </w:lvl>
    <w:lvl w:ilvl="6" w:tplc="40090001" w:tentative="1">
      <w:start w:val="1"/>
      <w:numFmt w:val="bullet"/>
      <w:lvlText w:val=""/>
      <w:lvlJc w:val="left"/>
      <w:pPr>
        <w:ind w:left="5471" w:hanging="360"/>
      </w:pPr>
      <w:rPr>
        <w:rFonts w:ascii="Symbol" w:hAnsi="Symbol" w:hint="default"/>
      </w:rPr>
    </w:lvl>
    <w:lvl w:ilvl="7" w:tplc="40090003" w:tentative="1">
      <w:start w:val="1"/>
      <w:numFmt w:val="bullet"/>
      <w:lvlText w:val="o"/>
      <w:lvlJc w:val="left"/>
      <w:pPr>
        <w:ind w:left="6191" w:hanging="360"/>
      </w:pPr>
      <w:rPr>
        <w:rFonts w:ascii="Courier New" w:hAnsi="Courier New" w:cs="Courier New" w:hint="default"/>
      </w:rPr>
    </w:lvl>
    <w:lvl w:ilvl="8" w:tplc="40090005" w:tentative="1">
      <w:start w:val="1"/>
      <w:numFmt w:val="bullet"/>
      <w:lvlText w:val=""/>
      <w:lvlJc w:val="left"/>
      <w:pPr>
        <w:ind w:left="6911" w:hanging="360"/>
      </w:pPr>
      <w:rPr>
        <w:rFonts w:ascii="Wingdings" w:hAnsi="Wingdings" w:hint="default"/>
      </w:rPr>
    </w:lvl>
  </w:abstractNum>
  <w:abstractNum w:abstractNumId="5" w15:restartNumberingAfterBreak="0">
    <w:nsid w:val="39622709"/>
    <w:multiLevelType w:val="hybridMultilevel"/>
    <w:tmpl w:val="46161DAC"/>
    <w:lvl w:ilvl="0" w:tplc="5052D0BC">
      <w:start w:val="1"/>
      <w:numFmt w:val="decimal"/>
      <w:pStyle w:val="OrderedList"/>
      <w:lvlText w:val="%1."/>
      <w:lvlJc w:val="left"/>
      <w:pPr>
        <w:ind w:left="720" w:hanging="360"/>
      </w:pPr>
      <w:rPr>
        <w:rFonts w:hint="default"/>
        <w:b w:val="0"/>
        <w:i w:val="0"/>
        <w:sz w:val="20"/>
        <w:szCs w:val="20"/>
      </w:rPr>
    </w:lvl>
    <w:lvl w:ilvl="1" w:tplc="8B3CF228">
      <w:start w:val="1"/>
      <w:numFmt w:val="lowerLetter"/>
      <w:pStyle w:val="OrderedList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18048B"/>
    <w:multiLevelType w:val="hybridMultilevel"/>
    <w:tmpl w:val="DE588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C46DCC"/>
    <w:multiLevelType w:val="hybridMultilevel"/>
    <w:tmpl w:val="190E7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4"/>
  </w:num>
  <w:num w:numId="5">
    <w:abstractNumId w:val="3"/>
  </w:num>
  <w:num w:numId="6">
    <w:abstractNumId w:val="5"/>
  </w:num>
  <w:num w:numId="7">
    <w:abstractNumId w:val="1"/>
  </w:num>
  <w:num w:numId="8">
    <w:abstractNumId w:val="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linkStyle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4A9"/>
    <w:rsid w:val="00002307"/>
    <w:rsid w:val="00010404"/>
    <w:rsid w:val="0001092A"/>
    <w:rsid w:val="000151E0"/>
    <w:rsid w:val="00016078"/>
    <w:rsid w:val="0001747C"/>
    <w:rsid w:val="00017D4F"/>
    <w:rsid w:val="00021E96"/>
    <w:rsid w:val="000228AD"/>
    <w:rsid w:val="000304A0"/>
    <w:rsid w:val="00037DBE"/>
    <w:rsid w:val="000402C0"/>
    <w:rsid w:val="00040CC7"/>
    <w:rsid w:val="0004451D"/>
    <w:rsid w:val="0004690E"/>
    <w:rsid w:val="00046D9D"/>
    <w:rsid w:val="0005212E"/>
    <w:rsid w:val="0005302E"/>
    <w:rsid w:val="00054BC4"/>
    <w:rsid w:val="000554E1"/>
    <w:rsid w:val="00057055"/>
    <w:rsid w:val="00060237"/>
    <w:rsid w:val="0006273E"/>
    <w:rsid w:val="00062D84"/>
    <w:rsid w:val="0006555F"/>
    <w:rsid w:val="000655FA"/>
    <w:rsid w:val="0007000B"/>
    <w:rsid w:val="0007756C"/>
    <w:rsid w:val="00080305"/>
    <w:rsid w:val="0008124D"/>
    <w:rsid w:val="0008309C"/>
    <w:rsid w:val="000833ED"/>
    <w:rsid w:val="00083846"/>
    <w:rsid w:val="00084026"/>
    <w:rsid w:val="00084E5E"/>
    <w:rsid w:val="0008537F"/>
    <w:rsid w:val="000858AE"/>
    <w:rsid w:val="0008639D"/>
    <w:rsid w:val="00086D0D"/>
    <w:rsid w:val="0009023A"/>
    <w:rsid w:val="00090636"/>
    <w:rsid w:val="00091C2C"/>
    <w:rsid w:val="00094BA6"/>
    <w:rsid w:val="000A02B1"/>
    <w:rsid w:val="000A173E"/>
    <w:rsid w:val="000A371E"/>
    <w:rsid w:val="000A541A"/>
    <w:rsid w:val="000A7AB6"/>
    <w:rsid w:val="000B17C6"/>
    <w:rsid w:val="000B3209"/>
    <w:rsid w:val="000B5E68"/>
    <w:rsid w:val="000B7BCB"/>
    <w:rsid w:val="000C2885"/>
    <w:rsid w:val="000C666E"/>
    <w:rsid w:val="000C67C5"/>
    <w:rsid w:val="000D0313"/>
    <w:rsid w:val="000D0408"/>
    <w:rsid w:val="000D04C9"/>
    <w:rsid w:val="000D0F75"/>
    <w:rsid w:val="000D1C72"/>
    <w:rsid w:val="000D5115"/>
    <w:rsid w:val="000D783F"/>
    <w:rsid w:val="000E091A"/>
    <w:rsid w:val="000E1301"/>
    <w:rsid w:val="000E1815"/>
    <w:rsid w:val="000E2717"/>
    <w:rsid w:val="000E3D9A"/>
    <w:rsid w:val="000E56DD"/>
    <w:rsid w:val="000E5A48"/>
    <w:rsid w:val="000E66FE"/>
    <w:rsid w:val="000F5C8F"/>
    <w:rsid w:val="001017B7"/>
    <w:rsid w:val="00101C06"/>
    <w:rsid w:val="00105FCB"/>
    <w:rsid w:val="00106F73"/>
    <w:rsid w:val="00112026"/>
    <w:rsid w:val="0011525F"/>
    <w:rsid w:val="0011704F"/>
    <w:rsid w:val="00117CF3"/>
    <w:rsid w:val="0012383D"/>
    <w:rsid w:val="001273C3"/>
    <w:rsid w:val="00127C8E"/>
    <w:rsid w:val="0013393B"/>
    <w:rsid w:val="0013544B"/>
    <w:rsid w:val="00136E8F"/>
    <w:rsid w:val="001427C2"/>
    <w:rsid w:val="0014346A"/>
    <w:rsid w:val="00144327"/>
    <w:rsid w:val="0014730D"/>
    <w:rsid w:val="001501DB"/>
    <w:rsid w:val="001511FA"/>
    <w:rsid w:val="00153C02"/>
    <w:rsid w:val="001551DD"/>
    <w:rsid w:val="00156E19"/>
    <w:rsid w:val="001570CD"/>
    <w:rsid w:val="001606FF"/>
    <w:rsid w:val="00161EB1"/>
    <w:rsid w:val="00162804"/>
    <w:rsid w:val="00162A5F"/>
    <w:rsid w:val="00162E2D"/>
    <w:rsid w:val="001632DD"/>
    <w:rsid w:val="001650C8"/>
    <w:rsid w:val="0017462C"/>
    <w:rsid w:val="0017494A"/>
    <w:rsid w:val="0017567B"/>
    <w:rsid w:val="00175F83"/>
    <w:rsid w:val="00177F1B"/>
    <w:rsid w:val="0018147D"/>
    <w:rsid w:val="0018243D"/>
    <w:rsid w:val="00182C54"/>
    <w:rsid w:val="0018301F"/>
    <w:rsid w:val="00190D4C"/>
    <w:rsid w:val="00192F6D"/>
    <w:rsid w:val="00192F75"/>
    <w:rsid w:val="00194004"/>
    <w:rsid w:val="00195A2A"/>
    <w:rsid w:val="00195B3A"/>
    <w:rsid w:val="001A067C"/>
    <w:rsid w:val="001A06FB"/>
    <w:rsid w:val="001A27F6"/>
    <w:rsid w:val="001A3EC6"/>
    <w:rsid w:val="001A52FE"/>
    <w:rsid w:val="001A5D13"/>
    <w:rsid w:val="001B0C0E"/>
    <w:rsid w:val="001B1FBB"/>
    <w:rsid w:val="001B3DDE"/>
    <w:rsid w:val="001B5CC9"/>
    <w:rsid w:val="001B622E"/>
    <w:rsid w:val="001C08CB"/>
    <w:rsid w:val="001C2920"/>
    <w:rsid w:val="001C5774"/>
    <w:rsid w:val="001C6D3C"/>
    <w:rsid w:val="001C712F"/>
    <w:rsid w:val="001D0CE9"/>
    <w:rsid w:val="001D1DAB"/>
    <w:rsid w:val="001D2497"/>
    <w:rsid w:val="001D54A6"/>
    <w:rsid w:val="001E3988"/>
    <w:rsid w:val="001E3D01"/>
    <w:rsid w:val="001E5BE4"/>
    <w:rsid w:val="001F3818"/>
    <w:rsid w:val="001F654B"/>
    <w:rsid w:val="002014A8"/>
    <w:rsid w:val="00202048"/>
    <w:rsid w:val="00203CBC"/>
    <w:rsid w:val="002064AA"/>
    <w:rsid w:val="00206E3B"/>
    <w:rsid w:val="00207123"/>
    <w:rsid w:val="00207609"/>
    <w:rsid w:val="00210993"/>
    <w:rsid w:val="00210C53"/>
    <w:rsid w:val="00213455"/>
    <w:rsid w:val="00213777"/>
    <w:rsid w:val="002151E7"/>
    <w:rsid w:val="002157D1"/>
    <w:rsid w:val="00215FF4"/>
    <w:rsid w:val="00217E2D"/>
    <w:rsid w:val="0022037D"/>
    <w:rsid w:val="002204AC"/>
    <w:rsid w:val="00222075"/>
    <w:rsid w:val="00222ABB"/>
    <w:rsid w:val="00226D59"/>
    <w:rsid w:val="00231174"/>
    <w:rsid w:val="00236045"/>
    <w:rsid w:val="002378D4"/>
    <w:rsid w:val="00237D83"/>
    <w:rsid w:val="00240201"/>
    <w:rsid w:val="002407BF"/>
    <w:rsid w:val="002420A5"/>
    <w:rsid w:val="00244B9F"/>
    <w:rsid w:val="0024680D"/>
    <w:rsid w:val="002479EB"/>
    <w:rsid w:val="0025100C"/>
    <w:rsid w:val="002517FB"/>
    <w:rsid w:val="002526C3"/>
    <w:rsid w:val="00252B71"/>
    <w:rsid w:val="002539ED"/>
    <w:rsid w:val="00253A3D"/>
    <w:rsid w:val="002542D3"/>
    <w:rsid w:val="00255E6F"/>
    <w:rsid w:val="002562E6"/>
    <w:rsid w:val="00256D67"/>
    <w:rsid w:val="00262072"/>
    <w:rsid w:val="00263873"/>
    <w:rsid w:val="00263A20"/>
    <w:rsid w:val="0027107F"/>
    <w:rsid w:val="00277832"/>
    <w:rsid w:val="00277F85"/>
    <w:rsid w:val="002823F7"/>
    <w:rsid w:val="002836CD"/>
    <w:rsid w:val="002841CC"/>
    <w:rsid w:val="002842C1"/>
    <w:rsid w:val="002842F8"/>
    <w:rsid w:val="00285012"/>
    <w:rsid w:val="00285BE2"/>
    <w:rsid w:val="00286677"/>
    <w:rsid w:val="00286BD8"/>
    <w:rsid w:val="0028771A"/>
    <w:rsid w:val="002947B8"/>
    <w:rsid w:val="00295CAA"/>
    <w:rsid w:val="00297AFE"/>
    <w:rsid w:val="002A0689"/>
    <w:rsid w:val="002A1E52"/>
    <w:rsid w:val="002A4A98"/>
    <w:rsid w:val="002A750E"/>
    <w:rsid w:val="002B1F05"/>
    <w:rsid w:val="002B2737"/>
    <w:rsid w:val="002B3CD0"/>
    <w:rsid w:val="002B5A2E"/>
    <w:rsid w:val="002B7E0A"/>
    <w:rsid w:val="002B7E5B"/>
    <w:rsid w:val="002C018A"/>
    <w:rsid w:val="002C1210"/>
    <w:rsid w:val="002C1C3F"/>
    <w:rsid w:val="002C5D44"/>
    <w:rsid w:val="002C5FB1"/>
    <w:rsid w:val="002C7291"/>
    <w:rsid w:val="002C7A91"/>
    <w:rsid w:val="002D104D"/>
    <w:rsid w:val="002D3BC6"/>
    <w:rsid w:val="002D4642"/>
    <w:rsid w:val="002D5C74"/>
    <w:rsid w:val="002D7128"/>
    <w:rsid w:val="002D7FFB"/>
    <w:rsid w:val="002E0A80"/>
    <w:rsid w:val="002E4248"/>
    <w:rsid w:val="002E4752"/>
    <w:rsid w:val="002E4B18"/>
    <w:rsid w:val="002E6E4D"/>
    <w:rsid w:val="002E798E"/>
    <w:rsid w:val="002E7990"/>
    <w:rsid w:val="002E7F51"/>
    <w:rsid w:val="002F0CF1"/>
    <w:rsid w:val="002F3D54"/>
    <w:rsid w:val="002F7648"/>
    <w:rsid w:val="002F7833"/>
    <w:rsid w:val="0030027F"/>
    <w:rsid w:val="00300D00"/>
    <w:rsid w:val="00303A2F"/>
    <w:rsid w:val="0031020B"/>
    <w:rsid w:val="00312BDE"/>
    <w:rsid w:val="00314214"/>
    <w:rsid w:val="00314FF2"/>
    <w:rsid w:val="00315A56"/>
    <w:rsid w:val="00322023"/>
    <w:rsid w:val="00330F2E"/>
    <w:rsid w:val="00331328"/>
    <w:rsid w:val="00331B46"/>
    <w:rsid w:val="00331C50"/>
    <w:rsid w:val="003327F2"/>
    <w:rsid w:val="00333D2E"/>
    <w:rsid w:val="00333F30"/>
    <w:rsid w:val="003356A6"/>
    <w:rsid w:val="00346586"/>
    <w:rsid w:val="00347D47"/>
    <w:rsid w:val="003501FD"/>
    <w:rsid w:val="00350880"/>
    <w:rsid w:val="003616B3"/>
    <w:rsid w:val="00362ED5"/>
    <w:rsid w:val="0036412C"/>
    <w:rsid w:val="0036552E"/>
    <w:rsid w:val="003665DB"/>
    <w:rsid w:val="00371223"/>
    <w:rsid w:val="003735C7"/>
    <w:rsid w:val="0037582A"/>
    <w:rsid w:val="0037692E"/>
    <w:rsid w:val="00377092"/>
    <w:rsid w:val="00377F3E"/>
    <w:rsid w:val="00380588"/>
    <w:rsid w:val="003805AD"/>
    <w:rsid w:val="00380FB4"/>
    <w:rsid w:val="00382079"/>
    <w:rsid w:val="003821AB"/>
    <w:rsid w:val="003826DA"/>
    <w:rsid w:val="00382FE3"/>
    <w:rsid w:val="003833DA"/>
    <w:rsid w:val="003844A9"/>
    <w:rsid w:val="0038489A"/>
    <w:rsid w:val="003867FB"/>
    <w:rsid w:val="00386A23"/>
    <w:rsid w:val="00387358"/>
    <w:rsid w:val="00387CE7"/>
    <w:rsid w:val="003908E4"/>
    <w:rsid w:val="003911EF"/>
    <w:rsid w:val="00392A35"/>
    <w:rsid w:val="00392B62"/>
    <w:rsid w:val="0039460F"/>
    <w:rsid w:val="003965BF"/>
    <w:rsid w:val="00396F9D"/>
    <w:rsid w:val="003A00AE"/>
    <w:rsid w:val="003A2393"/>
    <w:rsid w:val="003A556E"/>
    <w:rsid w:val="003A56FC"/>
    <w:rsid w:val="003A7CCA"/>
    <w:rsid w:val="003B0E2C"/>
    <w:rsid w:val="003B4660"/>
    <w:rsid w:val="003B4879"/>
    <w:rsid w:val="003B65F5"/>
    <w:rsid w:val="003B7DF5"/>
    <w:rsid w:val="003B7F9B"/>
    <w:rsid w:val="003C4282"/>
    <w:rsid w:val="003C6546"/>
    <w:rsid w:val="003C6DD9"/>
    <w:rsid w:val="003D3EEB"/>
    <w:rsid w:val="003D4501"/>
    <w:rsid w:val="003D495A"/>
    <w:rsid w:val="003D6D66"/>
    <w:rsid w:val="003D7741"/>
    <w:rsid w:val="003E20B0"/>
    <w:rsid w:val="003E218C"/>
    <w:rsid w:val="003E2407"/>
    <w:rsid w:val="003E281C"/>
    <w:rsid w:val="003E6732"/>
    <w:rsid w:val="003E6C9D"/>
    <w:rsid w:val="003F2938"/>
    <w:rsid w:val="003F5BCA"/>
    <w:rsid w:val="003F62C7"/>
    <w:rsid w:val="003F74C2"/>
    <w:rsid w:val="00400262"/>
    <w:rsid w:val="0040134E"/>
    <w:rsid w:val="00402E32"/>
    <w:rsid w:val="004033C5"/>
    <w:rsid w:val="004039A6"/>
    <w:rsid w:val="004044C6"/>
    <w:rsid w:val="004102B2"/>
    <w:rsid w:val="00411783"/>
    <w:rsid w:val="00413C5C"/>
    <w:rsid w:val="0041423B"/>
    <w:rsid w:val="004157F0"/>
    <w:rsid w:val="0041700C"/>
    <w:rsid w:val="0042006D"/>
    <w:rsid w:val="00420C62"/>
    <w:rsid w:val="00420FD2"/>
    <w:rsid w:val="00421EF6"/>
    <w:rsid w:val="004234DE"/>
    <w:rsid w:val="00424431"/>
    <w:rsid w:val="004276B4"/>
    <w:rsid w:val="0042779E"/>
    <w:rsid w:val="0043759F"/>
    <w:rsid w:val="00445186"/>
    <w:rsid w:val="0044796D"/>
    <w:rsid w:val="00463039"/>
    <w:rsid w:val="00466CBE"/>
    <w:rsid w:val="00466E57"/>
    <w:rsid w:val="0047308D"/>
    <w:rsid w:val="00473D44"/>
    <w:rsid w:val="00474F3A"/>
    <w:rsid w:val="0047557D"/>
    <w:rsid w:val="004773DA"/>
    <w:rsid w:val="00481EC8"/>
    <w:rsid w:val="00482438"/>
    <w:rsid w:val="00482FC6"/>
    <w:rsid w:val="00484247"/>
    <w:rsid w:val="004852D1"/>
    <w:rsid w:val="00486FC1"/>
    <w:rsid w:val="004918B6"/>
    <w:rsid w:val="00497036"/>
    <w:rsid w:val="004A0A8F"/>
    <w:rsid w:val="004A0F10"/>
    <w:rsid w:val="004A5310"/>
    <w:rsid w:val="004A7C11"/>
    <w:rsid w:val="004B04D1"/>
    <w:rsid w:val="004B0D00"/>
    <w:rsid w:val="004B4814"/>
    <w:rsid w:val="004B4935"/>
    <w:rsid w:val="004B7800"/>
    <w:rsid w:val="004B7879"/>
    <w:rsid w:val="004C125B"/>
    <w:rsid w:val="004D11AA"/>
    <w:rsid w:val="004D3AE0"/>
    <w:rsid w:val="004D4553"/>
    <w:rsid w:val="004D4A08"/>
    <w:rsid w:val="004D57F5"/>
    <w:rsid w:val="004D71C0"/>
    <w:rsid w:val="004E0E2A"/>
    <w:rsid w:val="004E18C6"/>
    <w:rsid w:val="004E2560"/>
    <w:rsid w:val="004E2A25"/>
    <w:rsid w:val="004E2BCB"/>
    <w:rsid w:val="004F0CD6"/>
    <w:rsid w:val="004F301D"/>
    <w:rsid w:val="004F3D6C"/>
    <w:rsid w:val="004F3DA8"/>
    <w:rsid w:val="004F5B24"/>
    <w:rsid w:val="004F7B2E"/>
    <w:rsid w:val="00504083"/>
    <w:rsid w:val="0050795F"/>
    <w:rsid w:val="0051033E"/>
    <w:rsid w:val="00511D14"/>
    <w:rsid w:val="00521E4B"/>
    <w:rsid w:val="00521FD8"/>
    <w:rsid w:val="00523ECF"/>
    <w:rsid w:val="00523F57"/>
    <w:rsid w:val="0052606C"/>
    <w:rsid w:val="00534601"/>
    <w:rsid w:val="00535B24"/>
    <w:rsid w:val="0053624C"/>
    <w:rsid w:val="00540FBD"/>
    <w:rsid w:val="00541780"/>
    <w:rsid w:val="00542262"/>
    <w:rsid w:val="0054233F"/>
    <w:rsid w:val="0054549D"/>
    <w:rsid w:val="00545A20"/>
    <w:rsid w:val="00550B44"/>
    <w:rsid w:val="00553116"/>
    <w:rsid w:val="00553ACA"/>
    <w:rsid w:val="00553C19"/>
    <w:rsid w:val="0055438F"/>
    <w:rsid w:val="00555A89"/>
    <w:rsid w:val="00561256"/>
    <w:rsid w:val="0056293A"/>
    <w:rsid w:val="00563E66"/>
    <w:rsid w:val="00567A1C"/>
    <w:rsid w:val="005701F9"/>
    <w:rsid w:val="005704DD"/>
    <w:rsid w:val="00573ECF"/>
    <w:rsid w:val="00574157"/>
    <w:rsid w:val="0057436B"/>
    <w:rsid w:val="005769AE"/>
    <w:rsid w:val="00580725"/>
    <w:rsid w:val="005827B5"/>
    <w:rsid w:val="005857AE"/>
    <w:rsid w:val="00585DE4"/>
    <w:rsid w:val="005871EE"/>
    <w:rsid w:val="00591051"/>
    <w:rsid w:val="005921C1"/>
    <w:rsid w:val="005924B9"/>
    <w:rsid w:val="00593285"/>
    <w:rsid w:val="00594E4D"/>
    <w:rsid w:val="00595434"/>
    <w:rsid w:val="005A246D"/>
    <w:rsid w:val="005A7962"/>
    <w:rsid w:val="005B0E4D"/>
    <w:rsid w:val="005B11E3"/>
    <w:rsid w:val="005B127B"/>
    <w:rsid w:val="005B470A"/>
    <w:rsid w:val="005B5C98"/>
    <w:rsid w:val="005C2216"/>
    <w:rsid w:val="005C24CA"/>
    <w:rsid w:val="005C49E9"/>
    <w:rsid w:val="005C4A6C"/>
    <w:rsid w:val="005C5CD9"/>
    <w:rsid w:val="005D0DA7"/>
    <w:rsid w:val="005D0E0D"/>
    <w:rsid w:val="005D77A6"/>
    <w:rsid w:val="005E26E4"/>
    <w:rsid w:val="005E3058"/>
    <w:rsid w:val="005E36F4"/>
    <w:rsid w:val="005E3A95"/>
    <w:rsid w:val="005E4752"/>
    <w:rsid w:val="005E572E"/>
    <w:rsid w:val="005E58FB"/>
    <w:rsid w:val="005F0D3B"/>
    <w:rsid w:val="005F13AB"/>
    <w:rsid w:val="005F22B9"/>
    <w:rsid w:val="005F7243"/>
    <w:rsid w:val="005F749A"/>
    <w:rsid w:val="006000A6"/>
    <w:rsid w:val="00601012"/>
    <w:rsid w:val="006011A5"/>
    <w:rsid w:val="006030C7"/>
    <w:rsid w:val="0060610F"/>
    <w:rsid w:val="00610471"/>
    <w:rsid w:val="00610993"/>
    <w:rsid w:val="00610EEF"/>
    <w:rsid w:val="0061373B"/>
    <w:rsid w:val="006176CB"/>
    <w:rsid w:val="006208D9"/>
    <w:rsid w:val="006220B8"/>
    <w:rsid w:val="00622713"/>
    <w:rsid w:val="00624170"/>
    <w:rsid w:val="00624EC4"/>
    <w:rsid w:val="00636DE8"/>
    <w:rsid w:val="00636F1D"/>
    <w:rsid w:val="0063733D"/>
    <w:rsid w:val="00637E8A"/>
    <w:rsid w:val="00637F8D"/>
    <w:rsid w:val="00640FDC"/>
    <w:rsid w:val="00642106"/>
    <w:rsid w:val="0064263E"/>
    <w:rsid w:val="006434EA"/>
    <w:rsid w:val="006455BB"/>
    <w:rsid w:val="00646379"/>
    <w:rsid w:val="0064733D"/>
    <w:rsid w:val="00647DF9"/>
    <w:rsid w:val="00651E14"/>
    <w:rsid w:val="00655793"/>
    <w:rsid w:val="006601D5"/>
    <w:rsid w:val="0066084C"/>
    <w:rsid w:val="00665657"/>
    <w:rsid w:val="0066573F"/>
    <w:rsid w:val="006709FB"/>
    <w:rsid w:val="006733DC"/>
    <w:rsid w:val="00673FB1"/>
    <w:rsid w:val="00675145"/>
    <w:rsid w:val="0067525C"/>
    <w:rsid w:val="00675BBE"/>
    <w:rsid w:val="00675C8C"/>
    <w:rsid w:val="00676A56"/>
    <w:rsid w:val="00682CF8"/>
    <w:rsid w:val="0068337F"/>
    <w:rsid w:val="00683CD8"/>
    <w:rsid w:val="00683F57"/>
    <w:rsid w:val="006860DA"/>
    <w:rsid w:val="00691880"/>
    <w:rsid w:val="00693DD2"/>
    <w:rsid w:val="00694090"/>
    <w:rsid w:val="00695415"/>
    <w:rsid w:val="00696423"/>
    <w:rsid w:val="006A06D5"/>
    <w:rsid w:val="006A164B"/>
    <w:rsid w:val="006A46F8"/>
    <w:rsid w:val="006A63B7"/>
    <w:rsid w:val="006A79D7"/>
    <w:rsid w:val="006B20FF"/>
    <w:rsid w:val="006B7AF6"/>
    <w:rsid w:val="006C31E3"/>
    <w:rsid w:val="006D1513"/>
    <w:rsid w:val="006D411C"/>
    <w:rsid w:val="006D453C"/>
    <w:rsid w:val="006D57CE"/>
    <w:rsid w:val="006D5B3D"/>
    <w:rsid w:val="006E02DA"/>
    <w:rsid w:val="006E08E3"/>
    <w:rsid w:val="006E0C4D"/>
    <w:rsid w:val="006E4264"/>
    <w:rsid w:val="006E4C2E"/>
    <w:rsid w:val="006E5504"/>
    <w:rsid w:val="006E5718"/>
    <w:rsid w:val="006E5D6D"/>
    <w:rsid w:val="006F07B0"/>
    <w:rsid w:val="006F07C4"/>
    <w:rsid w:val="006F09B4"/>
    <w:rsid w:val="006F4627"/>
    <w:rsid w:val="006F4A50"/>
    <w:rsid w:val="006F7ED0"/>
    <w:rsid w:val="007029E6"/>
    <w:rsid w:val="00706EC8"/>
    <w:rsid w:val="0070792D"/>
    <w:rsid w:val="00710D1D"/>
    <w:rsid w:val="0071294E"/>
    <w:rsid w:val="00714387"/>
    <w:rsid w:val="007165BD"/>
    <w:rsid w:val="00717597"/>
    <w:rsid w:val="007179B8"/>
    <w:rsid w:val="00717AD0"/>
    <w:rsid w:val="00724A2F"/>
    <w:rsid w:val="007305DE"/>
    <w:rsid w:val="00730CA0"/>
    <w:rsid w:val="007322C4"/>
    <w:rsid w:val="007325D1"/>
    <w:rsid w:val="00733104"/>
    <w:rsid w:val="00734D81"/>
    <w:rsid w:val="00740AA2"/>
    <w:rsid w:val="00742D40"/>
    <w:rsid w:val="00743B57"/>
    <w:rsid w:val="0074567F"/>
    <w:rsid w:val="00745BED"/>
    <w:rsid w:val="00747B79"/>
    <w:rsid w:val="007505CE"/>
    <w:rsid w:val="007569E3"/>
    <w:rsid w:val="00757618"/>
    <w:rsid w:val="00757C12"/>
    <w:rsid w:val="00760E6B"/>
    <w:rsid w:val="007617B9"/>
    <w:rsid w:val="007623CA"/>
    <w:rsid w:val="00765E5F"/>
    <w:rsid w:val="0076693B"/>
    <w:rsid w:val="00766A55"/>
    <w:rsid w:val="00770427"/>
    <w:rsid w:val="007712DB"/>
    <w:rsid w:val="00771436"/>
    <w:rsid w:val="00774405"/>
    <w:rsid w:val="007749CE"/>
    <w:rsid w:val="007754F5"/>
    <w:rsid w:val="00780206"/>
    <w:rsid w:val="00781269"/>
    <w:rsid w:val="007829CD"/>
    <w:rsid w:val="0078411F"/>
    <w:rsid w:val="00784378"/>
    <w:rsid w:val="00784CDD"/>
    <w:rsid w:val="007941EF"/>
    <w:rsid w:val="00794380"/>
    <w:rsid w:val="00795B66"/>
    <w:rsid w:val="007972B4"/>
    <w:rsid w:val="007978FE"/>
    <w:rsid w:val="007A0E92"/>
    <w:rsid w:val="007A5141"/>
    <w:rsid w:val="007A5553"/>
    <w:rsid w:val="007A6338"/>
    <w:rsid w:val="007B0CF9"/>
    <w:rsid w:val="007B1DBD"/>
    <w:rsid w:val="007B70A8"/>
    <w:rsid w:val="007B7891"/>
    <w:rsid w:val="007C005E"/>
    <w:rsid w:val="007C08AD"/>
    <w:rsid w:val="007C0EA7"/>
    <w:rsid w:val="007C103B"/>
    <w:rsid w:val="007C33B5"/>
    <w:rsid w:val="007C3683"/>
    <w:rsid w:val="007C4E1F"/>
    <w:rsid w:val="007C5981"/>
    <w:rsid w:val="007D01EE"/>
    <w:rsid w:val="007D173F"/>
    <w:rsid w:val="007D33FD"/>
    <w:rsid w:val="007D355F"/>
    <w:rsid w:val="007D48E0"/>
    <w:rsid w:val="007D4F0F"/>
    <w:rsid w:val="007D52B0"/>
    <w:rsid w:val="007D6060"/>
    <w:rsid w:val="007E02FF"/>
    <w:rsid w:val="007E07B4"/>
    <w:rsid w:val="007E0A58"/>
    <w:rsid w:val="007E41D2"/>
    <w:rsid w:val="007E572F"/>
    <w:rsid w:val="007E77FC"/>
    <w:rsid w:val="007E7ED5"/>
    <w:rsid w:val="007F136C"/>
    <w:rsid w:val="007F1AFE"/>
    <w:rsid w:val="007F495D"/>
    <w:rsid w:val="007F77C6"/>
    <w:rsid w:val="00800050"/>
    <w:rsid w:val="00802109"/>
    <w:rsid w:val="00802A09"/>
    <w:rsid w:val="0080339F"/>
    <w:rsid w:val="008053EC"/>
    <w:rsid w:val="00805D57"/>
    <w:rsid w:val="00810C4A"/>
    <w:rsid w:val="00812C56"/>
    <w:rsid w:val="00814247"/>
    <w:rsid w:val="008213A4"/>
    <w:rsid w:val="008239E1"/>
    <w:rsid w:val="00825B3D"/>
    <w:rsid w:val="00827E2D"/>
    <w:rsid w:val="008309A3"/>
    <w:rsid w:val="008316B4"/>
    <w:rsid w:val="00831A3C"/>
    <w:rsid w:val="008359BE"/>
    <w:rsid w:val="00845068"/>
    <w:rsid w:val="00845E72"/>
    <w:rsid w:val="00846433"/>
    <w:rsid w:val="008473FF"/>
    <w:rsid w:val="00852D11"/>
    <w:rsid w:val="00853662"/>
    <w:rsid w:val="008536E9"/>
    <w:rsid w:val="00856A2A"/>
    <w:rsid w:val="0086197F"/>
    <w:rsid w:val="0086237C"/>
    <w:rsid w:val="00863C91"/>
    <w:rsid w:val="00865BD0"/>
    <w:rsid w:val="00866700"/>
    <w:rsid w:val="00866D93"/>
    <w:rsid w:val="00874684"/>
    <w:rsid w:val="0087577F"/>
    <w:rsid w:val="00882E39"/>
    <w:rsid w:val="00883AD6"/>
    <w:rsid w:val="008844F6"/>
    <w:rsid w:val="00886416"/>
    <w:rsid w:val="00896A8F"/>
    <w:rsid w:val="00896B28"/>
    <w:rsid w:val="008A4CE8"/>
    <w:rsid w:val="008A7B27"/>
    <w:rsid w:val="008A7CDB"/>
    <w:rsid w:val="008B00A0"/>
    <w:rsid w:val="008B09FD"/>
    <w:rsid w:val="008B3EC9"/>
    <w:rsid w:val="008B7106"/>
    <w:rsid w:val="008B71E8"/>
    <w:rsid w:val="008B732C"/>
    <w:rsid w:val="008C230F"/>
    <w:rsid w:val="008C33E0"/>
    <w:rsid w:val="008C5595"/>
    <w:rsid w:val="008C6682"/>
    <w:rsid w:val="008C7DC2"/>
    <w:rsid w:val="008D3729"/>
    <w:rsid w:val="008D45A3"/>
    <w:rsid w:val="008D50AF"/>
    <w:rsid w:val="008E23F8"/>
    <w:rsid w:val="008E2898"/>
    <w:rsid w:val="008E2DCC"/>
    <w:rsid w:val="008F2646"/>
    <w:rsid w:val="008F721E"/>
    <w:rsid w:val="009047F2"/>
    <w:rsid w:val="00907455"/>
    <w:rsid w:val="0090759A"/>
    <w:rsid w:val="00912AD9"/>
    <w:rsid w:val="0091598B"/>
    <w:rsid w:val="00915C9C"/>
    <w:rsid w:val="009164DF"/>
    <w:rsid w:val="00922868"/>
    <w:rsid w:val="00924A5E"/>
    <w:rsid w:val="00925E66"/>
    <w:rsid w:val="00927CD8"/>
    <w:rsid w:val="00930EB9"/>
    <w:rsid w:val="00931ACE"/>
    <w:rsid w:val="00931B43"/>
    <w:rsid w:val="00931B4B"/>
    <w:rsid w:val="00932FB2"/>
    <w:rsid w:val="00937991"/>
    <w:rsid w:val="00941A51"/>
    <w:rsid w:val="00943872"/>
    <w:rsid w:val="009509CB"/>
    <w:rsid w:val="00951A39"/>
    <w:rsid w:val="009520FD"/>
    <w:rsid w:val="00952A5C"/>
    <w:rsid w:val="00956156"/>
    <w:rsid w:val="0095631B"/>
    <w:rsid w:val="009563B2"/>
    <w:rsid w:val="00956CD0"/>
    <w:rsid w:val="00956F2E"/>
    <w:rsid w:val="0095718D"/>
    <w:rsid w:val="00957825"/>
    <w:rsid w:val="00960595"/>
    <w:rsid w:val="00960A32"/>
    <w:rsid w:val="0096127D"/>
    <w:rsid w:val="00961A90"/>
    <w:rsid w:val="00961F17"/>
    <w:rsid w:val="00962402"/>
    <w:rsid w:val="00962C10"/>
    <w:rsid w:val="0096596E"/>
    <w:rsid w:val="00966A46"/>
    <w:rsid w:val="00970FD6"/>
    <w:rsid w:val="00971770"/>
    <w:rsid w:val="009719AF"/>
    <w:rsid w:val="00975179"/>
    <w:rsid w:val="0097520A"/>
    <w:rsid w:val="0097560C"/>
    <w:rsid w:val="00976148"/>
    <w:rsid w:val="009811BF"/>
    <w:rsid w:val="0098153D"/>
    <w:rsid w:val="00982F5C"/>
    <w:rsid w:val="0098328C"/>
    <w:rsid w:val="009835D7"/>
    <w:rsid w:val="009842BA"/>
    <w:rsid w:val="009856B7"/>
    <w:rsid w:val="0098617C"/>
    <w:rsid w:val="00987E73"/>
    <w:rsid w:val="00992264"/>
    <w:rsid w:val="00995915"/>
    <w:rsid w:val="00995D19"/>
    <w:rsid w:val="009A0DF4"/>
    <w:rsid w:val="009A3374"/>
    <w:rsid w:val="009A4817"/>
    <w:rsid w:val="009A7DDC"/>
    <w:rsid w:val="009B024C"/>
    <w:rsid w:val="009B057B"/>
    <w:rsid w:val="009B5C0D"/>
    <w:rsid w:val="009B62E8"/>
    <w:rsid w:val="009B745E"/>
    <w:rsid w:val="009C05CC"/>
    <w:rsid w:val="009C2051"/>
    <w:rsid w:val="009C3514"/>
    <w:rsid w:val="009C6733"/>
    <w:rsid w:val="009C6A47"/>
    <w:rsid w:val="009D225D"/>
    <w:rsid w:val="009D4F87"/>
    <w:rsid w:val="009D6B00"/>
    <w:rsid w:val="009D71C4"/>
    <w:rsid w:val="009E145F"/>
    <w:rsid w:val="009E4D61"/>
    <w:rsid w:val="009E5852"/>
    <w:rsid w:val="009F11B8"/>
    <w:rsid w:val="009F1622"/>
    <w:rsid w:val="009F2594"/>
    <w:rsid w:val="009F3426"/>
    <w:rsid w:val="009F3CFF"/>
    <w:rsid w:val="009F4CE8"/>
    <w:rsid w:val="009F790B"/>
    <w:rsid w:val="009F7F59"/>
    <w:rsid w:val="00A01BF1"/>
    <w:rsid w:val="00A01D00"/>
    <w:rsid w:val="00A03A76"/>
    <w:rsid w:val="00A040C6"/>
    <w:rsid w:val="00A043EC"/>
    <w:rsid w:val="00A07355"/>
    <w:rsid w:val="00A111D6"/>
    <w:rsid w:val="00A14F11"/>
    <w:rsid w:val="00A22750"/>
    <w:rsid w:val="00A22E39"/>
    <w:rsid w:val="00A23634"/>
    <w:rsid w:val="00A2441B"/>
    <w:rsid w:val="00A256B8"/>
    <w:rsid w:val="00A25EFB"/>
    <w:rsid w:val="00A278E2"/>
    <w:rsid w:val="00A33A74"/>
    <w:rsid w:val="00A35AA7"/>
    <w:rsid w:val="00A3705D"/>
    <w:rsid w:val="00A37989"/>
    <w:rsid w:val="00A42D48"/>
    <w:rsid w:val="00A45307"/>
    <w:rsid w:val="00A4606C"/>
    <w:rsid w:val="00A46D5E"/>
    <w:rsid w:val="00A47E2B"/>
    <w:rsid w:val="00A527A6"/>
    <w:rsid w:val="00A57E54"/>
    <w:rsid w:val="00A610F7"/>
    <w:rsid w:val="00A6221B"/>
    <w:rsid w:val="00A65354"/>
    <w:rsid w:val="00A71BDF"/>
    <w:rsid w:val="00A768CA"/>
    <w:rsid w:val="00A76A02"/>
    <w:rsid w:val="00A76CE6"/>
    <w:rsid w:val="00A83802"/>
    <w:rsid w:val="00A90396"/>
    <w:rsid w:val="00A91F78"/>
    <w:rsid w:val="00A95CE2"/>
    <w:rsid w:val="00A96219"/>
    <w:rsid w:val="00A97A92"/>
    <w:rsid w:val="00AA1F92"/>
    <w:rsid w:val="00AA2857"/>
    <w:rsid w:val="00AA61DA"/>
    <w:rsid w:val="00AA72B0"/>
    <w:rsid w:val="00AA7B24"/>
    <w:rsid w:val="00AB081F"/>
    <w:rsid w:val="00AB27F6"/>
    <w:rsid w:val="00AB4322"/>
    <w:rsid w:val="00AB4A7B"/>
    <w:rsid w:val="00AC4F39"/>
    <w:rsid w:val="00AC6471"/>
    <w:rsid w:val="00AC70B7"/>
    <w:rsid w:val="00AD1560"/>
    <w:rsid w:val="00AD43E9"/>
    <w:rsid w:val="00AE041B"/>
    <w:rsid w:val="00AE0EDD"/>
    <w:rsid w:val="00AE100E"/>
    <w:rsid w:val="00AE1E0B"/>
    <w:rsid w:val="00AE315C"/>
    <w:rsid w:val="00AE4AE7"/>
    <w:rsid w:val="00AE5EC9"/>
    <w:rsid w:val="00AE72AE"/>
    <w:rsid w:val="00AF03BF"/>
    <w:rsid w:val="00AF59D4"/>
    <w:rsid w:val="00AF6FEE"/>
    <w:rsid w:val="00AF7C4F"/>
    <w:rsid w:val="00B01238"/>
    <w:rsid w:val="00B01C64"/>
    <w:rsid w:val="00B0315D"/>
    <w:rsid w:val="00B03AFC"/>
    <w:rsid w:val="00B05122"/>
    <w:rsid w:val="00B13C0C"/>
    <w:rsid w:val="00B1691C"/>
    <w:rsid w:val="00B2184C"/>
    <w:rsid w:val="00B21AC3"/>
    <w:rsid w:val="00B21F8A"/>
    <w:rsid w:val="00B23656"/>
    <w:rsid w:val="00B23B43"/>
    <w:rsid w:val="00B258A9"/>
    <w:rsid w:val="00B2655B"/>
    <w:rsid w:val="00B30EF7"/>
    <w:rsid w:val="00B31895"/>
    <w:rsid w:val="00B31C59"/>
    <w:rsid w:val="00B31DB4"/>
    <w:rsid w:val="00B33DDA"/>
    <w:rsid w:val="00B36DDC"/>
    <w:rsid w:val="00B403E0"/>
    <w:rsid w:val="00B42B71"/>
    <w:rsid w:val="00B43EFE"/>
    <w:rsid w:val="00B44044"/>
    <w:rsid w:val="00B5046B"/>
    <w:rsid w:val="00B504A9"/>
    <w:rsid w:val="00B50FF3"/>
    <w:rsid w:val="00B5433C"/>
    <w:rsid w:val="00B546FA"/>
    <w:rsid w:val="00B54F68"/>
    <w:rsid w:val="00B56143"/>
    <w:rsid w:val="00B605B7"/>
    <w:rsid w:val="00B64370"/>
    <w:rsid w:val="00B704A6"/>
    <w:rsid w:val="00B70FC5"/>
    <w:rsid w:val="00B72E08"/>
    <w:rsid w:val="00B73AAC"/>
    <w:rsid w:val="00B73ACF"/>
    <w:rsid w:val="00B7549F"/>
    <w:rsid w:val="00B75574"/>
    <w:rsid w:val="00B77E92"/>
    <w:rsid w:val="00B8006C"/>
    <w:rsid w:val="00B81813"/>
    <w:rsid w:val="00B83B5D"/>
    <w:rsid w:val="00B8452E"/>
    <w:rsid w:val="00B85A57"/>
    <w:rsid w:val="00B8626B"/>
    <w:rsid w:val="00B86781"/>
    <w:rsid w:val="00B9007A"/>
    <w:rsid w:val="00B91C74"/>
    <w:rsid w:val="00B91CC2"/>
    <w:rsid w:val="00B91E16"/>
    <w:rsid w:val="00B9682D"/>
    <w:rsid w:val="00B9695F"/>
    <w:rsid w:val="00B97198"/>
    <w:rsid w:val="00B97350"/>
    <w:rsid w:val="00BA2359"/>
    <w:rsid w:val="00BA4811"/>
    <w:rsid w:val="00BA5508"/>
    <w:rsid w:val="00BB0392"/>
    <w:rsid w:val="00BB06FF"/>
    <w:rsid w:val="00BB1793"/>
    <w:rsid w:val="00BB302D"/>
    <w:rsid w:val="00BB46BE"/>
    <w:rsid w:val="00BC08B3"/>
    <w:rsid w:val="00BC18D0"/>
    <w:rsid w:val="00BC193D"/>
    <w:rsid w:val="00BC4469"/>
    <w:rsid w:val="00BC7B69"/>
    <w:rsid w:val="00BC7C0A"/>
    <w:rsid w:val="00BC7D59"/>
    <w:rsid w:val="00BD0600"/>
    <w:rsid w:val="00BD1C8D"/>
    <w:rsid w:val="00BD1D61"/>
    <w:rsid w:val="00BD3F3E"/>
    <w:rsid w:val="00BD49DF"/>
    <w:rsid w:val="00BD4F7A"/>
    <w:rsid w:val="00BD51A2"/>
    <w:rsid w:val="00BD6BB6"/>
    <w:rsid w:val="00BD7102"/>
    <w:rsid w:val="00BD788E"/>
    <w:rsid w:val="00BE030B"/>
    <w:rsid w:val="00BE1E93"/>
    <w:rsid w:val="00BE43EB"/>
    <w:rsid w:val="00BE52C8"/>
    <w:rsid w:val="00BE684F"/>
    <w:rsid w:val="00BF06BB"/>
    <w:rsid w:val="00BF1487"/>
    <w:rsid w:val="00BF23C5"/>
    <w:rsid w:val="00BF437A"/>
    <w:rsid w:val="00C06114"/>
    <w:rsid w:val="00C14C4D"/>
    <w:rsid w:val="00C163C7"/>
    <w:rsid w:val="00C17767"/>
    <w:rsid w:val="00C21151"/>
    <w:rsid w:val="00C24089"/>
    <w:rsid w:val="00C256B2"/>
    <w:rsid w:val="00C2671F"/>
    <w:rsid w:val="00C302F8"/>
    <w:rsid w:val="00C32945"/>
    <w:rsid w:val="00C33AEF"/>
    <w:rsid w:val="00C340EE"/>
    <w:rsid w:val="00C3483C"/>
    <w:rsid w:val="00C40027"/>
    <w:rsid w:val="00C40185"/>
    <w:rsid w:val="00C41991"/>
    <w:rsid w:val="00C46B9D"/>
    <w:rsid w:val="00C47C24"/>
    <w:rsid w:val="00C5389C"/>
    <w:rsid w:val="00C55B26"/>
    <w:rsid w:val="00C56BCD"/>
    <w:rsid w:val="00C57353"/>
    <w:rsid w:val="00C5759D"/>
    <w:rsid w:val="00C600E6"/>
    <w:rsid w:val="00C601FC"/>
    <w:rsid w:val="00C60456"/>
    <w:rsid w:val="00C60752"/>
    <w:rsid w:val="00C61F48"/>
    <w:rsid w:val="00C625AF"/>
    <w:rsid w:val="00C64656"/>
    <w:rsid w:val="00C65E5F"/>
    <w:rsid w:val="00C71D88"/>
    <w:rsid w:val="00C71E9E"/>
    <w:rsid w:val="00C71FE2"/>
    <w:rsid w:val="00C7232C"/>
    <w:rsid w:val="00C83563"/>
    <w:rsid w:val="00C83D5C"/>
    <w:rsid w:val="00C843F9"/>
    <w:rsid w:val="00C86459"/>
    <w:rsid w:val="00C87D87"/>
    <w:rsid w:val="00C905AA"/>
    <w:rsid w:val="00C909ED"/>
    <w:rsid w:val="00C90A95"/>
    <w:rsid w:val="00C93F8D"/>
    <w:rsid w:val="00C9495D"/>
    <w:rsid w:val="00C949BC"/>
    <w:rsid w:val="00C97174"/>
    <w:rsid w:val="00CA0142"/>
    <w:rsid w:val="00CA1302"/>
    <w:rsid w:val="00CA2066"/>
    <w:rsid w:val="00CA3EAE"/>
    <w:rsid w:val="00CA5839"/>
    <w:rsid w:val="00CA6AB0"/>
    <w:rsid w:val="00CA7D96"/>
    <w:rsid w:val="00CB1235"/>
    <w:rsid w:val="00CB6ABB"/>
    <w:rsid w:val="00CC2723"/>
    <w:rsid w:val="00CC3230"/>
    <w:rsid w:val="00CC3907"/>
    <w:rsid w:val="00CC4585"/>
    <w:rsid w:val="00CC4D96"/>
    <w:rsid w:val="00CC527E"/>
    <w:rsid w:val="00CD1348"/>
    <w:rsid w:val="00CD3073"/>
    <w:rsid w:val="00CD4DEE"/>
    <w:rsid w:val="00CD5808"/>
    <w:rsid w:val="00CD60D3"/>
    <w:rsid w:val="00CD6D96"/>
    <w:rsid w:val="00CE0106"/>
    <w:rsid w:val="00CE0CB9"/>
    <w:rsid w:val="00CE3FDA"/>
    <w:rsid w:val="00CE577A"/>
    <w:rsid w:val="00CE6BA7"/>
    <w:rsid w:val="00CE797E"/>
    <w:rsid w:val="00CF0113"/>
    <w:rsid w:val="00CF67CB"/>
    <w:rsid w:val="00CF7300"/>
    <w:rsid w:val="00CF7ABE"/>
    <w:rsid w:val="00D01184"/>
    <w:rsid w:val="00D014E6"/>
    <w:rsid w:val="00D035E2"/>
    <w:rsid w:val="00D06925"/>
    <w:rsid w:val="00D077CE"/>
    <w:rsid w:val="00D158C0"/>
    <w:rsid w:val="00D17A6D"/>
    <w:rsid w:val="00D2387D"/>
    <w:rsid w:val="00D23A6D"/>
    <w:rsid w:val="00D24F20"/>
    <w:rsid w:val="00D2581C"/>
    <w:rsid w:val="00D25CC5"/>
    <w:rsid w:val="00D26633"/>
    <w:rsid w:val="00D26C52"/>
    <w:rsid w:val="00D27DA1"/>
    <w:rsid w:val="00D33BBC"/>
    <w:rsid w:val="00D3415E"/>
    <w:rsid w:val="00D45142"/>
    <w:rsid w:val="00D45A89"/>
    <w:rsid w:val="00D4651A"/>
    <w:rsid w:val="00D4749B"/>
    <w:rsid w:val="00D47500"/>
    <w:rsid w:val="00D50EEB"/>
    <w:rsid w:val="00D51387"/>
    <w:rsid w:val="00D533A7"/>
    <w:rsid w:val="00D5364C"/>
    <w:rsid w:val="00D53A78"/>
    <w:rsid w:val="00D55AAC"/>
    <w:rsid w:val="00D61B06"/>
    <w:rsid w:val="00D71BB5"/>
    <w:rsid w:val="00D728D9"/>
    <w:rsid w:val="00D733AD"/>
    <w:rsid w:val="00D744C8"/>
    <w:rsid w:val="00D75593"/>
    <w:rsid w:val="00D759C9"/>
    <w:rsid w:val="00D762CF"/>
    <w:rsid w:val="00D8197F"/>
    <w:rsid w:val="00D82611"/>
    <w:rsid w:val="00D833A7"/>
    <w:rsid w:val="00D83B6B"/>
    <w:rsid w:val="00D8484E"/>
    <w:rsid w:val="00D86392"/>
    <w:rsid w:val="00D863E5"/>
    <w:rsid w:val="00D86FBF"/>
    <w:rsid w:val="00D87C55"/>
    <w:rsid w:val="00D91986"/>
    <w:rsid w:val="00D91E22"/>
    <w:rsid w:val="00D92039"/>
    <w:rsid w:val="00D93024"/>
    <w:rsid w:val="00D94DF3"/>
    <w:rsid w:val="00D9743B"/>
    <w:rsid w:val="00DA07F9"/>
    <w:rsid w:val="00DA1D6B"/>
    <w:rsid w:val="00DA31F0"/>
    <w:rsid w:val="00DA736B"/>
    <w:rsid w:val="00DB0FED"/>
    <w:rsid w:val="00DB2316"/>
    <w:rsid w:val="00DB2BA9"/>
    <w:rsid w:val="00DB5E60"/>
    <w:rsid w:val="00DC246E"/>
    <w:rsid w:val="00DC374D"/>
    <w:rsid w:val="00DC3A27"/>
    <w:rsid w:val="00DC579D"/>
    <w:rsid w:val="00DC588E"/>
    <w:rsid w:val="00DD2362"/>
    <w:rsid w:val="00DD2D2A"/>
    <w:rsid w:val="00DD4D35"/>
    <w:rsid w:val="00DD6786"/>
    <w:rsid w:val="00DE1A52"/>
    <w:rsid w:val="00DE2B4C"/>
    <w:rsid w:val="00DE2CB9"/>
    <w:rsid w:val="00DE39E9"/>
    <w:rsid w:val="00DE417A"/>
    <w:rsid w:val="00DF472E"/>
    <w:rsid w:val="00E02FA7"/>
    <w:rsid w:val="00E0317B"/>
    <w:rsid w:val="00E049FA"/>
    <w:rsid w:val="00E10B80"/>
    <w:rsid w:val="00E120FF"/>
    <w:rsid w:val="00E141D3"/>
    <w:rsid w:val="00E1672F"/>
    <w:rsid w:val="00E23A52"/>
    <w:rsid w:val="00E2489C"/>
    <w:rsid w:val="00E24947"/>
    <w:rsid w:val="00E2549C"/>
    <w:rsid w:val="00E2761F"/>
    <w:rsid w:val="00E303C0"/>
    <w:rsid w:val="00E307EE"/>
    <w:rsid w:val="00E315FC"/>
    <w:rsid w:val="00E34684"/>
    <w:rsid w:val="00E35738"/>
    <w:rsid w:val="00E3594C"/>
    <w:rsid w:val="00E360E3"/>
    <w:rsid w:val="00E36F20"/>
    <w:rsid w:val="00E37A54"/>
    <w:rsid w:val="00E41090"/>
    <w:rsid w:val="00E44482"/>
    <w:rsid w:val="00E451C9"/>
    <w:rsid w:val="00E47339"/>
    <w:rsid w:val="00E529ED"/>
    <w:rsid w:val="00E534DB"/>
    <w:rsid w:val="00E535A2"/>
    <w:rsid w:val="00E54CFE"/>
    <w:rsid w:val="00E56443"/>
    <w:rsid w:val="00E5647B"/>
    <w:rsid w:val="00E5740A"/>
    <w:rsid w:val="00E6333E"/>
    <w:rsid w:val="00E63FA2"/>
    <w:rsid w:val="00E655DF"/>
    <w:rsid w:val="00E66DEE"/>
    <w:rsid w:val="00E70FA5"/>
    <w:rsid w:val="00E773E1"/>
    <w:rsid w:val="00E77CD4"/>
    <w:rsid w:val="00E8020D"/>
    <w:rsid w:val="00E808D3"/>
    <w:rsid w:val="00E80F82"/>
    <w:rsid w:val="00E81103"/>
    <w:rsid w:val="00E82937"/>
    <w:rsid w:val="00E8376B"/>
    <w:rsid w:val="00E86641"/>
    <w:rsid w:val="00E9009E"/>
    <w:rsid w:val="00E9016D"/>
    <w:rsid w:val="00E90A00"/>
    <w:rsid w:val="00E9103B"/>
    <w:rsid w:val="00E91DC0"/>
    <w:rsid w:val="00E9410D"/>
    <w:rsid w:val="00E94EDA"/>
    <w:rsid w:val="00EA03B8"/>
    <w:rsid w:val="00EA39CE"/>
    <w:rsid w:val="00EA3DCE"/>
    <w:rsid w:val="00EA5ADD"/>
    <w:rsid w:val="00EA6DEE"/>
    <w:rsid w:val="00EB4238"/>
    <w:rsid w:val="00EB662F"/>
    <w:rsid w:val="00EC41A4"/>
    <w:rsid w:val="00ED062A"/>
    <w:rsid w:val="00ED172C"/>
    <w:rsid w:val="00ED1CB1"/>
    <w:rsid w:val="00ED35AD"/>
    <w:rsid w:val="00ED43D3"/>
    <w:rsid w:val="00ED4D87"/>
    <w:rsid w:val="00EE0823"/>
    <w:rsid w:val="00EE26A5"/>
    <w:rsid w:val="00EE3387"/>
    <w:rsid w:val="00EE4D56"/>
    <w:rsid w:val="00EE6416"/>
    <w:rsid w:val="00EE7E1C"/>
    <w:rsid w:val="00EF0D38"/>
    <w:rsid w:val="00EF2E10"/>
    <w:rsid w:val="00F00990"/>
    <w:rsid w:val="00F01D40"/>
    <w:rsid w:val="00F01EC2"/>
    <w:rsid w:val="00F020FA"/>
    <w:rsid w:val="00F022BB"/>
    <w:rsid w:val="00F04AF6"/>
    <w:rsid w:val="00F0734B"/>
    <w:rsid w:val="00F10808"/>
    <w:rsid w:val="00F2097D"/>
    <w:rsid w:val="00F21D1C"/>
    <w:rsid w:val="00F256A5"/>
    <w:rsid w:val="00F30988"/>
    <w:rsid w:val="00F31590"/>
    <w:rsid w:val="00F335F6"/>
    <w:rsid w:val="00F3558B"/>
    <w:rsid w:val="00F36430"/>
    <w:rsid w:val="00F376ED"/>
    <w:rsid w:val="00F41707"/>
    <w:rsid w:val="00F423A9"/>
    <w:rsid w:val="00F42B22"/>
    <w:rsid w:val="00F43543"/>
    <w:rsid w:val="00F44B82"/>
    <w:rsid w:val="00F44DA2"/>
    <w:rsid w:val="00F45344"/>
    <w:rsid w:val="00F52B44"/>
    <w:rsid w:val="00F5324F"/>
    <w:rsid w:val="00F53FE4"/>
    <w:rsid w:val="00F54E59"/>
    <w:rsid w:val="00F55722"/>
    <w:rsid w:val="00F618D8"/>
    <w:rsid w:val="00F61DD7"/>
    <w:rsid w:val="00F64CE7"/>
    <w:rsid w:val="00F7047F"/>
    <w:rsid w:val="00F70E16"/>
    <w:rsid w:val="00F7351C"/>
    <w:rsid w:val="00F7414E"/>
    <w:rsid w:val="00F742D5"/>
    <w:rsid w:val="00F75281"/>
    <w:rsid w:val="00F75DE1"/>
    <w:rsid w:val="00F75F19"/>
    <w:rsid w:val="00F8142A"/>
    <w:rsid w:val="00F8210A"/>
    <w:rsid w:val="00F82C7B"/>
    <w:rsid w:val="00F83558"/>
    <w:rsid w:val="00F86970"/>
    <w:rsid w:val="00F9202D"/>
    <w:rsid w:val="00F970F6"/>
    <w:rsid w:val="00F97EEB"/>
    <w:rsid w:val="00FA287D"/>
    <w:rsid w:val="00FA322A"/>
    <w:rsid w:val="00FA34AD"/>
    <w:rsid w:val="00FA3FEB"/>
    <w:rsid w:val="00FA4236"/>
    <w:rsid w:val="00FA43B4"/>
    <w:rsid w:val="00FA4E16"/>
    <w:rsid w:val="00FA50D8"/>
    <w:rsid w:val="00FA673D"/>
    <w:rsid w:val="00FA6799"/>
    <w:rsid w:val="00FA6B8B"/>
    <w:rsid w:val="00FA6C27"/>
    <w:rsid w:val="00FB1201"/>
    <w:rsid w:val="00FB2667"/>
    <w:rsid w:val="00FB707D"/>
    <w:rsid w:val="00FB7364"/>
    <w:rsid w:val="00FC0CBE"/>
    <w:rsid w:val="00FC2767"/>
    <w:rsid w:val="00FD20AD"/>
    <w:rsid w:val="00FD281D"/>
    <w:rsid w:val="00FD2BAE"/>
    <w:rsid w:val="00FD3317"/>
    <w:rsid w:val="00FD42E7"/>
    <w:rsid w:val="00FD745B"/>
    <w:rsid w:val="00FE0614"/>
    <w:rsid w:val="00FE06AB"/>
    <w:rsid w:val="00FE0C23"/>
    <w:rsid w:val="00FE13CA"/>
    <w:rsid w:val="00FE1C85"/>
    <w:rsid w:val="00FE2282"/>
    <w:rsid w:val="00FE23BF"/>
    <w:rsid w:val="00FE43FD"/>
    <w:rsid w:val="00FE5EE1"/>
    <w:rsid w:val="00FE6B7B"/>
    <w:rsid w:val="00FF0D9B"/>
    <w:rsid w:val="00FF0FE6"/>
    <w:rsid w:val="00FF1C96"/>
    <w:rsid w:val="00FF2702"/>
    <w:rsid w:val="00FF334F"/>
    <w:rsid w:val="00FF4A58"/>
    <w:rsid w:val="00FF6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C654E"/>
  <w15:docId w15:val="{E8691EB0-168C-45EC-8708-A02E4282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0FF"/>
  </w:style>
  <w:style w:type="paragraph" w:styleId="Heading1">
    <w:name w:val="heading 1"/>
    <w:basedOn w:val="Normal"/>
    <w:next w:val="Normal"/>
    <w:link w:val="Heading1Char"/>
    <w:uiPriority w:val="9"/>
    <w:qFormat/>
    <w:rsid w:val="006B20FF"/>
    <w:pPr>
      <w:keepNext/>
      <w:keepLines/>
      <w:widowControl w:val="0"/>
      <w:pBdr>
        <w:top w:val="nil"/>
        <w:left w:val="nil"/>
        <w:bottom w:val="nil"/>
        <w:right w:val="nil"/>
        <w:between w:val="nil"/>
      </w:pBdr>
      <w:spacing w:line="360" w:lineRule="auto"/>
      <w:jc w:val="center"/>
      <w:outlineLvl w:val="0"/>
    </w:pPr>
    <w:rPr>
      <w:rFonts w:ascii="Univers LT Std 55" w:eastAsia="Cambria" w:hAnsi="Univers LT Std 55" w:cs="Cambria"/>
      <w:b/>
      <w:sz w:val="36"/>
      <w:szCs w:val="28"/>
    </w:rPr>
  </w:style>
  <w:style w:type="paragraph" w:styleId="Heading2">
    <w:name w:val="heading 2"/>
    <w:basedOn w:val="Normal"/>
    <w:next w:val="Normal"/>
    <w:link w:val="Heading2Char"/>
    <w:uiPriority w:val="9"/>
    <w:unhideWhenUsed/>
    <w:qFormat/>
    <w:rsid w:val="006B20FF"/>
    <w:pPr>
      <w:keepNext/>
      <w:keepLines/>
      <w:spacing w:after="0" w:line="360" w:lineRule="auto"/>
      <w:outlineLvl w:val="1"/>
    </w:pPr>
    <w:rPr>
      <w:rFonts w:ascii="Univers LT Std 55" w:eastAsiaTheme="majorEastAsia" w:hAnsi="Univers LT Std 55" w:cstheme="majorBidi"/>
      <w:b/>
      <w:bCs/>
      <w:sz w:val="28"/>
      <w:szCs w:val="24"/>
    </w:rPr>
  </w:style>
  <w:style w:type="paragraph" w:styleId="Heading3">
    <w:name w:val="heading 3"/>
    <w:basedOn w:val="Normal"/>
    <w:next w:val="Normal"/>
    <w:link w:val="Heading3Char"/>
    <w:uiPriority w:val="9"/>
    <w:unhideWhenUsed/>
    <w:qFormat/>
    <w:rsid w:val="006B20FF"/>
    <w:pPr>
      <w:keepNext/>
      <w:keepLines/>
      <w:spacing w:before="120" w:after="240" w:line="240" w:lineRule="auto"/>
      <w:outlineLvl w:val="2"/>
    </w:pPr>
    <w:rPr>
      <w:rFonts w:ascii="Univers LT Std 55" w:eastAsiaTheme="majorEastAsia" w:hAnsi="Univers LT Std 55" w:cstheme="majorBidi"/>
      <w:b/>
      <w:bCs/>
      <w:i/>
      <w:sz w:val="24"/>
    </w:rPr>
  </w:style>
  <w:style w:type="paragraph" w:styleId="Heading4">
    <w:name w:val="heading 4"/>
    <w:basedOn w:val="Normal"/>
    <w:next w:val="Normal"/>
    <w:link w:val="Heading4Char"/>
    <w:uiPriority w:val="9"/>
    <w:unhideWhenUsed/>
    <w:qFormat/>
    <w:rsid w:val="006B20FF"/>
    <w:pPr>
      <w:keepNext/>
      <w:keepLines/>
      <w:spacing w:before="120" w:after="240"/>
      <w:outlineLvl w:val="3"/>
    </w:pPr>
    <w:rPr>
      <w:rFonts w:ascii="Univers LT Std 55" w:eastAsiaTheme="majorEastAsia" w:hAnsi="Univers LT Std 55" w:cstheme="majorBidi"/>
      <w:b/>
      <w:bCs/>
      <w:iCs/>
    </w:rPr>
  </w:style>
  <w:style w:type="paragraph" w:styleId="Heading5">
    <w:name w:val="heading 5"/>
    <w:basedOn w:val="Normal"/>
    <w:next w:val="Normal"/>
    <w:link w:val="Heading5Char"/>
    <w:uiPriority w:val="9"/>
    <w:unhideWhenUsed/>
    <w:qFormat/>
    <w:rsid w:val="006B20FF"/>
    <w:pPr>
      <w:keepNext/>
      <w:keepLines/>
      <w:spacing w:before="40" w:after="120"/>
      <w:outlineLvl w:val="4"/>
    </w:pPr>
    <w:rPr>
      <w:rFonts w:ascii="Arial" w:eastAsiaTheme="majorEastAsia" w:hAnsi="Arial" w:cstheme="majorBidi"/>
      <w:sz w:val="23"/>
      <w:u w:val="single"/>
    </w:rPr>
  </w:style>
  <w:style w:type="paragraph" w:styleId="Heading6">
    <w:name w:val="heading 6"/>
    <w:basedOn w:val="Normal"/>
    <w:next w:val="Normal"/>
    <w:link w:val="Heading6Char"/>
    <w:uiPriority w:val="9"/>
    <w:unhideWhenUsed/>
    <w:qFormat/>
    <w:rsid w:val="006B20F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0FF"/>
    <w:pPr>
      <w:numPr>
        <w:numId w:val="4"/>
      </w:numPr>
      <w:spacing w:line="360" w:lineRule="auto"/>
      <w:contextualSpacing/>
    </w:pPr>
    <w:rPr>
      <w:rFonts w:ascii="Univers LT Std 45 Light" w:hAnsi="Univers LT Std 45 Light"/>
      <w:spacing w:val="-6"/>
      <w:sz w:val="24"/>
      <w:szCs w:val="20"/>
    </w:rPr>
  </w:style>
  <w:style w:type="paragraph" w:styleId="EndnoteText">
    <w:name w:val="endnote text"/>
    <w:basedOn w:val="Normal"/>
    <w:link w:val="EndnoteTextChar"/>
    <w:uiPriority w:val="99"/>
    <w:unhideWhenUsed/>
    <w:rsid w:val="007749CE"/>
    <w:pPr>
      <w:spacing w:after="0"/>
      <w:ind w:left="144"/>
    </w:pPr>
    <w:rPr>
      <w:rFonts w:ascii="Arial" w:hAnsi="Arial"/>
      <w:sz w:val="18"/>
      <w:szCs w:val="18"/>
    </w:rPr>
  </w:style>
  <w:style w:type="character" w:customStyle="1" w:styleId="EndnoteTextChar">
    <w:name w:val="Endnote Text Char"/>
    <w:basedOn w:val="DefaultParagraphFont"/>
    <w:link w:val="EndnoteText"/>
    <w:uiPriority w:val="99"/>
    <w:rsid w:val="007749CE"/>
    <w:rPr>
      <w:rFonts w:ascii="Arial" w:hAnsi="Arial"/>
      <w:sz w:val="18"/>
      <w:szCs w:val="18"/>
    </w:rPr>
  </w:style>
  <w:style w:type="character" w:styleId="EndnoteReference">
    <w:name w:val="endnote reference"/>
    <w:basedOn w:val="DefaultParagraphFont"/>
    <w:uiPriority w:val="99"/>
    <w:semiHidden/>
    <w:unhideWhenUsed/>
    <w:rsid w:val="006B20FF"/>
    <w:rPr>
      <w:vertAlign w:val="superscript"/>
    </w:rPr>
  </w:style>
  <w:style w:type="character" w:styleId="Hyperlink">
    <w:name w:val="Hyperlink"/>
    <w:basedOn w:val="DefaultParagraphFont"/>
    <w:uiPriority w:val="99"/>
    <w:unhideWhenUsed/>
    <w:rsid w:val="006B20FF"/>
    <w:rPr>
      <w:color w:val="0000FF"/>
      <w:sz w:val="20"/>
      <w:u w:val="single"/>
    </w:rPr>
  </w:style>
  <w:style w:type="paragraph" w:styleId="FootnoteText">
    <w:name w:val="footnote text"/>
    <w:basedOn w:val="Normal"/>
    <w:link w:val="FootnoteTextChar"/>
    <w:uiPriority w:val="99"/>
    <w:semiHidden/>
    <w:unhideWhenUsed/>
    <w:rsid w:val="006B20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20FF"/>
    <w:rPr>
      <w:sz w:val="20"/>
      <w:szCs w:val="20"/>
    </w:rPr>
  </w:style>
  <w:style w:type="character" w:styleId="FootnoteReference">
    <w:name w:val="footnote reference"/>
    <w:basedOn w:val="DefaultParagraphFont"/>
    <w:uiPriority w:val="99"/>
    <w:semiHidden/>
    <w:unhideWhenUsed/>
    <w:rsid w:val="006B20FF"/>
    <w:rPr>
      <w:vertAlign w:val="superscript"/>
    </w:rPr>
  </w:style>
  <w:style w:type="paragraph" w:styleId="NormalWeb">
    <w:name w:val="Normal (Web)"/>
    <w:basedOn w:val="Normal"/>
    <w:uiPriority w:val="99"/>
    <w:unhideWhenUsed/>
    <w:rsid w:val="006B20F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B20FF"/>
    <w:rPr>
      <w:sz w:val="16"/>
      <w:szCs w:val="16"/>
    </w:rPr>
  </w:style>
  <w:style w:type="paragraph" w:styleId="CommentText">
    <w:name w:val="annotation text"/>
    <w:basedOn w:val="Normal"/>
    <w:link w:val="CommentTextChar"/>
    <w:uiPriority w:val="99"/>
    <w:unhideWhenUsed/>
    <w:rsid w:val="006B20FF"/>
    <w:pPr>
      <w:spacing w:line="240" w:lineRule="auto"/>
    </w:pPr>
    <w:rPr>
      <w:sz w:val="20"/>
      <w:szCs w:val="20"/>
    </w:rPr>
  </w:style>
  <w:style w:type="character" w:customStyle="1" w:styleId="CommentTextChar">
    <w:name w:val="Comment Text Char"/>
    <w:basedOn w:val="DefaultParagraphFont"/>
    <w:link w:val="CommentText"/>
    <w:uiPriority w:val="99"/>
    <w:rsid w:val="006B20FF"/>
    <w:rPr>
      <w:sz w:val="20"/>
      <w:szCs w:val="20"/>
    </w:rPr>
  </w:style>
  <w:style w:type="paragraph" w:styleId="CommentSubject">
    <w:name w:val="annotation subject"/>
    <w:basedOn w:val="CommentText"/>
    <w:next w:val="CommentText"/>
    <w:link w:val="CommentSubjectChar"/>
    <w:uiPriority w:val="99"/>
    <w:semiHidden/>
    <w:unhideWhenUsed/>
    <w:rsid w:val="006B20FF"/>
    <w:rPr>
      <w:b/>
      <w:bCs/>
    </w:rPr>
  </w:style>
  <w:style w:type="character" w:customStyle="1" w:styleId="CommentSubjectChar">
    <w:name w:val="Comment Subject Char"/>
    <w:basedOn w:val="CommentTextChar"/>
    <w:link w:val="CommentSubject"/>
    <w:uiPriority w:val="99"/>
    <w:semiHidden/>
    <w:rsid w:val="006B20FF"/>
    <w:rPr>
      <w:b/>
      <w:bCs/>
      <w:sz w:val="20"/>
      <w:szCs w:val="20"/>
    </w:rPr>
  </w:style>
  <w:style w:type="paragraph" w:styleId="BalloonText">
    <w:name w:val="Balloon Text"/>
    <w:basedOn w:val="Normal"/>
    <w:link w:val="BalloonTextChar"/>
    <w:uiPriority w:val="99"/>
    <w:semiHidden/>
    <w:unhideWhenUsed/>
    <w:rsid w:val="006B2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0FF"/>
    <w:rPr>
      <w:rFonts w:ascii="Segoe UI" w:hAnsi="Segoe UI" w:cs="Segoe UI"/>
      <w:sz w:val="18"/>
      <w:szCs w:val="18"/>
    </w:rPr>
  </w:style>
  <w:style w:type="paragraph" w:styleId="Revision">
    <w:name w:val="Revision"/>
    <w:hidden/>
    <w:uiPriority w:val="99"/>
    <w:semiHidden/>
    <w:rsid w:val="006B20FF"/>
    <w:pPr>
      <w:spacing w:after="0" w:line="240" w:lineRule="auto"/>
    </w:pPr>
  </w:style>
  <w:style w:type="paragraph" w:styleId="Header">
    <w:name w:val="header"/>
    <w:basedOn w:val="Normal"/>
    <w:link w:val="HeaderChar"/>
    <w:uiPriority w:val="99"/>
    <w:unhideWhenUsed/>
    <w:rsid w:val="006B2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0FF"/>
  </w:style>
  <w:style w:type="paragraph" w:styleId="Footer">
    <w:name w:val="footer"/>
    <w:basedOn w:val="Normal"/>
    <w:link w:val="FooterChar"/>
    <w:uiPriority w:val="99"/>
    <w:unhideWhenUsed/>
    <w:rsid w:val="006B2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0FF"/>
  </w:style>
  <w:style w:type="character" w:customStyle="1" w:styleId="Heading1Char">
    <w:name w:val="Heading 1 Char"/>
    <w:basedOn w:val="DefaultParagraphFont"/>
    <w:link w:val="Heading1"/>
    <w:uiPriority w:val="9"/>
    <w:rsid w:val="006B20FF"/>
    <w:rPr>
      <w:rFonts w:ascii="Univers LT Std 55" w:eastAsia="Cambria" w:hAnsi="Univers LT Std 55" w:cs="Cambria"/>
      <w:b/>
      <w:sz w:val="36"/>
      <w:szCs w:val="28"/>
    </w:rPr>
  </w:style>
  <w:style w:type="paragraph" w:customStyle="1" w:styleId="NCDEndnoteText">
    <w:name w:val="NCD.Endnote Text"/>
    <w:basedOn w:val="Normal"/>
    <w:rsid w:val="006B20FF"/>
    <w:pPr>
      <w:widowControl w:val="0"/>
      <w:pBdr>
        <w:top w:val="nil"/>
        <w:left w:val="nil"/>
        <w:bottom w:val="nil"/>
        <w:right w:val="nil"/>
        <w:between w:val="nil"/>
      </w:pBdr>
      <w:spacing w:line="240" w:lineRule="auto"/>
    </w:pPr>
    <w:rPr>
      <w:rFonts w:ascii="Arial" w:eastAsia="Arial" w:hAnsi="Arial" w:cs="Arial"/>
      <w:sz w:val="24"/>
      <w:szCs w:val="24"/>
    </w:rPr>
  </w:style>
  <w:style w:type="paragraph" w:customStyle="1" w:styleId="NCDBodyText">
    <w:name w:val="NCD.Body Text"/>
    <w:rsid w:val="006B20FF"/>
    <w:pPr>
      <w:widowControl w:val="0"/>
      <w:spacing w:after="0" w:line="360" w:lineRule="auto"/>
    </w:pPr>
    <w:rPr>
      <w:rFonts w:ascii="Arial" w:eastAsia="Arial" w:hAnsi="Arial" w:cs="Arial"/>
      <w:color w:val="000000"/>
      <w:sz w:val="20"/>
    </w:rPr>
  </w:style>
  <w:style w:type="paragraph" w:customStyle="1" w:styleId="NCDBulletsLevel1">
    <w:name w:val="NCD.Bullets Level 1"/>
    <w:rsid w:val="006B20FF"/>
    <w:pPr>
      <w:numPr>
        <w:numId w:val="1"/>
      </w:numPr>
      <w:spacing w:line="360" w:lineRule="auto"/>
      <w:ind w:left="360"/>
    </w:pPr>
    <w:rPr>
      <w:rFonts w:ascii="Arial" w:eastAsia="Calibri" w:hAnsi="Arial" w:cs="Arial"/>
      <w:color w:val="000000"/>
      <w:sz w:val="24"/>
      <w:szCs w:val="24"/>
    </w:rPr>
  </w:style>
  <w:style w:type="character" w:customStyle="1" w:styleId="UnresolvedMention1">
    <w:name w:val="Unresolved Mention1"/>
    <w:basedOn w:val="DefaultParagraphFont"/>
    <w:uiPriority w:val="99"/>
    <w:semiHidden/>
    <w:unhideWhenUsed/>
    <w:rsid w:val="006B20FF"/>
    <w:rPr>
      <w:color w:val="808080"/>
      <w:shd w:val="clear" w:color="auto" w:fill="E6E6E6"/>
    </w:rPr>
  </w:style>
  <w:style w:type="numbering" w:customStyle="1" w:styleId="NoList1">
    <w:name w:val="No List1"/>
    <w:next w:val="NoList"/>
    <w:uiPriority w:val="99"/>
    <w:semiHidden/>
    <w:unhideWhenUsed/>
    <w:rsid w:val="006B20FF"/>
  </w:style>
  <w:style w:type="character" w:styleId="Strong">
    <w:name w:val="Strong"/>
    <w:basedOn w:val="DefaultParagraphFont"/>
    <w:uiPriority w:val="22"/>
    <w:qFormat/>
    <w:rsid w:val="006B20FF"/>
    <w:rPr>
      <w:b/>
      <w:bCs/>
    </w:rPr>
  </w:style>
  <w:style w:type="character" w:customStyle="1" w:styleId="states">
    <w:name w:val="states"/>
    <w:basedOn w:val="DefaultParagraphFont"/>
    <w:rsid w:val="006B20FF"/>
  </w:style>
  <w:style w:type="table" w:styleId="TableGrid">
    <w:name w:val="Table Grid"/>
    <w:basedOn w:val="TableNormal"/>
    <w:uiPriority w:val="59"/>
    <w:rsid w:val="006B2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B2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B2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B2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B2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B2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6B2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6B20FF"/>
    <w:pPr>
      <w:widowControl w:val="0"/>
      <w:spacing w:after="0" w:line="240" w:lineRule="auto"/>
    </w:pPr>
    <w:rPr>
      <w:rFonts w:ascii="Calibri" w:eastAsia="Calibri" w:hAnsi="Calibri" w:cs="Calibri"/>
      <w:color w:val="00000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6B20FF"/>
    <w:rPr>
      <w:i/>
      <w:iCs/>
    </w:rPr>
  </w:style>
  <w:style w:type="paragraph" w:styleId="Title">
    <w:name w:val="Title"/>
    <w:basedOn w:val="Normal"/>
    <w:next w:val="Normal"/>
    <w:link w:val="TitleChar"/>
    <w:uiPriority w:val="10"/>
    <w:qFormat/>
    <w:rsid w:val="006B20FF"/>
    <w:pPr>
      <w:spacing w:before="120" w:after="0" w:line="240" w:lineRule="auto"/>
    </w:pPr>
    <w:rPr>
      <w:rFonts w:ascii="Arial" w:eastAsiaTheme="majorEastAsia" w:hAnsi="Arial" w:cstheme="majorBidi"/>
      <w:color w:val="10498A"/>
      <w:spacing w:val="-10"/>
      <w:kern w:val="28"/>
      <w:sz w:val="36"/>
      <w:szCs w:val="56"/>
    </w:rPr>
  </w:style>
  <w:style w:type="character" w:customStyle="1" w:styleId="TitleChar">
    <w:name w:val="Title Char"/>
    <w:basedOn w:val="DefaultParagraphFont"/>
    <w:link w:val="Title"/>
    <w:uiPriority w:val="10"/>
    <w:rsid w:val="006B20FF"/>
    <w:rPr>
      <w:rFonts w:ascii="Arial" w:eastAsiaTheme="majorEastAsia" w:hAnsi="Arial" w:cstheme="majorBidi"/>
      <w:color w:val="10498A"/>
      <w:spacing w:val="-10"/>
      <w:kern w:val="28"/>
      <w:sz w:val="36"/>
      <w:szCs w:val="56"/>
    </w:rPr>
  </w:style>
  <w:style w:type="paragraph" w:styleId="TOC3">
    <w:name w:val="toc 3"/>
    <w:basedOn w:val="Normal"/>
    <w:next w:val="Normal"/>
    <w:autoRedefine/>
    <w:uiPriority w:val="39"/>
    <w:unhideWhenUsed/>
    <w:rsid w:val="006B20FF"/>
    <w:pPr>
      <w:tabs>
        <w:tab w:val="right" w:leader="dot" w:pos="10080"/>
      </w:tabs>
      <w:spacing w:after="100"/>
      <w:ind w:left="1440"/>
    </w:pPr>
    <w:rPr>
      <w:rFonts w:ascii="Univers LT Std 55" w:hAnsi="Univers LT Std 55"/>
      <w:iCs/>
      <w:noProof/>
    </w:rPr>
  </w:style>
  <w:style w:type="paragraph" w:customStyle="1" w:styleId="xmsonormal">
    <w:name w:val="x_msonormal"/>
    <w:basedOn w:val="Normal"/>
    <w:rsid w:val="006B20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6B20FF"/>
    <w:pPr>
      <w:spacing w:after="0" w:line="240" w:lineRule="auto"/>
    </w:pPr>
    <w:rPr>
      <w:rFonts w:ascii=".SF UI Text" w:hAnsi=".SF UI Text" w:cs="Calibri"/>
      <w:color w:val="454545"/>
      <w:sz w:val="26"/>
      <w:szCs w:val="26"/>
    </w:rPr>
  </w:style>
  <w:style w:type="paragraph" w:customStyle="1" w:styleId="p2">
    <w:name w:val="p2"/>
    <w:basedOn w:val="Normal"/>
    <w:rsid w:val="006B20FF"/>
    <w:pPr>
      <w:spacing w:after="0" w:line="240" w:lineRule="auto"/>
    </w:pPr>
    <w:rPr>
      <w:rFonts w:ascii=".SF UI Text" w:hAnsi=".SF UI Text" w:cs="Calibri"/>
      <w:color w:val="454545"/>
      <w:sz w:val="26"/>
      <w:szCs w:val="26"/>
    </w:rPr>
  </w:style>
  <w:style w:type="character" w:customStyle="1" w:styleId="s1">
    <w:name w:val="s1"/>
    <w:basedOn w:val="DefaultParagraphFont"/>
    <w:rsid w:val="006B20FF"/>
    <w:rPr>
      <w:rFonts w:ascii=".SFUIText-Regular" w:hAnsi=".SFUIText-Regular" w:hint="default"/>
      <w:b w:val="0"/>
      <w:bCs w:val="0"/>
      <w:i w:val="0"/>
      <w:iCs w:val="0"/>
      <w:sz w:val="34"/>
      <w:szCs w:val="34"/>
    </w:rPr>
  </w:style>
  <w:style w:type="character" w:customStyle="1" w:styleId="apple-converted-space">
    <w:name w:val="apple-converted-space"/>
    <w:basedOn w:val="DefaultParagraphFont"/>
    <w:rsid w:val="006B20FF"/>
  </w:style>
  <w:style w:type="character" w:customStyle="1" w:styleId="Heading2Char">
    <w:name w:val="Heading 2 Char"/>
    <w:basedOn w:val="DefaultParagraphFont"/>
    <w:link w:val="Heading2"/>
    <w:uiPriority w:val="9"/>
    <w:rsid w:val="006B20FF"/>
    <w:rPr>
      <w:rFonts w:ascii="Univers LT Std 55" w:eastAsiaTheme="majorEastAsia" w:hAnsi="Univers LT Std 55" w:cstheme="majorBidi"/>
      <w:b/>
      <w:bCs/>
      <w:sz w:val="28"/>
      <w:szCs w:val="24"/>
    </w:rPr>
  </w:style>
  <w:style w:type="character" w:customStyle="1" w:styleId="Heading4Char">
    <w:name w:val="Heading 4 Char"/>
    <w:basedOn w:val="DefaultParagraphFont"/>
    <w:link w:val="Heading4"/>
    <w:uiPriority w:val="9"/>
    <w:rsid w:val="006B20FF"/>
    <w:rPr>
      <w:rFonts w:ascii="Univers LT Std 55" w:eastAsiaTheme="majorEastAsia" w:hAnsi="Univers LT Std 55" w:cstheme="majorBidi"/>
      <w:b/>
      <w:bCs/>
      <w:iCs/>
    </w:rPr>
  </w:style>
  <w:style w:type="character" w:customStyle="1" w:styleId="Heading3Char">
    <w:name w:val="Heading 3 Char"/>
    <w:basedOn w:val="DefaultParagraphFont"/>
    <w:link w:val="Heading3"/>
    <w:uiPriority w:val="9"/>
    <w:rsid w:val="006B20FF"/>
    <w:rPr>
      <w:rFonts w:ascii="Univers LT Std 55" w:eastAsiaTheme="majorEastAsia" w:hAnsi="Univers LT Std 55" w:cstheme="majorBidi"/>
      <w:b/>
      <w:bCs/>
      <w:i/>
      <w:sz w:val="24"/>
    </w:rPr>
  </w:style>
  <w:style w:type="character" w:customStyle="1" w:styleId="UnresolvedMention2">
    <w:name w:val="Unresolved Mention2"/>
    <w:basedOn w:val="DefaultParagraphFont"/>
    <w:uiPriority w:val="99"/>
    <w:semiHidden/>
    <w:unhideWhenUsed/>
    <w:rsid w:val="006B20FF"/>
    <w:rPr>
      <w:color w:val="808080"/>
      <w:shd w:val="clear" w:color="auto" w:fill="E6E6E6"/>
    </w:rPr>
  </w:style>
  <w:style w:type="character" w:styleId="FollowedHyperlink">
    <w:name w:val="FollowedHyperlink"/>
    <w:basedOn w:val="DefaultParagraphFont"/>
    <w:uiPriority w:val="99"/>
    <w:semiHidden/>
    <w:unhideWhenUsed/>
    <w:rsid w:val="006B20FF"/>
    <w:rPr>
      <w:color w:val="800080" w:themeColor="followedHyperlink"/>
      <w:u w:val="single"/>
    </w:rPr>
  </w:style>
  <w:style w:type="paragraph" w:customStyle="1" w:styleId="appendix">
    <w:name w:val="appendix"/>
    <w:basedOn w:val="Normal"/>
    <w:qFormat/>
    <w:rsid w:val="006B20FF"/>
    <w:pPr>
      <w:spacing w:after="0" w:line="360" w:lineRule="auto"/>
    </w:pPr>
    <w:rPr>
      <w:rFonts w:ascii="Arial" w:hAnsi="Arial" w:cs="Arial"/>
      <w:sz w:val="24"/>
      <w:szCs w:val="24"/>
    </w:rPr>
  </w:style>
  <w:style w:type="paragraph" w:styleId="TOC1">
    <w:name w:val="toc 1"/>
    <w:basedOn w:val="Normal"/>
    <w:next w:val="Normal"/>
    <w:autoRedefine/>
    <w:uiPriority w:val="39"/>
    <w:unhideWhenUsed/>
    <w:rsid w:val="006B20FF"/>
    <w:pPr>
      <w:tabs>
        <w:tab w:val="right" w:leader="dot" w:pos="10070"/>
      </w:tabs>
      <w:spacing w:after="120"/>
    </w:pPr>
    <w:rPr>
      <w:rFonts w:ascii="Univers LT Std 55" w:hAnsi="Univers LT Std 55"/>
      <w:sz w:val="28"/>
      <w:szCs w:val="28"/>
    </w:rPr>
  </w:style>
  <w:style w:type="paragraph" w:styleId="TOCHeading">
    <w:name w:val="TOC Heading"/>
    <w:basedOn w:val="Heading1"/>
    <w:next w:val="Normal"/>
    <w:uiPriority w:val="39"/>
    <w:unhideWhenUsed/>
    <w:qFormat/>
    <w:rsid w:val="006B20FF"/>
    <w:pPr>
      <w:widowControl/>
      <w:pBdr>
        <w:top w:val="none" w:sz="0" w:space="0" w:color="auto"/>
        <w:left w:val="none" w:sz="0" w:space="0" w:color="auto"/>
        <w:bottom w:val="none" w:sz="0" w:space="0" w:color="auto"/>
        <w:right w:val="none" w:sz="0" w:space="0" w:color="auto"/>
        <w:between w:val="none" w:sz="0" w:space="0" w:color="auto"/>
      </w:pBdr>
      <w:spacing w:line="259" w:lineRule="auto"/>
      <w:outlineLvl w:val="9"/>
    </w:pPr>
    <w:rPr>
      <w:rFonts w:asciiTheme="majorHAnsi" w:eastAsiaTheme="majorEastAsia" w:hAnsiTheme="majorHAnsi" w:cstheme="majorBidi"/>
      <w:color w:val="365F91" w:themeColor="accent1" w:themeShade="BF"/>
      <w:szCs w:val="32"/>
    </w:rPr>
  </w:style>
  <w:style w:type="paragraph" w:styleId="TOC2">
    <w:name w:val="toc 2"/>
    <w:basedOn w:val="Normal"/>
    <w:next w:val="Normal"/>
    <w:autoRedefine/>
    <w:uiPriority w:val="39"/>
    <w:unhideWhenUsed/>
    <w:rsid w:val="006B20FF"/>
    <w:pPr>
      <w:tabs>
        <w:tab w:val="right" w:leader="dot" w:pos="10070"/>
      </w:tabs>
      <w:spacing w:after="100"/>
      <w:ind w:left="990"/>
    </w:pPr>
    <w:rPr>
      <w:rFonts w:ascii="Univers LT Std 55" w:hAnsi="Univers LT Std 55"/>
    </w:rPr>
  </w:style>
  <w:style w:type="character" w:customStyle="1" w:styleId="UnresolvedMention3">
    <w:name w:val="Unresolved Mention3"/>
    <w:basedOn w:val="DefaultParagraphFont"/>
    <w:uiPriority w:val="99"/>
    <w:semiHidden/>
    <w:unhideWhenUsed/>
    <w:rsid w:val="00810C4A"/>
    <w:rPr>
      <w:color w:val="605E5C"/>
      <w:shd w:val="clear" w:color="auto" w:fill="E1DFDD"/>
    </w:rPr>
  </w:style>
  <w:style w:type="paragraph" w:customStyle="1" w:styleId="LetterHeaderTitle">
    <w:name w:val="Letter Header Title"/>
    <w:basedOn w:val="Normal"/>
    <w:qFormat/>
    <w:rsid w:val="006B20FF"/>
    <w:pPr>
      <w:tabs>
        <w:tab w:val="left" w:pos="5040"/>
      </w:tabs>
      <w:spacing w:after="40" w:line="240" w:lineRule="auto"/>
      <w:ind w:left="-65"/>
    </w:pPr>
    <w:rPr>
      <w:rFonts w:ascii="Univers LT Std 55" w:hAnsi="Univers LT Std 55" w:cs="Arial"/>
      <w:b/>
      <w:noProof/>
      <w:sz w:val="32"/>
      <w:szCs w:val="24"/>
    </w:rPr>
  </w:style>
  <w:style w:type="paragraph" w:customStyle="1" w:styleId="LetterHeaderBody">
    <w:name w:val="Letter Header Body"/>
    <w:basedOn w:val="Normal"/>
    <w:qFormat/>
    <w:rsid w:val="006B20FF"/>
    <w:pPr>
      <w:tabs>
        <w:tab w:val="left" w:pos="5040"/>
      </w:tabs>
      <w:spacing w:before="60" w:after="0" w:line="240" w:lineRule="auto"/>
      <w:ind w:left="-65"/>
    </w:pPr>
    <w:rPr>
      <w:rFonts w:ascii="Univers LT Std 45 Light" w:hAnsi="Univers LT Std 45 Light" w:cs="Arial"/>
      <w:sz w:val="21"/>
      <w:szCs w:val="20"/>
    </w:rPr>
  </w:style>
  <w:style w:type="paragraph" w:customStyle="1" w:styleId="LetterBody">
    <w:name w:val="Letter Body"/>
    <w:basedOn w:val="Normal"/>
    <w:qFormat/>
    <w:rsid w:val="006B20FF"/>
    <w:pPr>
      <w:spacing w:after="0" w:line="240" w:lineRule="auto"/>
    </w:pPr>
    <w:rPr>
      <w:rFonts w:ascii="Univers LT Std 45 Light" w:hAnsi="Univers LT Std 45 Light" w:cs="Arial"/>
      <w:color w:val="000000" w:themeColor="text1"/>
      <w:sz w:val="24"/>
    </w:rPr>
  </w:style>
  <w:style w:type="character" w:customStyle="1" w:styleId="Heading5Char">
    <w:name w:val="Heading 5 Char"/>
    <w:basedOn w:val="DefaultParagraphFont"/>
    <w:link w:val="Heading5"/>
    <w:uiPriority w:val="9"/>
    <w:rsid w:val="006B20FF"/>
    <w:rPr>
      <w:rFonts w:ascii="Arial" w:eastAsiaTheme="majorEastAsia" w:hAnsi="Arial" w:cstheme="majorBidi"/>
      <w:sz w:val="23"/>
      <w:u w:val="single"/>
    </w:rPr>
  </w:style>
  <w:style w:type="character" w:customStyle="1" w:styleId="Heading6Char">
    <w:name w:val="Heading 6 Char"/>
    <w:basedOn w:val="DefaultParagraphFont"/>
    <w:link w:val="Heading6"/>
    <w:uiPriority w:val="9"/>
    <w:rsid w:val="006B20FF"/>
    <w:rPr>
      <w:rFonts w:asciiTheme="majorHAnsi" w:eastAsiaTheme="majorEastAsia" w:hAnsiTheme="majorHAnsi" w:cstheme="majorBidi"/>
      <w:color w:val="243F60" w:themeColor="accent1" w:themeShade="7F"/>
    </w:rPr>
  </w:style>
  <w:style w:type="paragraph" w:customStyle="1" w:styleId="TitleBorder">
    <w:name w:val="Title Border"/>
    <w:basedOn w:val="Normal"/>
    <w:qFormat/>
    <w:rsid w:val="006B20FF"/>
    <w:pPr>
      <w:pBdr>
        <w:bottom w:val="single" w:sz="4" w:space="1" w:color="auto"/>
      </w:pBdr>
      <w:spacing w:after="960" w:line="240" w:lineRule="auto"/>
    </w:pPr>
    <w:rPr>
      <w:rFonts w:ascii="Arial" w:hAnsi="Arial"/>
      <w:color w:val="C00000"/>
      <w:sz w:val="20"/>
    </w:rPr>
  </w:style>
  <w:style w:type="character" w:styleId="PlaceholderText">
    <w:name w:val="Placeholder Text"/>
    <w:basedOn w:val="DefaultParagraphFont"/>
    <w:uiPriority w:val="99"/>
    <w:semiHidden/>
    <w:rsid w:val="006B20FF"/>
    <w:rPr>
      <w:color w:val="808080"/>
    </w:rPr>
  </w:style>
  <w:style w:type="paragraph" w:styleId="Quote">
    <w:name w:val="Quote"/>
    <w:basedOn w:val="Normal"/>
    <w:next w:val="Normal"/>
    <w:link w:val="QuoteChar"/>
    <w:uiPriority w:val="29"/>
    <w:qFormat/>
    <w:rsid w:val="006B20FF"/>
    <w:pPr>
      <w:pBdr>
        <w:top w:val="single" w:sz="4" w:space="1" w:color="auto"/>
      </w:pBdr>
      <w:spacing w:before="120" w:after="120" w:line="360" w:lineRule="auto"/>
    </w:pPr>
    <w:rPr>
      <w:rFonts w:ascii="Arial" w:hAnsi="Arial"/>
      <w:iCs/>
      <w:color w:val="10498A"/>
      <w:sz w:val="24"/>
    </w:rPr>
  </w:style>
  <w:style w:type="character" w:customStyle="1" w:styleId="QuoteChar">
    <w:name w:val="Quote Char"/>
    <w:basedOn w:val="DefaultParagraphFont"/>
    <w:link w:val="Quote"/>
    <w:uiPriority w:val="29"/>
    <w:rsid w:val="006B20FF"/>
    <w:rPr>
      <w:rFonts w:ascii="Arial" w:hAnsi="Arial"/>
      <w:iCs/>
      <w:color w:val="10498A"/>
      <w:sz w:val="24"/>
    </w:rPr>
  </w:style>
  <w:style w:type="paragraph" w:styleId="BodyText2">
    <w:name w:val="Body Text 2"/>
    <w:basedOn w:val="Normal"/>
    <w:link w:val="BodyText2Char"/>
    <w:uiPriority w:val="99"/>
    <w:unhideWhenUsed/>
    <w:rsid w:val="006B20FF"/>
    <w:pPr>
      <w:spacing w:after="120"/>
      <w:ind w:firstLine="227"/>
    </w:pPr>
    <w:rPr>
      <w:rFonts w:ascii="Univers LT Std 55" w:hAnsi="Univers LT Std 55"/>
      <w:sz w:val="20"/>
    </w:rPr>
  </w:style>
  <w:style w:type="character" w:customStyle="1" w:styleId="BodyText2Char">
    <w:name w:val="Body Text 2 Char"/>
    <w:basedOn w:val="DefaultParagraphFont"/>
    <w:link w:val="BodyText2"/>
    <w:uiPriority w:val="99"/>
    <w:rsid w:val="006B20FF"/>
    <w:rPr>
      <w:rFonts w:ascii="Univers LT Std 55" w:hAnsi="Univers LT Std 55"/>
      <w:sz w:val="20"/>
    </w:rPr>
  </w:style>
  <w:style w:type="character" w:customStyle="1" w:styleId="A4">
    <w:name w:val="A4"/>
    <w:uiPriority w:val="99"/>
    <w:rsid w:val="006B20FF"/>
    <w:rPr>
      <w:rFonts w:cs="Univers LT Std 45 Light"/>
      <w:b/>
      <w:bCs/>
      <w:color w:val="0F488A"/>
      <w:sz w:val="22"/>
      <w:szCs w:val="22"/>
    </w:rPr>
  </w:style>
  <w:style w:type="paragraph" w:customStyle="1" w:styleId="LetterFooter">
    <w:name w:val="Letter Footer"/>
    <w:basedOn w:val="Normal"/>
    <w:qFormat/>
    <w:rsid w:val="006B20FF"/>
    <w:pPr>
      <w:keepNext/>
      <w:keepLines/>
      <w:tabs>
        <w:tab w:val="left" w:pos="1671"/>
        <w:tab w:val="left" w:pos="4514"/>
      </w:tabs>
      <w:spacing w:after="120"/>
      <w:jc w:val="center"/>
    </w:pPr>
    <w:rPr>
      <w:rFonts w:ascii="Arial" w:hAnsi="Arial"/>
      <w:color w:val="10498A"/>
      <w:sz w:val="20"/>
      <w:szCs w:val="20"/>
    </w:rPr>
  </w:style>
  <w:style w:type="paragraph" w:customStyle="1" w:styleId="FooterEven">
    <w:name w:val="Footer Even"/>
    <w:basedOn w:val="Normal"/>
    <w:qFormat/>
    <w:rsid w:val="006B20FF"/>
    <w:pPr>
      <w:tabs>
        <w:tab w:val="left" w:pos="1480"/>
      </w:tabs>
      <w:spacing w:after="0" w:line="240" w:lineRule="auto"/>
      <w:ind w:left="1247"/>
    </w:pPr>
    <w:rPr>
      <w:rFonts w:ascii="Univers LT Std 55" w:hAnsi="Univers LT Std 55" w:cs="Arial"/>
      <w:color w:val="FFFFFF"/>
      <w:w w:val="105"/>
    </w:rPr>
  </w:style>
  <w:style w:type="paragraph" w:customStyle="1" w:styleId="FooterOdd">
    <w:name w:val="Footer Odd"/>
    <w:basedOn w:val="Normal"/>
    <w:link w:val="FooterOddChar"/>
    <w:qFormat/>
    <w:rsid w:val="006B20FF"/>
    <w:pPr>
      <w:tabs>
        <w:tab w:val="left" w:pos="8820"/>
      </w:tabs>
      <w:spacing w:before="160" w:after="0" w:line="240" w:lineRule="auto"/>
      <w:ind w:left="7560" w:right="1181"/>
    </w:pPr>
    <w:rPr>
      <w:rFonts w:ascii="Univers LT Std 45 Light" w:hAnsi="Univers LT Std 45 Light" w:cs="Arial"/>
      <w:color w:val="FFFFFF" w:themeColor="background1"/>
    </w:rPr>
  </w:style>
  <w:style w:type="paragraph" w:customStyle="1" w:styleId="MembersTitle">
    <w:name w:val="Members Title"/>
    <w:basedOn w:val="Normal"/>
    <w:qFormat/>
    <w:rsid w:val="006B20FF"/>
    <w:pPr>
      <w:spacing w:after="0" w:line="360" w:lineRule="auto"/>
      <w:jc w:val="center"/>
    </w:pPr>
    <w:rPr>
      <w:rFonts w:ascii="Univers LT Std 55" w:hAnsi="Univers LT Std 55" w:cs="Arial"/>
      <w:b/>
      <w:bCs/>
      <w:sz w:val="36"/>
      <w:szCs w:val="26"/>
    </w:rPr>
  </w:style>
  <w:style w:type="paragraph" w:customStyle="1" w:styleId="Memberssubtitle">
    <w:name w:val="Members subtitle"/>
    <w:basedOn w:val="Normal"/>
    <w:qFormat/>
    <w:rsid w:val="006B20FF"/>
    <w:pPr>
      <w:spacing w:before="120" w:after="240" w:line="240" w:lineRule="auto"/>
      <w:jc w:val="center"/>
    </w:pPr>
    <w:rPr>
      <w:rFonts w:ascii="Univers LT Std 55" w:hAnsi="Univers LT Std 55" w:cs="Arial"/>
      <w:b/>
      <w:bCs/>
      <w:sz w:val="24"/>
      <w:szCs w:val="24"/>
    </w:rPr>
  </w:style>
  <w:style w:type="paragraph" w:customStyle="1" w:styleId="MembersName">
    <w:name w:val="Members Name"/>
    <w:basedOn w:val="Normal"/>
    <w:qFormat/>
    <w:rsid w:val="006B20FF"/>
    <w:pPr>
      <w:autoSpaceDE w:val="0"/>
      <w:autoSpaceDN w:val="0"/>
      <w:adjustRightInd w:val="0"/>
      <w:spacing w:after="40" w:line="240" w:lineRule="auto"/>
      <w:jc w:val="center"/>
    </w:pPr>
    <w:rPr>
      <w:rFonts w:ascii="Univers LT Std 45 Light" w:hAnsi="Univers LT Std 45 Light" w:cs="Arial"/>
      <w:color w:val="000000"/>
      <w:sz w:val="24"/>
      <w:szCs w:val="20"/>
    </w:rPr>
  </w:style>
  <w:style w:type="paragraph" w:customStyle="1" w:styleId="ParaNoIndent">
    <w:name w:val="Para No Indent"/>
    <w:basedOn w:val="Normal"/>
    <w:qFormat/>
    <w:rsid w:val="006B20FF"/>
    <w:pPr>
      <w:spacing w:line="360" w:lineRule="auto"/>
    </w:pPr>
    <w:rPr>
      <w:rFonts w:ascii="Univers LT Std 45 Light" w:hAnsi="Univers LT Std 45 Light" w:cs="Arial"/>
      <w:sz w:val="24"/>
      <w:szCs w:val="20"/>
    </w:rPr>
  </w:style>
  <w:style w:type="paragraph" w:customStyle="1" w:styleId="TOCLevel1">
    <w:name w:val="TOC Level1"/>
    <w:basedOn w:val="TOC1"/>
    <w:qFormat/>
    <w:rsid w:val="006B20FF"/>
  </w:style>
  <w:style w:type="paragraph" w:customStyle="1" w:styleId="ParaIndent">
    <w:name w:val="Para Indent"/>
    <w:basedOn w:val="BodyText2"/>
    <w:qFormat/>
    <w:rsid w:val="006B20FF"/>
    <w:pPr>
      <w:spacing w:after="0" w:line="360" w:lineRule="auto"/>
      <w:ind w:firstLine="360"/>
    </w:pPr>
    <w:rPr>
      <w:rFonts w:ascii="Univers LT Std 45 Light" w:hAnsi="Univers LT Std 45 Light"/>
    </w:rPr>
  </w:style>
  <w:style w:type="paragraph" w:customStyle="1" w:styleId="Endnotes">
    <w:name w:val="Endnotes"/>
    <w:basedOn w:val="NCDEndnoteText"/>
    <w:qFormat/>
    <w:rsid w:val="006B20FF"/>
    <w:pPr>
      <w:spacing w:after="0"/>
    </w:pPr>
    <w:rPr>
      <w:color w:val="000000" w:themeColor="text1"/>
      <w:sz w:val="20"/>
      <w:szCs w:val="18"/>
    </w:rPr>
  </w:style>
  <w:style w:type="paragraph" w:styleId="NoSpacing">
    <w:name w:val="No Spacing"/>
    <w:link w:val="NoSpacingChar"/>
    <w:uiPriority w:val="1"/>
    <w:qFormat/>
    <w:rsid w:val="006B20FF"/>
    <w:pPr>
      <w:spacing w:after="0" w:line="240" w:lineRule="auto"/>
    </w:pPr>
    <w:rPr>
      <w:rFonts w:eastAsiaTheme="minorEastAsia"/>
    </w:rPr>
  </w:style>
  <w:style w:type="character" w:customStyle="1" w:styleId="NoSpacingChar">
    <w:name w:val="No Spacing Char"/>
    <w:basedOn w:val="DefaultParagraphFont"/>
    <w:link w:val="NoSpacing"/>
    <w:uiPriority w:val="1"/>
    <w:rsid w:val="006B20FF"/>
    <w:rPr>
      <w:rFonts w:eastAsiaTheme="minorEastAsia"/>
    </w:rPr>
  </w:style>
  <w:style w:type="paragraph" w:customStyle="1" w:styleId="NCDQuotes">
    <w:name w:val="NCD.Quotes"/>
    <w:basedOn w:val="Normal"/>
    <w:link w:val="NCDQuotesChar"/>
    <w:qFormat/>
    <w:rsid w:val="006B20FF"/>
    <w:pPr>
      <w:pBdr>
        <w:top w:val="single" w:sz="4" w:space="6" w:color="C00000"/>
      </w:pBdr>
      <w:spacing w:after="0" w:line="360" w:lineRule="auto"/>
    </w:pPr>
    <w:rPr>
      <w:rFonts w:ascii="Univers LT Std 55" w:hAnsi="Univers LT Std 55" w:cs="Arial"/>
      <w:i/>
      <w:color w:val="10498A"/>
      <w:spacing w:val="-6"/>
      <w:sz w:val="24"/>
      <w:szCs w:val="24"/>
    </w:rPr>
  </w:style>
  <w:style w:type="character" w:customStyle="1" w:styleId="NCDQuotesChar">
    <w:name w:val="NCD.Quotes Char"/>
    <w:basedOn w:val="DefaultParagraphFont"/>
    <w:link w:val="NCDQuotes"/>
    <w:rsid w:val="006B20FF"/>
    <w:rPr>
      <w:rFonts w:ascii="Univers LT Std 55" w:hAnsi="Univers LT Std 55" w:cs="Arial"/>
      <w:i/>
      <w:color w:val="10498A"/>
      <w:spacing w:val="-6"/>
      <w:sz w:val="24"/>
      <w:szCs w:val="24"/>
    </w:rPr>
  </w:style>
  <w:style w:type="paragraph" w:customStyle="1" w:styleId="AckBody">
    <w:name w:val="Ack Body"/>
    <w:basedOn w:val="ParaNoIndent"/>
    <w:qFormat/>
    <w:rsid w:val="006B20FF"/>
  </w:style>
  <w:style w:type="paragraph" w:customStyle="1" w:styleId="GlossaryEntry">
    <w:name w:val="Glossary Entry"/>
    <w:basedOn w:val="ParaNoIndent"/>
    <w:qFormat/>
    <w:rsid w:val="006B20FF"/>
    <w:pPr>
      <w:spacing w:line="240" w:lineRule="auto"/>
    </w:pPr>
    <w:rPr>
      <w:rFonts w:eastAsia="Times New Roman"/>
      <w:szCs w:val="24"/>
    </w:rPr>
  </w:style>
  <w:style w:type="paragraph" w:customStyle="1" w:styleId="SummaryBody">
    <w:name w:val="Summary Body"/>
    <w:basedOn w:val="ParaNoIndent"/>
    <w:qFormat/>
    <w:rsid w:val="006B20FF"/>
    <w:rPr>
      <w:szCs w:val="24"/>
    </w:rPr>
  </w:style>
  <w:style w:type="paragraph" w:customStyle="1" w:styleId="ChapterParaNoIndent">
    <w:name w:val="Chapter Para No Indent"/>
    <w:basedOn w:val="ParaNoIndent"/>
    <w:qFormat/>
    <w:rsid w:val="006B20FF"/>
    <w:rPr>
      <w:szCs w:val="24"/>
    </w:rPr>
  </w:style>
  <w:style w:type="paragraph" w:customStyle="1" w:styleId="ChapterParaIndent">
    <w:name w:val="Chapter Para Indent"/>
    <w:basedOn w:val="ChapterParaNoIndent"/>
    <w:qFormat/>
    <w:rsid w:val="006B20FF"/>
    <w:pPr>
      <w:keepNext/>
      <w:ind w:firstLine="360"/>
    </w:pPr>
    <w:rPr>
      <w:noProof/>
    </w:rPr>
  </w:style>
  <w:style w:type="paragraph" w:customStyle="1" w:styleId="Acronyms">
    <w:name w:val="Acronyms"/>
    <w:basedOn w:val="ParaNoIndent"/>
    <w:qFormat/>
    <w:rsid w:val="006B20FF"/>
    <w:pPr>
      <w:spacing w:line="240" w:lineRule="auto"/>
    </w:pPr>
    <w:rPr>
      <w:szCs w:val="24"/>
    </w:rPr>
  </w:style>
  <w:style w:type="paragraph" w:customStyle="1" w:styleId="AcronymsDef">
    <w:name w:val="Acronyms Def"/>
    <w:basedOn w:val="ParaNoIndent"/>
    <w:qFormat/>
    <w:rsid w:val="006B20FF"/>
    <w:pPr>
      <w:spacing w:line="240" w:lineRule="auto"/>
    </w:pPr>
    <w:rPr>
      <w:szCs w:val="24"/>
    </w:rPr>
  </w:style>
  <w:style w:type="paragraph" w:customStyle="1" w:styleId="PullQuotes">
    <w:name w:val="Pull Quotes"/>
    <w:basedOn w:val="Normal"/>
    <w:qFormat/>
    <w:rsid w:val="006B20FF"/>
    <w:pPr>
      <w:spacing w:line="360" w:lineRule="auto"/>
    </w:pPr>
    <w:rPr>
      <w:rFonts w:ascii="Univers LT Std 55" w:hAnsi="Univers LT Std 55"/>
      <w:color w:val="114A8B"/>
      <w:sz w:val="24"/>
      <w:szCs w:val="24"/>
    </w:rPr>
  </w:style>
  <w:style w:type="paragraph" w:styleId="TOC4">
    <w:name w:val="toc 4"/>
    <w:basedOn w:val="Normal"/>
    <w:next w:val="Normal"/>
    <w:autoRedefine/>
    <w:uiPriority w:val="39"/>
    <w:unhideWhenUsed/>
    <w:rsid w:val="006B20FF"/>
    <w:pPr>
      <w:tabs>
        <w:tab w:val="right" w:leader="dot" w:pos="9350"/>
      </w:tabs>
      <w:spacing w:after="100"/>
      <w:ind w:left="1800"/>
    </w:pPr>
  </w:style>
  <w:style w:type="paragraph" w:customStyle="1" w:styleId="ListParaLevel2">
    <w:name w:val="List Para Level 2"/>
    <w:basedOn w:val="ListParagraph"/>
    <w:qFormat/>
    <w:rsid w:val="006B20FF"/>
    <w:pPr>
      <w:numPr>
        <w:numId w:val="5"/>
      </w:numPr>
    </w:pPr>
  </w:style>
  <w:style w:type="character" w:customStyle="1" w:styleId="UnresolvedMention30">
    <w:name w:val="Unresolved Mention3"/>
    <w:basedOn w:val="DefaultParagraphFont"/>
    <w:uiPriority w:val="99"/>
    <w:semiHidden/>
    <w:unhideWhenUsed/>
    <w:rsid w:val="006B20FF"/>
    <w:rPr>
      <w:color w:val="808080"/>
      <w:shd w:val="clear" w:color="auto" w:fill="E6E6E6"/>
    </w:rPr>
  </w:style>
  <w:style w:type="paragraph" w:customStyle="1" w:styleId="TableTitle">
    <w:name w:val="Table Title"/>
    <w:basedOn w:val="Heading2"/>
    <w:qFormat/>
    <w:rsid w:val="006B20FF"/>
    <w:pPr>
      <w:jc w:val="center"/>
    </w:pPr>
    <w:rPr>
      <w:rFonts w:cs="Arial"/>
    </w:rPr>
  </w:style>
  <w:style w:type="paragraph" w:customStyle="1" w:styleId="TableHeader">
    <w:name w:val="Table Header"/>
    <w:basedOn w:val="Normal"/>
    <w:qFormat/>
    <w:rsid w:val="006B20FF"/>
    <w:pPr>
      <w:spacing w:before="120" w:after="120" w:line="360" w:lineRule="auto"/>
    </w:pPr>
    <w:rPr>
      <w:rFonts w:ascii="Univers LT Std 45 Light" w:eastAsia="Arial" w:hAnsi="Univers LT Std 45 Light" w:cs="Arial"/>
      <w:b/>
      <w:sz w:val="24"/>
    </w:rPr>
  </w:style>
  <w:style w:type="paragraph" w:customStyle="1" w:styleId="ObjectTitle">
    <w:name w:val="Object Title"/>
    <w:basedOn w:val="ChapterParaIndent"/>
    <w:qFormat/>
    <w:rsid w:val="006B20FF"/>
    <w:pPr>
      <w:spacing w:before="240"/>
      <w:ind w:hanging="634"/>
      <w:jc w:val="center"/>
    </w:pPr>
    <w:rPr>
      <w:b/>
      <w:bCs/>
    </w:rPr>
  </w:style>
  <w:style w:type="character" w:customStyle="1" w:styleId="UnresolvedMention4">
    <w:name w:val="Unresolved Mention4"/>
    <w:basedOn w:val="DefaultParagraphFont"/>
    <w:uiPriority w:val="99"/>
    <w:semiHidden/>
    <w:unhideWhenUsed/>
    <w:rsid w:val="006B20FF"/>
    <w:rPr>
      <w:color w:val="605E5C"/>
      <w:shd w:val="clear" w:color="auto" w:fill="E1DFDD"/>
    </w:rPr>
  </w:style>
  <w:style w:type="table" w:customStyle="1" w:styleId="TableGrid51">
    <w:name w:val="Table Grid51"/>
    <w:basedOn w:val="TableNormal"/>
    <w:next w:val="TableGrid"/>
    <w:uiPriority w:val="59"/>
    <w:rsid w:val="006B2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6B20FF"/>
    <w:pPr>
      <w:spacing w:after="100"/>
      <w:ind w:left="880"/>
    </w:pPr>
  </w:style>
  <w:style w:type="paragraph" w:customStyle="1" w:styleId="BodyPara">
    <w:name w:val="Body Para"/>
    <w:basedOn w:val="SummaryBody"/>
    <w:qFormat/>
    <w:rsid w:val="006B20FF"/>
  </w:style>
  <w:style w:type="character" w:customStyle="1" w:styleId="pub-date">
    <w:name w:val="pub-date"/>
    <w:basedOn w:val="DefaultParagraphFont"/>
    <w:rsid w:val="006B20FF"/>
  </w:style>
  <w:style w:type="paragraph" w:customStyle="1" w:styleId="OrderedList">
    <w:name w:val="Ordered List"/>
    <w:basedOn w:val="NCDRecommendations"/>
    <w:next w:val="Normal"/>
    <w:qFormat/>
    <w:rsid w:val="006B20FF"/>
    <w:pPr>
      <w:numPr>
        <w:numId w:val="6"/>
      </w:numPr>
    </w:pPr>
  </w:style>
  <w:style w:type="table" w:customStyle="1" w:styleId="2">
    <w:name w:val="2"/>
    <w:basedOn w:val="TableNormal"/>
    <w:rsid w:val="006B20FF"/>
    <w:pPr>
      <w:pBdr>
        <w:top w:val="none" w:sz="0" w:space="11" w:color="auto"/>
        <w:bottom w:val="none" w:sz="0" w:space="11" w:color="auto"/>
        <w:between w:val="none" w:sz="0" w:space="11" w:color="auto"/>
      </w:pBdr>
      <w:spacing w:after="0" w:line="240" w:lineRule="auto"/>
    </w:pPr>
    <w:rPr>
      <w:rFonts w:ascii="Arial" w:eastAsia="Arial" w:hAnsi="Arial" w:cs="Arial"/>
      <w:sz w:val="24"/>
      <w:szCs w:val="24"/>
      <w:highlight w:val="white"/>
    </w:rPr>
    <w:tblPr>
      <w:tblStyleRowBandSize w:val="1"/>
      <w:tblStyleColBandSize w:val="1"/>
      <w:tblCellMar>
        <w:top w:w="100" w:type="dxa"/>
        <w:left w:w="100" w:type="dxa"/>
        <w:bottom w:w="100" w:type="dxa"/>
        <w:right w:w="100" w:type="dxa"/>
      </w:tblCellMar>
    </w:tblPr>
  </w:style>
  <w:style w:type="table" w:customStyle="1" w:styleId="1">
    <w:name w:val="1"/>
    <w:basedOn w:val="TableNormal"/>
    <w:rsid w:val="006B20FF"/>
    <w:pPr>
      <w:pBdr>
        <w:top w:val="none" w:sz="0" w:space="11" w:color="auto"/>
        <w:bottom w:val="none" w:sz="0" w:space="11" w:color="auto"/>
        <w:between w:val="none" w:sz="0" w:space="11" w:color="auto"/>
      </w:pBdr>
      <w:spacing w:after="0" w:line="240" w:lineRule="auto"/>
    </w:pPr>
    <w:rPr>
      <w:rFonts w:ascii="Arial" w:eastAsia="Arial" w:hAnsi="Arial" w:cs="Arial"/>
      <w:sz w:val="24"/>
      <w:szCs w:val="24"/>
      <w:highlight w:val="white"/>
    </w:rPr>
    <w:tblPr>
      <w:tblStyleRowBandSize w:val="1"/>
      <w:tblStyleColBandSize w:val="1"/>
      <w:tblCellMar>
        <w:top w:w="100" w:type="dxa"/>
        <w:left w:w="100" w:type="dxa"/>
        <w:bottom w:w="100" w:type="dxa"/>
        <w:right w:w="100" w:type="dxa"/>
      </w:tblCellMar>
    </w:tblPr>
  </w:style>
  <w:style w:type="paragraph" w:customStyle="1" w:styleId="TableBody">
    <w:name w:val="Table Body"/>
    <w:basedOn w:val="Normal"/>
    <w:qFormat/>
    <w:rsid w:val="006B20FF"/>
    <w:pPr>
      <w:spacing w:before="120" w:after="120" w:line="360" w:lineRule="auto"/>
    </w:pPr>
    <w:rPr>
      <w:rFonts w:ascii="Univers LT Std 45 Light" w:hAnsi="Univers LT Std 45 Light"/>
      <w:sz w:val="24"/>
    </w:rPr>
  </w:style>
  <w:style w:type="paragraph" w:customStyle="1" w:styleId="NCDRecommendations">
    <w:name w:val="NCD Recommendations"/>
    <w:basedOn w:val="ChapterParaIndent"/>
    <w:qFormat/>
    <w:rsid w:val="006B20FF"/>
    <w:pPr>
      <w:spacing w:before="120"/>
      <w:ind w:firstLine="0"/>
    </w:pPr>
  </w:style>
  <w:style w:type="paragraph" w:customStyle="1" w:styleId="OrderedList2">
    <w:name w:val="Ordered List 2"/>
    <w:basedOn w:val="OrderedList"/>
    <w:qFormat/>
    <w:rsid w:val="006B20FF"/>
    <w:pPr>
      <w:numPr>
        <w:ilvl w:val="1"/>
      </w:numPr>
      <w:ind w:left="648"/>
    </w:pPr>
  </w:style>
  <w:style w:type="paragraph" w:customStyle="1" w:styleId="Findings">
    <w:name w:val="Findings"/>
    <w:basedOn w:val="Heading2"/>
    <w:qFormat/>
    <w:rsid w:val="006B20FF"/>
    <w:rPr>
      <w:i/>
      <w:sz w:val="23"/>
      <w:szCs w:val="23"/>
    </w:rPr>
  </w:style>
  <w:style w:type="paragraph" w:customStyle="1" w:styleId="FindingandRecommendationsSubheading">
    <w:name w:val="Finding and Recommendations Subheading"/>
    <w:basedOn w:val="Heading2"/>
    <w:qFormat/>
    <w:rsid w:val="006B20FF"/>
    <w:pPr>
      <w:spacing w:before="120"/>
      <w:outlineLvl w:val="9"/>
    </w:pPr>
    <w:rPr>
      <w:rFonts w:ascii="Univers LT Std 45 Light" w:hAnsi="Univers LT Std 45 Light"/>
      <w:sz w:val="23"/>
    </w:rPr>
  </w:style>
  <w:style w:type="paragraph" w:styleId="BodyText">
    <w:name w:val="Body Text"/>
    <w:basedOn w:val="Normal"/>
    <w:link w:val="BodyTextChar"/>
    <w:uiPriority w:val="99"/>
    <w:semiHidden/>
    <w:unhideWhenUsed/>
    <w:rsid w:val="006B20FF"/>
    <w:pPr>
      <w:spacing w:after="120"/>
    </w:pPr>
  </w:style>
  <w:style w:type="character" w:customStyle="1" w:styleId="BodyTextChar">
    <w:name w:val="Body Text Char"/>
    <w:basedOn w:val="DefaultParagraphFont"/>
    <w:link w:val="BodyText"/>
    <w:uiPriority w:val="99"/>
    <w:semiHidden/>
    <w:rsid w:val="006B20FF"/>
  </w:style>
  <w:style w:type="paragraph" w:customStyle="1" w:styleId="Image">
    <w:name w:val="Image"/>
    <w:basedOn w:val="ChapterParaNoIndent"/>
    <w:qFormat/>
    <w:rsid w:val="006B20FF"/>
    <w:pPr>
      <w:spacing w:after="120"/>
      <w:ind w:left="-90"/>
      <w:jc w:val="center"/>
    </w:pPr>
    <w:rPr>
      <w:noProof/>
    </w:rPr>
  </w:style>
  <w:style w:type="paragraph" w:customStyle="1" w:styleId="SubheadingLevel3">
    <w:name w:val="Subheading Level 3"/>
    <w:basedOn w:val="ParaNoIndent"/>
    <w:qFormat/>
    <w:rsid w:val="006B20FF"/>
    <w:pPr>
      <w:spacing w:before="120" w:after="120" w:line="240" w:lineRule="auto"/>
    </w:pPr>
    <w:rPr>
      <w:b/>
      <w:color w:val="10498A"/>
      <w:sz w:val="23"/>
      <w:u w:val="single"/>
    </w:rPr>
  </w:style>
  <w:style w:type="paragraph" w:customStyle="1" w:styleId="SubheadingLevel4">
    <w:name w:val="Subheading Level 4"/>
    <w:basedOn w:val="ParaNoIndent"/>
    <w:qFormat/>
    <w:rsid w:val="006B20FF"/>
    <w:pPr>
      <w:spacing w:before="120" w:after="120" w:line="240" w:lineRule="auto"/>
    </w:pPr>
    <w:rPr>
      <w:i/>
      <w:color w:val="4F81BD"/>
      <w:sz w:val="22"/>
    </w:rPr>
  </w:style>
  <w:style w:type="paragraph" w:customStyle="1" w:styleId="SubheadingLevel5">
    <w:name w:val="Subheading Level 5"/>
    <w:basedOn w:val="ParaNoIndent"/>
    <w:qFormat/>
    <w:rsid w:val="006B20FF"/>
    <w:pPr>
      <w:spacing w:after="240" w:line="240" w:lineRule="auto"/>
    </w:pPr>
    <w:rPr>
      <w:sz w:val="22"/>
      <w:u w:val="single"/>
    </w:rPr>
  </w:style>
  <w:style w:type="table" w:customStyle="1" w:styleId="TableGrid8">
    <w:name w:val="Table Grid8"/>
    <w:basedOn w:val="TableNormal"/>
    <w:next w:val="TableGrid"/>
    <w:uiPriority w:val="59"/>
    <w:rsid w:val="006B2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portTitle">
    <w:name w:val="Report Title"/>
    <w:basedOn w:val="Normal"/>
    <w:qFormat/>
    <w:rsid w:val="006B20FF"/>
    <w:pPr>
      <w:jc w:val="center"/>
    </w:pPr>
    <w:rPr>
      <w:rFonts w:ascii="Univers LT Std 55" w:hAnsi="Univers LT Std 55"/>
      <w:b/>
      <w:color w:val="FFFFFF" w:themeColor="background1"/>
      <w:sz w:val="36"/>
      <w:szCs w:val="36"/>
    </w:rPr>
  </w:style>
  <w:style w:type="paragraph" w:customStyle="1" w:styleId="ReportSubtitle">
    <w:name w:val="Report Subtitle"/>
    <w:basedOn w:val="Normal"/>
    <w:qFormat/>
    <w:rsid w:val="006B20FF"/>
    <w:pPr>
      <w:ind w:left="144"/>
      <w:jc w:val="center"/>
    </w:pPr>
    <w:rPr>
      <w:rFonts w:ascii="Univers LT Std 55" w:hAnsi="Univers LT Std 55" w:cs="Arial"/>
      <w:b/>
      <w:color w:val="FFFFFF" w:themeColor="background1"/>
      <w:sz w:val="28"/>
      <w:szCs w:val="28"/>
    </w:rPr>
  </w:style>
  <w:style w:type="paragraph" w:customStyle="1" w:styleId="Organization">
    <w:name w:val="Organization"/>
    <w:basedOn w:val="BodyText"/>
    <w:qFormat/>
    <w:rsid w:val="006B20FF"/>
    <w:pPr>
      <w:jc w:val="center"/>
    </w:pPr>
    <w:rPr>
      <w:rFonts w:ascii="Univers LT Std 55" w:hAnsi="Univers LT Std 55" w:cs="Arial"/>
      <w:b/>
      <w:color w:val="FFFFFF"/>
      <w:sz w:val="28"/>
      <w:szCs w:val="28"/>
    </w:rPr>
  </w:style>
  <w:style w:type="paragraph" w:customStyle="1" w:styleId="PublicationDate">
    <w:name w:val="Publication Date"/>
    <w:basedOn w:val="Normal"/>
    <w:qFormat/>
    <w:rsid w:val="006B20FF"/>
    <w:pPr>
      <w:spacing w:before="83"/>
      <w:jc w:val="center"/>
    </w:pPr>
    <w:rPr>
      <w:rFonts w:ascii="Univers LT Std 55" w:hAnsi="Univers LT Std 55" w:cs="Arial"/>
      <w:color w:val="FFFFFF"/>
      <w:w w:val="110"/>
      <w:sz w:val="26"/>
      <w:szCs w:val="26"/>
    </w:rPr>
  </w:style>
  <w:style w:type="paragraph" w:customStyle="1" w:styleId="DropCap">
    <w:name w:val="Drop Cap"/>
    <w:basedOn w:val="ParaNoIndent"/>
    <w:link w:val="DropCapChar"/>
    <w:qFormat/>
    <w:rsid w:val="006B20FF"/>
    <w:pPr>
      <w:keepNext/>
      <w:framePr w:wrap="around" w:vAnchor="text" w:hAnchor="text"/>
      <w:spacing w:line="1086" w:lineRule="exact"/>
      <w:textAlignment w:val="baseline"/>
    </w:pPr>
    <w:rPr>
      <w:color w:val="10498A"/>
      <w:position w:val="-5"/>
      <w:sz w:val="121"/>
    </w:rPr>
  </w:style>
  <w:style w:type="paragraph" w:customStyle="1" w:styleId="LetterFootnote">
    <w:name w:val="Letter Footnote"/>
    <w:qFormat/>
    <w:rsid w:val="006B20FF"/>
    <w:rPr>
      <w:rFonts w:ascii="Univers LT Std 45 Light" w:hAnsi="Univers LT Std 45 Light" w:cs="Arial"/>
      <w:sz w:val="24"/>
      <w:szCs w:val="18"/>
    </w:rPr>
  </w:style>
  <w:style w:type="character" w:customStyle="1" w:styleId="DropCapChar">
    <w:name w:val="Drop Cap Char"/>
    <w:basedOn w:val="DefaultParagraphFont"/>
    <w:link w:val="DropCap"/>
    <w:rsid w:val="006B20FF"/>
    <w:rPr>
      <w:rFonts w:ascii="Univers LT Std 45 Light" w:hAnsi="Univers LT Std 45 Light" w:cs="Arial"/>
      <w:color w:val="10498A"/>
      <w:position w:val="-5"/>
      <w:sz w:val="121"/>
      <w:szCs w:val="20"/>
    </w:rPr>
  </w:style>
  <w:style w:type="paragraph" w:customStyle="1" w:styleId="LetterListParagraph">
    <w:name w:val="Letter List Paragraph"/>
    <w:basedOn w:val="ListParagraph"/>
    <w:qFormat/>
    <w:rsid w:val="006B20FF"/>
    <w:pPr>
      <w:numPr>
        <w:numId w:val="7"/>
      </w:numPr>
      <w:spacing w:after="0" w:line="23" w:lineRule="atLeast"/>
      <w:ind w:left="1152"/>
      <w:contextualSpacing w:val="0"/>
    </w:pPr>
  </w:style>
  <w:style w:type="paragraph" w:customStyle="1" w:styleId="LetterHeading">
    <w:name w:val="Letter Heading"/>
    <w:qFormat/>
    <w:rsid w:val="006B20FF"/>
    <w:pPr>
      <w:spacing w:line="360" w:lineRule="auto"/>
      <w:jc w:val="center"/>
    </w:pPr>
    <w:rPr>
      <w:rFonts w:ascii="Univers LT Std 55" w:eastAsiaTheme="majorEastAsia" w:hAnsi="Univers LT Std 55" w:cstheme="majorBidi"/>
      <w:b/>
      <w:bCs/>
      <w:sz w:val="36"/>
    </w:rPr>
  </w:style>
  <w:style w:type="paragraph" w:customStyle="1" w:styleId="BoxParaIndent">
    <w:name w:val="Box Para Indent"/>
    <w:basedOn w:val="ParaIndent"/>
    <w:qFormat/>
    <w:rsid w:val="006B20FF"/>
    <w:pPr>
      <w:spacing w:before="120"/>
    </w:pPr>
  </w:style>
  <w:style w:type="paragraph" w:customStyle="1" w:styleId="FindingandRecommendationsHeading">
    <w:name w:val="Finding and Recommendations Heading"/>
    <w:basedOn w:val="Heading2"/>
    <w:qFormat/>
    <w:rsid w:val="006B20FF"/>
    <w:rPr>
      <w:i/>
    </w:rPr>
  </w:style>
  <w:style w:type="paragraph" w:customStyle="1" w:styleId="RecommendationList">
    <w:name w:val="Recommendation List"/>
    <w:basedOn w:val="ListParagraph"/>
    <w:qFormat/>
    <w:rsid w:val="006B20FF"/>
    <w:pPr>
      <w:numPr>
        <w:numId w:val="8"/>
      </w:numPr>
      <w:ind w:left="1152"/>
    </w:pPr>
  </w:style>
  <w:style w:type="paragraph" w:customStyle="1" w:styleId="GraphNumber">
    <w:name w:val="Graph Number"/>
    <w:basedOn w:val="ChapterParaIndent"/>
    <w:qFormat/>
    <w:rsid w:val="006B20FF"/>
    <w:pPr>
      <w:jc w:val="center"/>
    </w:pPr>
    <w:rPr>
      <w:b/>
    </w:rPr>
  </w:style>
  <w:style w:type="paragraph" w:customStyle="1" w:styleId="AppendixParaIndent">
    <w:name w:val="Appendix Para Indent"/>
    <w:basedOn w:val="BoxParaIndent"/>
    <w:qFormat/>
    <w:rsid w:val="006B20FF"/>
    <w:pPr>
      <w:spacing w:before="0" w:after="240"/>
      <w:ind w:firstLine="720"/>
    </w:pPr>
  </w:style>
  <w:style w:type="paragraph" w:customStyle="1" w:styleId="AppendixParaNoIndent">
    <w:name w:val="Appendix Para No Indent"/>
    <w:basedOn w:val="ChapterParaNoIndent"/>
    <w:qFormat/>
    <w:rsid w:val="006B20FF"/>
  </w:style>
  <w:style w:type="character" w:customStyle="1" w:styleId="FooterOddChar">
    <w:name w:val="Footer Odd Char"/>
    <w:basedOn w:val="DefaultParagraphFont"/>
    <w:link w:val="FooterOdd"/>
    <w:rsid w:val="006B20FF"/>
    <w:rPr>
      <w:rFonts w:ascii="Univers LT Std 45 Light" w:hAnsi="Univers LT Std 45 Light" w:cs="Arial"/>
      <w:color w:val="FFFFFF" w:themeColor="background1"/>
    </w:rPr>
  </w:style>
  <w:style w:type="character" w:customStyle="1" w:styleId="FooterOddPageNumber">
    <w:name w:val="Footer Odd Page Number"/>
    <w:basedOn w:val="DefaultParagraphFont"/>
    <w:uiPriority w:val="1"/>
    <w:qFormat/>
    <w:rsid w:val="006B20FF"/>
    <w:rPr>
      <w:b/>
      <w:sz w:val="28"/>
      <w:szCs w:val="28"/>
    </w:rPr>
  </w:style>
  <w:style w:type="paragraph" w:customStyle="1" w:styleId="RecommendationListLevel2">
    <w:name w:val="Recommendation List Level 2"/>
    <w:basedOn w:val="ListParaLevel2"/>
    <w:qFormat/>
    <w:rsid w:val="006B20FF"/>
  </w:style>
  <w:style w:type="paragraph" w:customStyle="1" w:styleId="BoldParagraph">
    <w:name w:val="Bold Paragraph"/>
    <w:basedOn w:val="SubheadingLevel3"/>
    <w:qFormat/>
    <w:rsid w:val="006B20FF"/>
    <w:rPr>
      <w:rFonts w:cstheme="minorBidi"/>
      <w:bCs/>
      <w:color w:val="auto"/>
      <w:sz w:val="20"/>
      <w:u w:val="none"/>
    </w:rPr>
  </w:style>
  <w:style w:type="table" w:customStyle="1" w:styleId="TableGrid9">
    <w:name w:val="Table Grid9"/>
    <w:basedOn w:val="TableNormal"/>
    <w:next w:val="TableGrid"/>
    <w:uiPriority w:val="59"/>
    <w:rsid w:val="006B2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CDRecommendation">
    <w:name w:val="NCD Recommendation"/>
    <w:basedOn w:val="FindingandRecommendationsSubheading"/>
    <w:qFormat/>
    <w:rsid w:val="006B20FF"/>
    <w:pPr>
      <w:spacing w:before="0" w:after="200"/>
    </w:pPr>
    <w:rPr>
      <w:b w:val="0"/>
      <w:sz w:val="24"/>
    </w:rPr>
  </w:style>
  <w:style w:type="paragraph" w:customStyle="1" w:styleId="AppendixList">
    <w:name w:val="Appendix List"/>
    <w:basedOn w:val="RecommendationList"/>
    <w:qFormat/>
    <w:rsid w:val="006B20FF"/>
  </w:style>
  <w:style w:type="paragraph" w:customStyle="1" w:styleId="EndnoteSuperscript">
    <w:name w:val="Endnote Superscript"/>
    <w:basedOn w:val="ChapterParaIndent"/>
    <w:qFormat/>
    <w:rsid w:val="006B20FF"/>
    <w:rPr>
      <w:sz w:val="16"/>
    </w:rPr>
  </w:style>
  <w:style w:type="paragraph" w:customStyle="1" w:styleId="SubheadingLevel2">
    <w:name w:val="Subheading Level 2"/>
    <w:basedOn w:val="NormalIndent"/>
    <w:qFormat/>
    <w:rsid w:val="006B20FF"/>
    <w:pPr>
      <w:spacing w:before="120" w:after="120" w:line="240" w:lineRule="auto"/>
      <w:ind w:left="0"/>
    </w:pPr>
    <w:rPr>
      <w:rFonts w:ascii="Univers LT Std 55" w:hAnsi="Univers LT Std 55"/>
      <w:b/>
      <w:color w:val="10498A"/>
      <w:sz w:val="24"/>
      <w:szCs w:val="21"/>
    </w:rPr>
  </w:style>
  <w:style w:type="paragraph" w:styleId="NormalIndent">
    <w:name w:val="Normal Indent"/>
    <w:basedOn w:val="Normal"/>
    <w:uiPriority w:val="99"/>
    <w:semiHidden/>
    <w:unhideWhenUsed/>
    <w:rsid w:val="006B20FF"/>
    <w:pPr>
      <w:ind w:left="720"/>
    </w:pPr>
  </w:style>
  <w:style w:type="paragraph" w:customStyle="1" w:styleId="paragraph">
    <w:name w:val="paragraph"/>
    <w:basedOn w:val="Normal"/>
    <w:rsid w:val="006B20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B20FF"/>
  </w:style>
  <w:style w:type="character" w:customStyle="1" w:styleId="eop">
    <w:name w:val="eop"/>
    <w:basedOn w:val="DefaultParagraphFont"/>
    <w:rsid w:val="006B20FF"/>
  </w:style>
  <w:style w:type="paragraph" w:customStyle="1" w:styleId="Pa2">
    <w:name w:val="Pa2"/>
    <w:basedOn w:val="Normal"/>
    <w:next w:val="Normal"/>
    <w:uiPriority w:val="99"/>
    <w:rsid w:val="006B20FF"/>
    <w:pPr>
      <w:autoSpaceDE w:val="0"/>
      <w:autoSpaceDN w:val="0"/>
      <w:adjustRightInd w:val="0"/>
      <w:spacing w:after="0" w:line="201" w:lineRule="atLeast"/>
    </w:pPr>
    <w:rPr>
      <w:rFonts w:ascii="Univers LT Std 45 Light" w:hAnsi="Univers LT Std 45 Light" w:cs="Times New Roman"/>
      <w:sz w:val="24"/>
      <w:szCs w:val="24"/>
    </w:rPr>
  </w:style>
  <w:style w:type="paragraph" w:customStyle="1" w:styleId="Pa3">
    <w:name w:val="Pa3"/>
    <w:basedOn w:val="Normal"/>
    <w:next w:val="Normal"/>
    <w:uiPriority w:val="99"/>
    <w:rsid w:val="006B20FF"/>
    <w:pPr>
      <w:autoSpaceDE w:val="0"/>
      <w:autoSpaceDN w:val="0"/>
      <w:adjustRightInd w:val="0"/>
      <w:spacing w:after="0" w:line="201" w:lineRule="atLeast"/>
    </w:pPr>
    <w:rPr>
      <w:rFonts w:ascii="Univers LT Std 45 Light" w:hAnsi="Univers LT Std 45 Light" w:cs="Times New Roman"/>
      <w:sz w:val="24"/>
      <w:szCs w:val="24"/>
    </w:rPr>
  </w:style>
  <w:style w:type="paragraph" w:customStyle="1" w:styleId="Pa4">
    <w:name w:val="Pa4"/>
    <w:basedOn w:val="Normal"/>
    <w:next w:val="Normal"/>
    <w:uiPriority w:val="99"/>
    <w:rsid w:val="006B20FF"/>
    <w:pPr>
      <w:autoSpaceDE w:val="0"/>
      <w:autoSpaceDN w:val="0"/>
      <w:adjustRightInd w:val="0"/>
      <w:spacing w:after="0" w:line="201" w:lineRule="atLeast"/>
    </w:pPr>
    <w:rPr>
      <w:rFonts w:ascii="Univers LT Std 45 Light" w:hAnsi="Univers LT Std 45 Light" w:cs="Times New Roman"/>
      <w:sz w:val="24"/>
      <w:szCs w:val="24"/>
    </w:rPr>
  </w:style>
  <w:style w:type="paragraph" w:customStyle="1" w:styleId="Default">
    <w:name w:val="Default"/>
    <w:rsid w:val="006B20FF"/>
    <w:pPr>
      <w:autoSpaceDE w:val="0"/>
      <w:autoSpaceDN w:val="0"/>
      <w:adjustRightInd w:val="0"/>
      <w:spacing w:after="0" w:line="240" w:lineRule="auto"/>
    </w:pPr>
    <w:rPr>
      <w:rFonts w:ascii="Arial" w:hAnsi="Arial" w:cs="Arial"/>
      <w:color w:val="000000"/>
      <w:sz w:val="24"/>
      <w:szCs w:val="24"/>
    </w:rPr>
  </w:style>
  <w:style w:type="table" w:customStyle="1" w:styleId="Table-Report">
    <w:name w:val="Table-Report"/>
    <w:basedOn w:val="TableNormal"/>
    <w:uiPriority w:val="99"/>
    <w:rsid w:val="004F301D"/>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72975">
      <w:bodyDiv w:val="1"/>
      <w:marLeft w:val="0"/>
      <w:marRight w:val="0"/>
      <w:marTop w:val="0"/>
      <w:marBottom w:val="0"/>
      <w:divBdr>
        <w:top w:val="none" w:sz="0" w:space="0" w:color="auto"/>
        <w:left w:val="none" w:sz="0" w:space="0" w:color="auto"/>
        <w:bottom w:val="none" w:sz="0" w:space="0" w:color="auto"/>
        <w:right w:val="none" w:sz="0" w:space="0" w:color="auto"/>
      </w:divBdr>
    </w:div>
    <w:div w:id="212273589">
      <w:bodyDiv w:val="1"/>
      <w:marLeft w:val="0"/>
      <w:marRight w:val="0"/>
      <w:marTop w:val="0"/>
      <w:marBottom w:val="0"/>
      <w:divBdr>
        <w:top w:val="none" w:sz="0" w:space="0" w:color="auto"/>
        <w:left w:val="none" w:sz="0" w:space="0" w:color="auto"/>
        <w:bottom w:val="none" w:sz="0" w:space="0" w:color="auto"/>
        <w:right w:val="none" w:sz="0" w:space="0" w:color="auto"/>
      </w:divBdr>
    </w:div>
    <w:div w:id="314723460">
      <w:bodyDiv w:val="1"/>
      <w:marLeft w:val="0"/>
      <w:marRight w:val="0"/>
      <w:marTop w:val="0"/>
      <w:marBottom w:val="0"/>
      <w:divBdr>
        <w:top w:val="none" w:sz="0" w:space="0" w:color="auto"/>
        <w:left w:val="none" w:sz="0" w:space="0" w:color="auto"/>
        <w:bottom w:val="none" w:sz="0" w:space="0" w:color="auto"/>
        <w:right w:val="none" w:sz="0" w:space="0" w:color="auto"/>
      </w:divBdr>
    </w:div>
    <w:div w:id="466513855">
      <w:bodyDiv w:val="1"/>
      <w:marLeft w:val="0"/>
      <w:marRight w:val="0"/>
      <w:marTop w:val="0"/>
      <w:marBottom w:val="0"/>
      <w:divBdr>
        <w:top w:val="none" w:sz="0" w:space="0" w:color="auto"/>
        <w:left w:val="none" w:sz="0" w:space="0" w:color="auto"/>
        <w:bottom w:val="none" w:sz="0" w:space="0" w:color="auto"/>
        <w:right w:val="none" w:sz="0" w:space="0" w:color="auto"/>
      </w:divBdr>
    </w:div>
    <w:div w:id="545140269">
      <w:bodyDiv w:val="1"/>
      <w:marLeft w:val="0"/>
      <w:marRight w:val="0"/>
      <w:marTop w:val="0"/>
      <w:marBottom w:val="0"/>
      <w:divBdr>
        <w:top w:val="none" w:sz="0" w:space="0" w:color="auto"/>
        <w:left w:val="none" w:sz="0" w:space="0" w:color="auto"/>
        <w:bottom w:val="none" w:sz="0" w:space="0" w:color="auto"/>
        <w:right w:val="none" w:sz="0" w:space="0" w:color="auto"/>
      </w:divBdr>
      <w:divsChild>
        <w:div w:id="870800488">
          <w:marLeft w:val="576"/>
          <w:marRight w:val="0"/>
          <w:marTop w:val="80"/>
          <w:marBottom w:val="0"/>
          <w:divBdr>
            <w:top w:val="none" w:sz="0" w:space="0" w:color="auto"/>
            <w:left w:val="none" w:sz="0" w:space="0" w:color="auto"/>
            <w:bottom w:val="none" w:sz="0" w:space="0" w:color="auto"/>
            <w:right w:val="none" w:sz="0" w:space="0" w:color="auto"/>
          </w:divBdr>
        </w:div>
      </w:divsChild>
    </w:div>
    <w:div w:id="598298999">
      <w:bodyDiv w:val="1"/>
      <w:marLeft w:val="0"/>
      <w:marRight w:val="0"/>
      <w:marTop w:val="0"/>
      <w:marBottom w:val="0"/>
      <w:divBdr>
        <w:top w:val="none" w:sz="0" w:space="0" w:color="auto"/>
        <w:left w:val="none" w:sz="0" w:space="0" w:color="auto"/>
        <w:bottom w:val="none" w:sz="0" w:space="0" w:color="auto"/>
        <w:right w:val="none" w:sz="0" w:space="0" w:color="auto"/>
      </w:divBdr>
    </w:div>
    <w:div w:id="614291556">
      <w:bodyDiv w:val="1"/>
      <w:marLeft w:val="0"/>
      <w:marRight w:val="0"/>
      <w:marTop w:val="0"/>
      <w:marBottom w:val="0"/>
      <w:divBdr>
        <w:top w:val="none" w:sz="0" w:space="0" w:color="auto"/>
        <w:left w:val="none" w:sz="0" w:space="0" w:color="auto"/>
        <w:bottom w:val="none" w:sz="0" w:space="0" w:color="auto"/>
        <w:right w:val="none" w:sz="0" w:space="0" w:color="auto"/>
      </w:divBdr>
    </w:div>
    <w:div w:id="628513708">
      <w:bodyDiv w:val="1"/>
      <w:marLeft w:val="0"/>
      <w:marRight w:val="0"/>
      <w:marTop w:val="0"/>
      <w:marBottom w:val="0"/>
      <w:divBdr>
        <w:top w:val="none" w:sz="0" w:space="0" w:color="auto"/>
        <w:left w:val="none" w:sz="0" w:space="0" w:color="auto"/>
        <w:bottom w:val="none" w:sz="0" w:space="0" w:color="auto"/>
        <w:right w:val="none" w:sz="0" w:space="0" w:color="auto"/>
      </w:divBdr>
    </w:div>
    <w:div w:id="630554623">
      <w:bodyDiv w:val="1"/>
      <w:marLeft w:val="0"/>
      <w:marRight w:val="0"/>
      <w:marTop w:val="0"/>
      <w:marBottom w:val="0"/>
      <w:divBdr>
        <w:top w:val="none" w:sz="0" w:space="0" w:color="auto"/>
        <w:left w:val="none" w:sz="0" w:space="0" w:color="auto"/>
        <w:bottom w:val="none" w:sz="0" w:space="0" w:color="auto"/>
        <w:right w:val="none" w:sz="0" w:space="0" w:color="auto"/>
      </w:divBdr>
    </w:div>
    <w:div w:id="664627538">
      <w:bodyDiv w:val="1"/>
      <w:marLeft w:val="0"/>
      <w:marRight w:val="0"/>
      <w:marTop w:val="0"/>
      <w:marBottom w:val="0"/>
      <w:divBdr>
        <w:top w:val="none" w:sz="0" w:space="0" w:color="auto"/>
        <w:left w:val="none" w:sz="0" w:space="0" w:color="auto"/>
        <w:bottom w:val="none" w:sz="0" w:space="0" w:color="auto"/>
        <w:right w:val="none" w:sz="0" w:space="0" w:color="auto"/>
      </w:divBdr>
    </w:div>
    <w:div w:id="687102774">
      <w:bodyDiv w:val="1"/>
      <w:marLeft w:val="0"/>
      <w:marRight w:val="0"/>
      <w:marTop w:val="0"/>
      <w:marBottom w:val="0"/>
      <w:divBdr>
        <w:top w:val="none" w:sz="0" w:space="0" w:color="auto"/>
        <w:left w:val="none" w:sz="0" w:space="0" w:color="auto"/>
        <w:bottom w:val="none" w:sz="0" w:space="0" w:color="auto"/>
        <w:right w:val="none" w:sz="0" w:space="0" w:color="auto"/>
      </w:divBdr>
    </w:div>
    <w:div w:id="758982206">
      <w:bodyDiv w:val="1"/>
      <w:marLeft w:val="0"/>
      <w:marRight w:val="0"/>
      <w:marTop w:val="0"/>
      <w:marBottom w:val="0"/>
      <w:divBdr>
        <w:top w:val="none" w:sz="0" w:space="0" w:color="auto"/>
        <w:left w:val="none" w:sz="0" w:space="0" w:color="auto"/>
        <w:bottom w:val="none" w:sz="0" w:space="0" w:color="auto"/>
        <w:right w:val="none" w:sz="0" w:space="0" w:color="auto"/>
      </w:divBdr>
    </w:div>
    <w:div w:id="768618010">
      <w:bodyDiv w:val="1"/>
      <w:marLeft w:val="0"/>
      <w:marRight w:val="0"/>
      <w:marTop w:val="0"/>
      <w:marBottom w:val="0"/>
      <w:divBdr>
        <w:top w:val="none" w:sz="0" w:space="0" w:color="auto"/>
        <w:left w:val="none" w:sz="0" w:space="0" w:color="auto"/>
        <w:bottom w:val="none" w:sz="0" w:space="0" w:color="auto"/>
        <w:right w:val="none" w:sz="0" w:space="0" w:color="auto"/>
      </w:divBdr>
      <w:divsChild>
        <w:div w:id="316885519">
          <w:marLeft w:val="0"/>
          <w:marRight w:val="0"/>
          <w:marTop w:val="0"/>
          <w:marBottom w:val="0"/>
          <w:divBdr>
            <w:top w:val="none" w:sz="0" w:space="0" w:color="auto"/>
            <w:left w:val="none" w:sz="0" w:space="0" w:color="auto"/>
            <w:bottom w:val="none" w:sz="0" w:space="0" w:color="auto"/>
            <w:right w:val="none" w:sz="0" w:space="0" w:color="auto"/>
          </w:divBdr>
        </w:div>
        <w:div w:id="865019800">
          <w:marLeft w:val="0"/>
          <w:marRight w:val="0"/>
          <w:marTop w:val="0"/>
          <w:marBottom w:val="0"/>
          <w:divBdr>
            <w:top w:val="none" w:sz="0" w:space="0" w:color="auto"/>
            <w:left w:val="none" w:sz="0" w:space="0" w:color="auto"/>
            <w:bottom w:val="none" w:sz="0" w:space="0" w:color="auto"/>
            <w:right w:val="none" w:sz="0" w:space="0" w:color="auto"/>
          </w:divBdr>
        </w:div>
        <w:div w:id="1203207268">
          <w:marLeft w:val="0"/>
          <w:marRight w:val="0"/>
          <w:marTop w:val="0"/>
          <w:marBottom w:val="0"/>
          <w:divBdr>
            <w:top w:val="none" w:sz="0" w:space="0" w:color="auto"/>
            <w:left w:val="none" w:sz="0" w:space="0" w:color="auto"/>
            <w:bottom w:val="none" w:sz="0" w:space="0" w:color="auto"/>
            <w:right w:val="none" w:sz="0" w:space="0" w:color="auto"/>
          </w:divBdr>
        </w:div>
      </w:divsChild>
    </w:div>
    <w:div w:id="815532439">
      <w:bodyDiv w:val="1"/>
      <w:marLeft w:val="0"/>
      <w:marRight w:val="0"/>
      <w:marTop w:val="0"/>
      <w:marBottom w:val="0"/>
      <w:divBdr>
        <w:top w:val="none" w:sz="0" w:space="0" w:color="auto"/>
        <w:left w:val="none" w:sz="0" w:space="0" w:color="auto"/>
        <w:bottom w:val="none" w:sz="0" w:space="0" w:color="auto"/>
        <w:right w:val="none" w:sz="0" w:space="0" w:color="auto"/>
      </w:divBdr>
    </w:div>
    <w:div w:id="902520117">
      <w:bodyDiv w:val="1"/>
      <w:marLeft w:val="0"/>
      <w:marRight w:val="0"/>
      <w:marTop w:val="0"/>
      <w:marBottom w:val="0"/>
      <w:divBdr>
        <w:top w:val="none" w:sz="0" w:space="0" w:color="auto"/>
        <w:left w:val="none" w:sz="0" w:space="0" w:color="auto"/>
        <w:bottom w:val="none" w:sz="0" w:space="0" w:color="auto"/>
        <w:right w:val="none" w:sz="0" w:space="0" w:color="auto"/>
      </w:divBdr>
    </w:div>
    <w:div w:id="944772790">
      <w:bodyDiv w:val="1"/>
      <w:marLeft w:val="0"/>
      <w:marRight w:val="0"/>
      <w:marTop w:val="0"/>
      <w:marBottom w:val="0"/>
      <w:divBdr>
        <w:top w:val="none" w:sz="0" w:space="0" w:color="auto"/>
        <w:left w:val="none" w:sz="0" w:space="0" w:color="auto"/>
        <w:bottom w:val="none" w:sz="0" w:space="0" w:color="auto"/>
        <w:right w:val="none" w:sz="0" w:space="0" w:color="auto"/>
      </w:divBdr>
      <w:divsChild>
        <w:div w:id="1447117957">
          <w:marLeft w:val="0"/>
          <w:marRight w:val="0"/>
          <w:marTop w:val="0"/>
          <w:marBottom w:val="0"/>
          <w:divBdr>
            <w:top w:val="none" w:sz="0" w:space="0" w:color="auto"/>
            <w:left w:val="none" w:sz="0" w:space="0" w:color="auto"/>
            <w:bottom w:val="none" w:sz="0" w:space="0" w:color="auto"/>
            <w:right w:val="none" w:sz="0" w:space="0" w:color="auto"/>
          </w:divBdr>
        </w:div>
      </w:divsChild>
    </w:div>
    <w:div w:id="1159031897">
      <w:bodyDiv w:val="1"/>
      <w:marLeft w:val="0"/>
      <w:marRight w:val="0"/>
      <w:marTop w:val="0"/>
      <w:marBottom w:val="0"/>
      <w:divBdr>
        <w:top w:val="none" w:sz="0" w:space="0" w:color="auto"/>
        <w:left w:val="none" w:sz="0" w:space="0" w:color="auto"/>
        <w:bottom w:val="none" w:sz="0" w:space="0" w:color="auto"/>
        <w:right w:val="none" w:sz="0" w:space="0" w:color="auto"/>
      </w:divBdr>
    </w:div>
    <w:div w:id="1266352422">
      <w:bodyDiv w:val="1"/>
      <w:marLeft w:val="0"/>
      <w:marRight w:val="0"/>
      <w:marTop w:val="0"/>
      <w:marBottom w:val="0"/>
      <w:divBdr>
        <w:top w:val="none" w:sz="0" w:space="0" w:color="auto"/>
        <w:left w:val="none" w:sz="0" w:space="0" w:color="auto"/>
        <w:bottom w:val="none" w:sz="0" w:space="0" w:color="auto"/>
        <w:right w:val="none" w:sz="0" w:space="0" w:color="auto"/>
      </w:divBdr>
      <w:divsChild>
        <w:div w:id="1209957230">
          <w:marLeft w:val="576"/>
          <w:marRight w:val="0"/>
          <w:marTop w:val="80"/>
          <w:marBottom w:val="0"/>
          <w:divBdr>
            <w:top w:val="none" w:sz="0" w:space="0" w:color="auto"/>
            <w:left w:val="none" w:sz="0" w:space="0" w:color="auto"/>
            <w:bottom w:val="none" w:sz="0" w:space="0" w:color="auto"/>
            <w:right w:val="none" w:sz="0" w:space="0" w:color="auto"/>
          </w:divBdr>
        </w:div>
      </w:divsChild>
    </w:div>
    <w:div w:id="1290236077">
      <w:bodyDiv w:val="1"/>
      <w:marLeft w:val="0"/>
      <w:marRight w:val="0"/>
      <w:marTop w:val="0"/>
      <w:marBottom w:val="0"/>
      <w:divBdr>
        <w:top w:val="none" w:sz="0" w:space="0" w:color="auto"/>
        <w:left w:val="none" w:sz="0" w:space="0" w:color="auto"/>
        <w:bottom w:val="none" w:sz="0" w:space="0" w:color="auto"/>
        <w:right w:val="none" w:sz="0" w:space="0" w:color="auto"/>
      </w:divBdr>
    </w:div>
    <w:div w:id="1316956754">
      <w:bodyDiv w:val="1"/>
      <w:marLeft w:val="0"/>
      <w:marRight w:val="0"/>
      <w:marTop w:val="0"/>
      <w:marBottom w:val="0"/>
      <w:divBdr>
        <w:top w:val="none" w:sz="0" w:space="0" w:color="auto"/>
        <w:left w:val="none" w:sz="0" w:space="0" w:color="auto"/>
        <w:bottom w:val="none" w:sz="0" w:space="0" w:color="auto"/>
        <w:right w:val="none" w:sz="0" w:space="0" w:color="auto"/>
      </w:divBdr>
      <w:divsChild>
        <w:div w:id="653533182">
          <w:marLeft w:val="0"/>
          <w:marRight w:val="0"/>
          <w:marTop w:val="0"/>
          <w:marBottom w:val="150"/>
          <w:divBdr>
            <w:top w:val="none" w:sz="0" w:space="0" w:color="auto"/>
            <w:left w:val="none" w:sz="0" w:space="0" w:color="auto"/>
            <w:bottom w:val="none" w:sz="0" w:space="0" w:color="auto"/>
            <w:right w:val="none" w:sz="0" w:space="0" w:color="auto"/>
          </w:divBdr>
        </w:div>
        <w:div w:id="188447481">
          <w:marLeft w:val="0"/>
          <w:marRight w:val="0"/>
          <w:marTop w:val="0"/>
          <w:marBottom w:val="0"/>
          <w:divBdr>
            <w:top w:val="none" w:sz="0" w:space="0" w:color="auto"/>
            <w:left w:val="none" w:sz="0" w:space="0" w:color="auto"/>
            <w:bottom w:val="none" w:sz="0" w:space="0" w:color="auto"/>
            <w:right w:val="none" w:sz="0" w:space="0" w:color="auto"/>
          </w:divBdr>
          <w:divsChild>
            <w:div w:id="772551023">
              <w:marLeft w:val="0"/>
              <w:marRight w:val="0"/>
              <w:marTop w:val="0"/>
              <w:marBottom w:val="0"/>
              <w:divBdr>
                <w:top w:val="none" w:sz="0" w:space="0" w:color="auto"/>
                <w:left w:val="none" w:sz="0" w:space="0" w:color="auto"/>
                <w:bottom w:val="none" w:sz="0" w:space="0" w:color="auto"/>
                <w:right w:val="none" w:sz="0" w:space="0" w:color="auto"/>
              </w:divBdr>
              <w:divsChild>
                <w:div w:id="14996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16404">
      <w:bodyDiv w:val="1"/>
      <w:marLeft w:val="0"/>
      <w:marRight w:val="0"/>
      <w:marTop w:val="0"/>
      <w:marBottom w:val="0"/>
      <w:divBdr>
        <w:top w:val="none" w:sz="0" w:space="0" w:color="auto"/>
        <w:left w:val="none" w:sz="0" w:space="0" w:color="auto"/>
        <w:bottom w:val="none" w:sz="0" w:space="0" w:color="auto"/>
        <w:right w:val="none" w:sz="0" w:space="0" w:color="auto"/>
      </w:divBdr>
    </w:div>
    <w:div w:id="1370953868">
      <w:bodyDiv w:val="1"/>
      <w:marLeft w:val="0"/>
      <w:marRight w:val="0"/>
      <w:marTop w:val="0"/>
      <w:marBottom w:val="0"/>
      <w:divBdr>
        <w:top w:val="none" w:sz="0" w:space="0" w:color="auto"/>
        <w:left w:val="none" w:sz="0" w:space="0" w:color="auto"/>
        <w:bottom w:val="none" w:sz="0" w:space="0" w:color="auto"/>
        <w:right w:val="none" w:sz="0" w:space="0" w:color="auto"/>
      </w:divBdr>
    </w:div>
    <w:div w:id="1440367790">
      <w:bodyDiv w:val="1"/>
      <w:marLeft w:val="0"/>
      <w:marRight w:val="0"/>
      <w:marTop w:val="0"/>
      <w:marBottom w:val="0"/>
      <w:divBdr>
        <w:top w:val="none" w:sz="0" w:space="0" w:color="auto"/>
        <w:left w:val="none" w:sz="0" w:space="0" w:color="auto"/>
        <w:bottom w:val="none" w:sz="0" w:space="0" w:color="auto"/>
        <w:right w:val="none" w:sz="0" w:space="0" w:color="auto"/>
      </w:divBdr>
    </w:div>
    <w:div w:id="1526358436">
      <w:bodyDiv w:val="1"/>
      <w:marLeft w:val="0"/>
      <w:marRight w:val="0"/>
      <w:marTop w:val="0"/>
      <w:marBottom w:val="0"/>
      <w:divBdr>
        <w:top w:val="none" w:sz="0" w:space="0" w:color="auto"/>
        <w:left w:val="none" w:sz="0" w:space="0" w:color="auto"/>
        <w:bottom w:val="none" w:sz="0" w:space="0" w:color="auto"/>
        <w:right w:val="none" w:sz="0" w:space="0" w:color="auto"/>
      </w:divBdr>
    </w:div>
    <w:div w:id="1544054831">
      <w:bodyDiv w:val="1"/>
      <w:marLeft w:val="0"/>
      <w:marRight w:val="0"/>
      <w:marTop w:val="0"/>
      <w:marBottom w:val="0"/>
      <w:divBdr>
        <w:top w:val="none" w:sz="0" w:space="0" w:color="auto"/>
        <w:left w:val="none" w:sz="0" w:space="0" w:color="auto"/>
        <w:bottom w:val="none" w:sz="0" w:space="0" w:color="auto"/>
        <w:right w:val="none" w:sz="0" w:space="0" w:color="auto"/>
      </w:divBdr>
      <w:divsChild>
        <w:div w:id="79764858">
          <w:marLeft w:val="0"/>
          <w:marRight w:val="0"/>
          <w:marTop w:val="210"/>
          <w:marBottom w:val="0"/>
          <w:divBdr>
            <w:top w:val="none" w:sz="0" w:space="0" w:color="auto"/>
            <w:left w:val="none" w:sz="0" w:space="0" w:color="auto"/>
            <w:bottom w:val="none" w:sz="0" w:space="0" w:color="auto"/>
            <w:right w:val="none" w:sz="0" w:space="0" w:color="auto"/>
          </w:divBdr>
        </w:div>
      </w:divsChild>
    </w:div>
    <w:div w:id="1551841686">
      <w:bodyDiv w:val="1"/>
      <w:marLeft w:val="0"/>
      <w:marRight w:val="0"/>
      <w:marTop w:val="0"/>
      <w:marBottom w:val="0"/>
      <w:divBdr>
        <w:top w:val="none" w:sz="0" w:space="0" w:color="auto"/>
        <w:left w:val="none" w:sz="0" w:space="0" w:color="auto"/>
        <w:bottom w:val="none" w:sz="0" w:space="0" w:color="auto"/>
        <w:right w:val="none" w:sz="0" w:space="0" w:color="auto"/>
      </w:divBdr>
    </w:div>
    <w:div w:id="1624966179">
      <w:bodyDiv w:val="1"/>
      <w:marLeft w:val="0"/>
      <w:marRight w:val="0"/>
      <w:marTop w:val="0"/>
      <w:marBottom w:val="0"/>
      <w:divBdr>
        <w:top w:val="none" w:sz="0" w:space="0" w:color="auto"/>
        <w:left w:val="none" w:sz="0" w:space="0" w:color="auto"/>
        <w:bottom w:val="none" w:sz="0" w:space="0" w:color="auto"/>
        <w:right w:val="none" w:sz="0" w:space="0" w:color="auto"/>
      </w:divBdr>
    </w:div>
    <w:div w:id="1670862903">
      <w:bodyDiv w:val="1"/>
      <w:marLeft w:val="0"/>
      <w:marRight w:val="0"/>
      <w:marTop w:val="0"/>
      <w:marBottom w:val="0"/>
      <w:divBdr>
        <w:top w:val="none" w:sz="0" w:space="0" w:color="auto"/>
        <w:left w:val="none" w:sz="0" w:space="0" w:color="auto"/>
        <w:bottom w:val="none" w:sz="0" w:space="0" w:color="auto"/>
        <w:right w:val="none" w:sz="0" w:space="0" w:color="auto"/>
      </w:divBdr>
      <w:divsChild>
        <w:div w:id="1335062452">
          <w:marLeft w:val="0"/>
          <w:marRight w:val="0"/>
          <w:marTop w:val="0"/>
          <w:marBottom w:val="150"/>
          <w:divBdr>
            <w:top w:val="none" w:sz="0" w:space="0" w:color="auto"/>
            <w:left w:val="none" w:sz="0" w:space="0" w:color="auto"/>
            <w:bottom w:val="none" w:sz="0" w:space="0" w:color="auto"/>
            <w:right w:val="none" w:sz="0" w:space="0" w:color="auto"/>
          </w:divBdr>
          <w:divsChild>
            <w:div w:id="1286425367">
              <w:marLeft w:val="0"/>
              <w:marRight w:val="0"/>
              <w:marTop w:val="0"/>
              <w:marBottom w:val="0"/>
              <w:divBdr>
                <w:top w:val="none" w:sz="0" w:space="0" w:color="auto"/>
                <w:left w:val="none" w:sz="0" w:space="0" w:color="auto"/>
                <w:bottom w:val="none" w:sz="0" w:space="0" w:color="auto"/>
                <w:right w:val="none" w:sz="0" w:space="0" w:color="auto"/>
              </w:divBdr>
              <w:divsChild>
                <w:div w:id="2021080290">
                  <w:marLeft w:val="0"/>
                  <w:marRight w:val="0"/>
                  <w:marTop w:val="0"/>
                  <w:marBottom w:val="0"/>
                  <w:divBdr>
                    <w:top w:val="none" w:sz="0" w:space="0" w:color="auto"/>
                    <w:left w:val="none" w:sz="0" w:space="0" w:color="auto"/>
                    <w:bottom w:val="none" w:sz="0" w:space="0" w:color="auto"/>
                    <w:right w:val="none" w:sz="0" w:space="0" w:color="auto"/>
                  </w:divBdr>
                  <w:divsChild>
                    <w:div w:id="8755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133326">
      <w:bodyDiv w:val="1"/>
      <w:marLeft w:val="0"/>
      <w:marRight w:val="0"/>
      <w:marTop w:val="0"/>
      <w:marBottom w:val="0"/>
      <w:divBdr>
        <w:top w:val="none" w:sz="0" w:space="0" w:color="auto"/>
        <w:left w:val="none" w:sz="0" w:space="0" w:color="auto"/>
        <w:bottom w:val="none" w:sz="0" w:space="0" w:color="auto"/>
        <w:right w:val="none" w:sz="0" w:space="0" w:color="auto"/>
      </w:divBdr>
    </w:div>
    <w:div w:id="1789542546">
      <w:bodyDiv w:val="1"/>
      <w:marLeft w:val="0"/>
      <w:marRight w:val="0"/>
      <w:marTop w:val="0"/>
      <w:marBottom w:val="0"/>
      <w:divBdr>
        <w:top w:val="none" w:sz="0" w:space="0" w:color="auto"/>
        <w:left w:val="none" w:sz="0" w:space="0" w:color="auto"/>
        <w:bottom w:val="none" w:sz="0" w:space="0" w:color="auto"/>
        <w:right w:val="none" w:sz="0" w:space="0" w:color="auto"/>
      </w:divBdr>
      <w:divsChild>
        <w:div w:id="1670906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4715921">
              <w:marLeft w:val="0"/>
              <w:marRight w:val="0"/>
              <w:marTop w:val="0"/>
              <w:marBottom w:val="0"/>
              <w:divBdr>
                <w:top w:val="none" w:sz="0" w:space="0" w:color="auto"/>
                <w:left w:val="none" w:sz="0" w:space="0" w:color="auto"/>
                <w:bottom w:val="none" w:sz="0" w:space="0" w:color="auto"/>
                <w:right w:val="none" w:sz="0" w:space="0" w:color="auto"/>
              </w:divBdr>
              <w:divsChild>
                <w:div w:id="5721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30657">
      <w:bodyDiv w:val="1"/>
      <w:marLeft w:val="0"/>
      <w:marRight w:val="0"/>
      <w:marTop w:val="0"/>
      <w:marBottom w:val="0"/>
      <w:divBdr>
        <w:top w:val="none" w:sz="0" w:space="0" w:color="auto"/>
        <w:left w:val="none" w:sz="0" w:space="0" w:color="auto"/>
        <w:bottom w:val="none" w:sz="0" w:space="0" w:color="auto"/>
        <w:right w:val="none" w:sz="0" w:space="0" w:color="auto"/>
      </w:divBdr>
    </w:div>
    <w:div w:id="2038921861">
      <w:bodyDiv w:val="1"/>
      <w:marLeft w:val="0"/>
      <w:marRight w:val="0"/>
      <w:marTop w:val="0"/>
      <w:marBottom w:val="0"/>
      <w:divBdr>
        <w:top w:val="none" w:sz="0" w:space="0" w:color="auto"/>
        <w:left w:val="none" w:sz="0" w:space="0" w:color="auto"/>
        <w:bottom w:val="none" w:sz="0" w:space="0" w:color="auto"/>
        <w:right w:val="none" w:sz="0" w:space="0" w:color="auto"/>
      </w:divBdr>
    </w:div>
    <w:div w:id="2090809534">
      <w:bodyDiv w:val="1"/>
      <w:marLeft w:val="0"/>
      <w:marRight w:val="0"/>
      <w:marTop w:val="0"/>
      <w:marBottom w:val="0"/>
      <w:divBdr>
        <w:top w:val="none" w:sz="0" w:space="0" w:color="auto"/>
        <w:left w:val="none" w:sz="0" w:space="0" w:color="auto"/>
        <w:bottom w:val="none" w:sz="0" w:space="0" w:color="auto"/>
        <w:right w:val="none" w:sz="0" w:space="0" w:color="auto"/>
      </w:divBdr>
    </w:div>
    <w:div w:id="209697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ationalcoreindicators.org/" TargetMode="External"/><Relationship Id="rId18" Type="http://schemas.openxmlformats.org/officeDocument/2006/relationships/chart" Target="charts/chart5.xml"/><Relationship Id="rId26" Type="http://schemas.openxmlformats.org/officeDocument/2006/relationships/chart" Target="charts/chart13.xml"/><Relationship Id="rId3" Type="http://schemas.openxmlformats.org/officeDocument/2006/relationships/numbering" Target="numbering.xml"/><Relationship Id="rId21" Type="http://schemas.openxmlformats.org/officeDocument/2006/relationships/chart" Target="charts/chart8.xml"/><Relationship Id="rId7" Type="http://schemas.openxmlformats.org/officeDocument/2006/relationships/footnotes" Target="footnotes.xml"/><Relationship Id="rId12" Type="http://schemas.openxmlformats.org/officeDocument/2006/relationships/hyperlink" Target="http://ablenrc.org/" TargetMode="External"/><Relationship Id="rId17" Type="http://schemas.openxmlformats.org/officeDocument/2006/relationships/chart" Target="charts/chart4.xml"/><Relationship Id="rId25" Type="http://schemas.openxmlformats.org/officeDocument/2006/relationships/chart" Target="charts/chart12.xml"/><Relationship Id="rId2" Type="http://schemas.openxmlformats.org/officeDocument/2006/relationships/customXml" Target="../customXml/item1.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hyperlink" Target="http://www.nationalcoreindicators.org/charts/"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1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hyperlink" Target="http://www.nationalcoreindicators.org/charts/" TargetMode="External"/><Relationship Id="rId10" Type="http://schemas.openxmlformats.org/officeDocument/2006/relationships/image" Target="media/image2.emf"/><Relationship Id="rId19" Type="http://schemas.openxmlformats.org/officeDocument/2006/relationships/chart" Target="charts/chart6.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www.thearc.org/sslpage.aspx?pid=2351" TargetMode="External"/><Relationship Id="rId13" Type="http://schemas.openxmlformats.org/officeDocument/2006/relationships/hyperlink" Target="https://www.youtube.com/watch?time_continue=1&amp;v=UInXHR1YHMg" TargetMode="External"/><Relationship Id="rId18" Type="http://schemas.openxmlformats.org/officeDocument/2006/relationships/hyperlink" Target="http://www.guardianship.org/IRL/Resources/Handouts/Charting%20a%20New%20Course_Restoration%20Report.pdf" TargetMode="External"/><Relationship Id="rId26" Type="http://schemas.openxmlformats.org/officeDocument/2006/relationships/hyperlink" Target="https://www.aucd.org/docs/policy/kavanaugh_letter_2018_0820_full_senate.pdf" TargetMode="External"/><Relationship Id="rId39" Type="http://schemas.openxmlformats.org/officeDocument/2006/relationships/hyperlink" Target="http://lims.dccouncil.us/Download/41243/RC22-0228-Introduction.pdf" TargetMode="External"/><Relationship Id="rId3" Type="http://schemas.openxmlformats.org/officeDocument/2006/relationships/hyperlink" Target="http://www.uniformlaws.org/Committee.aspx?title=Guardianship,%20Conservatorship,%20and%20Other%20Protective%20Arrangements%20Act" TargetMode="External"/><Relationship Id="rId21" Type="http://schemas.openxmlformats.org/officeDocument/2006/relationships/hyperlink" Target="http://www.governor.ny.gov/sites/governor.ny.gov/files/archive/assets/documents/olmstead-cabinet-report101013.pdf" TargetMode="External"/><Relationship Id="rId34" Type="http://schemas.openxmlformats.org/officeDocument/2006/relationships/hyperlink" Target="http://www.supporteddecisionmaking.org/sites/default/files/dcps_supported_decision_making_form_0.pdf" TargetMode="External"/><Relationship Id="rId42" Type="http://schemas.openxmlformats.org/officeDocument/2006/relationships/hyperlink" Target="https://www.washingtonpost.com/archive/local/1986/12/08/tiny-boy-is-born-to-retarded-couple-seen-on-60-minutes/de56b320-66d9-44b2-98d8-36a51ef9326c/?utm_term=.0130fdb3081e" TargetMode="External"/><Relationship Id="rId7" Type="http://schemas.openxmlformats.org/officeDocument/2006/relationships/hyperlink" Target="https://www.ncd.gov/publications/2018/beyond-guardianship-toward-alternatives" TargetMode="External"/><Relationship Id="rId12" Type="http://schemas.openxmlformats.org/officeDocument/2006/relationships/hyperlink" Target="http://www.supporteddecisionmaking.org/states" TargetMode="External"/><Relationship Id="rId17" Type="http://schemas.openxmlformats.org/officeDocument/2006/relationships/hyperlink" Target="https://www2.ed.gov/about/offices/list/osers/transition/products/postsecondary-transition-guide-2017.pdf" TargetMode="External"/><Relationship Id="rId25" Type="http://schemas.openxmlformats.org/officeDocument/2006/relationships/hyperlink" Target="http://www.aarp.org/content/dam/aarp/research/public_policy_institute/cons_prot/2013/guardian-decisions-on-ltss-report-AARP-ppi-cons-prot.pdf" TargetMode="External"/><Relationship Id="rId33" Type="http://schemas.openxmlformats.org/officeDocument/2006/relationships/hyperlink" Target="http://transitioncentral.files.wordpress.com/2011/12/transfer-of-rights-guidelines.pdf" TargetMode="External"/><Relationship Id="rId38" Type="http://schemas.openxmlformats.org/officeDocument/2006/relationships/hyperlink" Target="https://odr.dc.gov/page/016-olmstead-plan-and-appendices" TargetMode="External"/><Relationship Id="rId46" Type="http://schemas.openxmlformats.org/officeDocument/2006/relationships/hyperlink" Target="https://acl.gov/sites/default/files/programs/2018-07/NAMRSFY16CaseComponent-Final.pdf" TargetMode="External"/><Relationship Id="rId2" Type="http://schemas.openxmlformats.org/officeDocument/2006/relationships/hyperlink" Target="https://www.guardianship.org/wp-content/uploads/2017/07/NGA-Standards-with-Summit-Revisions-2017.pdf" TargetMode="External"/><Relationship Id="rId16" Type="http://schemas.openxmlformats.org/officeDocument/2006/relationships/hyperlink" Target="http://supporteddecisions.org/wp-content/uploads/2016/11/Evaluation-Year-2-Report_HSRI-2016_FINAL-2-1.pdf" TargetMode="External"/><Relationship Id="rId20" Type="http://schemas.openxmlformats.org/officeDocument/2006/relationships/hyperlink" Target="https://www.deseretnews.com/article/865684409/ACLU-sues-Utah-over-disabled-peoples-right-to-a-lawyer-in-guardianship-cases.html" TargetMode="External"/><Relationship Id="rId29" Type="http://schemas.openxmlformats.org/officeDocument/2006/relationships/hyperlink" Target="http://www.uls-dc.org/Time%20for%20Change.pdf" TargetMode="External"/><Relationship Id="rId41" Type="http://schemas.openxmlformats.org/officeDocument/2006/relationships/hyperlink" Target="https://www.washingtonpost.com/archive/local/1984/07/05/life-at-forest-haven-leads-couple-to-the-altar/7a406614-3956-4aa1-8831-5bf4acb5682d/?utm_term=.2a7f40712834" TargetMode="External"/><Relationship Id="rId1" Type="http://schemas.openxmlformats.org/officeDocument/2006/relationships/hyperlink" Target="https://www.ncd.gov/publications/2005/12152005" TargetMode="External"/><Relationship Id="rId6" Type="http://schemas.openxmlformats.org/officeDocument/2006/relationships/hyperlink" Target="https://www.apa.org/education/k12/brain-function.aspx" TargetMode="External"/><Relationship Id="rId11" Type="http://schemas.openxmlformats.org/officeDocument/2006/relationships/hyperlink" Target="https://www.ssab.gov/Portals/0/OUR_WORK/REPORTS/Rep_Payees_Call_to_Action_Brief_2016.pdf" TargetMode="External"/><Relationship Id="rId24" Type="http://schemas.openxmlformats.org/officeDocument/2006/relationships/hyperlink" Target="https://www.americanbar.org/content/dam/aba/administrative/law_aging/PublicGuardianshipAfter25YearsIntheBestInterestofIncapacitatedPeople.pdf" TargetMode="External"/><Relationship Id="rId32" Type="http://schemas.openxmlformats.org/officeDocument/2006/relationships/hyperlink" Target="http://www.supporteddecisionmaking.org/sites/default/files/event_files/052516-ppt-2.pdf" TargetMode="External"/><Relationship Id="rId37" Type="http://schemas.openxmlformats.org/officeDocument/2006/relationships/hyperlink" Target="http://www.supporteddecisionmaking.org/node/427" TargetMode="External"/><Relationship Id="rId40" Type="http://schemas.openxmlformats.org/officeDocument/2006/relationships/hyperlink" Target="https://www.washingtonpost.com/archive/politics/1999/03/14/forest-haven-is-gone-but-the-agony-remains/c2e3340a-08c6-4745-abdb-badb334648eb/?utm_term=.e49e2c855aed" TargetMode="External"/><Relationship Id="rId45" Type="http://schemas.openxmlformats.org/officeDocument/2006/relationships/hyperlink" Target="https://acl.gov/sites/default/files/programs/2018-11/NAMRSFY17Case%20Component.pdf" TargetMode="External"/><Relationship Id="rId5" Type="http://schemas.openxmlformats.org/officeDocument/2006/relationships/hyperlink" Target="http://www.gpo.gov/fdsys/pkg/PLAW-111publ256/html/PLAW-111publ256.htm" TargetMode="External"/><Relationship Id="rId15" Type="http://schemas.openxmlformats.org/officeDocument/2006/relationships/hyperlink" Target="https://www2.ed.gov/programs/osepidea/618-data/collection-documentation/data-documentation-files/part-b/exiting/idea-partb-exiting-2013.doc" TargetMode="External"/><Relationship Id="rId23" Type="http://schemas.openxmlformats.org/officeDocument/2006/relationships/hyperlink" Target="http://supporteddecisions.org/wp-content/uploads/2015/04/SDM-Evaluation-Report-Year-1_HSRI-2015.pdf" TargetMode="External"/><Relationship Id="rId28" Type="http://schemas.openxmlformats.org/officeDocument/2006/relationships/hyperlink" Target="http://www.supporteddecisionmaking.org/impact-stories/protecting-right-make-choices" TargetMode="External"/><Relationship Id="rId36" Type="http://schemas.openxmlformats.org/officeDocument/2006/relationships/hyperlink" Target="https://osse.dc.gov/service/education-decision-making" TargetMode="External"/><Relationship Id="rId10" Type="http://schemas.openxmlformats.org/officeDocument/2006/relationships/hyperlink" Target="https://www.ncbi.nlm.nih.gov/books/NBK367675/" TargetMode="External"/><Relationship Id="rId19" Type="http://schemas.openxmlformats.org/officeDocument/2006/relationships/hyperlink" Target="https://na01.safelinks.protection.outlook.com/?url=http%3A%2F%2Fsuindependent.com%2Fdisability-law-center-aclu-reach-settlement-strengthen-legal-representation-guardianship-hearings-utah%2F&amp;data=02%7C01%7Cmwhitlatch%40dcqualitytrust.org%7Cdd4719eebf994c4258fa08d67a416810%7Cfcb19f721f634c85b20b0c11dccda1f0%7C1%7C0%7C636830818697853263&amp;sdata=tzom5kTgmUhuoFTmUsOGZ2l1JH1cNwVCfu8Q1CpvAh4%3D&amp;reserved=0" TargetMode="External"/><Relationship Id="rId31" Type="http://schemas.openxmlformats.org/officeDocument/2006/relationships/hyperlink" Target="http://www.supporteddecisionmaking.org/impact-stories/supporting-decision-making-students-disabilities-dc" TargetMode="External"/><Relationship Id="rId44" Type="http://schemas.openxmlformats.org/officeDocument/2006/relationships/hyperlink" Target="https://www.imdb.com/title/tt0344236/" TargetMode="External"/><Relationship Id="rId4" Type="http://schemas.openxmlformats.org/officeDocument/2006/relationships/hyperlink" Target="https://aaidd.org/intellectual-disability/definition" TargetMode="External"/><Relationship Id="rId9" Type="http://schemas.openxmlformats.org/officeDocument/2006/relationships/hyperlink" Target="https://aspe.hhs.gov/basic-report/advance-directives-and-advance-care-planning-people-intellectual-and-physical-disabilities" TargetMode="External"/><Relationship Id="rId14" Type="http://schemas.openxmlformats.org/officeDocument/2006/relationships/hyperlink" Target="https://www.savingforcollege.com/article/age-of-majority" TargetMode="External"/><Relationship Id="rId22" Type="http://schemas.openxmlformats.org/officeDocument/2006/relationships/hyperlink" Target="https://www.americanbar.org/content/dam/aba/administrative/law_aging/2014_HealthCareDecisionMakingAuthorityofGuardiansChart.pdf" TargetMode="External"/><Relationship Id="rId27" Type="http://schemas.openxmlformats.org/officeDocument/2006/relationships/hyperlink" Target="https://www.aucd.org/template/news.cfm?news_id=13683&amp;id=17" TargetMode="External"/><Relationship Id="rId30" Type="http://schemas.openxmlformats.org/officeDocument/2006/relationships/hyperlink" Target="https://www.dccourts.gov/sites/default/files/Making-a-Complaint-in-an-Adult-Guardianship-Proceeding_0.pdf" TargetMode="External"/><Relationship Id="rId35" Type="http://schemas.openxmlformats.org/officeDocument/2006/relationships/hyperlink" Target="https://osse.dc.gov/sites/default/files/dc/sites/osse/page_content/attachments/Notice%20of%20Final%20Transfer%20of%20Rights%20Rulemaking.pdf" TargetMode="External"/><Relationship Id="rId43" Type="http://schemas.openxmlformats.org/officeDocument/2006/relationships/hyperlink" Target="https://www.help.senate.gov/imo/media/doc/Thornton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Abhilasha\NCD_Preserving_Our_Freedom_508.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2" Type="http://schemas.openxmlformats.org/officeDocument/2006/relationships/package" Target="../embeddings/Microsoft_Excel_Worksheet11.xlsx"/><Relationship Id="rId1" Type="http://schemas.openxmlformats.org/officeDocument/2006/relationships/themeOverride" Target="../theme/themeOverride6.xml"/></Relationships>
</file>

<file path=word/charts/_rels/chart13.xml.rels><?xml version="1.0" encoding="UTF-8" standalone="yes"?>
<Relationships xmlns="http://schemas.openxmlformats.org/package/2006/relationships"><Relationship Id="rId2" Type="http://schemas.openxmlformats.org/officeDocument/2006/relationships/package" Target="../embeddings/Microsoft_Excel_Worksheet12.xlsx"/><Relationship Id="rId1" Type="http://schemas.openxmlformats.org/officeDocument/2006/relationships/themeOverride" Target="../theme/themeOverride7.xml"/></Relationships>
</file>

<file path=word/charts/_rels/chart14.xml.rels><?xml version="1.0" encoding="UTF-8" standalone="yes"?>
<Relationships xmlns="http://schemas.openxmlformats.org/package/2006/relationships"><Relationship Id="rId2" Type="http://schemas.openxmlformats.org/officeDocument/2006/relationships/package" Target="../embeddings/Microsoft_Excel_Worksheet13.xlsx"/><Relationship Id="rId1" Type="http://schemas.openxmlformats.org/officeDocument/2006/relationships/themeOverride" Target="../theme/themeOverride8.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solidFill>
                  <a:schemeClr val="tx1"/>
                </a:solidFill>
              </a:rPr>
              <a:t>Number of Guardianship</a:t>
            </a:r>
            <a:r>
              <a:rPr lang="en-US" baseline="0">
                <a:solidFill>
                  <a:schemeClr val="tx1"/>
                </a:solidFill>
              </a:rPr>
              <a:t> Petitions</a:t>
            </a:r>
            <a:endParaRPr lang="en-US">
              <a:solidFill>
                <a:schemeClr val="tx1"/>
              </a:solidFill>
            </a:endParaRPr>
          </a:p>
        </c:rich>
      </c:tx>
      <c:layout>
        <c:manualLayout>
          <c:xMode val="edge"/>
          <c:yMode val="edge"/>
          <c:x val="0.26010381905821284"/>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Overall Guardianship Petitions</c:v>
                </c:pt>
              </c:strCache>
            </c:strRef>
          </c:tx>
          <c:spPr>
            <a:ln w="28575" cap="rnd">
              <a:solidFill>
                <a:schemeClr val="accent1"/>
              </a:solidFill>
              <a:round/>
            </a:ln>
            <a:effectLst/>
          </c:spPr>
          <c:marker>
            <c:symbol val="none"/>
          </c:marker>
          <c:cat>
            <c:numRef>
              <c:f>Sheet1!$A$2:$A$4</c:f>
              <c:numCache>
                <c:formatCode>General</c:formatCode>
                <c:ptCount val="3"/>
                <c:pt idx="0">
                  <c:v>2015</c:v>
                </c:pt>
                <c:pt idx="1">
                  <c:v>2016</c:v>
                </c:pt>
                <c:pt idx="2">
                  <c:v>2017</c:v>
                </c:pt>
              </c:numCache>
            </c:numRef>
          </c:cat>
          <c:val>
            <c:numRef>
              <c:f>Sheet1!$B$2:$B$4</c:f>
              <c:numCache>
                <c:formatCode>General</c:formatCode>
                <c:ptCount val="3"/>
                <c:pt idx="0">
                  <c:v>550</c:v>
                </c:pt>
                <c:pt idx="1">
                  <c:v>457</c:v>
                </c:pt>
                <c:pt idx="2">
                  <c:v>521</c:v>
                </c:pt>
              </c:numCache>
            </c:numRef>
          </c:val>
          <c:smooth val="0"/>
          <c:extLst>
            <c:ext xmlns:c16="http://schemas.microsoft.com/office/drawing/2014/chart" uri="{C3380CC4-5D6E-409C-BE32-E72D297353CC}">
              <c16:uniqueId val="{00000000-DBD4-416B-9468-229366957E7F}"/>
            </c:ext>
          </c:extLst>
        </c:ser>
        <c:ser>
          <c:idx val="1"/>
          <c:order val="1"/>
          <c:tx>
            <c:strRef>
              <c:f>Sheet1!$C$1</c:f>
              <c:strCache>
                <c:ptCount val="1"/>
                <c:pt idx="0">
                  <c:v>People with other disabilities</c:v>
                </c:pt>
              </c:strCache>
            </c:strRef>
          </c:tx>
          <c:spPr>
            <a:ln w="28575" cap="rnd">
              <a:solidFill>
                <a:schemeClr val="accent2"/>
              </a:solidFill>
              <a:round/>
            </a:ln>
            <a:effectLst/>
          </c:spPr>
          <c:marker>
            <c:symbol val="none"/>
          </c:marker>
          <c:cat>
            <c:numRef>
              <c:f>Sheet1!$A$2:$A$4</c:f>
              <c:numCache>
                <c:formatCode>General</c:formatCode>
                <c:ptCount val="3"/>
                <c:pt idx="0">
                  <c:v>2015</c:v>
                </c:pt>
                <c:pt idx="1">
                  <c:v>2016</c:v>
                </c:pt>
                <c:pt idx="2">
                  <c:v>2017</c:v>
                </c:pt>
              </c:numCache>
            </c:numRef>
          </c:cat>
          <c:val>
            <c:numRef>
              <c:f>Sheet1!$C$2:$C$4</c:f>
              <c:numCache>
                <c:formatCode>General</c:formatCode>
                <c:ptCount val="3"/>
                <c:pt idx="0">
                  <c:v>453</c:v>
                </c:pt>
                <c:pt idx="1">
                  <c:v>408</c:v>
                </c:pt>
                <c:pt idx="2">
                  <c:v>467</c:v>
                </c:pt>
              </c:numCache>
            </c:numRef>
          </c:val>
          <c:smooth val="0"/>
          <c:extLst>
            <c:ext xmlns:c16="http://schemas.microsoft.com/office/drawing/2014/chart" uri="{C3380CC4-5D6E-409C-BE32-E72D297353CC}">
              <c16:uniqueId val="{00000001-DBD4-416B-9468-229366957E7F}"/>
            </c:ext>
          </c:extLst>
        </c:ser>
        <c:ser>
          <c:idx val="2"/>
          <c:order val="2"/>
          <c:tx>
            <c:strRef>
              <c:f>Sheet1!$D$1</c:f>
              <c:strCache>
                <c:ptCount val="1"/>
                <c:pt idx="0">
                  <c:v>People with ID/DD</c:v>
                </c:pt>
              </c:strCache>
            </c:strRef>
          </c:tx>
          <c:spPr>
            <a:ln w="28575" cap="rnd">
              <a:solidFill>
                <a:schemeClr val="accent3"/>
              </a:solidFill>
              <a:round/>
            </a:ln>
            <a:effectLst/>
          </c:spPr>
          <c:marker>
            <c:symbol val="none"/>
          </c:marker>
          <c:cat>
            <c:numRef>
              <c:f>Sheet1!$A$2:$A$4</c:f>
              <c:numCache>
                <c:formatCode>General</c:formatCode>
                <c:ptCount val="3"/>
                <c:pt idx="0">
                  <c:v>2015</c:v>
                </c:pt>
                <c:pt idx="1">
                  <c:v>2016</c:v>
                </c:pt>
                <c:pt idx="2">
                  <c:v>2017</c:v>
                </c:pt>
              </c:numCache>
            </c:numRef>
          </c:cat>
          <c:val>
            <c:numRef>
              <c:f>Sheet1!$D$2:$D$4</c:f>
              <c:numCache>
                <c:formatCode>General</c:formatCode>
                <c:ptCount val="3"/>
                <c:pt idx="0">
                  <c:v>97</c:v>
                </c:pt>
                <c:pt idx="1">
                  <c:v>49</c:v>
                </c:pt>
                <c:pt idx="2">
                  <c:v>54</c:v>
                </c:pt>
              </c:numCache>
            </c:numRef>
          </c:val>
          <c:smooth val="0"/>
          <c:extLst>
            <c:ext xmlns:c16="http://schemas.microsoft.com/office/drawing/2014/chart" uri="{C3380CC4-5D6E-409C-BE32-E72D297353CC}">
              <c16:uniqueId val="{00000002-DBD4-416B-9468-229366957E7F}"/>
            </c:ext>
          </c:extLst>
        </c:ser>
        <c:dLbls>
          <c:showLegendKey val="0"/>
          <c:showVal val="0"/>
          <c:showCatName val="0"/>
          <c:showSerName val="0"/>
          <c:showPercent val="0"/>
          <c:showBubbleSize val="0"/>
        </c:dLbls>
        <c:smooth val="0"/>
        <c:axId val="1649775456"/>
        <c:axId val="1649776440"/>
      </c:lineChart>
      <c:catAx>
        <c:axId val="1649775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776440"/>
        <c:crosses val="autoZero"/>
        <c:auto val="1"/>
        <c:lblAlgn val="ctr"/>
        <c:lblOffset val="100"/>
        <c:noMultiLvlLbl val="0"/>
      </c:catAx>
      <c:valAx>
        <c:axId val="1649776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775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2016</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32E-4F4C-BBBF-DCFF34DACE5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32E-4F4C-BBBF-DCFF34DACE5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32E-4F4C-BBBF-DCFF34DACE5F}"/>
              </c:ext>
            </c:extLst>
          </c:dPt>
          <c:cat>
            <c:strRef>
              <c:f>Sheet1!$A$2:$A$4</c:f>
              <c:strCache>
                <c:ptCount val="3"/>
                <c:pt idx="0">
                  <c:v>Permanent General Guardianship (84%)</c:v>
                </c:pt>
                <c:pt idx="1">
                  <c:v>Permanent Limited Guardianship (7%)</c:v>
                </c:pt>
                <c:pt idx="2">
                  <c:v>Temporary Guardianship (7%)</c:v>
                </c:pt>
              </c:strCache>
            </c:strRef>
          </c:cat>
          <c:val>
            <c:numRef>
              <c:f>Sheet1!$B$2:$B$4</c:f>
              <c:numCache>
                <c:formatCode>General</c:formatCode>
                <c:ptCount val="3"/>
                <c:pt idx="0">
                  <c:v>83.72</c:v>
                </c:pt>
                <c:pt idx="1">
                  <c:v>6.98</c:v>
                </c:pt>
                <c:pt idx="2">
                  <c:v>6.98</c:v>
                </c:pt>
              </c:numCache>
            </c:numRef>
          </c:val>
          <c:extLst>
            <c:ext xmlns:c16="http://schemas.microsoft.com/office/drawing/2014/chart" uri="{C3380CC4-5D6E-409C-BE32-E72D297353CC}">
              <c16:uniqueId val="{00000006-A32E-4F4C-BBBF-DCFF34DACE5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2017</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BF1-4687-804F-9A7DB396416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BF1-4687-804F-9A7DB396416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BF1-4687-804F-9A7DB396416D}"/>
              </c:ext>
            </c:extLst>
          </c:dPt>
          <c:cat>
            <c:strRef>
              <c:f>Sheet1!$A$2:$A$4</c:f>
              <c:strCache>
                <c:ptCount val="3"/>
                <c:pt idx="0">
                  <c:v>Permanent General Guardianship (90%)</c:v>
                </c:pt>
                <c:pt idx="1">
                  <c:v>Permanent Limited Guardianship (7%)</c:v>
                </c:pt>
                <c:pt idx="2">
                  <c:v>Temporary Guardianship (2%)</c:v>
                </c:pt>
              </c:strCache>
            </c:strRef>
          </c:cat>
          <c:val>
            <c:numRef>
              <c:f>Sheet1!$B$2:$B$4</c:f>
              <c:numCache>
                <c:formatCode>General</c:formatCode>
                <c:ptCount val="3"/>
                <c:pt idx="0">
                  <c:v>87.8</c:v>
                </c:pt>
                <c:pt idx="1">
                  <c:v>10.199999999999999</c:v>
                </c:pt>
                <c:pt idx="2">
                  <c:v>2</c:v>
                </c:pt>
              </c:numCache>
            </c:numRef>
          </c:val>
          <c:extLst>
            <c:ext xmlns:c16="http://schemas.microsoft.com/office/drawing/2014/chart" uri="{C3380CC4-5D6E-409C-BE32-E72D297353CC}">
              <c16:uniqueId val="{00000006-ABF1-4687-804F-9A7DB396416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300">
                <a:solidFill>
                  <a:sysClr val="windowText" lastClr="000000"/>
                </a:solidFill>
              </a:rPr>
              <a:t>Type of Decision-Making</a:t>
            </a:r>
            <a:r>
              <a:rPr lang="en-US" sz="1300" baseline="0">
                <a:solidFill>
                  <a:sysClr val="windowText" lastClr="000000"/>
                </a:solidFill>
              </a:rPr>
              <a:t> Support Used By People with Intellectual Disabilities Served by DC DDS (Percentages)</a:t>
            </a:r>
            <a:endParaRPr lang="en-US" sz="1300">
              <a:solidFill>
                <a:sysClr val="windowText" lastClr="000000"/>
              </a:solidFill>
            </a:endParaRPr>
          </a:p>
        </c:rich>
      </c:tx>
      <c:layout>
        <c:manualLayout>
          <c:xMode val="edge"/>
          <c:yMode val="edge"/>
          <c:x val="0.15447925780110819"/>
          <c:y val="0"/>
        </c:manualLayout>
      </c:layout>
      <c:overlay val="0"/>
      <c:spPr>
        <a:noFill/>
        <a:ln>
          <a:noFill/>
        </a:ln>
        <a:effectLst/>
      </c:spPr>
    </c:title>
    <c:autoTitleDeleted val="0"/>
    <c:plotArea>
      <c:layout>
        <c:manualLayout>
          <c:layoutTarget val="inner"/>
          <c:xMode val="edge"/>
          <c:yMode val="edge"/>
          <c:x val="4.3910032079323418E-2"/>
          <c:y val="0.12734126984126987"/>
          <c:w val="0.9190529308836396"/>
          <c:h val="0.47504468191476068"/>
        </c:manualLayout>
      </c:layout>
      <c:barChart>
        <c:barDir val="col"/>
        <c:grouping val="clustered"/>
        <c:varyColors val="0"/>
        <c:ser>
          <c:idx val="0"/>
          <c:order val="0"/>
          <c:tx>
            <c:strRef>
              <c:f>Sheet1!$B$1</c:f>
              <c:strCache>
                <c:ptCount val="1"/>
                <c:pt idx="0">
                  <c:v>Independent Decisions</c:v>
                </c:pt>
              </c:strCache>
            </c:strRef>
          </c:tx>
          <c:spPr>
            <a:solidFill>
              <a:schemeClr val="accent1"/>
            </a:solidFill>
            <a:ln>
              <a:noFill/>
            </a:ln>
            <a:effectLst/>
          </c:spPr>
          <c:invertIfNegative val="0"/>
          <c:cat>
            <c:strRef>
              <c:f>Sheet1!$A$2:$A$7</c:f>
              <c:strCache>
                <c:ptCount val="6"/>
                <c:pt idx="0">
                  <c:v>FY 2013</c:v>
                </c:pt>
                <c:pt idx="1">
                  <c:v>FY 2014</c:v>
                </c:pt>
                <c:pt idx="2">
                  <c:v>FY 2015</c:v>
                </c:pt>
                <c:pt idx="3">
                  <c:v>FY 2016</c:v>
                </c:pt>
                <c:pt idx="4">
                  <c:v>FY 2017</c:v>
                </c:pt>
                <c:pt idx="5">
                  <c:v>FY 2018</c:v>
                </c:pt>
              </c:strCache>
            </c:strRef>
          </c:cat>
          <c:val>
            <c:numRef>
              <c:f>Sheet1!$B$2:$B$7</c:f>
              <c:numCache>
                <c:formatCode>General</c:formatCode>
                <c:ptCount val="6"/>
                <c:pt idx="0">
                  <c:v>15.26</c:v>
                </c:pt>
                <c:pt idx="1">
                  <c:v>15.02</c:v>
                </c:pt>
                <c:pt idx="2">
                  <c:v>14.29</c:v>
                </c:pt>
                <c:pt idx="3">
                  <c:v>13.64</c:v>
                </c:pt>
                <c:pt idx="4">
                  <c:v>14.07</c:v>
                </c:pt>
                <c:pt idx="5">
                  <c:v>14.2</c:v>
                </c:pt>
              </c:numCache>
            </c:numRef>
          </c:val>
          <c:extLst>
            <c:ext xmlns:c16="http://schemas.microsoft.com/office/drawing/2014/chart" uri="{C3380CC4-5D6E-409C-BE32-E72D297353CC}">
              <c16:uniqueId val="{00000000-EBFE-4022-BD0B-9175474928EA}"/>
            </c:ext>
          </c:extLst>
        </c:ser>
        <c:ser>
          <c:idx val="1"/>
          <c:order val="1"/>
          <c:tx>
            <c:strRef>
              <c:f>Sheet1!$C$1</c:f>
              <c:strCache>
                <c:ptCount val="1"/>
                <c:pt idx="0">
                  <c:v>Supported Decision-Making</c:v>
                </c:pt>
              </c:strCache>
            </c:strRef>
          </c:tx>
          <c:spPr>
            <a:solidFill>
              <a:schemeClr val="accent2"/>
            </a:solidFill>
            <a:ln>
              <a:noFill/>
            </a:ln>
            <a:effectLst/>
          </c:spPr>
          <c:invertIfNegative val="0"/>
          <c:cat>
            <c:strRef>
              <c:f>Sheet1!$A$2:$A$7</c:f>
              <c:strCache>
                <c:ptCount val="6"/>
                <c:pt idx="0">
                  <c:v>FY 2013</c:v>
                </c:pt>
                <c:pt idx="1">
                  <c:v>FY 2014</c:v>
                </c:pt>
                <c:pt idx="2">
                  <c:v>FY 2015</c:v>
                </c:pt>
                <c:pt idx="3">
                  <c:v>FY 2016</c:v>
                </c:pt>
                <c:pt idx="4">
                  <c:v>FY 2017</c:v>
                </c:pt>
                <c:pt idx="5">
                  <c:v>FY 2018</c:v>
                </c:pt>
              </c:strCache>
            </c:strRef>
          </c:cat>
          <c:val>
            <c:numRef>
              <c:f>Sheet1!$C$2:$C$7</c:f>
              <c:numCache>
                <c:formatCode>General</c:formatCode>
                <c:ptCount val="6"/>
                <c:pt idx="0">
                  <c:v>3.42</c:v>
                </c:pt>
                <c:pt idx="1">
                  <c:v>3.37</c:v>
                </c:pt>
                <c:pt idx="2">
                  <c:v>3.12</c:v>
                </c:pt>
                <c:pt idx="3">
                  <c:v>2.88</c:v>
                </c:pt>
                <c:pt idx="4">
                  <c:v>4.6900000000000004</c:v>
                </c:pt>
                <c:pt idx="5">
                  <c:v>5.05</c:v>
                </c:pt>
              </c:numCache>
            </c:numRef>
          </c:val>
          <c:extLst>
            <c:ext xmlns:c16="http://schemas.microsoft.com/office/drawing/2014/chart" uri="{C3380CC4-5D6E-409C-BE32-E72D297353CC}">
              <c16:uniqueId val="{00000001-EBFE-4022-BD0B-9175474928EA}"/>
            </c:ext>
          </c:extLst>
        </c:ser>
        <c:ser>
          <c:idx val="2"/>
          <c:order val="2"/>
          <c:tx>
            <c:strRef>
              <c:f>Sheet1!$D$1</c:f>
              <c:strCache>
                <c:ptCount val="1"/>
                <c:pt idx="0">
                  <c:v>Durable Power of Attorney</c:v>
                </c:pt>
              </c:strCache>
            </c:strRef>
          </c:tx>
          <c:spPr>
            <a:solidFill>
              <a:schemeClr val="accent3"/>
            </a:solidFill>
            <a:ln>
              <a:noFill/>
            </a:ln>
            <a:effectLst/>
          </c:spPr>
          <c:invertIfNegative val="0"/>
          <c:cat>
            <c:strRef>
              <c:f>Sheet1!$A$2:$A$7</c:f>
              <c:strCache>
                <c:ptCount val="6"/>
                <c:pt idx="0">
                  <c:v>FY 2013</c:v>
                </c:pt>
                <c:pt idx="1">
                  <c:v>FY 2014</c:v>
                </c:pt>
                <c:pt idx="2">
                  <c:v>FY 2015</c:v>
                </c:pt>
                <c:pt idx="3">
                  <c:v>FY 2016</c:v>
                </c:pt>
                <c:pt idx="4">
                  <c:v>FY 2017</c:v>
                </c:pt>
                <c:pt idx="5">
                  <c:v>FY 2018</c:v>
                </c:pt>
              </c:strCache>
            </c:strRef>
          </c:cat>
          <c:val>
            <c:numRef>
              <c:f>Sheet1!$D$2:$D$7</c:f>
              <c:numCache>
                <c:formatCode>General</c:formatCode>
                <c:ptCount val="6"/>
                <c:pt idx="0">
                  <c:v>0.14000000000000001</c:v>
                </c:pt>
                <c:pt idx="1">
                  <c:v>0.18</c:v>
                </c:pt>
                <c:pt idx="2">
                  <c:v>0.18</c:v>
                </c:pt>
                <c:pt idx="3">
                  <c:v>0.26</c:v>
                </c:pt>
                <c:pt idx="4">
                  <c:v>0.34</c:v>
                </c:pt>
                <c:pt idx="5">
                  <c:v>0.54</c:v>
                </c:pt>
              </c:numCache>
            </c:numRef>
          </c:val>
          <c:extLst>
            <c:ext xmlns:c16="http://schemas.microsoft.com/office/drawing/2014/chart" uri="{C3380CC4-5D6E-409C-BE32-E72D297353CC}">
              <c16:uniqueId val="{00000002-EBFE-4022-BD0B-9175474928EA}"/>
            </c:ext>
          </c:extLst>
        </c:ser>
        <c:ser>
          <c:idx val="3"/>
          <c:order val="3"/>
          <c:tx>
            <c:strRef>
              <c:f>Sheet1!$E$1</c:f>
              <c:strCache>
                <c:ptCount val="1"/>
                <c:pt idx="0">
                  <c:v>21-2210 Medical Decision-Maker</c:v>
                </c:pt>
              </c:strCache>
            </c:strRef>
          </c:tx>
          <c:spPr>
            <a:solidFill>
              <a:schemeClr val="accent4"/>
            </a:solidFill>
            <a:ln>
              <a:noFill/>
            </a:ln>
            <a:effectLst/>
          </c:spPr>
          <c:invertIfNegative val="0"/>
          <c:cat>
            <c:strRef>
              <c:f>Sheet1!$A$2:$A$7</c:f>
              <c:strCache>
                <c:ptCount val="6"/>
                <c:pt idx="0">
                  <c:v>FY 2013</c:v>
                </c:pt>
                <c:pt idx="1">
                  <c:v>FY 2014</c:v>
                </c:pt>
                <c:pt idx="2">
                  <c:v>FY 2015</c:v>
                </c:pt>
                <c:pt idx="3">
                  <c:v>FY 2016</c:v>
                </c:pt>
                <c:pt idx="4">
                  <c:v>FY 2017</c:v>
                </c:pt>
                <c:pt idx="5">
                  <c:v>FY 2018</c:v>
                </c:pt>
              </c:strCache>
            </c:strRef>
          </c:cat>
          <c:val>
            <c:numRef>
              <c:f>Sheet1!$E$2:$E$7</c:f>
              <c:numCache>
                <c:formatCode>General</c:formatCode>
                <c:ptCount val="6"/>
                <c:pt idx="0">
                  <c:v>41.41</c:v>
                </c:pt>
                <c:pt idx="1">
                  <c:v>39.68</c:v>
                </c:pt>
                <c:pt idx="2">
                  <c:v>37.22</c:v>
                </c:pt>
                <c:pt idx="3">
                  <c:v>35.159999999999997</c:v>
                </c:pt>
                <c:pt idx="4">
                  <c:v>36.56</c:v>
                </c:pt>
                <c:pt idx="5">
                  <c:v>34.880000000000003</c:v>
                </c:pt>
              </c:numCache>
            </c:numRef>
          </c:val>
          <c:extLst>
            <c:ext xmlns:c16="http://schemas.microsoft.com/office/drawing/2014/chart" uri="{C3380CC4-5D6E-409C-BE32-E72D297353CC}">
              <c16:uniqueId val="{00000003-EBFE-4022-BD0B-9175474928EA}"/>
            </c:ext>
          </c:extLst>
        </c:ser>
        <c:ser>
          <c:idx val="4"/>
          <c:order val="4"/>
          <c:tx>
            <c:strRef>
              <c:f>Sheet1!$F$1</c:f>
              <c:strCache>
                <c:ptCount val="1"/>
                <c:pt idx="0">
                  <c:v>Limited Medical Guardian or DC Equivalent</c:v>
                </c:pt>
              </c:strCache>
            </c:strRef>
          </c:tx>
          <c:spPr>
            <a:solidFill>
              <a:schemeClr val="accent5"/>
            </a:solidFill>
            <a:ln>
              <a:noFill/>
            </a:ln>
            <a:effectLst/>
          </c:spPr>
          <c:invertIfNegative val="0"/>
          <c:cat>
            <c:strRef>
              <c:f>Sheet1!$A$2:$A$7</c:f>
              <c:strCache>
                <c:ptCount val="6"/>
                <c:pt idx="0">
                  <c:v>FY 2013</c:v>
                </c:pt>
                <c:pt idx="1">
                  <c:v>FY 2014</c:v>
                </c:pt>
                <c:pt idx="2">
                  <c:v>FY 2015</c:v>
                </c:pt>
                <c:pt idx="3">
                  <c:v>FY 2016</c:v>
                </c:pt>
                <c:pt idx="4">
                  <c:v>FY 2017</c:v>
                </c:pt>
                <c:pt idx="5">
                  <c:v>FY 2018</c:v>
                </c:pt>
              </c:strCache>
            </c:strRef>
          </c:cat>
          <c:val>
            <c:numRef>
              <c:f>Sheet1!$F$2:$F$7</c:f>
              <c:numCache>
                <c:formatCode>General</c:formatCode>
                <c:ptCount val="6"/>
                <c:pt idx="0">
                  <c:v>16.13</c:v>
                </c:pt>
                <c:pt idx="1">
                  <c:v>15.79</c:v>
                </c:pt>
                <c:pt idx="2">
                  <c:v>15.58</c:v>
                </c:pt>
                <c:pt idx="3">
                  <c:v>14.99</c:v>
                </c:pt>
                <c:pt idx="4">
                  <c:v>14.03</c:v>
                </c:pt>
                <c:pt idx="5">
                  <c:v>13.53</c:v>
                </c:pt>
              </c:numCache>
            </c:numRef>
          </c:val>
          <c:extLst>
            <c:ext xmlns:c16="http://schemas.microsoft.com/office/drawing/2014/chart" uri="{C3380CC4-5D6E-409C-BE32-E72D297353CC}">
              <c16:uniqueId val="{00000004-EBFE-4022-BD0B-9175474928EA}"/>
            </c:ext>
          </c:extLst>
        </c:ser>
        <c:ser>
          <c:idx val="5"/>
          <c:order val="5"/>
          <c:tx>
            <c:strRef>
              <c:f>Sheet1!$G$1</c:f>
              <c:strCache>
                <c:ptCount val="1"/>
                <c:pt idx="0">
                  <c:v>General Guardian or DC Equivalent</c:v>
                </c:pt>
              </c:strCache>
            </c:strRef>
          </c:tx>
          <c:spPr>
            <a:solidFill>
              <a:schemeClr val="accent6"/>
            </a:solidFill>
            <a:ln>
              <a:noFill/>
            </a:ln>
            <a:effectLst/>
          </c:spPr>
          <c:invertIfNegative val="0"/>
          <c:cat>
            <c:strRef>
              <c:f>Sheet1!$A$2:$A$7</c:f>
              <c:strCache>
                <c:ptCount val="6"/>
                <c:pt idx="0">
                  <c:v>FY 2013</c:v>
                </c:pt>
                <c:pt idx="1">
                  <c:v>FY 2014</c:v>
                </c:pt>
                <c:pt idx="2">
                  <c:v>FY 2015</c:v>
                </c:pt>
                <c:pt idx="3">
                  <c:v>FY 2016</c:v>
                </c:pt>
                <c:pt idx="4">
                  <c:v>FY 2017</c:v>
                </c:pt>
                <c:pt idx="5">
                  <c:v>FY 2018</c:v>
                </c:pt>
              </c:strCache>
            </c:strRef>
          </c:cat>
          <c:val>
            <c:numRef>
              <c:f>Sheet1!$G$2:$G$7</c:f>
              <c:numCache>
                <c:formatCode>General</c:formatCode>
                <c:ptCount val="6"/>
                <c:pt idx="0">
                  <c:v>13.12</c:v>
                </c:pt>
                <c:pt idx="1">
                  <c:v>13.81</c:v>
                </c:pt>
                <c:pt idx="2">
                  <c:v>14.78</c:v>
                </c:pt>
                <c:pt idx="3">
                  <c:v>14.99</c:v>
                </c:pt>
                <c:pt idx="4">
                  <c:v>18.260000000000002</c:v>
                </c:pt>
                <c:pt idx="5">
                  <c:v>19.8</c:v>
                </c:pt>
              </c:numCache>
            </c:numRef>
          </c:val>
          <c:extLst>
            <c:ext xmlns:c16="http://schemas.microsoft.com/office/drawing/2014/chart" uri="{C3380CC4-5D6E-409C-BE32-E72D297353CC}">
              <c16:uniqueId val="{00000005-EBFE-4022-BD0B-9175474928EA}"/>
            </c:ext>
          </c:extLst>
        </c:ser>
        <c:ser>
          <c:idx val="6"/>
          <c:order val="6"/>
          <c:tx>
            <c:strRef>
              <c:f>Sheet1!$H$1</c:f>
              <c:strCache>
                <c:ptCount val="1"/>
                <c:pt idx="0">
                  <c:v>Other (Presumed Capacity/Under Review)</c:v>
                </c:pt>
              </c:strCache>
            </c:strRef>
          </c:tx>
          <c:spPr>
            <a:solidFill>
              <a:schemeClr val="accent1">
                <a:lumMod val="60000"/>
              </a:schemeClr>
            </a:solidFill>
            <a:ln>
              <a:noFill/>
            </a:ln>
            <a:effectLst/>
          </c:spPr>
          <c:invertIfNegative val="0"/>
          <c:cat>
            <c:strRef>
              <c:f>Sheet1!$A$2:$A$7</c:f>
              <c:strCache>
                <c:ptCount val="6"/>
                <c:pt idx="0">
                  <c:v>FY 2013</c:v>
                </c:pt>
                <c:pt idx="1">
                  <c:v>FY 2014</c:v>
                </c:pt>
                <c:pt idx="2">
                  <c:v>FY 2015</c:v>
                </c:pt>
                <c:pt idx="3">
                  <c:v>FY 2016</c:v>
                </c:pt>
                <c:pt idx="4">
                  <c:v>FY 2017</c:v>
                </c:pt>
                <c:pt idx="5">
                  <c:v>FY 2018</c:v>
                </c:pt>
              </c:strCache>
            </c:strRef>
          </c:cat>
          <c:val>
            <c:numRef>
              <c:f>Sheet1!$H$2:$H$7</c:f>
              <c:numCache>
                <c:formatCode>General</c:formatCode>
                <c:ptCount val="6"/>
                <c:pt idx="0">
                  <c:v>10.52</c:v>
                </c:pt>
                <c:pt idx="1">
                  <c:v>12.15</c:v>
                </c:pt>
                <c:pt idx="2">
                  <c:v>14.83</c:v>
                </c:pt>
                <c:pt idx="3">
                  <c:v>18.079999999999998</c:v>
                </c:pt>
                <c:pt idx="4">
                  <c:v>12.05</c:v>
                </c:pt>
                <c:pt idx="5">
                  <c:v>11.99</c:v>
                </c:pt>
              </c:numCache>
            </c:numRef>
          </c:val>
          <c:extLst>
            <c:ext xmlns:c16="http://schemas.microsoft.com/office/drawing/2014/chart" uri="{C3380CC4-5D6E-409C-BE32-E72D297353CC}">
              <c16:uniqueId val="{00000006-EBFE-4022-BD0B-9175474928EA}"/>
            </c:ext>
          </c:extLst>
        </c:ser>
        <c:dLbls>
          <c:showLegendKey val="0"/>
          <c:showVal val="0"/>
          <c:showCatName val="0"/>
          <c:showSerName val="0"/>
          <c:showPercent val="0"/>
          <c:showBubbleSize val="0"/>
        </c:dLbls>
        <c:gapWidth val="219"/>
        <c:overlap val="-27"/>
        <c:axId val="149869312"/>
        <c:axId val="149870848"/>
      </c:barChart>
      <c:catAx>
        <c:axId val="149869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870848"/>
        <c:crosses val="autoZero"/>
        <c:auto val="1"/>
        <c:lblAlgn val="ctr"/>
        <c:lblOffset val="100"/>
        <c:noMultiLvlLbl val="0"/>
      </c:catAx>
      <c:valAx>
        <c:axId val="149870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869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rPr>
              <a:t>Overall</a:t>
            </a:r>
            <a:r>
              <a:rPr lang="en-US" baseline="0">
                <a:solidFill>
                  <a:schemeClr val="tx1"/>
                </a:solidFill>
              </a:rPr>
              <a:t> Annual Average Percentages for the Type of </a:t>
            </a:r>
          </a:p>
          <a:p>
            <a:pPr>
              <a:defRPr sz="1400" b="0" i="0" u="none" strike="noStrike" kern="1200" spc="0" baseline="0">
                <a:solidFill>
                  <a:schemeClr val="tx1">
                    <a:lumMod val="65000"/>
                    <a:lumOff val="35000"/>
                  </a:schemeClr>
                </a:solidFill>
                <a:latin typeface="+mn-lt"/>
                <a:ea typeface="+mn-ea"/>
                <a:cs typeface="+mn-cs"/>
              </a:defRPr>
            </a:pPr>
            <a:r>
              <a:rPr lang="en-US" baseline="0">
                <a:solidFill>
                  <a:schemeClr val="tx1"/>
                </a:solidFill>
              </a:rPr>
              <a:t>Decision-Making Support Used by People with </a:t>
            </a:r>
          </a:p>
          <a:p>
            <a:pPr>
              <a:defRPr sz="1400" b="0" i="0" u="none" strike="noStrike" kern="1200" spc="0" baseline="0">
                <a:solidFill>
                  <a:schemeClr val="tx1">
                    <a:lumMod val="65000"/>
                    <a:lumOff val="35000"/>
                  </a:schemeClr>
                </a:solidFill>
                <a:latin typeface="+mn-lt"/>
                <a:ea typeface="+mn-ea"/>
                <a:cs typeface="+mn-cs"/>
              </a:defRPr>
            </a:pPr>
            <a:r>
              <a:rPr lang="en-US" baseline="0">
                <a:solidFill>
                  <a:schemeClr val="tx1"/>
                </a:solidFill>
              </a:rPr>
              <a:t>Intellectual Disabilities Served by DC DDS (FY 2013 to 2018)</a:t>
            </a:r>
            <a:endParaRPr lang="en-US">
              <a:solidFill>
                <a:schemeClr val="tx1"/>
              </a:solidFill>
            </a:endParaRPr>
          </a:p>
        </c:rich>
      </c:tx>
      <c:overlay val="0"/>
      <c:spPr>
        <a:noFill/>
        <a:ln>
          <a:noFill/>
        </a:ln>
        <a:effectLst/>
      </c:spPr>
    </c:title>
    <c:autoTitleDeleted val="0"/>
    <c:plotArea>
      <c:layout/>
      <c:pieChart>
        <c:varyColors val="1"/>
        <c:ser>
          <c:idx val="0"/>
          <c:order val="0"/>
          <c:tx>
            <c:strRef>
              <c:f>Sheet1!$B$1</c:f>
              <c:strCache>
                <c:ptCount val="1"/>
                <c:pt idx="0">
                  <c:v>Overall Annual Average of the Type of Decision-Making Support Used by People with Intellectual Disabilities Served by DC DDS (FY 2013 to 2018)</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22E-4D23-B040-27EF8EDBD18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22E-4D23-B040-27EF8EDBD18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22E-4D23-B040-27EF8EDBD18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22E-4D23-B040-27EF8EDBD18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22E-4D23-B040-27EF8EDBD18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822E-4D23-B040-27EF8EDBD18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822E-4D23-B040-27EF8EDBD183}"/>
              </c:ext>
            </c:extLst>
          </c:dPt>
          <c:cat>
            <c:strRef>
              <c:f>Sheet1!$A$2:$A$8</c:f>
              <c:strCache>
                <c:ptCount val="7"/>
                <c:pt idx="0">
                  <c:v>Independent Decisions (14.4%)</c:v>
                </c:pt>
                <c:pt idx="1">
                  <c:v>Supported Decision-Making (3.8%)</c:v>
                </c:pt>
                <c:pt idx="2">
                  <c:v>Durable Power of Attorney (0.3%)</c:v>
                </c:pt>
                <c:pt idx="3">
                  <c:v>21-2210 Medical Decision-Maker (37.5%)</c:v>
                </c:pt>
                <c:pt idx="4">
                  <c:v>Limited Medical Guardian or DC Equivalent (15.0%)</c:v>
                </c:pt>
                <c:pt idx="5">
                  <c:v>General Guardian or DC Equivalent (15.8%)</c:v>
                </c:pt>
                <c:pt idx="6">
                  <c:v>Other (Presumed Capacity/Under Review) (13.3%)</c:v>
                </c:pt>
              </c:strCache>
            </c:strRef>
          </c:cat>
          <c:val>
            <c:numRef>
              <c:f>Sheet1!$B$2:$B$8</c:f>
              <c:numCache>
                <c:formatCode>General</c:formatCode>
                <c:ptCount val="7"/>
                <c:pt idx="0">
                  <c:v>14.42</c:v>
                </c:pt>
                <c:pt idx="1">
                  <c:v>3.75</c:v>
                </c:pt>
                <c:pt idx="2">
                  <c:v>0.27</c:v>
                </c:pt>
                <c:pt idx="3">
                  <c:v>37.49</c:v>
                </c:pt>
                <c:pt idx="4">
                  <c:v>15.01</c:v>
                </c:pt>
                <c:pt idx="5">
                  <c:v>15.79</c:v>
                </c:pt>
                <c:pt idx="6">
                  <c:v>13.27</c:v>
                </c:pt>
              </c:numCache>
            </c:numRef>
          </c:val>
          <c:extLst>
            <c:ext xmlns:c16="http://schemas.microsoft.com/office/drawing/2014/chart" uri="{C3380CC4-5D6E-409C-BE32-E72D297353CC}">
              <c16:uniqueId val="{0000000E-822E-4D23-B040-27EF8EDBD18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rPr>
              <a:t>Percentage of General</a:t>
            </a:r>
            <a:r>
              <a:rPr lang="en-US" baseline="0">
                <a:solidFill>
                  <a:schemeClr val="tx1"/>
                </a:solidFill>
              </a:rPr>
              <a:t> versus Limited Guardianships for People with Intellectual Disabilities Served by DDS</a:t>
            </a:r>
            <a:endParaRPr lang="en-US">
              <a:solidFill>
                <a:schemeClr val="tx1"/>
              </a:solidFill>
            </a:endParaRPr>
          </a:p>
        </c:rich>
      </c:tx>
      <c:overlay val="0"/>
      <c:spPr>
        <a:noFill/>
        <a:ln>
          <a:noFill/>
        </a:ln>
        <a:effectLst/>
      </c:spPr>
    </c:title>
    <c:autoTitleDeleted val="0"/>
    <c:plotArea>
      <c:layout/>
      <c:lineChart>
        <c:grouping val="standard"/>
        <c:varyColors val="0"/>
        <c:ser>
          <c:idx val="0"/>
          <c:order val="0"/>
          <c:tx>
            <c:strRef>
              <c:f>Sheet1!$B$1</c:f>
              <c:strCache>
                <c:ptCount val="1"/>
                <c:pt idx="0">
                  <c:v>Limited Medical Guardian or DC Equivalent</c:v>
                </c:pt>
              </c:strCache>
            </c:strRef>
          </c:tx>
          <c:spPr>
            <a:ln w="28575" cap="rnd">
              <a:solidFill>
                <a:schemeClr val="accent1"/>
              </a:solidFill>
              <a:round/>
            </a:ln>
            <a:effectLst/>
          </c:spPr>
          <c:marker>
            <c:symbol val="none"/>
          </c:marker>
          <c:cat>
            <c:strRef>
              <c:f>Sheet1!$A$2:$A$7</c:f>
              <c:strCache>
                <c:ptCount val="6"/>
                <c:pt idx="0">
                  <c:v>FY 2013</c:v>
                </c:pt>
                <c:pt idx="1">
                  <c:v>FY 2014</c:v>
                </c:pt>
                <c:pt idx="2">
                  <c:v>FY 2015</c:v>
                </c:pt>
                <c:pt idx="3">
                  <c:v>FY 2016</c:v>
                </c:pt>
                <c:pt idx="4">
                  <c:v>FY 2017</c:v>
                </c:pt>
                <c:pt idx="5">
                  <c:v>FY 2018</c:v>
                </c:pt>
              </c:strCache>
            </c:strRef>
          </c:cat>
          <c:val>
            <c:numRef>
              <c:f>Sheet1!$B$2:$B$7</c:f>
              <c:numCache>
                <c:formatCode>0.00%</c:formatCode>
                <c:ptCount val="6"/>
                <c:pt idx="0">
                  <c:v>0.1613</c:v>
                </c:pt>
                <c:pt idx="1">
                  <c:v>0.15790000000000001</c:v>
                </c:pt>
                <c:pt idx="2">
                  <c:v>0.15579999999999999</c:v>
                </c:pt>
                <c:pt idx="3">
                  <c:v>0.14990000000000001</c:v>
                </c:pt>
                <c:pt idx="4">
                  <c:v>0.14030000000000001</c:v>
                </c:pt>
                <c:pt idx="5">
                  <c:v>0.1353</c:v>
                </c:pt>
              </c:numCache>
            </c:numRef>
          </c:val>
          <c:smooth val="0"/>
          <c:extLst>
            <c:ext xmlns:c16="http://schemas.microsoft.com/office/drawing/2014/chart" uri="{C3380CC4-5D6E-409C-BE32-E72D297353CC}">
              <c16:uniqueId val="{00000000-13B3-47BB-BCF1-FB12B340F4DA}"/>
            </c:ext>
          </c:extLst>
        </c:ser>
        <c:ser>
          <c:idx val="1"/>
          <c:order val="1"/>
          <c:tx>
            <c:strRef>
              <c:f>Sheet1!$C$1</c:f>
              <c:strCache>
                <c:ptCount val="1"/>
                <c:pt idx="0">
                  <c:v>General Guardian or DC Equivalent</c:v>
                </c:pt>
              </c:strCache>
            </c:strRef>
          </c:tx>
          <c:spPr>
            <a:ln w="28575" cap="rnd">
              <a:solidFill>
                <a:schemeClr val="accent2"/>
              </a:solidFill>
              <a:round/>
            </a:ln>
            <a:effectLst/>
          </c:spPr>
          <c:marker>
            <c:symbol val="none"/>
          </c:marker>
          <c:cat>
            <c:strRef>
              <c:f>Sheet1!$A$2:$A$7</c:f>
              <c:strCache>
                <c:ptCount val="6"/>
                <c:pt idx="0">
                  <c:v>FY 2013</c:v>
                </c:pt>
                <c:pt idx="1">
                  <c:v>FY 2014</c:v>
                </c:pt>
                <c:pt idx="2">
                  <c:v>FY 2015</c:v>
                </c:pt>
                <c:pt idx="3">
                  <c:v>FY 2016</c:v>
                </c:pt>
                <c:pt idx="4">
                  <c:v>FY 2017</c:v>
                </c:pt>
                <c:pt idx="5">
                  <c:v>FY 2018</c:v>
                </c:pt>
              </c:strCache>
            </c:strRef>
          </c:cat>
          <c:val>
            <c:numRef>
              <c:f>Sheet1!$C$2:$C$7</c:f>
              <c:numCache>
                <c:formatCode>0.00%</c:formatCode>
                <c:ptCount val="6"/>
                <c:pt idx="0">
                  <c:v>0.13120000000000001</c:v>
                </c:pt>
                <c:pt idx="1">
                  <c:v>0.1381</c:v>
                </c:pt>
                <c:pt idx="2">
                  <c:v>0.14779999999999999</c:v>
                </c:pt>
                <c:pt idx="3">
                  <c:v>0.14990000000000001</c:v>
                </c:pt>
                <c:pt idx="4">
                  <c:v>0.18260000000000001</c:v>
                </c:pt>
                <c:pt idx="5">
                  <c:v>0.19800000000000001</c:v>
                </c:pt>
              </c:numCache>
            </c:numRef>
          </c:val>
          <c:smooth val="0"/>
          <c:extLst>
            <c:ext xmlns:c16="http://schemas.microsoft.com/office/drawing/2014/chart" uri="{C3380CC4-5D6E-409C-BE32-E72D297353CC}">
              <c16:uniqueId val="{00000001-13B3-47BB-BCF1-FB12B340F4DA}"/>
            </c:ext>
          </c:extLst>
        </c:ser>
        <c:dLbls>
          <c:showLegendKey val="0"/>
          <c:showVal val="0"/>
          <c:showCatName val="0"/>
          <c:showSerName val="0"/>
          <c:showPercent val="0"/>
          <c:showBubbleSize val="0"/>
        </c:dLbls>
        <c:smooth val="0"/>
        <c:axId val="150000000"/>
        <c:axId val="150001536"/>
      </c:lineChart>
      <c:catAx>
        <c:axId val="150000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001536"/>
        <c:crosses val="autoZero"/>
        <c:auto val="1"/>
        <c:lblAlgn val="ctr"/>
        <c:lblOffset val="100"/>
        <c:noMultiLvlLbl val="0"/>
      </c:catAx>
      <c:valAx>
        <c:axId val="1500015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000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solidFill>
                  <a:schemeClr val="tx1"/>
                </a:solidFill>
              </a:rPr>
              <a:t>% New ID/DD Guardianship Cases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of New ID/DD Cases</c:v>
                </c:pt>
              </c:strCache>
            </c:strRef>
          </c:tx>
          <c:spPr>
            <a:ln w="28575" cap="rnd">
              <a:solidFill>
                <a:schemeClr val="accent1"/>
              </a:solidFill>
              <a:round/>
            </a:ln>
            <a:effectLst/>
          </c:spPr>
          <c:marker>
            <c:symbol val="none"/>
          </c:marker>
          <c:cat>
            <c:numRef>
              <c:f>Sheet1!$A$2:$A$4</c:f>
              <c:numCache>
                <c:formatCode>General</c:formatCode>
                <c:ptCount val="3"/>
                <c:pt idx="0">
                  <c:v>2015</c:v>
                </c:pt>
                <c:pt idx="1">
                  <c:v>2016</c:v>
                </c:pt>
                <c:pt idx="2">
                  <c:v>2017</c:v>
                </c:pt>
              </c:numCache>
            </c:numRef>
          </c:cat>
          <c:val>
            <c:numRef>
              <c:f>Sheet1!$B$2:$B$4</c:f>
              <c:numCache>
                <c:formatCode>General</c:formatCode>
                <c:ptCount val="3"/>
                <c:pt idx="0">
                  <c:v>18</c:v>
                </c:pt>
                <c:pt idx="1">
                  <c:v>11</c:v>
                </c:pt>
                <c:pt idx="2">
                  <c:v>11</c:v>
                </c:pt>
              </c:numCache>
            </c:numRef>
          </c:val>
          <c:smooth val="0"/>
          <c:extLst>
            <c:ext xmlns:c16="http://schemas.microsoft.com/office/drawing/2014/chart" uri="{C3380CC4-5D6E-409C-BE32-E72D297353CC}">
              <c16:uniqueId val="{00000000-7CD8-46E9-93D9-7F04652300E1}"/>
            </c:ext>
          </c:extLst>
        </c:ser>
        <c:dLbls>
          <c:showLegendKey val="0"/>
          <c:showVal val="0"/>
          <c:showCatName val="0"/>
          <c:showSerName val="0"/>
          <c:showPercent val="0"/>
          <c:showBubbleSize val="0"/>
        </c:dLbls>
        <c:smooth val="0"/>
        <c:axId val="1634995328"/>
        <c:axId val="1634993360"/>
      </c:lineChart>
      <c:catAx>
        <c:axId val="1634995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4993360"/>
        <c:crosses val="autoZero"/>
        <c:auto val="1"/>
        <c:lblAlgn val="ctr"/>
        <c:lblOffset val="100"/>
        <c:noMultiLvlLbl val="0"/>
      </c:catAx>
      <c:valAx>
        <c:axId val="1634993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4995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2015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Guardianship Petitioners for ID/DD Cases (2015)</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BC9-45C4-8D69-F7B17209656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BC9-45C4-8D69-F7B17209656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BC9-45C4-8D69-F7B17209656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BC9-45C4-8D69-F7B172096562}"/>
              </c:ext>
            </c:extLst>
          </c:dPt>
          <c:cat>
            <c:strRef>
              <c:f>Sheet1!$A$2:$A$5</c:f>
              <c:strCache>
                <c:ptCount val="4"/>
                <c:pt idx="0">
                  <c:v>Family Members (50%)</c:v>
                </c:pt>
                <c:pt idx="1">
                  <c:v>Government (42%)</c:v>
                </c:pt>
                <c:pt idx="2">
                  <c:v>Hospitals (4%)</c:v>
                </c:pt>
                <c:pt idx="3">
                  <c:v>Other (4%)</c:v>
                </c:pt>
              </c:strCache>
            </c:strRef>
          </c:cat>
          <c:val>
            <c:numRef>
              <c:f>Sheet1!$B$2:$B$5</c:f>
              <c:numCache>
                <c:formatCode>General</c:formatCode>
                <c:ptCount val="4"/>
                <c:pt idx="0">
                  <c:v>50</c:v>
                </c:pt>
                <c:pt idx="1">
                  <c:v>42</c:v>
                </c:pt>
                <c:pt idx="2">
                  <c:v>4</c:v>
                </c:pt>
                <c:pt idx="3">
                  <c:v>4</c:v>
                </c:pt>
              </c:numCache>
            </c:numRef>
          </c:val>
          <c:extLst>
            <c:ext xmlns:c16="http://schemas.microsoft.com/office/drawing/2014/chart" uri="{C3380CC4-5D6E-409C-BE32-E72D297353CC}">
              <c16:uniqueId val="{00000008-1BC9-45C4-8D69-F7B172096562}"/>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
          <c:y val="0.64509742164582373"/>
          <c:w val="0.95000016507370544"/>
          <c:h val="0.245098656785548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2016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Guardianship Petitioners for ID/DD Cases (2016(</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E89-405E-B3AE-81DBCC52343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E89-405E-B3AE-81DBCC52343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E89-405E-B3AE-81DBCC52343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E89-405E-B3AE-81DBCC52343F}"/>
              </c:ext>
            </c:extLst>
          </c:dPt>
          <c:cat>
            <c:strRef>
              <c:f>Sheet1!$A$2:$A$5</c:f>
              <c:strCache>
                <c:ptCount val="4"/>
                <c:pt idx="0">
                  <c:v>Family Members (67%)</c:v>
                </c:pt>
                <c:pt idx="1">
                  <c:v>Government (18%)</c:v>
                </c:pt>
                <c:pt idx="2">
                  <c:v>Hospitals (6%)</c:v>
                </c:pt>
                <c:pt idx="3">
                  <c:v>Other (8%)</c:v>
                </c:pt>
              </c:strCache>
            </c:strRef>
          </c:cat>
          <c:val>
            <c:numRef>
              <c:f>Sheet1!$B$2:$B$5</c:f>
              <c:numCache>
                <c:formatCode>0.00%</c:formatCode>
                <c:ptCount val="4"/>
                <c:pt idx="0">
                  <c:v>0.67349999999999999</c:v>
                </c:pt>
                <c:pt idx="1">
                  <c:v>0.18360000000000001</c:v>
                </c:pt>
                <c:pt idx="2">
                  <c:v>6.1199999999999997E-2</c:v>
                </c:pt>
                <c:pt idx="3">
                  <c:v>8.1600000000000006E-2</c:v>
                </c:pt>
              </c:numCache>
            </c:numRef>
          </c:val>
          <c:extLst>
            <c:ext xmlns:c16="http://schemas.microsoft.com/office/drawing/2014/chart" uri="{C3380CC4-5D6E-409C-BE32-E72D297353CC}">
              <c16:uniqueId val="{00000008-7E89-405E-B3AE-81DBCC52343F}"/>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3.5054095826893353E-2"/>
          <c:y val="0.63502158208286119"/>
          <c:w val="0.89999982560319491"/>
          <c:h val="0.2989033643521832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2017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2017</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C8E-4A89-ABE9-1A55C0AF342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C8E-4A89-ABE9-1A55C0AF342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C8E-4A89-ABE9-1A55C0AF342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C8E-4A89-ABE9-1A55C0AF342E}"/>
              </c:ext>
            </c:extLst>
          </c:dPt>
          <c:cat>
            <c:strRef>
              <c:f>Sheet1!$A$2:$A$5</c:f>
              <c:strCache>
                <c:ptCount val="4"/>
                <c:pt idx="0">
                  <c:v>Family Members (61%)</c:v>
                </c:pt>
                <c:pt idx="1">
                  <c:v>Government (31%)</c:v>
                </c:pt>
                <c:pt idx="2">
                  <c:v>Hospitals (6%)</c:v>
                </c:pt>
                <c:pt idx="3">
                  <c:v>Other (2%)</c:v>
                </c:pt>
              </c:strCache>
            </c:strRef>
          </c:cat>
          <c:val>
            <c:numRef>
              <c:f>Sheet1!$B$2:$B$5</c:f>
              <c:numCache>
                <c:formatCode>0%</c:formatCode>
                <c:ptCount val="4"/>
                <c:pt idx="0">
                  <c:v>0.61</c:v>
                </c:pt>
                <c:pt idx="1">
                  <c:v>0.31</c:v>
                </c:pt>
                <c:pt idx="2">
                  <c:v>0.06</c:v>
                </c:pt>
                <c:pt idx="3">
                  <c:v>0.02</c:v>
                </c:pt>
              </c:numCache>
            </c:numRef>
          </c:val>
          <c:extLst>
            <c:ext xmlns:c16="http://schemas.microsoft.com/office/drawing/2014/chart" uri="{C3380CC4-5D6E-409C-BE32-E72D297353CC}">
              <c16:uniqueId val="{00000008-2C8E-4A89-ABE9-1A55C0AF342E}"/>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1681335068339618"/>
          <c:y val="0.60264639933253372"/>
          <c:w val="0.68785796377382868"/>
          <c:h val="0.3642410178860092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rPr>
              <a:t>Number of ID/DD Guardianship</a:t>
            </a:r>
            <a:r>
              <a:rPr lang="en-US" baseline="0">
                <a:solidFill>
                  <a:schemeClr val="tx1"/>
                </a:solidFill>
              </a:rPr>
              <a:t> Cases by Age</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404460973743596E-2"/>
          <c:y val="0.2840005163289015"/>
          <c:w val="0.91397507045936599"/>
          <c:h val="0.63644421496493264"/>
        </c:manualLayout>
      </c:layout>
      <c:lineChart>
        <c:grouping val="standard"/>
        <c:varyColors val="0"/>
        <c:ser>
          <c:idx val="0"/>
          <c:order val="0"/>
          <c:tx>
            <c:strRef>
              <c:f>Sheet1!$B$1</c:f>
              <c:strCache>
                <c:ptCount val="1"/>
                <c:pt idx="0">
                  <c:v>22 or younger</c:v>
                </c:pt>
              </c:strCache>
            </c:strRef>
          </c:tx>
          <c:spPr>
            <a:ln w="28575" cap="rnd">
              <a:solidFill>
                <a:schemeClr val="accent1"/>
              </a:solidFill>
              <a:round/>
            </a:ln>
            <a:effectLst/>
          </c:spPr>
          <c:marker>
            <c:symbol val="none"/>
          </c:marker>
          <c:cat>
            <c:numRef>
              <c:f>Sheet1!$A$2:$A$4</c:f>
              <c:numCache>
                <c:formatCode>General</c:formatCode>
                <c:ptCount val="3"/>
                <c:pt idx="0">
                  <c:v>2015</c:v>
                </c:pt>
                <c:pt idx="1">
                  <c:v>2016</c:v>
                </c:pt>
                <c:pt idx="2">
                  <c:v>2017</c:v>
                </c:pt>
              </c:numCache>
            </c:numRef>
          </c:cat>
          <c:val>
            <c:numRef>
              <c:f>Sheet1!$B$2:$B$4</c:f>
              <c:numCache>
                <c:formatCode>General</c:formatCode>
                <c:ptCount val="3"/>
                <c:pt idx="0">
                  <c:v>37</c:v>
                </c:pt>
                <c:pt idx="1">
                  <c:v>22</c:v>
                </c:pt>
                <c:pt idx="2">
                  <c:v>25</c:v>
                </c:pt>
              </c:numCache>
            </c:numRef>
          </c:val>
          <c:smooth val="0"/>
          <c:extLst>
            <c:ext xmlns:c16="http://schemas.microsoft.com/office/drawing/2014/chart" uri="{C3380CC4-5D6E-409C-BE32-E72D297353CC}">
              <c16:uniqueId val="{00000000-DA38-4E97-8CB7-470E5330FE08}"/>
            </c:ext>
          </c:extLst>
        </c:ser>
        <c:ser>
          <c:idx val="1"/>
          <c:order val="1"/>
          <c:tx>
            <c:strRef>
              <c:f>Sheet1!$C$1</c:f>
              <c:strCache>
                <c:ptCount val="1"/>
                <c:pt idx="0">
                  <c:v>23-54</c:v>
                </c:pt>
              </c:strCache>
            </c:strRef>
          </c:tx>
          <c:spPr>
            <a:ln w="28575" cap="rnd">
              <a:solidFill>
                <a:schemeClr val="accent2"/>
              </a:solidFill>
              <a:round/>
            </a:ln>
            <a:effectLst/>
          </c:spPr>
          <c:marker>
            <c:symbol val="none"/>
          </c:marker>
          <c:cat>
            <c:numRef>
              <c:f>Sheet1!$A$2:$A$4</c:f>
              <c:numCache>
                <c:formatCode>General</c:formatCode>
                <c:ptCount val="3"/>
                <c:pt idx="0">
                  <c:v>2015</c:v>
                </c:pt>
                <c:pt idx="1">
                  <c:v>2016</c:v>
                </c:pt>
                <c:pt idx="2">
                  <c:v>2017</c:v>
                </c:pt>
              </c:numCache>
            </c:numRef>
          </c:cat>
          <c:val>
            <c:numRef>
              <c:f>Sheet1!$C$2:$C$4</c:f>
              <c:numCache>
                <c:formatCode>General</c:formatCode>
                <c:ptCount val="3"/>
                <c:pt idx="0">
                  <c:v>36</c:v>
                </c:pt>
                <c:pt idx="1">
                  <c:v>16</c:v>
                </c:pt>
                <c:pt idx="2">
                  <c:v>18</c:v>
                </c:pt>
              </c:numCache>
            </c:numRef>
          </c:val>
          <c:smooth val="0"/>
          <c:extLst>
            <c:ext xmlns:c16="http://schemas.microsoft.com/office/drawing/2014/chart" uri="{C3380CC4-5D6E-409C-BE32-E72D297353CC}">
              <c16:uniqueId val="{00000001-DA38-4E97-8CB7-470E5330FE08}"/>
            </c:ext>
          </c:extLst>
        </c:ser>
        <c:ser>
          <c:idx val="2"/>
          <c:order val="2"/>
          <c:tx>
            <c:strRef>
              <c:f>Sheet1!$D$1</c:f>
              <c:strCache>
                <c:ptCount val="1"/>
                <c:pt idx="0">
                  <c:v>55-64</c:v>
                </c:pt>
              </c:strCache>
            </c:strRef>
          </c:tx>
          <c:spPr>
            <a:ln w="28575" cap="rnd">
              <a:solidFill>
                <a:schemeClr val="accent3"/>
              </a:solidFill>
              <a:round/>
            </a:ln>
            <a:effectLst/>
          </c:spPr>
          <c:marker>
            <c:symbol val="none"/>
          </c:marker>
          <c:cat>
            <c:numRef>
              <c:f>Sheet1!$A$2:$A$4</c:f>
              <c:numCache>
                <c:formatCode>General</c:formatCode>
                <c:ptCount val="3"/>
                <c:pt idx="0">
                  <c:v>2015</c:v>
                </c:pt>
                <c:pt idx="1">
                  <c:v>2016</c:v>
                </c:pt>
                <c:pt idx="2">
                  <c:v>2017</c:v>
                </c:pt>
              </c:numCache>
            </c:numRef>
          </c:cat>
          <c:val>
            <c:numRef>
              <c:f>Sheet1!$D$2:$D$4</c:f>
              <c:numCache>
                <c:formatCode>General</c:formatCode>
                <c:ptCount val="3"/>
                <c:pt idx="0">
                  <c:v>11</c:v>
                </c:pt>
                <c:pt idx="1">
                  <c:v>6</c:v>
                </c:pt>
                <c:pt idx="2">
                  <c:v>7</c:v>
                </c:pt>
              </c:numCache>
            </c:numRef>
          </c:val>
          <c:smooth val="0"/>
          <c:extLst>
            <c:ext xmlns:c16="http://schemas.microsoft.com/office/drawing/2014/chart" uri="{C3380CC4-5D6E-409C-BE32-E72D297353CC}">
              <c16:uniqueId val="{00000002-DA38-4E97-8CB7-470E5330FE08}"/>
            </c:ext>
          </c:extLst>
        </c:ser>
        <c:ser>
          <c:idx val="3"/>
          <c:order val="3"/>
          <c:tx>
            <c:strRef>
              <c:f>Sheet1!$E$1</c:f>
              <c:strCache>
                <c:ptCount val="1"/>
                <c:pt idx="0">
                  <c:v>65 or older</c:v>
                </c:pt>
              </c:strCache>
            </c:strRef>
          </c:tx>
          <c:spPr>
            <a:ln w="28575" cap="rnd">
              <a:solidFill>
                <a:schemeClr val="accent4"/>
              </a:solidFill>
              <a:round/>
            </a:ln>
            <a:effectLst/>
          </c:spPr>
          <c:marker>
            <c:symbol val="none"/>
          </c:marker>
          <c:cat>
            <c:numRef>
              <c:f>Sheet1!$A$2:$A$4</c:f>
              <c:numCache>
                <c:formatCode>General</c:formatCode>
                <c:ptCount val="3"/>
                <c:pt idx="0">
                  <c:v>2015</c:v>
                </c:pt>
                <c:pt idx="1">
                  <c:v>2016</c:v>
                </c:pt>
                <c:pt idx="2">
                  <c:v>2017</c:v>
                </c:pt>
              </c:numCache>
            </c:numRef>
          </c:cat>
          <c:val>
            <c:numRef>
              <c:f>Sheet1!$E$2:$E$4</c:f>
              <c:numCache>
                <c:formatCode>General</c:formatCode>
                <c:ptCount val="3"/>
                <c:pt idx="0">
                  <c:v>13</c:v>
                </c:pt>
                <c:pt idx="1">
                  <c:v>5</c:v>
                </c:pt>
                <c:pt idx="2">
                  <c:v>4</c:v>
                </c:pt>
              </c:numCache>
            </c:numRef>
          </c:val>
          <c:smooth val="0"/>
          <c:extLst>
            <c:ext xmlns:c16="http://schemas.microsoft.com/office/drawing/2014/chart" uri="{C3380CC4-5D6E-409C-BE32-E72D297353CC}">
              <c16:uniqueId val="{00000003-DA38-4E97-8CB7-470E5330FE08}"/>
            </c:ext>
          </c:extLst>
        </c:ser>
        <c:dLbls>
          <c:showLegendKey val="0"/>
          <c:showVal val="0"/>
          <c:showCatName val="0"/>
          <c:showSerName val="0"/>
          <c:showPercent val="0"/>
          <c:showBubbleSize val="0"/>
        </c:dLbls>
        <c:smooth val="0"/>
        <c:axId val="1649768896"/>
        <c:axId val="1649771848"/>
      </c:lineChart>
      <c:catAx>
        <c:axId val="1649768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771848"/>
        <c:crosses val="autoZero"/>
        <c:auto val="1"/>
        <c:lblAlgn val="ctr"/>
        <c:lblOffset val="100"/>
        <c:noMultiLvlLbl val="0"/>
      </c:catAx>
      <c:valAx>
        <c:axId val="1649771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768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rPr>
              <a:t>Percentage of ID/DD Guardianship Cases By 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22 or younger</c:v>
                </c:pt>
              </c:strCache>
            </c:strRef>
          </c:tx>
          <c:spPr>
            <a:solidFill>
              <a:schemeClr val="accent1"/>
            </a:solidFill>
            <a:ln>
              <a:noFill/>
            </a:ln>
            <a:effectLst/>
          </c:spPr>
          <c:invertIfNegative val="0"/>
          <c:cat>
            <c:numRef>
              <c:f>Sheet1!$A$2:$A$4</c:f>
              <c:numCache>
                <c:formatCode>General</c:formatCode>
                <c:ptCount val="3"/>
                <c:pt idx="0">
                  <c:v>2015</c:v>
                </c:pt>
                <c:pt idx="1">
                  <c:v>2016</c:v>
                </c:pt>
                <c:pt idx="2">
                  <c:v>2017</c:v>
                </c:pt>
              </c:numCache>
            </c:numRef>
          </c:cat>
          <c:val>
            <c:numRef>
              <c:f>Sheet1!$B$2:$B$4</c:f>
              <c:numCache>
                <c:formatCode>General</c:formatCode>
                <c:ptCount val="3"/>
                <c:pt idx="0">
                  <c:v>38.1</c:v>
                </c:pt>
                <c:pt idx="1">
                  <c:v>44.9</c:v>
                </c:pt>
                <c:pt idx="2">
                  <c:v>46.3</c:v>
                </c:pt>
              </c:numCache>
            </c:numRef>
          </c:val>
          <c:extLst>
            <c:ext xmlns:c16="http://schemas.microsoft.com/office/drawing/2014/chart" uri="{C3380CC4-5D6E-409C-BE32-E72D297353CC}">
              <c16:uniqueId val="{00000000-5211-4B87-BCEE-B6F36476D292}"/>
            </c:ext>
          </c:extLst>
        </c:ser>
        <c:ser>
          <c:idx val="1"/>
          <c:order val="1"/>
          <c:tx>
            <c:strRef>
              <c:f>Sheet1!$C$1</c:f>
              <c:strCache>
                <c:ptCount val="1"/>
                <c:pt idx="0">
                  <c:v>23 - 54</c:v>
                </c:pt>
              </c:strCache>
            </c:strRef>
          </c:tx>
          <c:spPr>
            <a:solidFill>
              <a:schemeClr val="accent2"/>
            </a:solidFill>
            <a:ln>
              <a:noFill/>
            </a:ln>
            <a:effectLst/>
          </c:spPr>
          <c:invertIfNegative val="0"/>
          <c:cat>
            <c:numRef>
              <c:f>Sheet1!$A$2:$A$4</c:f>
              <c:numCache>
                <c:formatCode>General</c:formatCode>
                <c:ptCount val="3"/>
                <c:pt idx="0">
                  <c:v>2015</c:v>
                </c:pt>
                <c:pt idx="1">
                  <c:v>2016</c:v>
                </c:pt>
                <c:pt idx="2">
                  <c:v>2017</c:v>
                </c:pt>
              </c:numCache>
            </c:numRef>
          </c:cat>
          <c:val>
            <c:numRef>
              <c:f>Sheet1!$C$2:$C$4</c:f>
              <c:numCache>
                <c:formatCode>General</c:formatCode>
                <c:ptCount val="3"/>
                <c:pt idx="0">
                  <c:v>37.1</c:v>
                </c:pt>
                <c:pt idx="1">
                  <c:v>32.700000000000003</c:v>
                </c:pt>
                <c:pt idx="2">
                  <c:v>33.299999999999997</c:v>
                </c:pt>
              </c:numCache>
            </c:numRef>
          </c:val>
          <c:extLst>
            <c:ext xmlns:c16="http://schemas.microsoft.com/office/drawing/2014/chart" uri="{C3380CC4-5D6E-409C-BE32-E72D297353CC}">
              <c16:uniqueId val="{00000001-5211-4B87-BCEE-B6F36476D292}"/>
            </c:ext>
          </c:extLst>
        </c:ser>
        <c:ser>
          <c:idx val="2"/>
          <c:order val="2"/>
          <c:tx>
            <c:strRef>
              <c:f>Sheet1!$D$1</c:f>
              <c:strCache>
                <c:ptCount val="1"/>
                <c:pt idx="0">
                  <c:v>55-64</c:v>
                </c:pt>
              </c:strCache>
            </c:strRef>
          </c:tx>
          <c:spPr>
            <a:solidFill>
              <a:schemeClr val="accent3"/>
            </a:solidFill>
            <a:ln>
              <a:noFill/>
            </a:ln>
            <a:effectLst/>
          </c:spPr>
          <c:invertIfNegative val="0"/>
          <c:cat>
            <c:numRef>
              <c:f>Sheet1!$A$2:$A$4</c:f>
              <c:numCache>
                <c:formatCode>General</c:formatCode>
                <c:ptCount val="3"/>
                <c:pt idx="0">
                  <c:v>2015</c:v>
                </c:pt>
                <c:pt idx="1">
                  <c:v>2016</c:v>
                </c:pt>
                <c:pt idx="2">
                  <c:v>2017</c:v>
                </c:pt>
              </c:numCache>
            </c:numRef>
          </c:cat>
          <c:val>
            <c:numRef>
              <c:f>Sheet1!$D$2:$D$4</c:f>
              <c:numCache>
                <c:formatCode>General</c:formatCode>
                <c:ptCount val="3"/>
                <c:pt idx="0">
                  <c:v>11.3</c:v>
                </c:pt>
                <c:pt idx="1">
                  <c:v>12.2</c:v>
                </c:pt>
                <c:pt idx="2">
                  <c:v>13</c:v>
                </c:pt>
              </c:numCache>
            </c:numRef>
          </c:val>
          <c:extLst>
            <c:ext xmlns:c16="http://schemas.microsoft.com/office/drawing/2014/chart" uri="{C3380CC4-5D6E-409C-BE32-E72D297353CC}">
              <c16:uniqueId val="{00000002-5211-4B87-BCEE-B6F36476D292}"/>
            </c:ext>
          </c:extLst>
        </c:ser>
        <c:ser>
          <c:idx val="3"/>
          <c:order val="3"/>
          <c:tx>
            <c:strRef>
              <c:f>Sheet1!$E$1</c:f>
              <c:strCache>
                <c:ptCount val="1"/>
                <c:pt idx="0">
                  <c:v>65 or older</c:v>
                </c:pt>
              </c:strCache>
            </c:strRef>
          </c:tx>
          <c:spPr>
            <a:solidFill>
              <a:schemeClr val="accent4"/>
            </a:solidFill>
            <a:ln>
              <a:noFill/>
            </a:ln>
            <a:effectLst/>
          </c:spPr>
          <c:invertIfNegative val="0"/>
          <c:cat>
            <c:numRef>
              <c:f>Sheet1!$A$2:$A$4</c:f>
              <c:numCache>
                <c:formatCode>General</c:formatCode>
                <c:ptCount val="3"/>
                <c:pt idx="0">
                  <c:v>2015</c:v>
                </c:pt>
                <c:pt idx="1">
                  <c:v>2016</c:v>
                </c:pt>
                <c:pt idx="2">
                  <c:v>2017</c:v>
                </c:pt>
              </c:numCache>
            </c:numRef>
          </c:cat>
          <c:val>
            <c:numRef>
              <c:f>Sheet1!$E$2:$E$4</c:f>
              <c:numCache>
                <c:formatCode>General</c:formatCode>
                <c:ptCount val="3"/>
                <c:pt idx="0">
                  <c:v>13.4</c:v>
                </c:pt>
                <c:pt idx="1">
                  <c:v>10.199999999999999</c:v>
                </c:pt>
                <c:pt idx="2">
                  <c:v>7.4</c:v>
                </c:pt>
              </c:numCache>
            </c:numRef>
          </c:val>
          <c:extLst>
            <c:ext xmlns:c16="http://schemas.microsoft.com/office/drawing/2014/chart" uri="{C3380CC4-5D6E-409C-BE32-E72D297353CC}">
              <c16:uniqueId val="{00000003-5211-4B87-BCEE-B6F36476D292}"/>
            </c:ext>
          </c:extLst>
        </c:ser>
        <c:dLbls>
          <c:showLegendKey val="0"/>
          <c:showVal val="0"/>
          <c:showCatName val="0"/>
          <c:showSerName val="0"/>
          <c:showPercent val="0"/>
          <c:showBubbleSize val="0"/>
        </c:dLbls>
        <c:gapWidth val="219"/>
        <c:overlap val="-27"/>
        <c:axId val="1707053064"/>
        <c:axId val="1707057000"/>
      </c:barChart>
      <c:catAx>
        <c:axId val="1707053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057000"/>
        <c:crosses val="autoZero"/>
        <c:auto val="1"/>
        <c:lblAlgn val="ctr"/>
        <c:lblOffset val="100"/>
        <c:noMultiLvlLbl val="0"/>
      </c:catAx>
      <c:valAx>
        <c:axId val="1707057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053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rPr>
              <a:t>Percentage of Guardianship Petitions in ID/DD Cases Granted (in whole or in part)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Percentage of Guardianship Petitions in ID/DD Cases Granted (in whole or in part)</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Sheet1!$A$2:$A$4</c:f>
              <c:strCache>
                <c:ptCount val="3"/>
                <c:pt idx="0">
                  <c:v>2015 (93%)</c:v>
                </c:pt>
                <c:pt idx="1">
                  <c:v>2016 (88%)</c:v>
                </c:pt>
                <c:pt idx="2">
                  <c:v>2017 (90%)</c:v>
                </c:pt>
              </c:strCache>
            </c:strRef>
          </c:cat>
          <c:val>
            <c:numRef>
              <c:f>Sheet1!$B$2:$B$4</c:f>
              <c:numCache>
                <c:formatCode>General</c:formatCode>
                <c:ptCount val="3"/>
                <c:pt idx="0">
                  <c:v>92.78</c:v>
                </c:pt>
                <c:pt idx="1">
                  <c:v>87.76</c:v>
                </c:pt>
                <c:pt idx="2">
                  <c:v>90</c:v>
                </c:pt>
              </c:numCache>
            </c:numRef>
          </c:val>
          <c:extLst>
            <c:ext xmlns:c16="http://schemas.microsoft.com/office/drawing/2014/chart" uri="{C3380CC4-5D6E-409C-BE32-E72D297353CC}">
              <c16:uniqueId val="{00000000-4477-45C7-94C5-96547A16D11D}"/>
            </c:ext>
          </c:extLst>
        </c:ser>
        <c:dLbls>
          <c:showLegendKey val="0"/>
          <c:showVal val="0"/>
          <c:showCatName val="0"/>
          <c:showSerName val="0"/>
          <c:showPercent val="0"/>
          <c:showBubbleSize val="0"/>
        </c:dLbls>
        <c:gapWidth val="219"/>
        <c:overlap val="-27"/>
        <c:axId val="1814859008"/>
        <c:axId val="1814855072"/>
      </c:barChart>
      <c:catAx>
        <c:axId val="1814859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4855072"/>
        <c:crosses val="autoZero"/>
        <c:auto val="1"/>
        <c:lblAlgn val="ctr"/>
        <c:lblOffset val="100"/>
        <c:noMultiLvlLbl val="0"/>
      </c:catAx>
      <c:valAx>
        <c:axId val="1814855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4859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2015</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BB3-43E0-BF14-96CBAD93233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BB3-43E0-BF14-96CBAD93233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BB3-43E0-BF14-96CBAD932331}"/>
              </c:ext>
            </c:extLst>
          </c:dPt>
          <c:cat>
            <c:strRef>
              <c:f>Sheet1!$A$2:$A$4</c:f>
              <c:strCache>
                <c:ptCount val="3"/>
                <c:pt idx="0">
                  <c:v>Permanent General Guardianship (87%)</c:v>
                </c:pt>
                <c:pt idx="1">
                  <c:v>Limited Permanent Guardianship (13%)</c:v>
                </c:pt>
                <c:pt idx="2">
                  <c:v>Temporary Guardianship (0%)</c:v>
                </c:pt>
              </c:strCache>
            </c:strRef>
          </c:cat>
          <c:val>
            <c:numRef>
              <c:f>Sheet1!$B$2:$B$4</c:f>
              <c:numCache>
                <c:formatCode>General</c:formatCode>
                <c:ptCount val="3"/>
                <c:pt idx="0">
                  <c:v>86.67</c:v>
                </c:pt>
                <c:pt idx="1">
                  <c:v>13.33</c:v>
                </c:pt>
                <c:pt idx="2">
                  <c:v>0</c:v>
                </c:pt>
              </c:numCache>
            </c:numRef>
          </c:val>
          <c:extLst>
            <c:ext xmlns:c16="http://schemas.microsoft.com/office/drawing/2014/chart" uri="{C3380CC4-5D6E-409C-BE32-E72D297353CC}">
              <c16:uniqueId val="{00000006-5BB3-43E0-BF14-96CBAD93233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AFDE68-3557-4522-93DE-96A56292E768}">
  <we:reference id="wa104379193" version="1.0.0.0" store="en-US" storeType="OMEX"/>
  <we:alternateReferences>
    <we:reference id="WA104379193" version="1.0.0.0" store="WA10437919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AE81E-833B-48C9-836D-FA434A7B3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NCD_Preserving_Our_Freedom_508.dotx</Template>
  <TotalTime>8</TotalTime>
  <Pages>138</Pages>
  <Words>32223</Words>
  <Characters>183673</Characters>
  <Application>Microsoft Office Word</Application>
  <DocSecurity>0</DocSecurity>
  <Lines>1530</Lines>
  <Paragraphs>430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Morgan Whitlatch</dc:creator>
  <cp:lastModifiedBy>Shristi Raghuwanshi</cp:lastModifiedBy>
  <cp:revision>6</cp:revision>
  <cp:lastPrinted>2019-05-13T18:31:00Z</cp:lastPrinted>
  <dcterms:created xsi:type="dcterms:W3CDTF">2019-05-31T18:04:00Z</dcterms:created>
  <dcterms:modified xsi:type="dcterms:W3CDTF">2019-06-01T08:47:00Z</dcterms:modified>
</cp:coreProperties>
</file>