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BE88F1" w14:textId="77777777" w:rsidR="00B10B0B" w:rsidRPr="003D4B91" w:rsidRDefault="00B10B0B" w:rsidP="00B10B0B">
      <w:pPr>
        <w:pStyle w:val="Default"/>
        <w:tabs>
          <w:tab w:val="left" w:pos="873"/>
          <w:tab w:val="left" w:pos="945"/>
        </w:tabs>
        <w:spacing w:after="40"/>
        <w:rPr>
          <w:rFonts w:ascii="Arial Narrow" w:hAnsi="Arial Narrow"/>
          <w:b/>
          <w:sz w:val="32"/>
          <w:szCs w:val="32"/>
        </w:rPr>
      </w:pPr>
      <w:bookmarkStart w:id="0" w:name="_Toc525672603"/>
      <w:bookmarkStart w:id="1" w:name="_Toc525758742"/>
      <w:bookmarkStart w:id="2" w:name="_Toc526182068"/>
      <w:bookmarkStart w:id="3" w:name="_Toc527799679"/>
      <w:bookmarkStart w:id="4" w:name="_Toc388854542"/>
      <w:bookmarkStart w:id="5" w:name="_Toc391550996"/>
      <w:bookmarkStart w:id="6" w:name="_Toc387986567"/>
      <w:bookmarkStart w:id="7" w:name="_Toc507376985"/>
      <w:bookmarkStart w:id="8" w:name="_Toc513424040"/>
      <w:bookmarkStart w:id="9" w:name="_Toc514056756"/>
      <w:bookmarkStart w:id="10" w:name="_Toc373439803"/>
      <w:bookmarkStart w:id="11" w:name="_Toc373439846"/>
      <w:bookmarkStart w:id="12" w:name="_Toc501710616"/>
      <w:bookmarkStart w:id="13" w:name="_Toc507376992"/>
      <w:bookmarkStart w:id="14" w:name="_Toc513424049"/>
      <w:r w:rsidRPr="003D4B91">
        <w:rPr>
          <w:noProof/>
        </w:rPr>
        <w:drawing>
          <wp:anchor distT="0" distB="0" distL="114300" distR="114300" simplePos="0" relativeHeight="251660288" behindDoc="0" locked="0" layoutInCell="1" allowOverlap="1" wp14:anchorId="05FEE81F" wp14:editId="1F1BB33F">
            <wp:simplePos x="0" y="0"/>
            <wp:positionH relativeFrom="column">
              <wp:posOffset>45720</wp:posOffset>
            </wp:positionH>
            <wp:positionV relativeFrom="paragraph">
              <wp:posOffset>-182457</wp:posOffset>
            </wp:positionV>
            <wp:extent cx="494030" cy="520700"/>
            <wp:effectExtent l="0" t="0" r="1270" b="0"/>
            <wp:wrapNone/>
            <wp:docPr id="21" name="Picture 21" descr="Logo NCD" titl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94030" cy="5207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D4B91">
        <w:rPr>
          <w:rFonts w:ascii="Arial Narrow" w:hAnsi="Arial Narrow"/>
          <w:sz w:val="32"/>
          <w:szCs w:val="32"/>
        </w:rPr>
        <w:tab/>
      </w:r>
      <w:r w:rsidRPr="003D4B91">
        <w:rPr>
          <w:rFonts w:ascii="Arial Narrow" w:hAnsi="Arial Narrow"/>
          <w:sz w:val="32"/>
          <w:szCs w:val="32"/>
        </w:rPr>
        <w:tab/>
      </w:r>
      <w:r w:rsidRPr="003D4B91">
        <w:rPr>
          <w:rFonts w:ascii="Arial Narrow" w:hAnsi="Arial Narrow"/>
          <w:b/>
          <w:sz w:val="32"/>
          <w:szCs w:val="32"/>
        </w:rPr>
        <w:t>National Council on Disability</w:t>
      </w:r>
    </w:p>
    <w:p w14:paraId="6F987B09" w14:textId="77777777" w:rsidR="00B10B0B" w:rsidRPr="003D4B91" w:rsidRDefault="00B10B0B" w:rsidP="00B10B0B">
      <w:pPr>
        <w:pStyle w:val="Default"/>
      </w:pPr>
      <w:r w:rsidRPr="003D4B91">
        <w:rPr>
          <w:noProof/>
        </w:rPr>
        <mc:AlternateContent>
          <mc:Choice Requires="wps">
            <w:drawing>
              <wp:anchor distT="0" distB="0" distL="114300" distR="114300" simplePos="0" relativeHeight="251659264" behindDoc="0" locked="0" layoutInCell="1" allowOverlap="1" wp14:anchorId="04B84464" wp14:editId="2C247544">
                <wp:simplePos x="0" y="0"/>
                <wp:positionH relativeFrom="column">
                  <wp:posOffset>8255</wp:posOffset>
                </wp:positionH>
                <wp:positionV relativeFrom="paragraph">
                  <wp:posOffset>114141</wp:posOffset>
                </wp:positionV>
                <wp:extent cx="5829300" cy="0"/>
                <wp:effectExtent l="0" t="0" r="19050" b="19050"/>
                <wp:wrapNone/>
                <wp:docPr id="18" name="Straight Connector 18" descr="Rule" title="Line"/>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24130">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id="Straight Connector 18" o:spid="_x0000_s1026" alt="Title: Line - Description: Rule"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5pt,9pt" to="459.6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" strokeweight="1.9pt"/>
            </w:pict>
          </mc:Fallback>
        </mc:AlternateContent>
      </w:r>
    </w:p>
    <w:p w14:paraId="47B50147" w14:textId="77777777" w:rsidR="00B10B0B" w:rsidRPr="003D4B91" w:rsidRDefault="00B10B0B" w:rsidP="00B10B0B">
      <w:pPr>
        <w:pStyle w:val="NCDBodyText"/>
        <w:spacing w:line="240" w:lineRule="auto"/>
        <w:rPr>
          <w:sz w:val="22"/>
          <w:szCs w:val="22"/>
        </w:rPr>
      </w:pPr>
      <w:r w:rsidRPr="003D4B91">
        <w:rPr>
          <w:sz w:val="22"/>
          <w:szCs w:val="22"/>
        </w:rPr>
        <w:t>An independent federal agency making recommendations to the President and Congress to enhance the quality of life for all Americans with disabilities and their families.</w:t>
      </w:r>
    </w:p>
    <w:p w14:paraId="1C00F3D4" w14:textId="77777777" w:rsidR="00B10B0B" w:rsidRPr="003D4B91" w:rsidRDefault="00B10B0B" w:rsidP="00B10B0B">
      <w:pPr>
        <w:pStyle w:val="Heading1"/>
      </w:pPr>
      <w:bookmarkStart w:id="15" w:name="_Toc525672602"/>
      <w:bookmarkStart w:id="16" w:name="_Toc525758741"/>
      <w:bookmarkStart w:id="17" w:name="_Toc526182067"/>
      <w:bookmarkStart w:id="18" w:name="_Toc527377105"/>
      <w:bookmarkStart w:id="19" w:name="_Toc527968572"/>
      <w:bookmarkStart w:id="20" w:name="_Toc527993287"/>
      <w:bookmarkStart w:id="21" w:name="_Toc530127987"/>
      <w:bookmarkStart w:id="22" w:name="_Toc536538194"/>
      <w:bookmarkStart w:id="23" w:name="_Toc536539649"/>
      <w:bookmarkStart w:id="24" w:name="_Toc536540992"/>
      <w:bookmarkStart w:id="25" w:name="_Toc536541252"/>
      <w:bookmarkStart w:id="26" w:name="_Toc536797952"/>
      <w:bookmarkStart w:id="27" w:name="_Toc16341413"/>
      <w:bookmarkStart w:id="28" w:name="_Toc17541823"/>
      <w:bookmarkStart w:id="29" w:name="_Toc17823798"/>
      <w:bookmarkStart w:id="30" w:name="_Toc17824014"/>
      <w:bookmarkStart w:id="31" w:name="_Toc17826323"/>
      <w:bookmarkStart w:id="32" w:name="_Toc18918237"/>
      <w:bookmarkStart w:id="33" w:name="_Toc19546937"/>
      <w:bookmarkStart w:id="34" w:name="_Toc19805859"/>
      <w:bookmarkStart w:id="35" w:name="_Toc43793862"/>
      <w:bookmarkStart w:id="36" w:name="_Toc44234261"/>
      <w:bookmarkStart w:id="37" w:name="_Toc44336112"/>
      <w:bookmarkStart w:id="38" w:name="_Toc83913578"/>
      <w:bookmarkStart w:id="39" w:name="_Toc83915344"/>
      <w:bookmarkStart w:id="40" w:name="_Toc84253304"/>
      <w:bookmarkStart w:id="41" w:name="_Toc93828723"/>
      <w:bookmarkStart w:id="42" w:name="_Toc93946116"/>
      <w:bookmarkStart w:id="43" w:name="_Toc95237028"/>
      <w:r w:rsidRPr="003D4B91">
        <w:t>Letter of Transmittal</w:t>
      </w:r>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p>
    <w:p w14:paraId="167E1A06" w14:textId="0340899D" w:rsidR="0073756A" w:rsidRDefault="009B080B" w:rsidP="0073756A">
      <w:pPr>
        <w:spacing w:after="200" w:line="240" w:lineRule="auto"/>
        <w:rPr>
          <w:szCs w:val="24"/>
        </w:rPr>
      </w:pPr>
      <w:r w:rsidRPr="009B080B">
        <w:rPr>
          <w:szCs w:val="24"/>
        </w:rPr>
        <w:t>March 9, 2022</w:t>
      </w:r>
    </w:p>
    <w:p w14:paraId="3D52D7B6" w14:textId="77777777" w:rsidR="0073756A" w:rsidRPr="0073756A" w:rsidRDefault="0073756A" w:rsidP="0073756A">
      <w:pPr>
        <w:spacing w:after="200" w:line="240" w:lineRule="auto"/>
        <w:rPr>
          <w:szCs w:val="24"/>
        </w:rPr>
      </w:pPr>
    </w:p>
    <w:p w14:paraId="0647C50B" w14:textId="77777777" w:rsidR="0073756A" w:rsidRPr="0073756A" w:rsidRDefault="0073756A" w:rsidP="0073756A">
      <w:pPr>
        <w:spacing w:line="240" w:lineRule="auto"/>
        <w:rPr>
          <w:szCs w:val="24"/>
        </w:rPr>
      </w:pPr>
      <w:r w:rsidRPr="0073756A">
        <w:rPr>
          <w:szCs w:val="24"/>
        </w:rPr>
        <w:t>President Joseph R. Biden Jr.</w:t>
      </w:r>
    </w:p>
    <w:p w14:paraId="0A5EE00F" w14:textId="77777777" w:rsidR="0073756A" w:rsidRPr="0073756A" w:rsidRDefault="0073756A" w:rsidP="0073756A">
      <w:pPr>
        <w:spacing w:line="240" w:lineRule="auto"/>
        <w:rPr>
          <w:szCs w:val="24"/>
        </w:rPr>
      </w:pPr>
      <w:r w:rsidRPr="0073756A">
        <w:rPr>
          <w:szCs w:val="24"/>
        </w:rPr>
        <w:t>The White House</w:t>
      </w:r>
    </w:p>
    <w:p w14:paraId="74C6679A" w14:textId="77777777" w:rsidR="0073756A" w:rsidRPr="0073756A" w:rsidRDefault="0073756A" w:rsidP="0073756A">
      <w:pPr>
        <w:spacing w:line="240" w:lineRule="auto"/>
        <w:rPr>
          <w:szCs w:val="24"/>
        </w:rPr>
      </w:pPr>
      <w:r w:rsidRPr="0073756A">
        <w:rPr>
          <w:szCs w:val="24"/>
        </w:rPr>
        <w:t>Washington, DC 20500</w:t>
      </w:r>
    </w:p>
    <w:p w14:paraId="5481CBC7" w14:textId="77777777" w:rsidR="0073756A" w:rsidRPr="0073756A" w:rsidRDefault="0073756A" w:rsidP="0073756A">
      <w:pPr>
        <w:spacing w:after="200" w:line="240" w:lineRule="auto"/>
        <w:rPr>
          <w:szCs w:val="24"/>
        </w:rPr>
      </w:pPr>
    </w:p>
    <w:p w14:paraId="12737A45" w14:textId="0039525A" w:rsidR="0073756A" w:rsidRPr="0073756A" w:rsidRDefault="005B3E62" w:rsidP="0073756A">
      <w:pPr>
        <w:spacing w:after="200" w:line="240" w:lineRule="auto"/>
        <w:rPr>
          <w:szCs w:val="24"/>
        </w:rPr>
      </w:pPr>
      <w:r>
        <w:rPr>
          <w:szCs w:val="24"/>
        </w:rPr>
        <w:t>Dear Mr. President,</w:t>
      </w:r>
    </w:p>
    <w:p w14:paraId="2479527C" w14:textId="77777777" w:rsidR="0073756A" w:rsidRPr="0073756A" w:rsidRDefault="0073756A" w:rsidP="0073756A">
      <w:pPr>
        <w:spacing w:after="200" w:line="240" w:lineRule="auto"/>
        <w:rPr>
          <w:szCs w:val="24"/>
        </w:rPr>
      </w:pPr>
      <w:r w:rsidRPr="0073756A">
        <w:rPr>
          <w:szCs w:val="24"/>
        </w:rPr>
        <w:t>People with Intellectual and Developmental Disabilities (I/DD) in the United States suffer significant health disparities compared to their nondisabled counterparts and report unmet medical, prescription and dental needs. With respect to dental needs, Medicaid does not uniformly provide adults with I/DD dental coverage and in 12 states no basic Medicaid dental benefits are provided for adults with I/DD, aside from limited waiver programs available in seven of those states. As a result, people with I/DD in those jurisdictions often forego preventative and routine dental care and seek emergency dental care in hospital emergency rooms at significantly greater costs.</w:t>
      </w:r>
    </w:p>
    <w:p w14:paraId="00D643DE" w14:textId="4C871A7E" w:rsidR="0073756A" w:rsidRPr="0073756A" w:rsidRDefault="0073756A" w:rsidP="0073756A">
      <w:pPr>
        <w:spacing w:after="200" w:line="240" w:lineRule="auto"/>
        <w:rPr>
          <w:szCs w:val="24"/>
        </w:rPr>
      </w:pPr>
      <w:r w:rsidRPr="0073756A">
        <w:rPr>
          <w:szCs w:val="24"/>
        </w:rPr>
        <w:t xml:space="preserve">On behalf of the National Council on Disability (NCD), your federal disability policy advisor, I submit this report for your consideration entitled </w:t>
      </w:r>
      <w:r w:rsidRPr="00743AFC">
        <w:rPr>
          <w:i/>
          <w:szCs w:val="24"/>
        </w:rPr>
        <w:t xml:space="preserve">Medicaid Oral Health Coverage for Adults with Intellectual and Developmental Disabilities </w:t>
      </w:r>
      <w:bookmarkStart w:id="44" w:name="_GoBack"/>
      <w:r w:rsidR="003205CA">
        <w:rPr>
          <w:i/>
          <w:szCs w:val="24"/>
        </w:rPr>
        <w:t>–</w:t>
      </w:r>
      <w:bookmarkEnd w:id="44"/>
      <w:r w:rsidRPr="00743AFC">
        <w:rPr>
          <w:i/>
          <w:szCs w:val="24"/>
        </w:rPr>
        <w:t xml:space="preserve"> A Fiscal </w:t>
      </w:r>
      <w:r w:rsidR="00AD1041" w:rsidRPr="00AD1041">
        <w:rPr>
          <w:i/>
          <w:szCs w:val="24"/>
        </w:rPr>
        <w:t>Analysis</w:t>
      </w:r>
      <w:r w:rsidRPr="0073756A">
        <w:rPr>
          <w:szCs w:val="24"/>
        </w:rPr>
        <w:t>.</w:t>
      </w:r>
      <w:bookmarkStart w:id="45" w:name="_Hlk521500837"/>
      <w:r w:rsidRPr="0073756A">
        <w:rPr>
          <w:szCs w:val="24"/>
        </w:rPr>
        <w:t xml:space="preserve"> In this </w:t>
      </w:r>
      <w:bookmarkEnd w:id="45"/>
      <w:r w:rsidRPr="0073756A">
        <w:rPr>
          <w:szCs w:val="24"/>
        </w:rPr>
        <w:t>report, NCD examines the cost in those jurisdictions of not providing Medicaid dental benefits for adults with I/DD and determines that it is more cost effective and fiscally responsible to provide those benefits than to continue excluding those benefits. Doing so is also consistent with your Administration’s commitment to equity for underserved communities, including people with disabilities, and your commitment to fiscal responsibility.</w:t>
      </w:r>
    </w:p>
    <w:p w14:paraId="227A0DF9" w14:textId="77777777" w:rsidR="0073756A" w:rsidRPr="0073756A" w:rsidRDefault="0073756A" w:rsidP="0073756A">
      <w:pPr>
        <w:spacing w:after="200" w:line="240" w:lineRule="auto"/>
        <w:rPr>
          <w:szCs w:val="24"/>
        </w:rPr>
      </w:pPr>
      <w:r w:rsidRPr="0073756A">
        <w:rPr>
          <w:szCs w:val="24"/>
        </w:rPr>
        <w:t xml:space="preserve">This report was motivated by a central research question: should the Centers for Medicare and Medicaid Services require all state Medicaid agencies to implement Medicaid reimbursement and payment policies that promote access to dental care for adults with I/DD, and would doing so be cost-effective over the long term? The answer is “absolutely yes” to both questions. Because Medicaid adult dental benefits vary widely by state, and because there is a dearth of research on how the Medicaid program should best address oral health disparities for adults with I/DD, this report examined the relationship between states’ Medicaid dental benefits and the receipt of basic dental care among adults with I/DD; the relationship between state waiver programs and receipt of dental care; and the estimated cost and potential savings of </w:t>
      </w:r>
      <w:r w:rsidRPr="0073756A">
        <w:rPr>
          <w:szCs w:val="24"/>
        </w:rPr>
        <w:lastRenderedPageBreak/>
        <w:t>implementing basic dental Medicaid benefits in states that do not currently offer it. Additionally, this study examined the role of coordination between Developmental Disability agencies and Medicaid agencies for improving access to dental care. Finally, the study identified promising Medicaid-funded state and private strategies for expanding dental care for adults with I/DD.</w:t>
      </w:r>
    </w:p>
    <w:p w14:paraId="4B433716" w14:textId="77777777" w:rsidR="0073756A" w:rsidRPr="0073756A" w:rsidRDefault="0073756A" w:rsidP="0073756A">
      <w:pPr>
        <w:spacing w:after="200" w:line="240" w:lineRule="auto"/>
        <w:rPr>
          <w:szCs w:val="24"/>
        </w:rPr>
      </w:pPr>
      <w:r w:rsidRPr="0073756A">
        <w:rPr>
          <w:szCs w:val="24"/>
        </w:rPr>
        <w:t>Key findings include that in the 12 states that do not currently provide dental benefits, the total estimated cost of providing extensive dental benefits to adults with I/DD would be approximately $19.6 million annually, with those state government’s responsible for approximately $7.3 million of that cost. NCD estimates that these costs would be more than fully recovered through reductions in emergency department use and hospital admissions and reductions in the cost of treating several chronic diseases the root cause of which are poor oral health. We estimate federal and state governments combined would realize a return on investment (ROI) of approximately $7.7 million beyond recovering the initial cost, annually, and the share of that ROI for those 12 states would total close to $3 million, annually.</w:t>
      </w:r>
    </w:p>
    <w:p w14:paraId="190B58F9" w14:textId="77777777" w:rsidR="0073756A" w:rsidRPr="0073756A" w:rsidRDefault="0073756A" w:rsidP="0073756A">
      <w:pPr>
        <w:spacing w:after="200" w:line="240" w:lineRule="auto"/>
        <w:rPr>
          <w:szCs w:val="24"/>
        </w:rPr>
      </w:pPr>
      <w:r w:rsidRPr="0073756A">
        <w:rPr>
          <w:szCs w:val="24"/>
        </w:rPr>
        <w:t>NCD looks forward to briefing your Administration on the findings and recommendations in this report and stands ready to work with federal agencies, state governments, the disability community, and other stakeholders to facilitate better access to oral healthcare for people with I/DD through Medicaid, and to do so as a means of fiscal responsibility as well.</w:t>
      </w:r>
    </w:p>
    <w:p w14:paraId="1ACA9035" w14:textId="77777777" w:rsidR="0073756A" w:rsidRPr="0073756A" w:rsidRDefault="0073756A" w:rsidP="0073756A">
      <w:pPr>
        <w:spacing w:after="200" w:line="240" w:lineRule="auto"/>
        <w:rPr>
          <w:szCs w:val="24"/>
        </w:rPr>
      </w:pPr>
      <w:r w:rsidRPr="0073756A">
        <w:rPr>
          <w:szCs w:val="24"/>
        </w:rPr>
        <w:t>Respectfully Submitted,</w:t>
      </w:r>
    </w:p>
    <w:p w14:paraId="06DD014D" w14:textId="0F4909D6" w:rsidR="0073756A" w:rsidRPr="0073756A" w:rsidRDefault="001B3FFC" w:rsidP="0073756A">
      <w:pPr>
        <w:spacing w:after="200" w:line="240" w:lineRule="auto"/>
        <w:rPr>
          <w:szCs w:val="24"/>
        </w:rPr>
      </w:pPr>
      <w:r>
        <w:rPr>
          <w:noProof/>
        </w:rPr>
        <w:drawing>
          <wp:inline distT="0" distB="0" distL="0" distR="0" wp14:anchorId="000B1C34" wp14:editId="4545B8FA">
            <wp:extent cx="1055370" cy="328295"/>
            <wp:effectExtent l="0" t="0" r="0" b="0"/>
            <wp:docPr id="1" name="Picture 1" descr="Andrés J. Galleg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55370" cy="328295"/>
                    </a:xfrm>
                    <a:prstGeom prst="rect">
                      <a:avLst/>
                    </a:prstGeom>
                    <a:noFill/>
                    <a:ln>
                      <a:noFill/>
                    </a:ln>
                  </pic:spPr>
                </pic:pic>
              </a:graphicData>
            </a:graphic>
          </wp:inline>
        </w:drawing>
      </w:r>
    </w:p>
    <w:p w14:paraId="56995254" w14:textId="305D9644" w:rsidR="0073756A" w:rsidRPr="0073756A" w:rsidRDefault="0073756A" w:rsidP="0073756A">
      <w:pPr>
        <w:spacing w:after="200" w:line="240" w:lineRule="auto"/>
        <w:rPr>
          <w:szCs w:val="24"/>
        </w:rPr>
      </w:pPr>
      <w:r w:rsidRPr="0073756A">
        <w:rPr>
          <w:szCs w:val="24"/>
        </w:rPr>
        <w:t>Andrés J. Gallegos</w:t>
      </w:r>
      <w:r>
        <w:rPr>
          <w:szCs w:val="24"/>
        </w:rPr>
        <w:br/>
      </w:r>
      <w:r w:rsidRPr="0073756A">
        <w:rPr>
          <w:szCs w:val="24"/>
        </w:rPr>
        <w:t>Chairman</w:t>
      </w:r>
    </w:p>
    <w:p w14:paraId="5050C605" w14:textId="2EA3E044" w:rsidR="00AF7EA5" w:rsidRPr="00D82A31" w:rsidRDefault="00FE0A71" w:rsidP="00AF7EA5">
      <w:pPr>
        <w:rPr>
          <w:rFonts w:eastAsiaTheme="majorEastAsia" w:cs="Arial"/>
          <w:sz w:val="36"/>
          <w:szCs w:val="28"/>
        </w:rPr>
      </w:pPr>
      <w:r w:rsidRPr="00D82A31">
        <w:br w:type="page"/>
      </w:r>
      <w:bookmarkStart w:id="46" w:name="_Toc536538195"/>
      <w:bookmarkStart w:id="47" w:name="_Toc536539650"/>
      <w:bookmarkStart w:id="48" w:name="_Toc536540993"/>
      <w:bookmarkStart w:id="49" w:name="_Toc536541253"/>
      <w:bookmarkStart w:id="50" w:name="_Toc536797953"/>
      <w:bookmarkStart w:id="51" w:name="_Toc16341414"/>
      <w:bookmarkStart w:id="52" w:name="_Toc17541824"/>
      <w:bookmarkStart w:id="53" w:name="_Toc17823799"/>
      <w:bookmarkStart w:id="54" w:name="_Toc17824015"/>
      <w:bookmarkStart w:id="55" w:name="_Toc17826324"/>
      <w:bookmarkStart w:id="56" w:name="_Toc18918238"/>
      <w:bookmarkStart w:id="57" w:name="_Toc19546938"/>
      <w:bookmarkStart w:id="58" w:name="_Toc19805860"/>
    </w:p>
    <w:p w14:paraId="70D27E41" w14:textId="5BAE7F26" w:rsidR="000757BC" w:rsidRPr="00D82A31" w:rsidRDefault="000757BC" w:rsidP="00744B8B">
      <w:pPr>
        <w:pStyle w:val="NCDNationalCouncilStaff"/>
        <w:spacing w:before="0"/>
      </w:pPr>
      <w:bookmarkStart w:id="59" w:name="_Toc43793863"/>
      <w:bookmarkStart w:id="60" w:name="_Toc44234262"/>
      <w:bookmarkStart w:id="61" w:name="_Toc44336113"/>
      <w:bookmarkStart w:id="62" w:name="_Toc83913579"/>
      <w:bookmarkStart w:id="63" w:name="_Toc83915345"/>
      <w:bookmarkStart w:id="64" w:name="_Toc84253305"/>
      <w:bookmarkStart w:id="65" w:name="_Toc93828724"/>
      <w:bookmarkStart w:id="66" w:name="_Toc93946117"/>
      <w:bookmarkStart w:id="67" w:name="_Toc95237029"/>
      <w:r w:rsidRPr="00D82A31">
        <w:lastRenderedPageBreak/>
        <w:t>National Council on Disability Members and Staff</w:t>
      </w:r>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p>
    <w:p w14:paraId="15377F8F" w14:textId="77777777" w:rsidR="00744B8B" w:rsidRDefault="00744B8B" w:rsidP="00744B8B">
      <w:pPr>
        <w:pStyle w:val="NCDBodyText"/>
      </w:pPr>
    </w:p>
    <w:p w14:paraId="512C5612" w14:textId="77777777" w:rsidR="000757BC" w:rsidRPr="00D82A31" w:rsidRDefault="000757BC" w:rsidP="00744B8B">
      <w:pPr>
        <w:widowControl w:val="0"/>
        <w:spacing w:after="200"/>
        <w:jc w:val="center"/>
        <w:rPr>
          <w:rFonts w:eastAsia="Arial" w:cs="Arial"/>
          <w:b/>
          <w:lang w:bidi="en-US"/>
        </w:rPr>
      </w:pPr>
      <w:r w:rsidRPr="00D82A31">
        <w:rPr>
          <w:rFonts w:eastAsia="Arial" w:cs="Arial"/>
          <w:b/>
          <w:lang w:bidi="en-US"/>
        </w:rPr>
        <w:t>Members</w:t>
      </w:r>
    </w:p>
    <w:p w14:paraId="4A969B58" w14:textId="77777777" w:rsidR="00087084" w:rsidRPr="00087084" w:rsidRDefault="00087084" w:rsidP="00087084">
      <w:pPr>
        <w:autoSpaceDE w:val="0"/>
        <w:autoSpaceDN w:val="0"/>
        <w:adjustRightInd w:val="0"/>
        <w:spacing w:line="240" w:lineRule="auto"/>
        <w:jc w:val="center"/>
        <w:rPr>
          <w:rFonts w:cs="Arial"/>
          <w:color w:val="000000"/>
          <w:szCs w:val="24"/>
        </w:rPr>
      </w:pPr>
      <w:r w:rsidRPr="00087084">
        <w:rPr>
          <w:rFonts w:cs="Arial"/>
          <w:color w:val="000000"/>
          <w:szCs w:val="24"/>
        </w:rPr>
        <w:t xml:space="preserve">Andrés J. Gallegos, </w:t>
      </w:r>
      <w:r w:rsidRPr="00087084">
        <w:rPr>
          <w:rFonts w:cs="Arial"/>
          <w:i/>
          <w:color w:val="000000"/>
          <w:szCs w:val="24"/>
        </w:rPr>
        <w:t>Chairman</w:t>
      </w:r>
    </w:p>
    <w:p w14:paraId="0ED24CBF" w14:textId="77777777" w:rsidR="00087084" w:rsidRPr="00087084" w:rsidRDefault="00087084" w:rsidP="00087084">
      <w:pPr>
        <w:autoSpaceDE w:val="0"/>
        <w:autoSpaceDN w:val="0"/>
        <w:adjustRightInd w:val="0"/>
        <w:spacing w:line="240" w:lineRule="auto"/>
        <w:jc w:val="center"/>
        <w:rPr>
          <w:rFonts w:cs="Arial"/>
          <w:color w:val="000000"/>
          <w:szCs w:val="24"/>
        </w:rPr>
      </w:pPr>
      <w:r w:rsidRPr="00087084">
        <w:rPr>
          <w:rFonts w:cs="Arial"/>
          <w:color w:val="000000"/>
          <w:szCs w:val="24"/>
        </w:rPr>
        <w:t xml:space="preserve">Jim Brett, </w:t>
      </w:r>
      <w:r w:rsidRPr="00087084">
        <w:rPr>
          <w:rFonts w:cs="Arial"/>
          <w:i/>
          <w:color w:val="000000"/>
          <w:szCs w:val="24"/>
        </w:rPr>
        <w:t>Vice Chair</w:t>
      </w:r>
    </w:p>
    <w:p w14:paraId="34D703B2" w14:textId="77777777" w:rsidR="00087084" w:rsidRPr="00087084" w:rsidRDefault="00087084" w:rsidP="00087084">
      <w:pPr>
        <w:autoSpaceDE w:val="0"/>
        <w:autoSpaceDN w:val="0"/>
        <w:adjustRightInd w:val="0"/>
        <w:spacing w:line="240" w:lineRule="auto"/>
        <w:jc w:val="center"/>
        <w:rPr>
          <w:rFonts w:cs="Arial"/>
          <w:color w:val="000000"/>
          <w:szCs w:val="24"/>
        </w:rPr>
      </w:pPr>
      <w:r w:rsidRPr="00087084">
        <w:rPr>
          <w:rFonts w:cs="Arial"/>
          <w:color w:val="000000"/>
          <w:szCs w:val="24"/>
        </w:rPr>
        <w:t>Jim Baldwin</w:t>
      </w:r>
    </w:p>
    <w:p w14:paraId="37B58201" w14:textId="77777777" w:rsidR="00087084" w:rsidRPr="00087084" w:rsidRDefault="00087084" w:rsidP="00087084">
      <w:pPr>
        <w:autoSpaceDE w:val="0"/>
        <w:autoSpaceDN w:val="0"/>
        <w:adjustRightInd w:val="0"/>
        <w:spacing w:line="240" w:lineRule="auto"/>
        <w:jc w:val="center"/>
        <w:rPr>
          <w:rFonts w:cs="Arial"/>
          <w:color w:val="000000"/>
          <w:szCs w:val="24"/>
        </w:rPr>
      </w:pPr>
      <w:r w:rsidRPr="00087084">
        <w:rPr>
          <w:rFonts w:cs="Arial"/>
          <w:color w:val="000000"/>
          <w:szCs w:val="24"/>
        </w:rPr>
        <w:t>David D’Arcangelo</w:t>
      </w:r>
    </w:p>
    <w:p w14:paraId="49493EFF" w14:textId="77777777" w:rsidR="00087084" w:rsidRPr="00087084" w:rsidRDefault="00087084" w:rsidP="00087084">
      <w:pPr>
        <w:autoSpaceDE w:val="0"/>
        <w:autoSpaceDN w:val="0"/>
        <w:adjustRightInd w:val="0"/>
        <w:spacing w:line="240" w:lineRule="auto"/>
        <w:jc w:val="center"/>
        <w:rPr>
          <w:rFonts w:cs="Arial"/>
          <w:color w:val="000000"/>
          <w:szCs w:val="24"/>
        </w:rPr>
      </w:pPr>
      <w:r w:rsidRPr="00087084">
        <w:rPr>
          <w:rFonts w:cs="Arial"/>
          <w:color w:val="000000"/>
          <w:szCs w:val="24"/>
        </w:rPr>
        <w:t>Munr Kazmir, M.D.</w:t>
      </w:r>
    </w:p>
    <w:p w14:paraId="1A02A64A" w14:textId="00D55799" w:rsidR="00087084" w:rsidRPr="00087084" w:rsidRDefault="00087084" w:rsidP="00087084">
      <w:pPr>
        <w:autoSpaceDE w:val="0"/>
        <w:autoSpaceDN w:val="0"/>
        <w:adjustRightInd w:val="0"/>
        <w:spacing w:line="240" w:lineRule="auto"/>
        <w:jc w:val="center"/>
        <w:rPr>
          <w:rFonts w:cs="Arial"/>
          <w:color w:val="000000"/>
          <w:szCs w:val="24"/>
          <w:lang w:val="sv-SE"/>
        </w:rPr>
      </w:pPr>
      <w:r w:rsidRPr="00087084">
        <w:rPr>
          <w:rFonts w:cs="Arial"/>
          <w:color w:val="000000"/>
          <w:szCs w:val="24"/>
          <w:lang w:val="sv-SE"/>
        </w:rPr>
        <w:t>Rick Rad</w:t>
      </w:r>
      <w:r w:rsidR="005B3E62">
        <w:rPr>
          <w:rFonts w:cs="Arial"/>
          <w:color w:val="000000"/>
          <w:szCs w:val="24"/>
          <w:lang w:val="sv-SE"/>
        </w:rPr>
        <w:t>e</w:t>
      </w:r>
      <w:r w:rsidRPr="00087084">
        <w:rPr>
          <w:rFonts w:cs="Arial"/>
          <w:color w:val="000000"/>
          <w:szCs w:val="24"/>
          <w:lang w:val="sv-SE"/>
        </w:rPr>
        <w:t>r, M.D.</w:t>
      </w:r>
    </w:p>
    <w:p w14:paraId="72B21CB4" w14:textId="77777777" w:rsidR="00087084" w:rsidRPr="00087084" w:rsidRDefault="00087084" w:rsidP="00087084">
      <w:pPr>
        <w:autoSpaceDE w:val="0"/>
        <w:autoSpaceDN w:val="0"/>
        <w:adjustRightInd w:val="0"/>
        <w:spacing w:line="240" w:lineRule="auto"/>
        <w:jc w:val="center"/>
        <w:rPr>
          <w:rFonts w:cs="Arial"/>
          <w:color w:val="000000"/>
          <w:szCs w:val="24"/>
          <w:lang w:val="sv-SE"/>
        </w:rPr>
      </w:pPr>
      <w:r w:rsidRPr="00087084">
        <w:rPr>
          <w:rFonts w:cs="Arial"/>
          <w:color w:val="000000"/>
          <w:szCs w:val="24"/>
          <w:lang w:val="sv-SE"/>
        </w:rPr>
        <w:t>Neil Romano</w:t>
      </w:r>
    </w:p>
    <w:p w14:paraId="36040B98" w14:textId="77777777" w:rsidR="00087084" w:rsidRPr="00087084" w:rsidRDefault="00087084" w:rsidP="00087084">
      <w:pPr>
        <w:autoSpaceDE w:val="0"/>
        <w:autoSpaceDN w:val="0"/>
        <w:adjustRightInd w:val="0"/>
        <w:spacing w:line="240" w:lineRule="auto"/>
        <w:jc w:val="center"/>
        <w:rPr>
          <w:rFonts w:cs="Arial"/>
          <w:color w:val="000000"/>
          <w:szCs w:val="24"/>
        </w:rPr>
      </w:pPr>
      <w:r w:rsidRPr="00087084">
        <w:rPr>
          <w:rFonts w:cs="Arial"/>
          <w:color w:val="000000"/>
          <w:szCs w:val="24"/>
        </w:rPr>
        <w:t>Daniel C. Schreck</w:t>
      </w:r>
    </w:p>
    <w:p w14:paraId="70FFA964" w14:textId="543D96C4" w:rsidR="003464D7" w:rsidRPr="00D82A31" w:rsidRDefault="00087084" w:rsidP="00087084">
      <w:pPr>
        <w:autoSpaceDE w:val="0"/>
        <w:autoSpaceDN w:val="0"/>
        <w:adjustRightInd w:val="0"/>
        <w:spacing w:line="240" w:lineRule="auto"/>
        <w:jc w:val="center"/>
        <w:rPr>
          <w:rFonts w:cs="Arial"/>
          <w:color w:val="000000"/>
          <w:szCs w:val="24"/>
        </w:rPr>
      </w:pPr>
      <w:r w:rsidRPr="00087084">
        <w:rPr>
          <w:rFonts w:cs="Arial"/>
          <w:color w:val="000000"/>
          <w:szCs w:val="24"/>
        </w:rPr>
        <w:t>Mary G. Vought</w:t>
      </w:r>
      <w:r w:rsidR="003464D7" w:rsidRPr="00D82A31">
        <w:rPr>
          <w:rFonts w:cs="Arial"/>
          <w:color w:val="000000"/>
          <w:szCs w:val="24"/>
        </w:rPr>
        <w:t xml:space="preserve"> </w:t>
      </w:r>
    </w:p>
    <w:p w14:paraId="2890EE79" w14:textId="77777777" w:rsidR="003464D7" w:rsidRPr="00D82A31" w:rsidRDefault="003464D7" w:rsidP="003464D7">
      <w:pPr>
        <w:spacing w:line="240" w:lineRule="auto"/>
        <w:jc w:val="center"/>
      </w:pPr>
    </w:p>
    <w:p w14:paraId="665EE4B5" w14:textId="77777777" w:rsidR="000757BC" w:rsidRPr="00D82A31" w:rsidRDefault="000757BC" w:rsidP="00744B8B">
      <w:pPr>
        <w:widowControl w:val="0"/>
        <w:spacing w:after="200"/>
        <w:jc w:val="center"/>
        <w:rPr>
          <w:rFonts w:eastAsia="Arial" w:cs="Arial"/>
          <w:b/>
          <w:lang w:bidi="en-US"/>
        </w:rPr>
      </w:pPr>
      <w:r w:rsidRPr="00D82A31">
        <w:rPr>
          <w:rFonts w:eastAsia="Arial" w:cs="Arial"/>
          <w:b/>
          <w:lang w:bidi="en-US"/>
        </w:rPr>
        <w:t>Staff</w:t>
      </w:r>
    </w:p>
    <w:p w14:paraId="42AE7954" w14:textId="77777777" w:rsidR="00087084" w:rsidRPr="00087084" w:rsidRDefault="00087084" w:rsidP="00087084">
      <w:pPr>
        <w:autoSpaceDE w:val="0"/>
        <w:autoSpaceDN w:val="0"/>
        <w:adjustRightInd w:val="0"/>
        <w:spacing w:line="240" w:lineRule="auto"/>
        <w:jc w:val="center"/>
        <w:rPr>
          <w:rFonts w:cs="Arial"/>
          <w:color w:val="000000"/>
          <w:szCs w:val="24"/>
        </w:rPr>
      </w:pPr>
      <w:r w:rsidRPr="00087084">
        <w:rPr>
          <w:rFonts w:cs="Arial"/>
          <w:color w:val="000000"/>
          <w:szCs w:val="24"/>
        </w:rPr>
        <w:t>Anne C. Sommers McIntosh, Executive Director</w:t>
      </w:r>
    </w:p>
    <w:p w14:paraId="3A71595E" w14:textId="77777777" w:rsidR="00087084" w:rsidRPr="00087084" w:rsidRDefault="00087084" w:rsidP="00087084">
      <w:pPr>
        <w:autoSpaceDE w:val="0"/>
        <w:autoSpaceDN w:val="0"/>
        <w:adjustRightInd w:val="0"/>
        <w:spacing w:line="240" w:lineRule="auto"/>
        <w:jc w:val="center"/>
        <w:rPr>
          <w:rFonts w:cs="Arial"/>
          <w:color w:val="000000"/>
          <w:szCs w:val="24"/>
        </w:rPr>
      </w:pPr>
      <w:r w:rsidRPr="00087084">
        <w:rPr>
          <w:rFonts w:cs="Arial"/>
          <w:color w:val="000000"/>
          <w:szCs w:val="24"/>
        </w:rPr>
        <w:t>Joan M. Durocher, General Counsel &amp; Director of Policy</w:t>
      </w:r>
    </w:p>
    <w:p w14:paraId="297E3A6D" w14:textId="77777777" w:rsidR="00087084" w:rsidRPr="00087084" w:rsidRDefault="00087084" w:rsidP="00087084">
      <w:pPr>
        <w:autoSpaceDE w:val="0"/>
        <w:autoSpaceDN w:val="0"/>
        <w:adjustRightInd w:val="0"/>
        <w:spacing w:line="240" w:lineRule="auto"/>
        <w:jc w:val="center"/>
        <w:rPr>
          <w:rFonts w:cs="Arial"/>
          <w:color w:val="000000"/>
          <w:szCs w:val="24"/>
        </w:rPr>
      </w:pPr>
      <w:r w:rsidRPr="00087084">
        <w:rPr>
          <w:rFonts w:cs="Arial"/>
          <w:color w:val="000000"/>
          <w:szCs w:val="24"/>
        </w:rPr>
        <w:t>Lisa Grubb, Director of Administration, Finance, and Operations</w:t>
      </w:r>
    </w:p>
    <w:p w14:paraId="6A9421D1" w14:textId="77777777" w:rsidR="00087084" w:rsidRPr="00087084" w:rsidRDefault="00087084" w:rsidP="00087084">
      <w:pPr>
        <w:autoSpaceDE w:val="0"/>
        <w:autoSpaceDN w:val="0"/>
        <w:adjustRightInd w:val="0"/>
        <w:spacing w:line="240" w:lineRule="auto"/>
        <w:jc w:val="center"/>
        <w:rPr>
          <w:rFonts w:cs="Arial"/>
          <w:color w:val="000000"/>
          <w:szCs w:val="24"/>
        </w:rPr>
      </w:pPr>
      <w:r w:rsidRPr="00087084">
        <w:rPr>
          <w:rFonts w:cs="Arial"/>
          <w:color w:val="000000"/>
          <w:szCs w:val="24"/>
        </w:rPr>
        <w:t>Stacey S. Brown, Staff Assistant</w:t>
      </w:r>
    </w:p>
    <w:p w14:paraId="4FE22DEF" w14:textId="77777777" w:rsidR="00087084" w:rsidRPr="00087084" w:rsidRDefault="00087084" w:rsidP="00087084">
      <w:pPr>
        <w:autoSpaceDE w:val="0"/>
        <w:autoSpaceDN w:val="0"/>
        <w:adjustRightInd w:val="0"/>
        <w:spacing w:line="240" w:lineRule="auto"/>
        <w:jc w:val="center"/>
        <w:rPr>
          <w:rFonts w:cs="Arial"/>
          <w:color w:val="000000"/>
          <w:szCs w:val="24"/>
        </w:rPr>
      </w:pPr>
      <w:r w:rsidRPr="00087084">
        <w:rPr>
          <w:rFonts w:cs="Arial"/>
          <w:color w:val="000000"/>
          <w:szCs w:val="24"/>
        </w:rPr>
        <w:t>Kimie Eacobacci, Legislative Affairs Specialist</w:t>
      </w:r>
    </w:p>
    <w:p w14:paraId="33090FF4" w14:textId="77777777" w:rsidR="00087084" w:rsidRPr="00087084" w:rsidRDefault="00087084" w:rsidP="00087084">
      <w:pPr>
        <w:autoSpaceDE w:val="0"/>
        <w:autoSpaceDN w:val="0"/>
        <w:adjustRightInd w:val="0"/>
        <w:spacing w:line="240" w:lineRule="auto"/>
        <w:jc w:val="center"/>
        <w:rPr>
          <w:rFonts w:cs="Arial"/>
          <w:color w:val="000000"/>
          <w:szCs w:val="24"/>
        </w:rPr>
      </w:pPr>
      <w:r w:rsidRPr="00087084">
        <w:rPr>
          <w:rFonts w:cs="Arial"/>
          <w:color w:val="000000"/>
          <w:szCs w:val="24"/>
        </w:rPr>
        <w:t>Netterie Lewis, Administrative Support Specialist</w:t>
      </w:r>
    </w:p>
    <w:p w14:paraId="7DB5CD37" w14:textId="77777777" w:rsidR="00087084" w:rsidRPr="00087084" w:rsidRDefault="00087084" w:rsidP="00087084">
      <w:pPr>
        <w:autoSpaceDE w:val="0"/>
        <w:autoSpaceDN w:val="0"/>
        <w:adjustRightInd w:val="0"/>
        <w:spacing w:line="240" w:lineRule="auto"/>
        <w:jc w:val="center"/>
        <w:rPr>
          <w:rFonts w:cs="Arial"/>
          <w:color w:val="000000"/>
          <w:szCs w:val="24"/>
        </w:rPr>
      </w:pPr>
      <w:r w:rsidRPr="00087084">
        <w:rPr>
          <w:rFonts w:cs="Arial"/>
          <w:color w:val="000000"/>
          <w:szCs w:val="24"/>
        </w:rPr>
        <w:t>Amy Nicholas, Senior Attorney Advisor</w:t>
      </w:r>
    </w:p>
    <w:p w14:paraId="428EC56B" w14:textId="77777777" w:rsidR="00087084" w:rsidRPr="00087084" w:rsidRDefault="00087084" w:rsidP="00087084">
      <w:pPr>
        <w:autoSpaceDE w:val="0"/>
        <w:autoSpaceDN w:val="0"/>
        <w:adjustRightInd w:val="0"/>
        <w:spacing w:line="240" w:lineRule="auto"/>
        <w:jc w:val="center"/>
        <w:rPr>
          <w:rFonts w:cs="Arial"/>
          <w:color w:val="000000"/>
          <w:szCs w:val="24"/>
        </w:rPr>
      </w:pPr>
      <w:r w:rsidRPr="00087084">
        <w:rPr>
          <w:rFonts w:cs="Arial"/>
          <w:color w:val="000000"/>
          <w:szCs w:val="24"/>
        </w:rPr>
        <w:t>Nick Sabula, Public Affairs Specialist</w:t>
      </w:r>
    </w:p>
    <w:p w14:paraId="7A387F3F" w14:textId="16717D40" w:rsidR="00087084" w:rsidRPr="00087084" w:rsidRDefault="001D313C" w:rsidP="00087084">
      <w:pPr>
        <w:autoSpaceDE w:val="0"/>
        <w:autoSpaceDN w:val="0"/>
        <w:adjustRightInd w:val="0"/>
        <w:spacing w:line="240" w:lineRule="auto"/>
        <w:jc w:val="center"/>
        <w:rPr>
          <w:rFonts w:cs="Arial"/>
          <w:color w:val="000000"/>
          <w:szCs w:val="24"/>
        </w:rPr>
      </w:pPr>
      <w:r w:rsidRPr="00911D8C">
        <w:t>Amged M. Soliman, Senior Attorney Advisor</w:t>
      </w:r>
    </w:p>
    <w:p w14:paraId="64768ADF" w14:textId="268BFD09" w:rsidR="00087084" w:rsidRPr="00087084" w:rsidRDefault="009C20AE" w:rsidP="00087084">
      <w:pPr>
        <w:autoSpaceDE w:val="0"/>
        <w:autoSpaceDN w:val="0"/>
        <w:adjustRightInd w:val="0"/>
        <w:spacing w:line="240" w:lineRule="auto"/>
        <w:jc w:val="center"/>
        <w:rPr>
          <w:rFonts w:cs="Arial"/>
          <w:color w:val="000000"/>
          <w:szCs w:val="24"/>
        </w:rPr>
      </w:pPr>
      <w:r w:rsidRPr="00911D8C">
        <w:t>Ana Torres-Davis, Senior Attorney Advisor</w:t>
      </w:r>
    </w:p>
    <w:p w14:paraId="6AF82568" w14:textId="5C010FEE" w:rsidR="00FE0A71" w:rsidRPr="00D82A31" w:rsidRDefault="009C20AE" w:rsidP="00087084">
      <w:pPr>
        <w:autoSpaceDE w:val="0"/>
        <w:autoSpaceDN w:val="0"/>
        <w:adjustRightInd w:val="0"/>
        <w:spacing w:line="240" w:lineRule="auto"/>
        <w:jc w:val="center"/>
      </w:pPr>
      <w:r w:rsidRPr="00911D8C">
        <w:t>Keith Woods, Financial Management Analyst</w:t>
      </w:r>
    </w:p>
    <w:p w14:paraId="4CBFFA78" w14:textId="77777777" w:rsidR="00FE0A71" w:rsidRPr="00D82A31" w:rsidRDefault="00FE0A71" w:rsidP="00FE0A71">
      <w:r w:rsidRPr="00D82A31">
        <w:br w:type="page"/>
      </w:r>
    </w:p>
    <w:p w14:paraId="3AEDC792" w14:textId="77777777" w:rsidR="00AF7EA5" w:rsidRPr="00D82A31" w:rsidRDefault="00AF7EA5">
      <w:pPr>
        <w:spacing w:after="200"/>
        <w:rPr>
          <w:rFonts w:cs="Arial"/>
          <w:b/>
          <w:sz w:val="36"/>
          <w:szCs w:val="32"/>
        </w:rPr>
      </w:pPr>
      <w:bookmarkStart w:id="68" w:name="_Toc16341415"/>
      <w:bookmarkStart w:id="69" w:name="_Toc17541825"/>
      <w:bookmarkStart w:id="70" w:name="_Toc17823800"/>
      <w:bookmarkStart w:id="71" w:name="_Toc17824016"/>
      <w:bookmarkStart w:id="72" w:name="_Toc17826325"/>
      <w:bookmarkStart w:id="73" w:name="_Toc18918239"/>
      <w:bookmarkStart w:id="74" w:name="_Toc19546939"/>
      <w:bookmarkStart w:id="75" w:name="_Toc19805861"/>
      <w:bookmarkStart w:id="76" w:name="_Toc535996357"/>
      <w:r w:rsidRPr="00D82A31">
        <w:lastRenderedPageBreak/>
        <w:br w:type="page"/>
      </w:r>
    </w:p>
    <w:p w14:paraId="5E4EF6C0" w14:textId="5544996E" w:rsidR="003E2C3E" w:rsidRPr="00D82A31" w:rsidRDefault="003E2C3E" w:rsidP="00B0394F">
      <w:pPr>
        <w:pStyle w:val="Heading1"/>
      </w:pPr>
      <w:bookmarkStart w:id="77" w:name="_Toc43793864"/>
      <w:bookmarkStart w:id="78" w:name="_Toc44234263"/>
      <w:bookmarkStart w:id="79" w:name="_Toc44336114"/>
      <w:bookmarkStart w:id="80" w:name="_Toc83913580"/>
      <w:bookmarkStart w:id="81" w:name="_Toc83915346"/>
      <w:bookmarkStart w:id="82" w:name="_Toc84253307"/>
      <w:bookmarkStart w:id="83" w:name="_Toc93828725"/>
      <w:bookmarkStart w:id="84" w:name="_Toc93946118"/>
      <w:bookmarkStart w:id="85" w:name="_Toc95237030"/>
      <w:r w:rsidRPr="00D82A31">
        <w:lastRenderedPageBreak/>
        <w:t>Contents</w:t>
      </w:r>
      <w:bookmarkEnd w:id="68"/>
      <w:bookmarkEnd w:id="69"/>
      <w:bookmarkEnd w:id="70"/>
      <w:bookmarkEnd w:id="71"/>
      <w:bookmarkEnd w:id="72"/>
      <w:bookmarkEnd w:id="73"/>
      <w:bookmarkEnd w:id="74"/>
      <w:bookmarkEnd w:id="75"/>
      <w:bookmarkEnd w:id="77"/>
      <w:bookmarkEnd w:id="78"/>
      <w:bookmarkEnd w:id="79"/>
      <w:bookmarkEnd w:id="80"/>
      <w:bookmarkEnd w:id="81"/>
      <w:bookmarkEnd w:id="82"/>
      <w:bookmarkEnd w:id="83"/>
      <w:bookmarkEnd w:id="84"/>
      <w:bookmarkEnd w:id="85"/>
    </w:p>
    <w:sdt>
      <w:sdtPr>
        <w:rPr>
          <w:rFonts w:eastAsia="Arial" w:cstheme="minorBidi"/>
          <w:noProof w:val="0"/>
          <w:color w:val="000000"/>
          <w:szCs w:val="22"/>
        </w:rPr>
        <w:id w:val="-1231920377"/>
        <w:docPartObj>
          <w:docPartGallery w:val="Table of Contents"/>
          <w:docPartUnique/>
        </w:docPartObj>
      </w:sdtPr>
      <w:sdtEndPr>
        <w:rPr>
          <w:rFonts w:eastAsiaTheme="minorHAnsi"/>
          <w:color w:val="000000" w:themeColor="text1"/>
        </w:rPr>
      </w:sdtEndPr>
      <w:sdtContent>
        <w:p w14:paraId="644DAC23" w14:textId="11C1D44E" w:rsidR="005067CA" w:rsidRPr="005067CA" w:rsidRDefault="007D2481">
          <w:pPr>
            <w:pStyle w:val="TOC1"/>
            <w:rPr>
              <w:rFonts w:eastAsiaTheme="minorEastAsia"/>
              <w:sz w:val="22"/>
              <w:szCs w:val="22"/>
            </w:rPr>
          </w:pPr>
          <w:r w:rsidRPr="00597C28">
            <w:fldChar w:fldCharType="begin"/>
          </w:r>
          <w:r w:rsidRPr="00597C28">
            <w:instrText xml:space="preserve"> TOC \h \u \z </w:instrText>
          </w:r>
          <w:r w:rsidRPr="00597C28">
            <w:fldChar w:fldCharType="separate"/>
          </w:r>
          <w:hyperlink w:anchor="_Toc95237031" w:history="1">
            <w:r w:rsidR="005067CA" w:rsidRPr="005067CA">
              <w:rPr>
                <w:rStyle w:val="Hyperlink"/>
              </w:rPr>
              <w:t>Acknowledgments</w:t>
            </w:r>
            <w:r w:rsidR="005067CA" w:rsidRPr="005067CA">
              <w:rPr>
                <w:webHidden/>
              </w:rPr>
              <w:tab/>
            </w:r>
            <w:r w:rsidR="005067CA" w:rsidRPr="005067CA">
              <w:rPr>
                <w:webHidden/>
              </w:rPr>
              <w:fldChar w:fldCharType="begin"/>
            </w:r>
            <w:r w:rsidR="005067CA" w:rsidRPr="005067CA">
              <w:rPr>
                <w:webHidden/>
              </w:rPr>
              <w:instrText xml:space="preserve"> PAGEREF _Toc95237031 \h </w:instrText>
            </w:r>
            <w:r w:rsidR="005067CA" w:rsidRPr="005067CA">
              <w:rPr>
                <w:webHidden/>
              </w:rPr>
            </w:r>
            <w:r w:rsidR="005067CA" w:rsidRPr="005067CA">
              <w:rPr>
                <w:webHidden/>
              </w:rPr>
              <w:fldChar w:fldCharType="separate"/>
            </w:r>
            <w:r w:rsidR="00C05AC9">
              <w:rPr>
                <w:webHidden/>
              </w:rPr>
              <w:t>7</w:t>
            </w:r>
            <w:r w:rsidR="005067CA" w:rsidRPr="005067CA">
              <w:rPr>
                <w:webHidden/>
              </w:rPr>
              <w:fldChar w:fldCharType="end"/>
            </w:r>
          </w:hyperlink>
        </w:p>
        <w:p w14:paraId="12D1B886" w14:textId="77777777" w:rsidR="005067CA" w:rsidRPr="005067CA" w:rsidRDefault="00A514FF">
          <w:pPr>
            <w:pStyle w:val="TOC1"/>
            <w:rPr>
              <w:rFonts w:eastAsiaTheme="minorEastAsia"/>
              <w:sz w:val="22"/>
              <w:szCs w:val="22"/>
            </w:rPr>
          </w:pPr>
          <w:hyperlink w:anchor="_Toc95237032" w:history="1">
            <w:r w:rsidR="005067CA" w:rsidRPr="005067CA">
              <w:rPr>
                <w:rStyle w:val="Hyperlink"/>
              </w:rPr>
              <w:t>Executive Summary</w:t>
            </w:r>
            <w:r w:rsidR="005067CA" w:rsidRPr="005067CA">
              <w:rPr>
                <w:webHidden/>
              </w:rPr>
              <w:tab/>
            </w:r>
            <w:r w:rsidR="005067CA" w:rsidRPr="005067CA">
              <w:rPr>
                <w:webHidden/>
              </w:rPr>
              <w:fldChar w:fldCharType="begin"/>
            </w:r>
            <w:r w:rsidR="005067CA" w:rsidRPr="005067CA">
              <w:rPr>
                <w:webHidden/>
              </w:rPr>
              <w:instrText xml:space="preserve"> PAGEREF _Toc95237032 \h </w:instrText>
            </w:r>
            <w:r w:rsidR="005067CA" w:rsidRPr="005067CA">
              <w:rPr>
                <w:webHidden/>
              </w:rPr>
            </w:r>
            <w:r w:rsidR="005067CA" w:rsidRPr="005067CA">
              <w:rPr>
                <w:webHidden/>
              </w:rPr>
              <w:fldChar w:fldCharType="separate"/>
            </w:r>
            <w:r w:rsidR="00C05AC9">
              <w:rPr>
                <w:webHidden/>
              </w:rPr>
              <w:t>9</w:t>
            </w:r>
            <w:r w:rsidR="005067CA" w:rsidRPr="005067CA">
              <w:rPr>
                <w:webHidden/>
              </w:rPr>
              <w:fldChar w:fldCharType="end"/>
            </w:r>
          </w:hyperlink>
        </w:p>
        <w:p w14:paraId="12A09F2F" w14:textId="77777777" w:rsidR="005067CA" w:rsidRPr="005067CA" w:rsidRDefault="00A514FF">
          <w:pPr>
            <w:pStyle w:val="TOC1"/>
            <w:rPr>
              <w:rFonts w:eastAsiaTheme="minorEastAsia"/>
              <w:sz w:val="22"/>
              <w:szCs w:val="22"/>
            </w:rPr>
          </w:pPr>
          <w:hyperlink w:anchor="_Toc95237033" w:history="1">
            <w:r w:rsidR="005067CA" w:rsidRPr="005067CA">
              <w:rPr>
                <w:rStyle w:val="Hyperlink"/>
              </w:rPr>
              <w:t>Acronym Glossary</w:t>
            </w:r>
            <w:r w:rsidR="005067CA" w:rsidRPr="005067CA">
              <w:rPr>
                <w:webHidden/>
              </w:rPr>
              <w:tab/>
            </w:r>
            <w:r w:rsidR="005067CA" w:rsidRPr="005067CA">
              <w:rPr>
                <w:webHidden/>
              </w:rPr>
              <w:fldChar w:fldCharType="begin"/>
            </w:r>
            <w:r w:rsidR="005067CA" w:rsidRPr="005067CA">
              <w:rPr>
                <w:webHidden/>
              </w:rPr>
              <w:instrText xml:space="preserve"> PAGEREF _Toc95237033 \h </w:instrText>
            </w:r>
            <w:r w:rsidR="005067CA" w:rsidRPr="005067CA">
              <w:rPr>
                <w:webHidden/>
              </w:rPr>
            </w:r>
            <w:r w:rsidR="005067CA" w:rsidRPr="005067CA">
              <w:rPr>
                <w:webHidden/>
              </w:rPr>
              <w:fldChar w:fldCharType="separate"/>
            </w:r>
            <w:r w:rsidR="00C05AC9">
              <w:rPr>
                <w:webHidden/>
              </w:rPr>
              <w:t>15</w:t>
            </w:r>
            <w:r w:rsidR="005067CA" w:rsidRPr="005067CA">
              <w:rPr>
                <w:webHidden/>
              </w:rPr>
              <w:fldChar w:fldCharType="end"/>
            </w:r>
          </w:hyperlink>
        </w:p>
        <w:p w14:paraId="370791E3" w14:textId="77777777" w:rsidR="005067CA" w:rsidRPr="005067CA" w:rsidRDefault="00A514FF">
          <w:pPr>
            <w:pStyle w:val="TOC1"/>
            <w:rPr>
              <w:rFonts w:eastAsiaTheme="minorEastAsia"/>
              <w:sz w:val="22"/>
              <w:szCs w:val="22"/>
            </w:rPr>
          </w:pPr>
          <w:hyperlink w:anchor="_Toc95237034" w:history="1">
            <w:r w:rsidR="005067CA" w:rsidRPr="005067CA">
              <w:rPr>
                <w:rStyle w:val="Hyperlink"/>
              </w:rPr>
              <w:t>Introduction</w:t>
            </w:r>
            <w:r w:rsidR="005067CA" w:rsidRPr="005067CA">
              <w:rPr>
                <w:webHidden/>
              </w:rPr>
              <w:tab/>
            </w:r>
            <w:r w:rsidR="005067CA" w:rsidRPr="005067CA">
              <w:rPr>
                <w:webHidden/>
              </w:rPr>
              <w:fldChar w:fldCharType="begin"/>
            </w:r>
            <w:r w:rsidR="005067CA" w:rsidRPr="005067CA">
              <w:rPr>
                <w:webHidden/>
              </w:rPr>
              <w:instrText xml:space="preserve"> PAGEREF _Toc95237034 \h </w:instrText>
            </w:r>
            <w:r w:rsidR="005067CA" w:rsidRPr="005067CA">
              <w:rPr>
                <w:webHidden/>
              </w:rPr>
            </w:r>
            <w:r w:rsidR="005067CA" w:rsidRPr="005067CA">
              <w:rPr>
                <w:webHidden/>
              </w:rPr>
              <w:fldChar w:fldCharType="separate"/>
            </w:r>
            <w:r w:rsidR="00C05AC9">
              <w:rPr>
                <w:webHidden/>
              </w:rPr>
              <w:t>19</w:t>
            </w:r>
            <w:r w:rsidR="005067CA" w:rsidRPr="005067CA">
              <w:rPr>
                <w:webHidden/>
              </w:rPr>
              <w:fldChar w:fldCharType="end"/>
            </w:r>
          </w:hyperlink>
        </w:p>
        <w:p w14:paraId="387473B4" w14:textId="77777777" w:rsidR="005067CA" w:rsidRPr="005067CA" w:rsidRDefault="00A514FF">
          <w:pPr>
            <w:pStyle w:val="TOC1"/>
            <w:rPr>
              <w:rFonts w:eastAsiaTheme="minorEastAsia"/>
              <w:sz w:val="22"/>
              <w:szCs w:val="22"/>
            </w:rPr>
          </w:pPr>
          <w:hyperlink w:anchor="_Toc95237035" w:history="1">
            <w:r w:rsidR="005067CA" w:rsidRPr="005067CA">
              <w:rPr>
                <w:rStyle w:val="Hyperlink"/>
              </w:rPr>
              <w:t>Chapter 1: Research Questions and Methodology</w:t>
            </w:r>
            <w:r w:rsidR="005067CA" w:rsidRPr="005067CA">
              <w:rPr>
                <w:webHidden/>
              </w:rPr>
              <w:tab/>
            </w:r>
            <w:r w:rsidR="005067CA" w:rsidRPr="005067CA">
              <w:rPr>
                <w:webHidden/>
              </w:rPr>
              <w:fldChar w:fldCharType="begin"/>
            </w:r>
            <w:r w:rsidR="005067CA" w:rsidRPr="005067CA">
              <w:rPr>
                <w:webHidden/>
              </w:rPr>
              <w:instrText xml:space="preserve"> PAGEREF _Toc95237035 \h </w:instrText>
            </w:r>
            <w:r w:rsidR="005067CA" w:rsidRPr="005067CA">
              <w:rPr>
                <w:webHidden/>
              </w:rPr>
            </w:r>
            <w:r w:rsidR="005067CA" w:rsidRPr="005067CA">
              <w:rPr>
                <w:webHidden/>
              </w:rPr>
              <w:fldChar w:fldCharType="separate"/>
            </w:r>
            <w:r w:rsidR="00C05AC9">
              <w:rPr>
                <w:webHidden/>
              </w:rPr>
              <w:t>25</w:t>
            </w:r>
            <w:r w:rsidR="005067CA" w:rsidRPr="005067CA">
              <w:rPr>
                <w:webHidden/>
              </w:rPr>
              <w:fldChar w:fldCharType="end"/>
            </w:r>
          </w:hyperlink>
        </w:p>
        <w:p w14:paraId="668789BE" w14:textId="77777777" w:rsidR="005067CA" w:rsidRPr="005067CA" w:rsidRDefault="00A514FF">
          <w:pPr>
            <w:pStyle w:val="TOC2"/>
            <w:rPr>
              <w:rFonts w:ascii="Arial" w:eastAsiaTheme="minorEastAsia" w:hAnsi="Arial" w:cs="Arial"/>
              <w:noProof/>
              <w:sz w:val="22"/>
              <w:szCs w:val="22"/>
            </w:rPr>
          </w:pPr>
          <w:hyperlink w:anchor="_Toc95237036" w:history="1">
            <w:r w:rsidR="005067CA" w:rsidRPr="005067CA">
              <w:rPr>
                <w:rStyle w:val="Hyperlink"/>
                <w:rFonts w:ascii="Arial" w:eastAsia="Arial" w:hAnsi="Arial" w:cs="Arial"/>
                <w:noProof/>
              </w:rPr>
              <w:t>Research Methods</w:t>
            </w:r>
            <w:r w:rsidR="005067CA" w:rsidRPr="005067CA">
              <w:rPr>
                <w:rFonts w:ascii="Arial" w:hAnsi="Arial" w:cs="Arial"/>
                <w:noProof/>
                <w:webHidden/>
              </w:rPr>
              <w:tab/>
            </w:r>
            <w:r w:rsidR="005067CA" w:rsidRPr="005067CA">
              <w:rPr>
                <w:rFonts w:ascii="Arial" w:hAnsi="Arial" w:cs="Arial"/>
                <w:noProof/>
                <w:webHidden/>
              </w:rPr>
              <w:fldChar w:fldCharType="begin"/>
            </w:r>
            <w:r w:rsidR="005067CA" w:rsidRPr="005067CA">
              <w:rPr>
                <w:rFonts w:ascii="Arial" w:hAnsi="Arial" w:cs="Arial"/>
                <w:noProof/>
                <w:webHidden/>
              </w:rPr>
              <w:instrText xml:space="preserve"> PAGEREF _Toc95237036 \h </w:instrText>
            </w:r>
            <w:r w:rsidR="005067CA" w:rsidRPr="005067CA">
              <w:rPr>
                <w:rFonts w:ascii="Arial" w:hAnsi="Arial" w:cs="Arial"/>
                <w:noProof/>
                <w:webHidden/>
              </w:rPr>
            </w:r>
            <w:r w:rsidR="005067CA" w:rsidRPr="005067CA">
              <w:rPr>
                <w:rFonts w:ascii="Arial" w:hAnsi="Arial" w:cs="Arial"/>
                <w:noProof/>
                <w:webHidden/>
              </w:rPr>
              <w:fldChar w:fldCharType="separate"/>
            </w:r>
            <w:r w:rsidR="00C05AC9">
              <w:rPr>
                <w:rFonts w:ascii="Arial" w:hAnsi="Arial" w:cs="Arial"/>
                <w:noProof/>
                <w:webHidden/>
              </w:rPr>
              <w:t>27</w:t>
            </w:r>
            <w:r w:rsidR="005067CA" w:rsidRPr="005067CA">
              <w:rPr>
                <w:rFonts w:ascii="Arial" w:hAnsi="Arial" w:cs="Arial"/>
                <w:noProof/>
                <w:webHidden/>
              </w:rPr>
              <w:fldChar w:fldCharType="end"/>
            </w:r>
          </w:hyperlink>
        </w:p>
        <w:p w14:paraId="78BC378E" w14:textId="77777777" w:rsidR="005067CA" w:rsidRPr="005067CA" w:rsidRDefault="00A514FF">
          <w:pPr>
            <w:pStyle w:val="TOC3"/>
            <w:rPr>
              <w:rFonts w:ascii="Arial" w:eastAsiaTheme="minorEastAsia" w:hAnsi="Arial" w:cs="Arial"/>
              <w:noProof/>
              <w:sz w:val="22"/>
              <w:szCs w:val="22"/>
            </w:rPr>
          </w:pPr>
          <w:hyperlink w:anchor="_Toc95237037" w:history="1">
            <w:r w:rsidR="005067CA" w:rsidRPr="005067CA">
              <w:rPr>
                <w:rStyle w:val="Hyperlink"/>
                <w:rFonts w:ascii="Arial" w:hAnsi="Arial" w:cs="Arial"/>
                <w:noProof/>
              </w:rPr>
              <w:t>Virtual Stakeholder Meeting</w:t>
            </w:r>
            <w:r w:rsidR="005067CA" w:rsidRPr="005067CA">
              <w:rPr>
                <w:rFonts w:ascii="Arial" w:hAnsi="Arial" w:cs="Arial"/>
                <w:noProof/>
                <w:webHidden/>
              </w:rPr>
              <w:tab/>
            </w:r>
            <w:r w:rsidR="005067CA" w:rsidRPr="005067CA">
              <w:rPr>
                <w:rFonts w:ascii="Arial" w:hAnsi="Arial" w:cs="Arial"/>
                <w:noProof/>
                <w:webHidden/>
              </w:rPr>
              <w:fldChar w:fldCharType="begin"/>
            </w:r>
            <w:r w:rsidR="005067CA" w:rsidRPr="005067CA">
              <w:rPr>
                <w:rFonts w:ascii="Arial" w:hAnsi="Arial" w:cs="Arial"/>
                <w:noProof/>
                <w:webHidden/>
              </w:rPr>
              <w:instrText xml:space="preserve"> PAGEREF _Toc95237037 \h </w:instrText>
            </w:r>
            <w:r w:rsidR="005067CA" w:rsidRPr="005067CA">
              <w:rPr>
                <w:rFonts w:ascii="Arial" w:hAnsi="Arial" w:cs="Arial"/>
                <w:noProof/>
                <w:webHidden/>
              </w:rPr>
            </w:r>
            <w:r w:rsidR="005067CA" w:rsidRPr="005067CA">
              <w:rPr>
                <w:rFonts w:ascii="Arial" w:hAnsi="Arial" w:cs="Arial"/>
                <w:noProof/>
                <w:webHidden/>
              </w:rPr>
              <w:fldChar w:fldCharType="separate"/>
            </w:r>
            <w:r w:rsidR="00C05AC9">
              <w:rPr>
                <w:rFonts w:ascii="Arial" w:hAnsi="Arial" w:cs="Arial"/>
                <w:noProof/>
                <w:webHidden/>
              </w:rPr>
              <w:t>27</w:t>
            </w:r>
            <w:r w:rsidR="005067CA" w:rsidRPr="005067CA">
              <w:rPr>
                <w:rFonts w:ascii="Arial" w:hAnsi="Arial" w:cs="Arial"/>
                <w:noProof/>
                <w:webHidden/>
              </w:rPr>
              <w:fldChar w:fldCharType="end"/>
            </w:r>
          </w:hyperlink>
        </w:p>
        <w:p w14:paraId="67AC3440" w14:textId="77777777" w:rsidR="005067CA" w:rsidRPr="005067CA" w:rsidRDefault="00A514FF">
          <w:pPr>
            <w:pStyle w:val="TOC3"/>
            <w:rPr>
              <w:rFonts w:ascii="Arial" w:eastAsiaTheme="minorEastAsia" w:hAnsi="Arial" w:cs="Arial"/>
              <w:noProof/>
              <w:sz w:val="22"/>
              <w:szCs w:val="22"/>
            </w:rPr>
          </w:pPr>
          <w:hyperlink w:anchor="_Toc95237038" w:history="1">
            <w:r w:rsidR="005067CA" w:rsidRPr="005067CA">
              <w:rPr>
                <w:rStyle w:val="Hyperlink"/>
                <w:rFonts w:ascii="Arial" w:hAnsi="Arial" w:cs="Arial"/>
                <w:noProof/>
              </w:rPr>
              <w:t>Key Informant Interviews</w:t>
            </w:r>
            <w:r w:rsidR="005067CA" w:rsidRPr="005067CA">
              <w:rPr>
                <w:rFonts w:ascii="Arial" w:hAnsi="Arial" w:cs="Arial"/>
                <w:noProof/>
                <w:webHidden/>
              </w:rPr>
              <w:tab/>
            </w:r>
            <w:r w:rsidR="005067CA" w:rsidRPr="005067CA">
              <w:rPr>
                <w:rFonts w:ascii="Arial" w:hAnsi="Arial" w:cs="Arial"/>
                <w:noProof/>
                <w:webHidden/>
              </w:rPr>
              <w:fldChar w:fldCharType="begin"/>
            </w:r>
            <w:r w:rsidR="005067CA" w:rsidRPr="005067CA">
              <w:rPr>
                <w:rFonts w:ascii="Arial" w:hAnsi="Arial" w:cs="Arial"/>
                <w:noProof/>
                <w:webHidden/>
              </w:rPr>
              <w:instrText xml:space="preserve"> PAGEREF _Toc95237038 \h </w:instrText>
            </w:r>
            <w:r w:rsidR="005067CA" w:rsidRPr="005067CA">
              <w:rPr>
                <w:rFonts w:ascii="Arial" w:hAnsi="Arial" w:cs="Arial"/>
                <w:noProof/>
                <w:webHidden/>
              </w:rPr>
            </w:r>
            <w:r w:rsidR="005067CA" w:rsidRPr="005067CA">
              <w:rPr>
                <w:rFonts w:ascii="Arial" w:hAnsi="Arial" w:cs="Arial"/>
                <w:noProof/>
                <w:webHidden/>
              </w:rPr>
              <w:fldChar w:fldCharType="separate"/>
            </w:r>
            <w:r w:rsidR="00C05AC9">
              <w:rPr>
                <w:rFonts w:ascii="Arial" w:hAnsi="Arial" w:cs="Arial"/>
                <w:noProof/>
                <w:webHidden/>
              </w:rPr>
              <w:t>28</w:t>
            </w:r>
            <w:r w:rsidR="005067CA" w:rsidRPr="005067CA">
              <w:rPr>
                <w:rFonts w:ascii="Arial" w:hAnsi="Arial" w:cs="Arial"/>
                <w:noProof/>
                <w:webHidden/>
              </w:rPr>
              <w:fldChar w:fldCharType="end"/>
            </w:r>
          </w:hyperlink>
        </w:p>
        <w:p w14:paraId="545D6A38" w14:textId="77777777" w:rsidR="005067CA" w:rsidRPr="005067CA" w:rsidRDefault="00A514FF">
          <w:pPr>
            <w:pStyle w:val="TOC3"/>
            <w:rPr>
              <w:rFonts w:ascii="Arial" w:eastAsiaTheme="minorEastAsia" w:hAnsi="Arial" w:cs="Arial"/>
              <w:noProof/>
              <w:sz w:val="22"/>
              <w:szCs w:val="22"/>
            </w:rPr>
          </w:pPr>
          <w:hyperlink w:anchor="_Toc95237039" w:history="1">
            <w:r w:rsidR="005067CA" w:rsidRPr="005067CA">
              <w:rPr>
                <w:rStyle w:val="Hyperlink"/>
                <w:rFonts w:ascii="Arial" w:hAnsi="Arial" w:cs="Arial"/>
                <w:noProof/>
              </w:rPr>
              <w:t>Questionnaire of Directors of State Developmental Disabilities Agencies</w:t>
            </w:r>
            <w:r w:rsidR="005067CA" w:rsidRPr="005067CA">
              <w:rPr>
                <w:rFonts w:ascii="Arial" w:hAnsi="Arial" w:cs="Arial"/>
                <w:noProof/>
                <w:webHidden/>
              </w:rPr>
              <w:tab/>
            </w:r>
            <w:r w:rsidR="005067CA" w:rsidRPr="005067CA">
              <w:rPr>
                <w:rFonts w:ascii="Arial" w:hAnsi="Arial" w:cs="Arial"/>
                <w:noProof/>
                <w:webHidden/>
              </w:rPr>
              <w:fldChar w:fldCharType="begin"/>
            </w:r>
            <w:r w:rsidR="005067CA" w:rsidRPr="005067CA">
              <w:rPr>
                <w:rFonts w:ascii="Arial" w:hAnsi="Arial" w:cs="Arial"/>
                <w:noProof/>
                <w:webHidden/>
              </w:rPr>
              <w:instrText xml:space="preserve"> PAGEREF _Toc95237039 \h </w:instrText>
            </w:r>
            <w:r w:rsidR="005067CA" w:rsidRPr="005067CA">
              <w:rPr>
                <w:rFonts w:ascii="Arial" w:hAnsi="Arial" w:cs="Arial"/>
                <w:noProof/>
                <w:webHidden/>
              </w:rPr>
            </w:r>
            <w:r w:rsidR="005067CA" w:rsidRPr="005067CA">
              <w:rPr>
                <w:rFonts w:ascii="Arial" w:hAnsi="Arial" w:cs="Arial"/>
                <w:noProof/>
                <w:webHidden/>
              </w:rPr>
              <w:fldChar w:fldCharType="separate"/>
            </w:r>
            <w:r w:rsidR="00C05AC9">
              <w:rPr>
                <w:rFonts w:ascii="Arial" w:hAnsi="Arial" w:cs="Arial"/>
                <w:noProof/>
                <w:webHidden/>
              </w:rPr>
              <w:t>28</w:t>
            </w:r>
            <w:r w:rsidR="005067CA" w:rsidRPr="005067CA">
              <w:rPr>
                <w:rFonts w:ascii="Arial" w:hAnsi="Arial" w:cs="Arial"/>
                <w:noProof/>
                <w:webHidden/>
              </w:rPr>
              <w:fldChar w:fldCharType="end"/>
            </w:r>
          </w:hyperlink>
        </w:p>
        <w:p w14:paraId="1EC0C08F" w14:textId="77777777" w:rsidR="005067CA" w:rsidRPr="005067CA" w:rsidRDefault="00A514FF">
          <w:pPr>
            <w:pStyle w:val="TOC3"/>
            <w:rPr>
              <w:rFonts w:ascii="Arial" w:eastAsiaTheme="minorEastAsia" w:hAnsi="Arial" w:cs="Arial"/>
              <w:noProof/>
              <w:sz w:val="22"/>
              <w:szCs w:val="22"/>
            </w:rPr>
          </w:pPr>
          <w:hyperlink w:anchor="_Toc95237040" w:history="1">
            <w:r w:rsidR="005067CA" w:rsidRPr="005067CA">
              <w:rPr>
                <w:rStyle w:val="Hyperlink"/>
                <w:rFonts w:ascii="Arial" w:hAnsi="Arial" w:cs="Arial"/>
                <w:noProof/>
              </w:rPr>
              <w:t>Medicaid Oral Health Policy Database (MOHPD)</w:t>
            </w:r>
            <w:r w:rsidR="005067CA" w:rsidRPr="005067CA">
              <w:rPr>
                <w:rFonts w:ascii="Arial" w:hAnsi="Arial" w:cs="Arial"/>
                <w:noProof/>
                <w:webHidden/>
              </w:rPr>
              <w:tab/>
            </w:r>
            <w:r w:rsidR="005067CA" w:rsidRPr="005067CA">
              <w:rPr>
                <w:rFonts w:ascii="Arial" w:hAnsi="Arial" w:cs="Arial"/>
                <w:noProof/>
                <w:webHidden/>
              </w:rPr>
              <w:fldChar w:fldCharType="begin"/>
            </w:r>
            <w:r w:rsidR="005067CA" w:rsidRPr="005067CA">
              <w:rPr>
                <w:rFonts w:ascii="Arial" w:hAnsi="Arial" w:cs="Arial"/>
                <w:noProof/>
                <w:webHidden/>
              </w:rPr>
              <w:instrText xml:space="preserve"> PAGEREF _Toc95237040 \h </w:instrText>
            </w:r>
            <w:r w:rsidR="005067CA" w:rsidRPr="005067CA">
              <w:rPr>
                <w:rFonts w:ascii="Arial" w:hAnsi="Arial" w:cs="Arial"/>
                <w:noProof/>
                <w:webHidden/>
              </w:rPr>
            </w:r>
            <w:r w:rsidR="005067CA" w:rsidRPr="005067CA">
              <w:rPr>
                <w:rFonts w:ascii="Arial" w:hAnsi="Arial" w:cs="Arial"/>
                <w:noProof/>
                <w:webHidden/>
              </w:rPr>
              <w:fldChar w:fldCharType="separate"/>
            </w:r>
            <w:r w:rsidR="00C05AC9">
              <w:rPr>
                <w:rFonts w:ascii="Arial" w:hAnsi="Arial" w:cs="Arial"/>
                <w:noProof/>
                <w:webHidden/>
              </w:rPr>
              <w:t>29</w:t>
            </w:r>
            <w:r w:rsidR="005067CA" w:rsidRPr="005067CA">
              <w:rPr>
                <w:rFonts w:ascii="Arial" w:hAnsi="Arial" w:cs="Arial"/>
                <w:noProof/>
                <w:webHidden/>
              </w:rPr>
              <w:fldChar w:fldCharType="end"/>
            </w:r>
          </w:hyperlink>
        </w:p>
        <w:p w14:paraId="63A7FC19" w14:textId="77777777" w:rsidR="005067CA" w:rsidRPr="005067CA" w:rsidRDefault="00A514FF">
          <w:pPr>
            <w:pStyle w:val="TOC3"/>
            <w:rPr>
              <w:rFonts w:ascii="Arial" w:eastAsiaTheme="minorEastAsia" w:hAnsi="Arial" w:cs="Arial"/>
              <w:noProof/>
              <w:sz w:val="22"/>
              <w:szCs w:val="22"/>
            </w:rPr>
          </w:pPr>
          <w:hyperlink w:anchor="_Toc95237041" w:history="1">
            <w:r w:rsidR="005067CA" w:rsidRPr="005067CA">
              <w:rPr>
                <w:rStyle w:val="Hyperlink"/>
                <w:rFonts w:ascii="Arial" w:hAnsi="Arial" w:cs="Arial"/>
                <w:noProof/>
              </w:rPr>
              <w:t>T-MSIS Data Analysis</w:t>
            </w:r>
            <w:r w:rsidR="005067CA" w:rsidRPr="005067CA">
              <w:rPr>
                <w:rFonts w:ascii="Arial" w:hAnsi="Arial" w:cs="Arial"/>
                <w:noProof/>
                <w:webHidden/>
              </w:rPr>
              <w:tab/>
            </w:r>
            <w:r w:rsidR="005067CA" w:rsidRPr="005067CA">
              <w:rPr>
                <w:rFonts w:ascii="Arial" w:hAnsi="Arial" w:cs="Arial"/>
                <w:noProof/>
                <w:webHidden/>
              </w:rPr>
              <w:fldChar w:fldCharType="begin"/>
            </w:r>
            <w:r w:rsidR="005067CA" w:rsidRPr="005067CA">
              <w:rPr>
                <w:rFonts w:ascii="Arial" w:hAnsi="Arial" w:cs="Arial"/>
                <w:noProof/>
                <w:webHidden/>
              </w:rPr>
              <w:instrText xml:space="preserve"> PAGEREF _Toc95237041 \h </w:instrText>
            </w:r>
            <w:r w:rsidR="005067CA" w:rsidRPr="005067CA">
              <w:rPr>
                <w:rFonts w:ascii="Arial" w:hAnsi="Arial" w:cs="Arial"/>
                <w:noProof/>
                <w:webHidden/>
              </w:rPr>
            </w:r>
            <w:r w:rsidR="005067CA" w:rsidRPr="005067CA">
              <w:rPr>
                <w:rFonts w:ascii="Arial" w:hAnsi="Arial" w:cs="Arial"/>
                <w:noProof/>
                <w:webHidden/>
              </w:rPr>
              <w:fldChar w:fldCharType="separate"/>
            </w:r>
            <w:r w:rsidR="00C05AC9">
              <w:rPr>
                <w:rFonts w:ascii="Arial" w:hAnsi="Arial" w:cs="Arial"/>
                <w:noProof/>
                <w:webHidden/>
              </w:rPr>
              <w:t>30</w:t>
            </w:r>
            <w:r w:rsidR="005067CA" w:rsidRPr="005067CA">
              <w:rPr>
                <w:rFonts w:ascii="Arial" w:hAnsi="Arial" w:cs="Arial"/>
                <w:noProof/>
                <w:webHidden/>
              </w:rPr>
              <w:fldChar w:fldCharType="end"/>
            </w:r>
          </w:hyperlink>
        </w:p>
        <w:p w14:paraId="3E7F363B" w14:textId="51D484FC" w:rsidR="005067CA" w:rsidRPr="005067CA" w:rsidRDefault="00A514FF">
          <w:pPr>
            <w:pStyle w:val="TOC1"/>
            <w:rPr>
              <w:rFonts w:eastAsiaTheme="minorEastAsia"/>
              <w:sz w:val="22"/>
              <w:szCs w:val="22"/>
            </w:rPr>
          </w:pPr>
          <w:hyperlink w:anchor="_Toc95237042" w:history="1">
            <w:r w:rsidR="005067CA" w:rsidRPr="005067CA">
              <w:rPr>
                <w:rStyle w:val="Hyperlink"/>
              </w:rPr>
              <w:t>Chapter 2: Barriers to Oral Health Care for Adults with I/DD</w:t>
            </w:r>
            <w:r w:rsidR="005067CA" w:rsidRPr="005067CA">
              <w:rPr>
                <w:webHidden/>
              </w:rPr>
              <w:tab/>
            </w:r>
            <w:r w:rsidR="005067CA" w:rsidRPr="005067CA">
              <w:rPr>
                <w:webHidden/>
              </w:rPr>
              <w:fldChar w:fldCharType="begin"/>
            </w:r>
            <w:r w:rsidR="005067CA" w:rsidRPr="005067CA">
              <w:rPr>
                <w:webHidden/>
              </w:rPr>
              <w:instrText xml:space="preserve"> PAGEREF _Toc95237042 \h </w:instrText>
            </w:r>
            <w:r w:rsidR="005067CA" w:rsidRPr="005067CA">
              <w:rPr>
                <w:webHidden/>
              </w:rPr>
            </w:r>
            <w:r w:rsidR="005067CA" w:rsidRPr="005067CA">
              <w:rPr>
                <w:webHidden/>
              </w:rPr>
              <w:fldChar w:fldCharType="separate"/>
            </w:r>
            <w:r w:rsidR="00C05AC9">
              <w:rPr>
                <w:webHidden/>
              </w:rPr>
              <w:t>33</w:t>
            </w:r>
            <w:r w:rsidR="005067CA" w:rsidRPr="005067CA">
              <w:rPr>
                <w:webHidden/>
              </w:rPr>
              <w:fldChar w:fldCharType="end"/>
            </w:r>
          </w:hyperlink>
        </w:p>
        <w:p w14:paraId="31504588" w14:textId="77777777" w:rsidR="005067CA" w:rsidRPr="005067CA" w:rsidRDefault="00A514FF">
          <w:pPr>
            <w:pStyle w:val="TOC1"/>
            <w:rPr>
              <w:rFonts w:eastAsiaTheme="minorEastAsia"/>
              <w:sz w:val="22"/>
              <w:szCs w:val="22"/>
            </w:rPr>
          </w:pPr>
          <w:hyperlink w:anchor="_Toc95237043" w:history="1">
            <w:r w:rsidR="005067CA" w:rsidRPr="005067CA">
              <w:rPr>
                <w:rStyle w:val="Hyperlink"/>
              </w:rPr>
              <w:t>Chapter 3: The Role of Medicaid in Providing Dental Services for Adults with I/DD</w:t>
            </w:r>
            <w:r w:rsidR="005067CA" w:rsidRPr="005067CA">
              <w:rPr>
                <w:webHidden/>
              </w:rPr>
              <w:tab/>
            </w:r>
            <w:r w:rsidR="005067CA" w:rsidRPr="005067CA">
              <w:rPr>
                <w:webHidden/>
              </w:rPr>
              <w:fldChar w:fldCharType="begin"/>
            </w:r>
            <w:r w:rsidR="005067CA" w:rsidRPr="005067CA">
              <w:rPr>
                <w:webHidden/>
              </w:rPr>
              <w:instrText xml:space="preserve"> PAGEREF _Toc95237043 \h </w:instrText>
            </w:r>
            <w:r w:rsidR="005067CA" w:rsidRPr="005067CA">
              <w:rPr>
                <w:webHidden/>
              </w:rPr>
            </w:r>
            <w:r w:rsidR="005067CA" w:rsidRPr="005067CA">
              <w:rPr>
                <w:webHidden/>
              </w:rPr>
              <w:fldChar w:fldCharType="separate"/>
            </w:r>
            <w:r w:rsidR="00C05AC9">
              <w:rPr>
                <w:webHidden/>
              </w:rPr>
              <w:t>37</w:t>
            </w:r>
            <w:r w:rsidR="005067CA" w:rsidRPr="005067CA">
              <w:rPr>
                <w:webHidden/>
              </w:rPr>
              <w:fldChar w:fldCharType="end"/>
            </w:r>
          </w:hyperlink>
        </w:p>
        <w:p w14:paraId="6F8852E9" w14:textId="77777777" w:rsidR="005067CA" w:rsidRPr="005067CA" w:rsidRDefault="00A514FF">
          <w:pPr>
            <w:pStyle w:val="TOC1"/>
            <w:rPr>
              <w:rFonts w:eastAsiaTheme="minorEastAsia"/>
              <w:sz w:val="22"/>
              <w:szCs w:val="22"/>
            </w:rPr>
          </w:pPr>
          <w:hyperlink w:anchor="_Toc95237044" w:history="1">
            <w:r w:rsidR="005067CA" w:rsidRPr="005067CA">
              <w:rPr>
                <w:rStyle w:val="Hyperlink"/>
              </w:rPr>
              <w:t>Chapter 4: Analysis of State Medicaid Dental Coverage, Medicaid Reimbursement Rates, and Receipt of Oral Health Care Among Adults with I/DD</w:t>
            </w:r>
            <w:r w:rsidR="005067CA" w:rsidRPr="005067CA">
              <w:rPr>
                <w:webHidden/>
              </w:rPr>
              <w:tab/>
            </w:r>
            <w:r w:rsidR="005067CA" w:rsidRPr="005067CA">
              <w:rPr>
                <w:webHidden/>
              </w:rPr>
              <w:fldChar w:fldCharType="begin"/>
            </w:r>
            <w:r w:rsidR="005067CA" w:rsidRPr="005067CA">
              <w:rPr>
                <w:webHidden/>
              </w:rPr>
              <w:instrText xml:space="preserve"> PAGEREF _Toc95237044 \h </w:instrText>
            </w:r>
            <w:r w:rsidR="005067CA" w:rsidRPr="005067CA">
              <w:rPr>
                <w:webHidden/>
              </w:rPr>
            </w:r>
            <w:r w:rsidR="005067CA" w:rsidRPr="005067CA">
              <w:rPr>
                <w:webHidden/>
              </w:rPr>
              <w:fldChar w:fldCharType="separate"/>
            </w:r>
            <w:r w:rsidR="00C05AC9">
              <w:rPr>
                <w:webHidden/>
              </w:rPr>
              <w:t>41</w:t>
            </w:r>
            <w:r w:rsidR="005067CA" w:rsidRPr="005067CA">
              <w:rPr>
                <w:webHidden/>
              </w:rPr>
              <w:fldChar w:fldCharType="end"/>
            </w:r>
          </w:hyperlink>
        </w:p>
        <w:p w14:paraId="5BE1B30C" w14:textId="77777777" w:rsidR="005067CA" w:rsidRPr="005067CA" w:rsidRDefault="00A514FF">
          <w:pPr>
            <w:pStyle w:val="TOC1"/>
            <w:rPr>
              <w:rFonts w:eastAsiaTheme="minorEastAsia"/>
              <w:sz w:val="22"/>
              <w:szCs w:val="22"/>
            </w:rPr>
          </w:pPr>
          <w:hyperlink w:anchor="_Toc95237045" w:history="1">
            <w:r w:rsidR="005067CA" w:rsidRPr="005067CA">
              <w:rPr>
                <w:rStyle w:val="Hyperlink"/>
              </w:rPr>
              <w:t>Chapter 5: Opportunities and Recommendations for Change Within Medicaid</w:t>
            </w:r>
            <w:r w:rsidR="005067CA" w:rsidRPr="005067CA">
              <w:rPr>
                <w:webHidden/>
              </w:rPr>
              <w:tab/>
            </w:r>
            <w:r w:rsidR="005067CA" w:rsidRPr="005067CA">
              <w:rPr>
                <w:webHidden/>
              </w:rPr>
              <w:fldChar w:fldCharType="begin"/>
            </w:r>
            <w:r w:rsidR="005067CA" w:rsidRPr="005067CA">
              <w:rPr>
                <w:webHidden/>
              </w:rPr>
              <w:instrText xml:space="preserve"> PAGEREF _Toc95237045 \h </w:instrText>
            </w:r>
            <w:r w:rsidR="005067CA" w:rsidRPr="005067CA">
              <w:rPr>
                <w:webHidden/>
              </w:rPr>
            </w:r>
            <w:r w:rsidR="005067CA" w:rsidRPr="005067CA">
              <w:rPr>
                <w:webHidden/>
              </w:rPr>
              <w:fldChar w:fldCharType="separate"/>
            </w:r>
            <w:r w:rsidR="00C05AC9">
              <w:rPr>
                <w:webHidden/>
              </w:rPr>
              <w:t>57</w:t>
            </w:r>
            <w:r w:rsidR="005067CA" w:rsidRPr="005067CA">
              <w:rPr>
                <w:webHidden/>
              </w:rPr>
              <w:fldChar w:fldCharType="end"/>
            </w:r>
          </w:hyperlink>
        </w:p>
        <w:p w14:paraId="7C9EBDAE" w14:textId="77777777" w:rsidR="005067CA" w:rsidRPr="005067CA" w:rsidRDefault="00A514FF">
          <w:pPr>
            <w:pStyle w:val="TOC2"/>
            <w:rPr>
              <w:rFonts w:ascii="Arial" w:eastAsiaTheme="minorEastAsia" w:hAnsi="Arial" w:cs="Arial"/>
              <w:noProof/>
              <w:sz w:val="22"/>
              <w:szCs w:val="22"/>
            </w:rPr>
          </w:pPr>
          <w:hyperlink w:anchor="_Toc95237046" w:history="1">
            <w:r w:rsidR="005067CA" w:rsidRPr="005067CA">
              <w:rPr>
                <w:rStyle w:val="Hyperlink"/>
                <w:rFonts w:ascii="Arial" w:eastAsia="Arial" w:hAnsi="Arial" w:cs="Arial"/>
                <w:noProof/>
              </w:rPr>
              <w:t>Opportunities in Medicaid</w:t>
            </w:r>
            <w:r w:rsidR="005067CA" w:rsidRPr="005067CA">
              <w:rPr>
                <w:rFonts w:ascii="Arial" w:hAnsi="Arial" w:cs="Arial"/>
                <w:noProof/>
                <w:webHidden/>
              </w:rPr>
              <w:tab/>
            </w:r>
            <w:r w:rsidR="005067CA" w:rsidRPr="005067CA">
              <w:rPr>
                <w:rFonts w:ascii="Arial" w:hAnsi="Arial" w:cs="Arial"/>
                <w:noProof/>
                <w:webHidden/>
              </w:rPr>
              <w:fldChar w:fldCharType="begin"/>
            </w:r>
            <w:r w:rsidR="005067CA" w:rsidRPr="005067CA">
              <w:rPr>
                <w:rFonts w:ascii="Arial" w:hAnsi="Arial" w:cs="Arial"/>
                <w:noProof/>
                <w:webHidden/>
              </w:rPr>
              <w:instrText xml:space="preserve"> PAGEREF _Toc95237046 \h </w:instrText>
            </w:r>
            <w:r w:rsidR="005067CA" w:rsidRPr="005067CA">
              <w:rPr>
                <w:rFonts w:ascii="Arial" w:hAnsi="Arial" w:cs="Arial"/>
                <w:noProof/>
                <w:webHidden/>
              </w:rPr>
            </w:r>
            <w:r w:rsidR="005067CA" w:rsidRPr="005067CA">
              <w:rPr>
                <w:rFonts w:ascii="Arial" w:hAnsi="Arial" w:cs="Arial"/>
                <w:noProof/>
                <w:webHidden/>
              </w:rPr>
              <w:fldChar w:fldCharType="separate"/>
            </w:r>
            <w:r w:rsidR="00C05AC9">
              <w:rPr>
                <w:rFonts w:ascii="Arial" w:hAnsi="Arial" w:cs="Arial"/>
                <w:noProof/>
                <w:webHidden/>
              </w:rPr>
              <w:t>57</w:t>
            </w:r>
            <w:r w:rsidR="005067CA" w:rsidRPr="005067CA">
              <w:rPr>
                <w:rFonts w:ascii="Arial" w:hAnsi="Arial" w:cs="Arial"/>
                <w:noProof/>
                <w:webHidden/>
              </w:rPr>
              <w:fldChar w:fldCharType="end"/>
            </w:r>
          </w:hyperlink>
        </w:p>
        <w:p w14:paraId="70DFB2BF" w14:textId="77777777" w:rsidR="005067CA" w:rsidRPr="005067CA" w:rsidRDefault="00A514FF">
          <w:pPr>
            <w:pStyle w:val="TOC2"/>
            <w:rPr>
              <w:rFonts w:ascii="Arial" w:eastAsiaTheme="minorEastAsia" w:hAnsi="Arial" w:cs="Arial"/>
              <w:noProof/>
              <w:sz w:val="22"/>
              <w:szCs w:val="22"/>
            </w:rPr>
          </w:pPr>
          <w:hyperlink w:anchor="_Toc95237047" w:history="1">
            <w:r w:rsidR="005067CA" w:rsidRPr="005067CA">
              <w:rPr>
                <w:rStyle w:val="Hyperlink"/>
                <w:rFonts w:ascii="Arial" w:eastAsia="Arial" w:hAnsi="Arial" w:cs="Arial"/>
                <w:noProof/>
              </w:rPr>
              <w:t>Medicaid-funded Initiatives to Expand Access to Services</w:t>
            </w:r>
            <w:r w:rsidR="005067CA" w:rsidRPr="005067CA">
              <w:rPr>
                <w:rFonts w:ascii="Arial" w:hAnsi="Arial" w:cs="Arial"/>
                <w:noProof/>
                <w:webHidden/>
              </w:rPr>
              <w:tab/>
            </w:r>
            <w:r w:rsidR="005067CA" w:rsidRPr="005067CA">
              <w:rPr>
                <w:rFonts w:ascii="Arial" w:hAnsi="Arial" w:cs="Arial"/>
                <w:noProof/>
                <w:webHidden/>
              </w:rPr>
              <w:fldChar w:fldCharType="begin"/>
            </w:r>
            <w:r w:rsidR="005067CA" w:rsidRPr="005067CA">
              <w:rPr>
                <w:rFonts w:ascii="Arial" w:hAnsi="Arial" w:cs="Arial"/>
                <w:noProof/>
                <w:webHidden/>
              </w:rPr>
              <w:instrText xml:space="preserve"> PAGEREF _Toc95237047 \h </w:instrText>
            </w:r>
            <w:r w:rsidR="005067CA" w:rsidRPr="005067CA">
              <w:rPr>
                <w:rFonts w:ascii="Arial" w:hAnsi="Arial" w:cs="Arial"/>
                <w:noProof/>
                <w:webHidden/>
              </w:rPr>
            </w:r>
            <w:r w:rsidR="005067CA" w:rsidRPr="005067CA">
              <w:rPr>
                <w:rFonts w:ascii="Arial" w:hAnsi="Arial" w:cs="Arial"/>
                <w:noProof/>
                <w:webHidden/>
              </w:rPr>
              <w:fldChar w:fldCharType="separate"/>
            </w:r>
            <w:r w:rsidR="00C05AC9">
              <w:rPr>
                <w:rFonts w:ascii="Arial" w:hAnsi="Arial" w:cs="Arial"/>
                <w:noProof/>
                <w:webHidden/>
              </w:rPr>
              <w:t>62</w:t>
            </w:r>
            <w:r w:rsidR="005067CA" w:rsidRPr="005067CA">
              <w:rPr>
                <w:rFonts w:ascii="Arial" w:hAnsi="Arial" w:cs="Arial"/>
                <w:noProof/>
                <w:webHidden/>
              </w:rPr>
              <w:fldChar w:fldCharType="end"/>
            </w:r>
          </w:hyperlink>
        </w:p>
        <w:p w14:paraId="50D930DD" w14:textId="77777777" w:rsidR="005067CA" w:rsidRPr="005067CA" w:rsidRDefault="00A514FF">
          <w:pPr>
            <w:pStyle w:val="TOC1"/>
            <w:rPr>
              <w:rFonts w:eastAsiaTheme="minorEastAsia"/>
              <w:sz w:val="22"/>
              <w:szCs w:val="22"/>
            </w:rPr>
          </w:pPr>
          <w:hyperlink w:anchor="_Toc95237048" w:history="1">
            <w:r w:rsidR="005067CA" w:rsidRPr="005067CA">
              <w:rPr>
                <w:rStyle w:val="Hyperlink"/>
              </w:rPr>
              <w:t>Chapter 6: Opportunities Outside of Medicaid</w:t>
            </w:r>
            <w:r w:rsidR="005067CA" w:rsidRPr="005067CA">
              <w:rPr>
                <w:webHidden/>
              </w:rPr>
              <w:tab/>
            </w:r>
            <w:r w:rsidR="005067CA" w:rsidRPr="005067CA">
              <w:rPr>
                <w:webHidden/>
              </w:rPr>
              <w:fldChar w:fldCharType="begin"/>
            </w:r>
            <w:r w:rsidR="005067CA" w:rsidRPr="005067CA">
              <w:rPr>
                <w:webHidden/>
              </w:rPr>
              <w:instrText xml:space="preserve"> PAGEREF _Toc95237048 \h </w:instrText>
            </w:r>
            <w:r w:rsidR="005067CA" w:rsidRPr="005067CA">
              <w:rPr>
                <w:webHidden/>
              </w:rPr>
            </w:r>
            <w:r w:rsidR="005067CA" w:rsidRPr="005067CA">
              <w:rPr>
                <w:webHidden/>
              </w:rPr>
              <w:fldChar w:fldCharType="separate"/>
            </w:r>
            <w:r w:rsidR="00C05AC9">
              <w:rPr>
                <w:webHidden/>
              </w:rPr>
              <w:t>67</w:t>
            </w:r>
            <w:r w:rsidR="005067CA" w:rsidRPr="005067CA">
              <w:rPr>
                <w:webHidden/>
              </w:rPr>
              <w:fldChar w:fldCharType="end"/>
            </w:r>
          </w:hyperlink>
        </w:p>
        <w:p w14:paraId="37346248" w14:textId="77777777" w:rsidR="005067CA" w:rsidRPr="005067CA" w:rsidRDefault="00A514FF">
          <w:pPr>
            <w:pStyle w:val="TOC2"/>
            <w:rPr>
              <w:rFonts w:ascii="Arial" w:eastAsiaTheme="minorEastAsia" w:hAnsi="Arial" w:cs="Arial"/>
              <w:noProof/>
              <w:sz w:val="22"/>
              <w:szCs w:val="22"/>
            </w:rPr>
          </w:pPr>
          <w:hyperlink w:anchor="_Toc95237049" w:history="1">
            <w:r w:rsidR="005067CA" w:rsidRPr="005067CA">
              <w:rPr>
                <w:rStyle w:val="Hyperlink"/>
                <w:rFonts w:ascii="Arial" w:eastAsia="Arial" w:hAnsi="Arial" w:cs="Arial"/>
                <w:noProof/>
              </w:rPr>
              <w:t>Areas for Future Research</w:t>
            </w:r>
            <w:r w:rsidR="005067CA" w:rsidRPr="005067CA">
              <w:rPr>
                <w:rFonts w:ascii="Arial" w:hAnsi="Arial" w:cs="Arial"/>
                <w:noProof/>
                <w:webHidden/>
              </w:rPr>
              <w:tab/>
            </w:r>
            <w:r w:rsidR="005067CA" w:rsidRPr="005067CA">
              <w:rPr>
                <w:rFonts w:ascii="Arial" w:hAnsi="Arial" w:cs="Arial"/>
                <w:noProof/>
                <w:webHidden/>
              </w:rPr>
              <w:fldChar w:fldCharType="begin"/>
            </w:r>
            <w:r w:rsidR="005067CA" w:rsidRPr="005067CA">
              <w:rPr>
                <w:rFonts w:ascii="Arial" w:hAnsi="Arial" w:cs="Arial"/>
                <w:noProof/>
                <w:webHidden/>
              </w:rPr>
              <w:instrText xml:space="preserve"> PAGEREF _Toc95237049 \h </w:instrText>
            </w:r>
            <w:r w:rsidR="005067CA" w:rsidRPr="005067CA">
              <w:rPr>
                <w:rFonts w:ascii="Arial" w:hAnsi="Arial" w:cs="Arial"/>
                <w:noProof/>
                <w:webHidden/>
              </w:rPr>
            </w:r>
            <w:r w:rsidR="005067CA" w:rsidRPr="005067CA">
              <w:rPr>
                <w:rFonts w:ascii="Arial" w:hAnsi="Arial" w:cs="Arial"/>
                <w:noProof/>
                <w:webHidden/>
              </w:rPr>
              <w:fldChar w:fldCharType="separate"/>
            </w:r>
            <w:r w:rsidR="00C05AC9">
              <w:rPr>
                <w:rFonts w:ascii="Arial" w:hAnsi="Arial" w:cs="Arial"/>
                <w:noProof/>
                <w:webHidden/>
              </w:rPr>
              <w:t>68</w:t>
            </w:r>
            <w:r w:rsidR="005067CA" w:rsidRPr="005067CA">
              <w:rPr>
                <w:rFonts w:ascii="Arial" w:hAnsi="Arial" w:cs="Arial"/>
                <w:noProof/>
                <w:webHidden/>
              </w:rPr>
              <w:fldChar w:fldCharType="end"/>
            </w:r>
          </w:hyperlink>
        </w:p>
        <w:p w14:paraId="6FAB2F62" w14:textId="77777777" w:rsidR="005067CA" w:rsidRPr="005067CA" w:rsidRDefault="00A514FF">
          <w:pPr>
            <w:pStyle w:val="TOC1"/>
            <w:rPr>
              <w:rFonts w:eastAsiaTheme="minorEastAsia"/>
              <w:sz w:val="22"/>
              <w:szCs w:val="22"/>
            </w:rPr>
          </w:pPr>
          <w:hyperlink w:anchor="_Toc95237050" w:history="1">
            <w:r w:rsidR="005067CA" w:rsidRPr="005067CA">
              <w:rPr>
                <w:rStyle w:val="Hyperlink"/>
              </w:rPr>
              <w:t>Conclusions</w:t>
            </w:r>
            <w:r w:rsidR="005067CA" w:rsidRPr="005067CA">
              <w:rPr>
                <w:webHidden/>
              </w:rPr>
              <w:tab/>
            </w:r>
            <w:r w:rsidR="005067CA" w:rsidRPr="005067CA">
              <w:rPr>
                <w:webHidden/>
              </w:rPr>
              <w:fldChar w:fldCharType="begin"/>
            </w:r>
            <w:r w:rsidR="005067CA" w:rsidRPr="005067CA">
              <w:rPr>
                <w:webHidden/>
              </w:rPr>
              <w:instrText xml:space="preserve"> PAGEREF _Toc95237050 \h </w:instrText>
            </w:r>
            <w:r w:rsidR="005067CA" w:rsidRPr="005067CA">
              <w:rPr>
                <w:webHidden/>
              </w:rPr>
            </w:r>
            <w:r w:rsidR="005067CA" w:rsidRPr="005067CA">
              <w:rPr>
                <w:webHidden/>
              </w:rPr>
              <w:fldChar w:fldCharType="separate"/>
            </w:r>
            <w:r w:rsidR="00C05AC9">
              <w:rPr>
                <w:webHidden/>
              </w:rPr>
              <w:t>71</w:t>
            </w:r>
            <w:r w:rsidR="005067CA" w:rsidRPr="005067CA">
              <w:rPr>
                <w:webHidden/>
              </w:rPr>
              <w:fldChar w:fldCharType="end"/>
            </w:r>
          </w:hyperlink>
        </w:p>
        <w:p w14:paraId="1545AA88" w14:textId="77777777" w:rsidR="005067CA" w:rsidRPr="005067CA" w:rsidRDefault="00A514FF">
          <w:pPr>
            <w:pStyle w:val="TOC1"/>
            <w:rPr>
              <w:rFonts w:eastAsiaTheme="minorEastAsia"/>
              <w:sz w:val="22"/>
              <w:szCs w:val="22"/>
            </w:rPr>
          </w:pPr>
          <w:hyperlink w:anchor="_Toc95237051" w:history="1">
            <w:r w:rsidR="005067CA" w:rsidRPr="005067CA">
              <w:rPr>
                <w:rStyle w:val="Hyperlink"/>
              </w:rPr>
              <w:t>Key Recommendations</w:t>
            </w:r>
            <w:r w:rsidR="005067CA" w:rsidRPr="005067CA">
              <w:rPr>
                <w:webHidden/>
              </w:rPr>
              <w:tab/>
            </w:r>
            <w:r w:rsidR="005067CA" w:rsidRPr="005067CA">
              <w:rPr>
                <w:webHidden/>
              </w:rPr>
              <w:fldChar w:fldCharType="begin"/>
            </w:r>
            <w:r w:rsidR="005067CA" w:rsidRPr="005067CA">
              <w:rPr>
                <w:webHidden/>
              </w:rPr>
              <w:instrText xml:space="preserve"> PAGEREF _Toc95237051 \h </w:instrText>
            </w:r>
            <w:r w:rsidR="005067CA" w:rsidRPr="005067CA">
              <w:rPr>
                <w:webHidden/>
              </w:rPr>
            </w:r>
            <w:r w:rsidR="005067CA" w:rsidRPr="005067CA">
              <w:rPr>
                <w:webHidden/>
              </w:rPr>
              <w:fldChar w:fldCharType="separate"/>
            </w:r>
            <w:r w:rsidR="00C05AC9">
              <w:rPr>
                <w:webHidden/>
              </w:rPr>
              <w:t>73</w:t>
            </w:r>
            <w:r w:rsidR="005067CA" w:rsidRPr="005067CA">
              <w:rPr>
                <w:webHidden/>
              </w:rPr>
              <w:fldChar w:fldCharType="end"/>
            </w:r>
          </w:hyperlink>
        </w:p>
        <w:p w14:paraId="2CABD47C" w14:textId="77777777" w:rsidR="005067CA" w:rsidRPr="005067CA" w:rsidRDefault="00A514FF">
          <w:pPr>
            <w:pStyle w:val="TOC2"/>
            <w:rPr>
              <w:rFonts w:ascii="Arial" w:eastAsiaTheme="minorEastAsia" w:hAnsi="Arial" w:cs="Arial"/>
              <w:noProof/>
              <w:sz w:val="22"/>
              <w:szCs w:val="22"/>
            </w:rPr>
          </w:pPr>
          <w:hyperlink w:anchor="_Toc95237052" w:history="1">
            <w:r w:rsidR="005067CA" w:rsidRPr="005067CA">
              <w:rPr>
                <w:rStyle w:val="Hyperlink"/>
                <w:rFonts w:ascii="Arial" w:hAnsi="Arial" w:cs="Arial"/>
                <w:noProof/>
              </w:rPr>
              <w:t>Congress:</w:t>
            </w:r>
            <w:r w:rsidR="005067CA" w:rsidRPr="005067CA">
              <w:rPr>
                <w:rFonts w:ascii="Arial" w:hAnsi="Arial" w:cs="Arial"/>
                <w:noProof/>
                <w:webHidden/>
              </w:rPr>
              <w:tab/>
            </w:r>
            <w:r w:rsidR="005067CA" w:rsidRPr="005067CA">
              <w:rPr>
                <w:rFonts w:ascii="Arial" w:hAnsi="Arial" w:cs="Arial"/>
                <w:noProof/>
                <w:webHidden/>
              </w:rPr>
              <w:fldChar w:fldCharType="begin"/>
            </w:r>
            <w:r w:rsidR="005067CA" w:rsidRPr="005067CA">
              <w:rPr>
                <w:rFonts w:ascii="Arial" w:hAnsi="Arial" w:cs="Arial"/>
                <w:noProof/>
                <w:webHidden/>
              </w:rPr>
              <w:instrText xml:space="preserve"> PAGEREF _Toc95237052 \h </w:instrText>
            </w:r>
            <w:r w:rsidR="005067CA" w:rsidRPr="005067CA">
              <w:rPr>
                <w:rFonts w:ascii="Arial" w:hAnsi="Arial" w:cs="Arial"/>
                <w:noProof/>
                <w:webHidden/>
              </w:rPr>
            </w:r>
            <w:r w:rsidR="005067CA" w:rsidRPr="005067CA">
              <w:rPr>
                <w:rFonts w:ascii="Arial" w:hAnsi="Arial" w:cs="Arial"/>
                <w:noProof/>
                <w:webHidden/>
              </w:rPr>
              <w:fldChar w:fldCharType="separate"/>
            </w:r>
            <w:r w:rsidR="00C05AC9">
              <w:rPr>
                <w:rFonts w:ascii="Arial" w:hAnsi="Arial" w:cs="Arial"/>
                <w:noProof/>
                <w:webHidden/>
              </w:rPr>
              <w:t>73</w:t>
            </w:r>
            <w:r w:rsidR="005067CA" w:rsidRPr="005067CA">
              <w:rPr>
                <w:rFonts w:ascii="Arial" w:hAnsi="Arial" w:cs="Arial"/>
                <w:noProof/>
                <w:webHidden/>
              </w:rPr>
              <w:fldChar w:fldCharType="end"/>
            </w:r>
          </w:hyperlink>
        </w:p>
        <w:p w14:paraId="570371E9" w14:textId="77777777" w:rsidR="005067CA" w:rsidRPr="005067CA" w:rsidRDefault="00A514FF">
          <w:pPr>
            <w:pStyle w:val="TOC2"/>
            <w:rPr>
              <w:rFonts w:ascii="Arial" w:eastAsiaTheme="minorEastAsia" w:hAnsi="Arial" w:cs="Arial"/>
              <w:noProof/>
              <w:sz w:val="22"/>
              <w:szCs w:val="22"/>
            </w:rPr>
          </w:pPr>
          <w:hyperlink w:anchor="_Toc95237053" w:history="1">
            <w:r w:rsidR="005067CA" w:rsidRPr="005067CA">
              <w:rPr>
                <w:rStyle w:val="Hyperlink"/>
                <w:rFonts w:ascii="Arial" w:hAnsi="Arial" w:cs="Arial"/>
                <w:noProof/>
              </w:rPr>
              <w:t>States:</w:t>
            </w:r>
            <w:r w:rsidR="005067CA" w:rsidRPr="005067CA">
              <w:rPr>
                <w:rFonts w:ascii="Arial" w:hAnsi="Arial" w:cs="Arial"/>
                <w:noProof/>
                <w:webHidden/>
              </w:rPr>
              <w:tab/>
            </w:r>
            <w:r w:rsidR="005067CA" w:rsidRPr="005067CA">
              <w:rPr>
                <w:rFonts w:ascii="Arial" w:hAnsi="Arial" w:cs="Arial"/>
                <w:noProof/>
                <w:webHidden/>
              </w:rPr>
              <w:fldChar w:fldCharType="begin"/>
            </w:r>
            <w:r w:rsidR="005067CA" w:rsidRPr="005067CA">
              <w:rPr>
                <w:rFonts w:ascii="Arial" w:hAnsi="Arial" w:cs="Arial"/>
                <w:noProof/>
                <w:webHidden/>
              </w:rPr>
              <w:instrText xml:space="preserve"> PAGEREF _Toc95237053 \h </w:instrText>
            </w:r>
            <w:r w:rsidR="005067CA" w:rsidRPr="005067CA">
              <w:rPr>
                <w:rFonts w:ascii="Arial" w:hAnsi="Arial" w:cs="Arial"/>
                <w:noProof/>
                <w:webHidden/>
              </w:rPr>
            </w:r>
            <w:r w:rsidR="005067CA" w:rsidRPr="005067CA">
              <w:rPr>
                <w:rFonts w:ascii="Arial" w:hAnsi="Arial" w:cs="Arial"/>
                <w:noProof/>
                <w:webHidden/>
              </w:rPr>
              <w:fldChar w:fldCharType="separate"/>
            </w:r>
            <w:r w:rsidR="00C05AC9">
              <w:rPr>
                <w:rFonts w:ascii="Arial" w:hAnsi="Arial" w:cs="Arial"/>
                <w:noProof/>
                <w:webHidden/>
              </w:rPr>
              <w:t>73</w:t>
            </w:r>
            <w:r w:rsidR="005067CA" w:rsidRPr="005067CA">
              <w:rPr>
                <w:rFonts w:ascii="Arial" w:hAnsi="Arial" w:cs="Arial"/>
                <w:noProof/>
                <w:webHidden/>
              </w:rPr>
              <w:fldChar w:fldCharType="end"/>
            </w:r>
          </w:hyperlink>
        </w:p>
        <w:p w14:paraId="3A35E1D2" w14:textId="77777777" w:rsidR="005067CA" w:rsidRPr="005067CA" w:rsidRDefault="00A514FF">
          <w:pPr>
            <w:pStyle w:val="TOC2"/>
            <w:rPr>
              <w:rFonts w:ascii="Arial" w:eastAsiaTheme="minorEastAsia" w:hAnsi="Arial" w:cs="Arial"/>
              <w:noProof/>
              <w:sz w:val="22"/>
              <w:szCs w:val="22"/>
            </w:rPr>
          </w:pPr>
          <w:hyperlink w:anchor="_Toc95237054" w:history="1">
            <w:r w:rsidR="005067CA" w:rsidRPr="005067CA">
              <w:rPr>
                <w:rStyle w:val="Hyperlink"/>
                <w:rFonts w:ascii="Arial" w:hAnsi="Arial" w:cs="Arial"/>
                <w:noProof/>
              </w:rPr>
              <w:t>U.S. Department of Health and Human Services</w:t>
            </w:r>
            <w:r w:rsidR="005067CA" w:rsidRPr="005067CA">
              <w:rPr>
                <w:rFonts w:ascii="Arial" w:hAnsi="Arial" w:cs="Arial"/>
                <w:noProof/>
                <w:webHidden/>
              </w:rPr>
              <w:tab/>
            </w:r>
            <w:r w:rsidR="005067CA" w:rsidRPr="005067CA">
              <w:rPr>
                <w:rFonts w:ascii="Arial" w:hAnsi="Arial" w:cs="Arial"/>
                <w:noProof/>
                <w:webHidden/>
              </w:rPr>
              <w:fldChar w:fldCharType="begin"/>
            </w:r>
            <w:r w:rsidR="005067CA" w:rsidRPr="005067CA">
              <w:rPr>
                <w:rFonts w:ascii="Arial" w:hAnsi="Arial" w:cs="Arial"/>
                <w:noProof/>
                <w:webHidden/>
              </w:rPr>
              <w:instrText xml:space="preserve"> PAGEREF _Toc95237054 \h </w:instrText>
            </w:r>
            <w:r w:rsidR="005067CA" w:rsidRPr="005067CA">
              <w:rPr>
                <w:rFonts w:ascii="Arial" w:hAnsi="Arial" w:cs="Arial"/>
                <w:noProof/>
                <w:webHidden/>
              </w:rPr>
            </w:r>
            <w:r w:rsidR="005067CA" w:rsidRPr="005067CA">
              <w:rPr>
                <w:rFonts w:ascii="Arial" w:hAnsi="Arial" w:cs="Arial"/>
                <w:noProof/>
                <w:webHidden/>
              </w:rPr>
              <w:fldChar w:fldCharType="separate"/>
            </w:r>
            <w:r w:rsidR="00C05AC9">
              <w:rPr>
                <w:rFonts w:ascii="Arial" w:hAnsi="Arial" w:cs="Arial"/>
                <w:noProof/>
                <w:webHidden/>
              </w:rPr>
              <w:t>74</w:t>
            </w:r>
            <w:r w:rsidR="005067CA" w:rsidRPr="005067CA">
              <w:rPr>
                <w:rFonts w:ascii="Arial" w:hAnsi="Arial" w:cs="Arial"/>
                <w:noProof/>
                <w:webHidden/>
              </w:rPr>
              <w:fldChar w:fldCharType="end"/>
            </w:r>
          </w:hyperlink>
        </w:p>
        <w:p w14:paraId="4024F787" w14:textId="36B76059" w:rsidR="005067CA" w:rsidRPr="005067CA" w:rsidRDefault="00A514FF">
          <w:pPr>
            <w:pStyle w:val="TOC1"/>
            <w:rPr>
              <w:rFonts w:eastAsiaTheme="minorEastAsia"/>
              <w:sz w:val="22"/>
              <w:szCs w:val="22"/>
            </w:rPr>
          </w:pPr>
          <w:hyperlink w:anchor="_Toc95237055" w:history="1">
            <w:r w:rsidR="005067CA" w:rsidRPr="005067CA">
              <w:rPr>
                <w:rStyle w:val="Hyperlink"/>
              </w:rPr>
              <w:t>Appendi</w:t>
            </w:r>
            <w:r w:rsidR="006C2479">
              <w:rPr>
                <w:rStyle w:val="Hyperlink"/>
              </w:rPr>
              <w:t>c</w:t>
            </w:r>
            <w:r w:rsidR="005067CA" w:rsidRPr="005067CA">
              <w:rPr>
                <w:rStyle w:val="Hyperlink"/>
              </w:rPr>
              <w:t>es</w:t>
            </w:r>
            <w:r w:rsidR="005067CA" w:rsidRPr="005067CA">
              <w:rPr>
                <w:webHidden/>
              </w:rPr>
              <w:tab/>
            </w:r>
            <w:r w:rsidR="005067CA" w:rsidRPr="005067CA">
              <w:rPr>
                <w:webHidden/>
              </w:rPr>
              <w:fldChar w:fldCharType="begin"/>
            </w:r>
            <w:r w:rsidR="005067CA" w:rsidRPr="005067CA">
              <w:rPr>
                <w:webHidden/>
              </w:rPr>
              <w:instrText xml:space="preserve"> PAGEREF _Toc95237055 \h </w:instrText>
            </w:r>
            <w:r w:rsidR="005067CA" w:rsidRPr="005067CA">
              <w:rPr>
                <w:webHidden/>
              </w:rPr>
            </w:r>
            <w:r w:rsidR="005067CA" w:rsidRPr="005067CA">
              <w:rPr>
                <w:webHidden/>
              </w:rPr>
              <w:fldChar w:fldCharType="separate"/>
            </w:r>
            <w:r w:rsidR="00C05AC9">
              <w:rPr>
                <w:webHidden/>
              </w:rPr>
              <w:t>75</w:t>
            </w:r>
            <w:r w:rsidR="005067CA" w:rsidRPr="005067CA">
              <w:rPr>
                <w:webHidden/>
              </w:rPr>
              <w:fldChar w:fldCharType="end"/>
            </w:r>
          </w:hyperlink>
        </w:p>
        <w:p w14:paraId="6538BF65" w14:textId="5694618C" w:rsidR="005067CA" w:rsidRPr="005067CA" w:rsidRDefault="00A514FF">
          <w:pPr>
            <w:pStyle w:val="TOC1"/>
            <w:rPr>
              <w:rFonts w:eastAsiaTheme="minorEastAsia"/>
              <w:sz w:val="22"/>
              <w:szCs w:val="22"/>
            </w:rPr>
          </w:pPr>
          <w:hyperlink w:anchor="_Toc95237056" w:history="1">
            <w:r w:rsidR="005067CA" w:rsidRPr="005067CA">
              <w:rPr>
                <w:rStyle w:val="Hyperlink"/>
              </w:rPr>
              <w:t>Appendi</w:t>
            </w:r>
            <w:r w:rsidR="00E86AA5">
              <w:rPr>
                <w:rStyle w:val="Hyperlink"/>
              </w:rPr>
              <w:t>c</w:t>
            </w:r>
            <w:r w:rsidR="005067CA" w:rsidRPr="005067CA">
              <w:rPr>
                <w:rStyle w:val="Hyperlink"/>
              </w:rPr>
              <w:t>es: Contents</w:t>
            </w:r>
            <w:r w:rsidR="005067CA" w:rsidRPr="005067CA">
              <w:rPr>
                <w:webHidden/>
              </w:rPr>
              <w:tab/>
            </w:r>
            <w:r w:rsidR="005067CA" w:rsidRPr="005067CA">
              <w:rPr>
                <w:webHidden/>
              </w:rPr>
              <w:fldChar w:fldCharType="begin"/>
            </w:r>
            <w:r w:rsidR="005067CA" w:rsidRPr="005067CA">
              <w:rPr>
                <w:webHidden/>
              </w:rPr>
              <w:instrText xml:space="preserve"> PAGEREF _Toc95237056 \h </w:instrText>
            </w:r>
            <w:r w:rsidR="005067CA" w:rsidRPr="005067CA">
              <w:rPr>
                <w:webHidden/>
              </w:rPr>
            </w:r>
            <w:r w:rsidR="005067CA" w:rsidRPr="005067CA">
              <w:rPr>
                <w:webHidden/>
              </w:rPr>
              <w:fldChar w:fldCharType="separate"/>
            </w:r>
            <w:r w:rsidR="00C05AC9">
              <w:rPr>
                <w:webHidden/>
              </w:rPr>
              <w:t>77</w:t>
            </w:r>
            <w:r w:rsidR="005067CA" w:rsidRPr="005067CA">
              <w:rPr>
                <w:webHidden/>
              </w:rPr>
              <w:fldChar w:fldCharType="end"/>
            </w:r>
          </w:hyperlink>
        </w:p>
        <w:p w14:paraId="4D137F3A" w14:textId="1C065C16" w:rsidR="005067CA" w:rsidRPr="005067CA" w:rsidRDefault="00A514FF">
          <w:pPr>
            <w:pStyle w:val="TOC1"/>
            <w:rPr>
              <w:rFonts w:eastAsiaTheme="minorEastAsia"/>
              <w:sz w:val="22"/>
              <w:szCs w:val="22"/>
            </w:rPr>
          </w:pPr>
          <w:hyperlink w:anchor="_Toc95237057" w:history="1">
            <w:r w:rsidR="005067CA" w:rsidRPr="005067CA">
              <w:rPr>
                <w:rStyle w:val="Hyperlink"/>
              </w:rPr>
              <w:t>Appendix A: Agenda and Attendee List for Virtual Stakeholder Meeting</w:t>
            </w:r>
            <w:r w:rsidR="005067CA" w:rsidRPr="005067CA">
              <w:rPr>
                <w:webHidden/>
              </w:rPr>
              <w:tab/>
            </w:r>
            <w:r w:rsidR="005067CA" w:rsidRPr="005067CA">
              <w:rPr>
                <w:webHidden/>
              </w:rPr>
              <w:fldChar w:fldCharType="begin"/>
            </w:r>
            <w:r w:rsidR="005067CA" w:rsidRPr="005067CA">
              <w:rPr>
                <w:webHidden/>
              </w:rPr>
              <w:instrText xml:space="preserve"> PAGEREF _Toc95237057 \h </w:instrText>
            </w:r>
            <w:r w:rsidR="005067CA" w:rsidRPr="005067CA">
              <w:rPr>
                <w:webHidden/>
              </w:rPr>
            </w:r>
            <w:r w:rsidR="005067CA" w:rsidRPr="005067CA">
              <w:rPr>
                <w:webHidden/>
              </w:rPr>
              <w:fldChar w:fldCharType="separate"/>
            </w:r>
            <w:r w:rsidR="00C05AC9">
              <w:rPr>
                <w:webHidden/>
              </w:rPr>
              <w:t>79</w:t>
            </w:r>
            <w:r w:rsidR="005067CA" w:rsidRPr="005067CA">
              <w:rPr>
                <w:webHidden/>
              </w:rPr>
              <w:fldChar w:fldCharType="end"/>
            </w:r>
          </w:hyperlink>
        </w:p>
        <w:p w14:paraId="00049F61" w14:textId="647D02DB" w:rsidR="005067CA" w:rsidRPr="005067CA" w:rsidRDefault="00A514FF">
          <w:pPr>
            <w:pStyle w:val="TOC1"/>
            <w:rPr>
              <w:rFonts w:eastAsiaTheme="minorEastAsia"/>
              <w:sz w:val="22"/>
              <w:szCs w:val="22"/>
            </w:rPr>
          </w:pPr>
          <w:hyperlink w:anchor="_Toc95237058" w:history="1">
            <w:r w:rsidR="005067CA" w:rsidRPr="005067CA">
              <w:rPr>
                <w:rStyle w:val="Hyperlink"/>
              </w:rPr>
              <w:t xml:space="preserve">Appendix B: Questionnaire to State Directors of Developmental </w:t>
            </w:r>
            <w:r w:rsidR="00F9579E">
              <w:rPr>
                <w:rStyle w:val="Hyperlink"/>
              </w:rPr>
              <w:br/>
            </w:r>
            <w:r w:rsidR="005067CA" w:rsidRPr="005067CA">
              <w:rPr>
                <w:rStyle w:val="Hyperlink"/>
              </w:rPr>
              <w:t>Disabilities Agencies</w:t>
            </w:r>
            <w:r w:rsidR="005067CA" w:rsidRPr="005067CA">
              <w:rPr>
                <w:webHidden/>
              </w:rPr>
              <w:tab/>
            </w:r>
            <w:r w:rsidR="005067CA" w:rsidRPr="005067CA">
              <w:rPr>
                <w:webHidden/>
              </w:rPr>
              <w:fldChar w:fldCharType="begin"/>
            </w:r>
            <w:r w:rsidR="005067CA" w:rsidRPr="005067CA">
              <w:rPr>
                <w:webHidden/>
              </w:rPr>
              <w:instrText xml:space="preserve"> PAGEREF _Toc95237058 \h </w:instrText>
            </w:r>
            <w:r w:rsidR="005067CA" w:rsidRPr="005067CA">
              <w:rPr>
                <w:webHidden/>
              </w:rPr>
            </w:r>
            <w:r w:rsidR="005067CA" w:rsidRPr="005067CA">
              <w:rPr>
                <w:webHidden/>
              </w:rPr>
              <w:fldChar w:fldCharType="separate"/>
            </w:r>
            <w:r w:rsidR="00C05AC9">
              <w:rPr>
                <w:webHidden/>
              </w:rPr>
              <w:t>85</w:t>
            </w:r>
            <w:r w:rsidR="005067CA" w:rsidRPr="005067CA">
              <w:rPr>
                <w:webHidden/>
              </w:rPr>
              <w:fldChar w:fldCharType="end"/>
            </w:r>
          </w:hyperlink>
        </w:p>
        <w:p w14:paraId="4C62EE68" w14:textId="2AE3664C" w:rsidR="005067CA" w:rsidRPr="005067CA" w:rsidRDefault="00A514FF">
          <w:pPr>
            <w:pStyle w:val="TOC1"/>
            <w:rPr>
              <w:rFonts w:eastAsiaTheme="minorEastAsia"/>
              <w:sz w:val="22"/>
              <w:szCs w:val="22"/>
            </w:rPr>
          </w:pPr>
          <w:hyperlink w:anchor="_Toc95237059" w:history="1">
            <w:r w:rsidR="005067CA" w:rsidRPr="005067CA">
              <w:rPr>
                <w:rStyle w:val="Hyperlink"/>
              </w:rPr>
              <w:t xml:space="preserve">Appendix C: Details About the Fifty-State and DC Medicaid Oral Health </w:t>
            </w:r>
            <w:r w:rsidR="00F9579E">
              <w:rPr>
                <w:rStyle w:val="Hyperlink"/>
              </w:rPr>
              <w:br/>
            </w:r>
            <w:r w:rsidR="005067CA" w:rsidRPr="005067CA">
              <w:rPr>
                <w:rStyle w:val="Hyperlink"/>
              </w:rPr>
              <w:t>Policy Database</w:t>
            </w:r>
            <w:r w:rsidR="005067CA" w:rsidRPr="005067CA">
              <w:rPr>
                <w:webHidden/>
              </w:rPr>
              <w:tab/>
            </w:r>
            <w:r w:rsidR="005067CA" w:rsidRPr="005067CA">
              <w:rPr>
                <w:webHidden/>
              </w:rPr>
              <w:fldChar w:fldCharType="begin"/>
            </w:r>
            <w:r w:rsidR="005067CA" w:rsidRPr="005067CA">
              <w:rPr>
                <w:webHidden/>
              </w:rPr>
              <w:instrText xml:space="preserve"> PAGEREF _Toc95237059 \h </w:instrText>
            </w:r>
            <w:r w:rsidR="005067CA" w:rsidRPr="005067CA">
              <w:rPr>
                <w:webHidden/>
              </w:rPr>
            </w:r>
            <w:r w:rsidR="005067CA" w:rsidRPr="005067CA">
              <w:rPr>
                <w:webHidden/>
              </w:rPr>
              <w:fldChar w:fldCharType="separate"/>
            </w:r>
            <w:r w:rsidR="00C05AC9">
              <w:rPr>
                <w:webHidden/>
              </w:rPr>
              <w:t>91</w:t>
            </w:r>
            <w:r w:rsidR="005067CA" w:rsidRPr="005067CA">
              <w:rPr>
                <w:webHidden/>
              </w:rPr>
              <w:fldChar w:fldCharType="end"/>
            </w:r>
          </w:hyperlink>
        </w:p>
        <w:p w14:paraId="0A60DF08" w14:textId="77777777" w:rsidR="005067CA" w:rsidRPr="005067CA" w:rsidRDefault="00A514FF">
          <w:pPr>
            <w:pStyle w:val="TOC2"/>
            <w:rPr>
              <w:rFonts w:ascii="Arial" w:eastAsiaTheme="minorEastAsia" w:hAnsi="Arial" w:cs="Arial"/>
              <w:noProof/>
              <w:sz w:val="22"/>
              <w:szCs w:val="22"/>
            </w:rPr>
          </w:pPr>
          <w:hyperlink w:anchor="_Toc95237060" w:history="1">
            <w:r w:rsidR="005067CA" w:rsidRPr="005067CA">
              <w:rPr>
                <w:rStyle w:val="Hyperlink"/>
                <w:rFonts w:ascii="Arial" w:hAnsi="Arial" w:cs="Arial"/>
                <w:noProof/>
              </w:rPr>
              <w:t>Medicaid Fee Schedule and Frequency Sources</w:t>
            </w:r>
            <w:r w:rsidR="005067CA" w:rsidRPr="005067CA">
              <w:rPr>
                <w:rFonts w:ascii="Arial" w:hAnsi="Arial" w:cs="Arial"/>
                <w:noProof/>
                <w:webHidden/>
              </w:rPr>
              <w:tab/>
            </w:r>
            <w:r w:rsidR="005067CA" w:rsidRPr="005067CA">
              <w:rPr>
                <w:rFonts w:ascii="Arial" w:hAnsi="Arial" w:cs="Arial"/>
                <w:noProof/>
                <w:webHidden/>
              </w:rPr>
              <w:fldChar w:fldCharType="begin"/>
            </w:r>
            <w:r w:rsidR="005067CA" w:rsidRPr="005067CA">
              <w:rPr>
                <w:rFonts w:ascii="Arial" w:hAnsi="Arial" w:cs="Arial"/>
                <w:noProof/>
                <w:webHidden/>
              </w:rPr>
              <w:instrText xml:space="preserve"> PAGEREF _Toc95237060 \h </w:instrText>
            </w:r>
            <w:r w:rsidR="005067CA" w:rsidRPr="005067CA">
              <w:rPr>
                <w:rFonts w:ascii="Arial" w:hAnsi="Arial" w:cs="Arial"/>
                <w:noProof/>
                <w:webHidden/>
              </w:rPr>
            </w:r>
            <w:r w:rsidR="005067CA" w:rsidRPr="005067CA">
              <w:rPr>
                <w:rFonts w:ascii="Arial" w:hAnsi="Arial" w:cs="Arial"/>
                <w:noProof/>
                <w:webHidden/>
              </w:rPr>
              <w:fldChar w:fldCharType="separate"/>
            </w:r>
            <w:r w:rsidR="00C05AC9">
              <w:rPr>
                <w:rFonts w:ascii="Arial" w:hAnsi="Arial" w:cs="Arial"/>
                <w:noProof/>
                <w:webHidden/>
              </w:rPr>
              <w:t>102</w:t>
            </w:r>
            <w:r w:rsidR="005067CA" w:rsidRPr="005067CA">
              <w:rPr>
                <w:rFonts w:ascii="Arial" w:hAnsi="Arial" w:cs="Arial"/>
                <w:noProof/>
                <w:webHidden/>
              </w:rPr>
              <w:fldChar w:fldCharType="end"/>
            </w:r>
          </w:hyperlink>
        </w:p>
        <w:p w14:paraId="4158EFAD" w14:textId="77777777" w:rsidR="005067CA" w:rsidRPr="005067CA" w:rsidRDefault="00A514FF">
          <w:pPr>
            <w:pStyle w:val="TOC2"/>
            <w:rPr>
              <w:rFonts w:ascii="Arial" w:eastAsiaTheme="minorEastAsia" w:hAnsi="Arial" w:cs="Arial"/>
              <w:noProof/>
              <w:sz w:val="22"/>
              <w:szCs w:val="22"/>
            </w:rPr>
          </w:pPr>
          <w:hyperlink w:anchor="_Toc95237061" w:history="1">
            <w:r w:rsidR="005067CA" w:rsidRPr="005067CA">
              <w:rPr>
                <w:rStyle w:val="Hyperlink"/>
                <w:rFonts w:ascii="Arial" w:hAnsi="Arial" w:cs="Arial"/>
                <w:noProof/>
              </w:rPr>
              <w:t>CDT Code Descriptors</w:t>
            </w:r>
            <w:r w:rsidR="005067CA" w:rsidRPr="005067CA">
              <w:rPr>
                <w:rFonts w:ascii="Arial" w:hAnsi="Arial" w:cs="Arial"/>
                <w:noProof/>
                <w:webHidden/>
              </w:rPr>
              <w:tab/>
            </w:r>
            <w:r w:rsidR="005067CA" w:rsidRPr="005067CA">
              <w:rPr>
                <w:rFonts w:ascii="Arial" w:hAnsi="Arial" w:cs="Arial"/>
                <w:noProof/>
                <w:webHidden/>
              </w:rPr>
              <w:fldChar w:fldCharType="begin"/>
            </w:r>
            <w:r w:rsidR="005067CA" w:rsidRPr="005067CA">
              <w:rPr>
                <w:rFonts w:ascii="Arial" w:hAnsi="Arial" w:cs="Arial"/>
                <w:noProof/>
                <w:webHidden/>
              </w:rPr>
              <w:instrText xml:space="preserve"> PAGEREF _Toc95237061 \h </w:instrText>
            </w:r>
            <w:r w:rsidR="005067CA" w:rsidRPr="005067CA">
              <w:rPr>
                <w:rFonts w:ascii="Arial" w:hAnsi="Arial" w:cs="Arial"/>
                <w:noProof/>
                <w:webHidden/>
              </w:rPr>
            </w:r>
            <w:r w:rsidR="005067CA" w:rsidRPr="005067CA">
              <w:rPr>
                <w:rFonts w:ascii="Arial" w:hAnsi="Arial" w:cs="Arial"/>
                <w:noProof/>
                <w:webHidden/>
              </w:rPr>
              <w:fldChar w:fldCharType="separate"/>
            </w:r>
            <w:r w:rsidR="00C05AC9">
              <w:rPr>
                <w:rFonts w:ascii="Arial" w:hAnsi="Arial" w:cs="Arial"/>
                <w:noProof/>
                <w:webHidden/>
              </w:rPr>
              <w:t>103</w:t>
            </w:r>
            <w:r w:rsidR="005067CA" w:rsidRPr="005067CA">
              <w:rPr>
                <w:rFonts w:ascii="Arial" w:hAnsi="Arial" w:cs="Arial"/>
                <w:noProof/>
                <w:webHidden/>
              </w:rPr>
              <w:fldChar w:fldCharType="end"/>
            </w:r>
          </w:hyperlink>
        </w:p>
        <w:p w14:paraId="0BEF9B6A" w14:textId="5E25D07B" w:rsidR="005067CA" w:rsidRPr="005067CA" w:rsidRDefault="00A514FF">
          <w:pPr>
            <w:pStyle w:val="TOC1"/>
            <w:rPr>
              <w:rFonts w:eastAsiaTheme="minorEastAsia"/>
              <w:sz w:val="22"/>
              <w:szCs w:val="22"/>
            </w:rPr>
          </w:pPr>
          <w:hyperlink w:anchor="_Toc95237062" w:history="1">
            <w:r w:rsidR="005067CA" w:rsidRPr="005067CA">
              <w:rPr>
                <w:rStyle w:val="Hyperlink"/>
              </w:rPr>
              <w:t xml:space="preserve">Appendix D: </w:t>
            </w:r>
            <w:r w:rsidR="005067CA" w:rsidRPr="005067CA">
              <w:rPr>
                <w:rStyle w:val="Hyperlink"/>
                <w:i/>
                <w:iCs/>
              </w:rPr>
              <w:t>ICD-10</w:t>
            </w:r>
            <w:r w:rsidR="005067CA" w:rsidRPr="005067CA">
              <w:rPr>
                <w:rStyle w:val="Hyperlink"/>
              </w:rPr>
              <w:t xml:space="preserve"> Diagnosis Codes for Autism Spectrum Disorder, </w:t>
            </w:r>
            <w:r w:rsidR="00F9579E">
              <w:rPr>
                <w:rStyle w:val="Hyperlink"/>
              </w:rPr>
              <w:br/>
            </w:r>
            <w:r w:rsidR="005067CA" w:rsidRPr="005067CA">
              <w:rPr>
                <w:rStyle w:val="Hyperlink"/>
              </w:rPr>
              <w:t xml:space="preserve">Intellectual Disability and Related Conditions, Cerebral Palsy, and </w:t>
            </w:r>
            <w:r w:rsidR="00F9579E">
              <w:rPr>
                <w:rStyle w:val="Hyperlink"/>
              </w:rPr>
              <w:br/>
            </w:r>
            <w:r w:rsidR="005067CA" w:rsidRPr="005067CA">
              <w:rPr>
                <w:rStyle w:val="Hyperlink"/>
              </w:rPr>
              <w:t>Other</w:t>
            </w:r>
            <w:r w:rsidR="00F9579E">
              <w:rPr>
                <w:rStyle w:val="Hyperlink"/>
              </w:rPr>
              <w:t xml:space="preserve"> </w:t>
            </w:r>
            <w:r w:rsidR="005067CA" w:rsidRPr="005067CA">
              <w:rPr>
                <w:rStyle w:val="Hyperlink"/>
              </w:rPr>
              <w:t>Developmental Delays</w:t>
            </w:r>
            <w:r w:rsidR="005067CA" w:rsidRPr="005067CA">
              <w:rPr>
                <w:webHidden/>
              </w:rPr>
              <w:tab/>
            </w:r>
            <w:r w:rsidR="005067CA" w:rsidRPr="005067CA">
              <w:rPr>
                <w:webHidden/>
              </w:rPr>
              <w:fldChar w:fldCharType="begin"/>
            </w:r>
            <w:r w:rsidR="005067CA" w:rsidRPr="005067CA">
              <w:rPr>
                <w:webHidden/>
              </w:rPr>
              <w:instrText xml:space="preserve"> PAGEREF _Toc95237062 \h </w:instrText>
            </w:r>
            <w:r w:rsidR="005067CA" w:rsidRPr="005067CA">
              <w:rPr>
                <w:webHidden/>
              </w:rPr>
            </w:r>
            <w:r w:rsidR="005067CA" w:rsidRPr="005067CA">
              <w:rPr>
                <w:webHidden/>
              </w:rPr>
              <w:fldChar w:fldCharType="separate"/>
            </w:r>
            <w:r w:rsidR="00C05AC9">
              <w:rPr>
                <w:webHidden/>
              </w:rPr>
              <w:t>105</w:t>
            </w:r>
            <w:r w:rsidR="005067CA" w:rsidRPr="005067CA">
              <w:rPr>
                <w:webHidden/>
              </w:rPr>
              <w:fldChar w:fldCharType="end"/>
            </w:r>
          </w:hyperlink>
        </w:p>
        <w:p w14:paraId="0229E3A4" w14:textId="77777777" w:rsidR="005067CA" w:rsidRPr="005067CA" w:rsidRDefault="00A514FF">
          <w:pPr>
            <w:pStyle w:val="TOC1"/>
            <w:rPr>
              <w:rFonts w:eastAsiaTheme="minorEastAsia"/>
              <w:sz w:val="22"/>
              <w:szCs w:val="22"/>
            </w:rPr>
          </w:pPr>
          <w:hyperlink w:anchor="_Toc95237063" w:history="1">
            <w:r w:rsidR="005067CA" w:rsidRPr="005067CA">
              <w:rPr>
                <w:rStyle w:val="Hyperlink"/>
                <w:lang w:val="fr-FR"/>
              </w:rPr>
              <w:t xml:space="preserve">Appendix E: Details </w:t>
            </w:r>
            <w:r w:rsidR="005067CA" w:rsidRPr="005067CA">
              <w:rPr>
                <w:rStyle w:val="Hyperlink"/>
              </w:rPr>
              <w:t>A</w:t>
            </w:r>
            <w:r w:rsidR="005067CA" w:rsidRPr="005067CA">
              <w:rPr>
                <w:rStyle w:val="Hyperlink"/>
                <w:lang w:val="fr-FR"/>
              </w:rPr>
              <w:t>bout T-MSIS Sample</w:t>
            </w:r>
            <w:r w:rsidR="005067CA" w:rsidRPr="005067CA">
              <w:rPr>
                <w:webHidden/>
              </w:rPr>
              <w:tab/>
            </w:r>
            <w:r w:rsidR="005067CA" w:rsidRPr="005067CA">
              <w:rPr>
                <w:webHidden/>
              </w:rPr>
              <w:fldChar w:fldCharType="begin"/>
            </w:r>
            <w:r w:rsidR="005067CA" w:rsidRPr="005067CA">
              <w:rPr>
                <w:webHidden/>
              </w:rPr>
              <w:instrText xml:space="preserve"> PAGEREF _Toc95237063 \h </w:instrText>
            </w:r>
            <w:r w:rsidR="005067CA" w:rsidRPr="005067CA">
              <w:rPr>
                <w:webHidden/>
              </w:rPr>
            </w:r>
            <w:r w:rsidR="005067CA" w:rsidRPr="005067CA">
              <w:rPr>
                <w:webHidden/>
              </w:rPr>
              <w:fldChar w:fldCharType="separate"/>
            </w:r>
            <w:r w:rsidR="00C05AC9">
              <w:rPr>
                <w:webHidden/>
              </w:rPr>
              <w:t>109</w:t>
            </w:r>
            <w:r w:rsidR="005067CA" w:rsidRPr="005067CA">
              <w:rPr>
                <w:webHidden/>
              </w:rPr>
              <w:fldChar w:fldCharType="end"/>
            </w:r>
          </w:hyperlink>
        </w:p>
        <w:p w14:paraId="1C0EAB8D" w14:textId="77777777" w:rsidR="005067CA" w:rsidRPr="005067CA" w:rsidRDefault="00A514FF">
          <w:pPr>
            <w:pStyle w:val="TOC1"/>
            <w:rPr>
              <w:rFonts w:eastAsiaTheme="minorEastAsia"/>
              <w:sz w:val="22"/>
              <w:szCs w:val="22"/>
            </w:rPr>
          </w:pPr>
          <w:hyperlink w:anchor="_Toc95237064" w:history="1">
            <w:r w:rsidR="005067CA" w:rsidRPr="005067CA">
              <w:rPr>
                <w:rStyle w:val="Hyperlink"/>
              </w:rPr>
              <w:t>Appendix F: Developmental Disabilities Agency Leader Questionnaire Responses  About Barriers to Oral Health</w:t>
            </w:r>
            <w:r w:rsidR="005067CA" w:rsidRPr="005067CA">
              <w:rPr>
                <w:webHidden/>
              </w:rPr>
              <w:tab/>
            </w:r>
            <w:r w:rsidR="005067CA" w:rsidRPr="005067CA">
              <w:rPr>
                <w:webHidden/>
              </w:rPr>
              <w:fldChar w:fldCharType="begin"/>
            </w:r>
            <w:r w:rsidR="005067CA" w:rsidRPr="005067CA">
              <w:rPr>
                <w:webHidden/>
              </w:rPr>
              <w:instrText xml:space="preserve"> PAGEREF _Toc95237064 \h </w:instrText>
            </w:r>
            <w:r w:rsidR="005067CA" w:rsidRPr="005067CA">
              <w:rPr>
                <w:webHidden/>
              </w:rPr>
            </w:r>
            <w:r w:rsidR="005067CA" w:rsidRPr="005067CA">
              <w:rPr>
                <w:webHidden/>
              </w:rPr>
              <w:fldChar w:fldCharType="separate"/>
            </w:r>
            <w:r w:rsidR="00C05AC9">
              <w:rPr>
                <w:webHidden/>
              </w:rPr>
              <w:t>113</w:t>
            </w:r>
            <w:r w:rsidR="005067CA" w:rsidRPr="005067CA">
              <w:rPr>
                <w:webHidden/>
              </w:rPr>
              <w:fldChar w:fldCharType="end"/>
            </w:r>
          </w:hyperlink>
        </w:p>
        <w:p w14:paraId="79D7F0B3" w14:textId="77777777" w:rsidR="005067CA" w:rsidRDefault="00A514FF">
          <w:pPr>
            <w:pStyle w:val="TOC1"/>
            <w:rPr>
              <w:rFonts w:asciiTheme="minorHAnsi" w:eastAsiaTheme="minorEastAsia" w:hAnsiTheme="minorHAnsi" w:cstheme="minorBidi"/>
              <w:sz w:val="22"/>
              <w:szCs w:val="22"/>
            </w:rPr>
          </w:pPr>
          <w:hyperlink w:anchor="_Toc95237065" w:history="1">
            <w:r w:rsidR="005067CA" w:rsidRPr="005067CA">
              <w:rPr>
                <w:rStyle w:val="Hyperlink"/>
              </w:rPr>
              <w:t>Endnotes</w:t>
            </w:r>
            <w:r w:rsidR="005067CA" w:rsidRPr="005067CA">
              <w:rPr>
                <w:webHidden/>
              </w:rPr>
              <w:tab/>
            </w:r>
            <w:r w:rsidR="005067CA" w:rsidRPr="005067CA">
              <w:rPr>
                <w:webHidden/>
              </w:rPr>
              <w:fldChar w:fldCharType="begin"/>
            </w:r>
            <w:r w:rsidR="005067CA" w:rsidRPr="005067CA">
              <w:rPr>
                <w:webHidden/>
              </w:rPr>
              <w:instrText xml:space="preserve"> PAGEREF _Toc95237065 \h </w:instrText>
            </w:r>
            <w:r w:rsidR="005067CA" w:rsidRPr="005067CA">
              <w:rPr>
                <w:webHidden/>
              </w:rPr>
            </w:r>
            <w:r w:rsidR="005067CA" w:rsidRPr="005067CA">
              <w:rPr>
                <w:webHidden/>
              </w:rPr>
              <w:fldChar w:fldCharType="separate"/>
            </w:r>
            <w:r w:rsidR="00C05AC9">
              <w:rPr>
                <w:webHidden/>
              </w:rPr>
              <w:t>117</w:t>
            </w:r>
            <w:r w:rsidR="005067CA" w:rsidRPr="005067CA">
              <w:rPr>
                <w:webHidden/>
              </w:rPr>
              <w:fldChar w:fldCharType="end"/>
            </w:r>
          </w:hyperlink>
        </w:p>
        <w:p w14:paraId="1286CA9A" w14:textId="2F5BE28E" w:rsidR="007F1601" w:rsidRPr="00D82A31" w:rsidRDefault="007D2481" w:rsidP="00C17CD2">
          <w:pPr>
            <w:rPr>
              <w:rFonts w:cs="Arial"/>
              <w:color w:val="000000" w:themeColor="text1"/>
              <w:szCs w:val="24"/>
            </w:rPr>
          </w:pPr>
          <w:r w:rsidRPr="00597C28">
            <w:rPr>
              <w:rFonts w:cs="Arial"/>
              <w:color w:val="000000" w:themeColor="text1"/>
              <w:szCs w:val="24"/>
            </w:rPr>
            <w:fldChar w:fldCharType="end"/>
          </w:r>
        </w:p>
      </w:sdtContent>
    </w:sdt>
    <w:p w14:paraId="5E028B3B" w14:textId="77777777" w:rsidR="0067354A" w:rsidRPr="00D82A31" w:rsidRDefault="0067354A">
      <w:pPr>
        <w:spacing w:after="160" w:line="259" w:lineRule="auto"/>
        <w:rPr>
          <w:rFonts w:cs="Arial"/>
          <w:b/>
          <w:sz w:val="36"/>
          <w:szCs w:val="32"/>
        </w:rPr>
      </w:pPr>
      <w:bookmarkStart w:id="86" w:name="_Toc8048136"/>
      <w:bookmarkStart w:id="87" w:name="_Toc13484603"/>
      <w:bookmarkStart w:id="88" w:name="_Toc416884922"/>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76"/>
      <w:r w:rsidRPr="00D82A31">
        <w:br w:type="page"/>
      </w:r>
    </w:p>
    <w:p w14:paraId="22BA25D2" w14:textId="1321265E" w:rsidR="0055036B" w:rsidRPr="0055036B" w:rsidRDefault="0055036B" w:rsidP="000D4F98">
      <w:pPr>
        <w:pStyle w:val="Heading1"/>
      </w:pPr>
      <w:bookmarkStart w:id="89" w:name="_Toc95237031"/>
      <w:r w:rsidRPr="0055036B">
        <w:lastRenderedPageBreak/>
        <w:t>Acknowledgments</w:t>
      </w:r>
      <w:bookmarkEnd w:id="89"/>
    </w:p>
    <w:p w14:paraId="3A199473" w14:textId="77777777" w:rsidR="000D4F98" w:rsidRDefault="000D4F98" w:rsidP="000D4F98">
      <w:pPr>
        <w:pStyle w:val="NCDBodyText"/>
      </w:pPr>
      <w:r>
        <w:t>The National Council on Disability wishes to express its deep appreciation to the National Center for Children in Poverty, Bank Street College of Education, which conducted the primary research and writing of this report. NCD wishes to thank Heather Koball, PHD, Chelsea Fosse, DMD, MPH, and Suma Setty, MPH.</w:t>
      </w:r>
    </w:p>
    <w:p w14:paraId="703E4454" w14:textId="77777777" w:rsidR="000D4F98" w:rsidRDefault="000D4F98">
      <w:pPr>
        <w:spacing w:after="160" w:line="259" w:lineRule="auto"/>
        <w:rPr>
          <w:rFonts w:cs="Arial"/>
          <w:b/>
          <w:sz w:val="36"/>
          <w:szCs w:val="32"/>
        </w:rPr>
      </w:pPr>
      <w:bookmarkStart w:id="90" w:name="_Toc92354767"/>
      <w:r>
        <w:br w:type="page"/>
      </w:r>
    </w:p>
    <w:p w14:paraId="116B2DA6" w14:textId="77777777" w:rsidR="000D4F98" w:rsidRDefault="000D4F98">
      <w:pPr>
        <w:spacing w:after="160" w:line="259" w:lineRule="auto"/>
        <w:rPr>
          <w:rFonts w:cs="Arial"/>
          <w:b/>
          <w:sz w:val="36"/>
          <w:szCs w:val="32"/>
        </w:rPr>
      </w:pPr>
      <w:r>
        <w:lastRenderedPageBreak/>
        <w:br w:type="page"/>
      </w:r>
    </w:p>
    <w:p w14:paraId="0688AEFB" w14:textId="1FD03418" w:rsidR="000D4F98" w:rsidRPr="00537483" w:rsidRDefault="000D4F98" w:rsidP="000D4F98">
      <w:pPr>
        <w:pStyle w:val="Heading1"/>
      </w:pPr>
      <w:bookmarkStart w:id="91" w:name="_Toc95237032"/>
      <w:r>
        <w:lastRenderedPageBreak/>
        <w:t>Executive Summary</w:t>
      </w:r>
      <w:bookmarkEnd w:id="90"/>
      <w:bookmarkEnd w:id="91"/>
    </w:p>
    <w:p w14:paraId="19D45E09" w14:textId="77777777" w:rsidR="000D4F98" w:rsidRPr="009B1EB6" w:rsidRDefault="000D4F98" w:rsidP="000D4F98">
      <w:pPr>
        <w:pStyle w:val="NCDBodyText"/>
        <w:rPr>
          <w:spacing w:val="-2"/>
        </w:rPr>
      </w:pPr>
      <w:r w:rsidRPr="009B1EB6">
        <w:rPr>
          <w:spacing w:val="-2"/>
        </w:rPr>
        <w:t>Adults ages eighteen years and older with intellectual and developmental disabilities (I/DD) experience poorer oral health and significant barriers to obtaining oral health care, relative to adults without I/DD. Poor oral health not only often leads to chronic oral pain and disease, it also increases the likelihood of experiencing poor physical health. Further, poor oral health can lead to poor nutrition, poor sleep, and reduced quality of life.</w:t>
      </w:r>
    </w:p>
    <w:p w14:paraId="03283AC4" w14:textId="77777777" w:rsidR="000D4F98" w:rsidRPr="00537483" w:rsidRDefault="000D4F98" w:rsidP="000D4F98">
      <w:pPr>
        <w:pStyle w:val="NCDBodyText"/>
      </w:pPr>
      <w:r>
        <w:t>Most adults with I/DD rely on Medicaid for medical and dental care. State Medicaid programs are not required to provide adults with dental benefits. Currently, twelve states do not provide adult Medicaid beneficiaries with coverage for basic dental care, exacerbating the barriers to oral health care faced by adults with I/DD.</w:t>
      </w:r>
    </w:p>
    <w:p w14:paraId="39632D39" w14:textId="77777777" w:rsidR="000D4F98" w:rsidRPr="009B1EB6" w:rsidRDefault="000D4F98" w:rsidP="000D4F98">
      <w:pPr>
        <w:pStyle w:val="NCDBodyText"/>
      </w:pPr>
      <w:r w:rsidRPr="009B1EB6">
        <w:t xml:space="preserve">Recent state-level research suggests that providing adults with dental benefits through Medicaid reduces overall Medicaid costs for states. Expanded Medicaid coverage has been linked to reductions in emergency department (ED) visits and hospital admittances for </w:t>
      </w:r>
      <w:bookmarkStart w:id="92" w:name="_Hlk89713188"/>
      <w:r w:rsidRPr="009B1EB6">
        <w:t xml:space="preserve">nontraumatic dental condition </w:t>
      </w:r>
      <w:bookmarkEnd w:id="92"/>
      <w:r w:rsidRPr="009B1EB6">
        <w:t>(NTDC). Further, studies indicate that receipt of basic dental care reduces the cost of treating other chronic conditions, such as diabetes and heart disease.</w:t>
      </w:r>
    </w:p>
    <w:p w14:paraId="2CCAAA25" w14:textId="77777777" w:rsidR="000D4F98" w:rsidRPr="00537483" w:rsidRDefault="000D4F98" w:rsidP="000D4F98">
      <w:pPr>
        <w:pStyle w:val="NCDBodyText"/>
      </w:pPr>
      <w:r>
        <w:t>Even in states that provide dental benefits in Medicaid, people with I/DD still face barriers to receiving care, in part because of the lack of dental providers who participate in Medicaid who can treat adults with I/DD. Prior research has shown that increasing Medicaid reimbursement rates for physicians increased access to medical care among all adult Medicaid beneficiaries. Prior research has also demonstrated that increasing Medicaid reimbursements for dental providers increased receipt of dental care among children. However, prior research has not examined whether increased dental reimbursement rates increased the availability of dental care for adult Medicaid beneficiaries with I/DD.</w:t>
      </w:r>
    </w:p>
    <w:p w14:paraId="75EE0E07" w14:textId="77777777" w:rsidR="000D4F98" w:rsidRPr="00537483" w:rsidRDefault="000D4F98" w:rsidP="000D4F98">
      <w:pPr>
        <w:pStyle w:val="NCDBodyText"/>
      </w:pPr>
      <w:r>
        <w:t xml:space="preserve">This report is motivated by a central research question: should the Centers for Medicare and Medicaid Services (CMS) require state Medicaid agencies to implement Medicaid </w:t>
      </w:r>
      <w:r>
        <w:lastRenderedPageBreak/>
        <w:t>reimbursement and payment policies that promote access to dental care for adults with I/DD, and could that ultimately be a cost-effective option over the long term?</w:t>
      </w:r>
    </w:p>
    <w:p w14:paraId="489D1269" w14:textId="77777777" w:rsidR="000D4F98" w:rsidRPr="00537483" w:rsidRDefault="000D4F98" w:rsidP="000D4F98">
      <w:pPr>
        <w:pStyle w:val="NCDBodyText"/>
      </w:pPr>
      <w:r>
        <w:t>Because Medicaid adult dental benefits vary widely by state, and because there is a dearth of research on how the Medicaid program should best address oral health disparities for adults with I/DD, this study examines multiple state- and federal-level aspects of the Medicaid program. This research examines the relationship between states’ Medicaid dental benefits and the receipt of basic dental care among adults with I/DD, the relationship between state waiver programs and receipt of dental care, and the estimated cost and potential savings of implementing basic dental Medicaid benefits in states that do not currently offer it. The role of coordination between developmental disability (DD) agencies and Medicaid agencies for improving access to dental care is examined. Additionally, the study identifies promising Medicaid-funded state and private strategies for expanding dental care for adults with I/DD.</w:t>
      </w:r>
    </w:p>
    <w:p w14:paraId="4CD82753" w14:textId="77777777" w:rsidR="000D4F98" w:rsidRPr="00537483" w:rsidRDefault="000D4F98" w:rsidP="000D4F98">
      <w:pPr>
        <w:pStyle w:val="NCDBodyText"/>
      </w:pPr>
      <w:r>
        <w:t xml:space="preserve">The mixed methods research approach included a comprehensive review of the literature; interviews and conversations with experts, through a stakeholder meeting and key informant interviews; a fifty-state and Washington, DC questionnaire administered to state DD agency leaders; and an analysis of Medicaid claims data provided through the </w:t>
      </w:r>
      <w:bookmarkStart w:id="93" w:name="_Hlk89713352"/>
      <w:r>
        <w:t xml:space="preserve">Transformed Medicaid Statistical Information System </w:t>
      </w:r>
      <w:bookmarkEnd w:id="93"/>
      <w:r>
        <w:t>(T-MSIS) by CMS.</w:t>
      </w:r>
    </w:p>
    <w:p w14:paraId="1B698B8C" w14:textId="77777777" w:rsidR="000D4F98" w:rsidRPr="00537483" w:rsidRDefault="000D4F98" w:rsidP="000D4F98">
      <w:pPr>
        <w:pStyle w:val="NCDBodyText"/>
      </w:pPr>
      <w:r>
        <w:t xml:space="preserve">Key findings include that </w:t>
      </w:r>
      <w:bookmarkStart w:id="94" w:name="_Hlk93246793"/>
      <w:r>
        <w:t xml:space="preserve">in the twelve states that do not currently provide dental benefits, the total estimated cost of providing extensive dental benefits to adults with I/DD would be about $19.6 million annually, with state governments responsible for approximately $7.3 million of that cost. </w:t>
      </w:r>
      <w:bookmarkEnd w:id="94"/>
      <w:r>
        <w:t xml:space="preserve">NCD estimates that these costs would be more than fully recovered through reductions in ER use and hospital admissions and reductions in the costs of treating several chronic diseases. </w:t>
      </w:r>
      <w:bookmarkStart w:id="95" w:name="_Hlk93306826"/>
      <w:r>
        <w:t>The recovered costs would total approximately $27.3 million nationwide and $8.7 million for states.</w:t>
      </w:r>
      <w:bookmarkEnd w:id="95"/>
      <w:r>
        <w:t xml:space="preserve"> In other words, federal and state governments combined would see savings, or return on investment (ROI), of $7.7 million, and the share of that ROI that would return to the twelve states would total close to $3 million. States’ ROIs would vary, ranging from $15,000 in Oklahoma to as high as $829,000 in Maryland. Table 7 presents the total ROI and the states’ shares of the ROI.</w:t>
      </w:r>
    </w:p>
    <w:p w14:paraId="3B1B3F05" w14:textId="77777777" w:rsidR="000D4F98" w:rsidRPr="00537483" w:rsidRDefault="000D4F98" w:rsidP="000D4F98">
      <w:pPr>
        <w:pStyle w:val="NCDBodyText"/>
      </w:pPr>
      <w:r>
        <w:lastRenderedPageBreak/>
        <w:t xml:space="preserve">Another key finding is that </w:t>
      </w:r>
      <w:bookmarkStart w:id="96" w:name="_Hlk93306852"/>
      <w:r>
        <w:t>adults with I/DD are significantly more likely to receive basic dental care if they live in states with Medicaid dental benefits for the general adult population</w:t>
      </w:r>
      <w:bookmarkEnd w:id="96"/>
      <w:r>
        <w:t xml:space="preserve">, relative to adults with I/DD who live in states without these dental benefits. Additionally, in the twelve states that do not provide basic Medicaid dental benefits to adults, seven have Medicaid waivers that expand dental benefits for adults with I/DD. </w:t>
      </w:r>
      <w:bookmarkStart w:id="97" w:name="_Hlk93306888"/>
      <w:r>
        <w:t>Adult Medicaid beneficiaries with I/DD in these waiver states were 50 percent more likely to receive basic dental care, as compared to adult Medicaid beneficiaries with I/DD in states without waivers.</w:t>
      </w:r>
      <w:bookmarkEnd w:id="97"/>
    </w:p>
    <w:p w14:paraId="1F4D6F65" w14:textId="77777777" w:rsidR="000D4F98" w:rsidRPr="00537483" w:rsidRDefault="000D4F98" w:rsidP="000D4F98">
      <w:pPr>
        <w:pStyle w:val="NCDBodyText"/>
      </w:pPr>
      <w:bookmarkStart w:id="98" w:name="_Hlk93306907"/>
      <w:r>
        <w:t>Even in states with extensive dental benefits, only one-third of adult Medicaid beneficiaries with I/DD received basic dental care, paid for by Medicaid, in a year.</w:t>
      </w:r>
      <w:bookmarkEnd w:id="98"/>
      <w:r>
        <w:t xml:space="preserve"> </w:t>
      </w:r>
      <w:bookmarkStart w:id="99" w:name="_Hlk93306928"/>
      <w:r>
        <w:t>Many barriers to receiving dental care for adults with I/DD remain. Among these barriers is the lack of dental providers who participate in Medicaid. Medicaid reimbursement rates are significantly lower than reimbursement rates provided by private insurers. Although T-MSIS data did not allow us to rigorously assess the impact of raising reimbursement rates on the participation of dental care providers in Medicaid (see chapter 3), prior research indicates that raising Medicaid reimbursement rates increases receipt of medical care among the general adult Medicaid beneficiaries. The report concludes with recommendations at the federal and state levels and suggestions for more researc</w:t>
      </w:r>
      <w:bookmarkEnd w:id="99"/>
      <w:r>
        <w:t>h in key understudied areas. These recommendations include the following:</w:t>
      </w:r>
    </w:p>
    <w:p w14:paraId="78B74197" w14:textId="57DA872E" w:rsidR="000D4F98" w:rsidRPr="00537483" w:rsidRDefault="000D4F98" w:rsidP="000D4F98">
      <w:pPr>
        <w:pStyle w:val="NCDBodyText"/>
      </w:pPr>
      <w:r w:rsidRPr="00F54928">
        <w:rPr>
          <w:b/>
          <w:i/>
        </w:rPr>
        <w:t>Recommendation 1:</w:t>
      </w:r>
      <w:r w:rsidRPr="00F54928">
        <w:rPr>
          <w:b/>
        </w:rPr>
        <w:t xml:space="preserve"> </w:t>
      </w:r>
      <w:r w:rsidR="00401D57" w:rsidRPr="00401D57">
        <w:rPr>
          <w:i/>
        </w:rPr>
        <w:t>Require state Medicaid programs to provide adult dental benefits for people with I/DD through federal legislative mandate</w:t>
      </w:r>
      <w:r>
        <w:t>. States should have flexibility in implementing dental benefits to ensure they address the needs of their I/DD population. Evaluations of existing state programs should inform the design and the implementation of these benefits.</w:t>
      </w:r>
    </w:p>
    <w:p w14:paraId="295C3E22" w14:textId="3CCC769A" w:rsidR="000D4F98" w:rsidRPr="009B1EB6" w:rsidRDefault="000D4F98" w:rsidP="000D4F98">
      <w:pPr>
        <w:pStyle w:val="NCDBodyText"/>
        <w:rPr>
          <w:spacing w:val="-2"/>
        </w:rPr>
      </w:pPr>
      <w:r w:rsidRPr="00F54928">
        <w:rPr>
          <w:b/>
          <w:i/>
          <w:spacing w:val="-2"/>
        </w:rPr>
        <w:t>Recommendation 2</w:t>
      </w:r>
      <w:r w:rsidRPr="00F54928">
        <w:rPr>
          <w:b/>
          <w:spacing w:val="-2"/>
        </w:rPr>
        <w:t xml:space="preserve">: </w:t>
      </w:r>
      <w:r w:rsidR="00401D57" w:rsidRPr="00401D57">
        <w:rPr>
          <w:i/>
          <w:spacing w:val="-2"/>
        </w:rPr>
        <w:t>If a requirement for extensive dental benefits is not legislated at the federal level, states should add dental benefits to adults with I/DD to existing or new 1915(c), 1915(i) waivers, or 1115 demonstrations</w:t>
      </w:r>
      <w:r w:rsidRPr="009B1EB6">
        <w:rPr>
          <w:spacing w:val="-2"/>
        </w:rPr>
        <w:t xml:space="preserve">. States can refer to waivers in other states that extend dental coverage to adults with I/DD as a starting point or template to design their own programs. States should consider available data about and evaluations of these waiver programs to prioritize the types of dental services and target populations </w:t>
      </w:r>
      <w:r w:rsidRPr="009B1EB6">
        <w:rPr>
          <w:spacing w:val="-2"/>
        </w:rPr>
        <w:lastRenderedPageBreak/>
        <w:t>to include in their own waivers. States can use available data as guidance to maximize access to key, cost-effective dental services while balancing available funding.</w:t>
      </w:r>
    </w:p>
    <w:p w14:paraId="52C876FE" w14:textId="14B838CC" w:rsidR="000D4F98" w:rsidRPr="00537483" w:rsidRDefault="000D4F98" w:rsidP="000D4F98">
      <w:pPr>
        <w:pStyle w:val="NCDBodyText"/>
      </w:pPr>
      <w:r w:rsidRPr="00F54928">
        <w:rPr>
          <w:b/>
          <w:i/>
        </w:rPr>
        <w:t>Recommendation 3:</w:t>
      </w:r>
      <w:r w:rsidRPr="00F54928">
        <w:rPr>
          <w:b/>
        </w:rPr>
        <w:t xml:space="preserve"> </w:t>
      </w:r>
      <w:r w:rsidR="00401D57" w:rsidRPr="00401D57">
        <w:rPr>
          <w:i/>
        </w:rPr>
        <w:t>Other barriers to oral health care must be addressed that could be funded through state Medicaid programs</w:t>
      </w:r>
      <w:r>
        <w:t>. Potential approaches include expanding the number of Medicaid providers with expertise in treating adults with I/DD (e.g., linking higher reimbursement rates to education about treatment of adults with I/DD) and addressing transportation barriers. Improved preventive daily oral care provided by caregivers can be supported through state Medicaid programs (e.g., providing oral health training to direct support professionals [DSPs]). Additionally, improving education and support for good oral hygiene for adults with I/DD and coordinating services between DD agencies and Medicaid providers may prevent more serious oral health issues and increase access to oral health care. These issues are addressed in more detail in chapter 6.</w:t>
      </w:r>
    </w:p>
    <w:p w14:paraId="6F89C38A" w14:textId="0491ECE0" w:rsidR="000D4F98" w:rsidRPr="00537483" w:rsidRDefault="000D4F98" w:rsidP="000D4F98">
      <w:pPr>
        <w:pStyle w:val="NCDBodyText"/>
      </w:pPr>
      <w:r w:rsidRPr="00F54928">
        <w:rPr>
          <w:b/>
          <w:i/>
        </w:rPr>
        <w:t>Recommendation 4</w:t>
      </w:r>
      <w:r w:rsidRPr="00F54928">
        <w:rPr>
          <w:b/>
        </w:rPr>
        <w:t>:</w:t>
      </w:r>
      <w:r>
        <w:t xml:space="preserve"> </w:t>
      </w:r>
      <w:r w:rsidR="00401D57" w:rsidRPr="00401D57">
        <w:rPr>
          <w:i/>
        </w:rPr>
        <w:t xml:space="preserve">Improved transparency about managed care organization (MCO) reimbursement rates is needed to identify cost-effective reimbursement rates for Medicaid dental providers who treat adults with I/DD. </w:t>
      </w:r>
      <w:r>
        <w:t>States are increasingly turning to MCOs to provide health care and dental care with Medicaid funding. Most Medicaid beneficiaries receive health care through Medicaid MCOs. However, there is a lack of publicly available data about Medicaid reimbursement rates provided by Medicaid MCOs, which inhibits researchers’ and policymakers’ ability to assess reimbursement rates that would cost-effectively expand the pool of Medicaid dental providers who treat adults with I/DD.</w:t>
      </w:r>
    </w:p>
    <w:p w14:paraId="131F7A19" w14:textId="4305CCE9" w:rsidR="000D4F98" w:rsidRPr="00537483" w:rsidRDefault="000D4F98" w:rsidP="000D4F98">
      <w:pPr>
        <w:pStyle w:val="NCDBodyText"/>
      </w:pPr>
      <w:r w:rsidRPr="00F54928">
        <w:rPr>
          <w:b/>
          <w:i/>
        </w:rPr>
        <w:t>Recommendation 5</w:t>
      </w:r>
      <w:r w:rsidRPr="00F54928">
        <w:rPr>
          <w:b/>
        </w:rPr>
        <w:t>:</w:t>
      </w:r>
      <w:r>
        <w:t xml:space="preserve"> </w:t>
      </w:r>
      <w:r w:rsidR="00401D57" w:rsidRPr="00401D57">
        <w:rPr>
          <w:i/>
        </w:rPr>
        <w:t>More research is needed to pinpoint clear procedures and policy recommendations that would reduce the need for receipt of dental care in hospital operating rooms and therefore expand access to operating rooms</w:t>
      </w:r>
      <w:r>
        <w:t>. Many adults with serious I/DD receive basic dental care under general anesthesia in hospital operating rooms (ORs). Providing basic dental care in the OR is expensive. Further, adults with I/DD typically face long waiting lists to receive such care because of the shortage of available OR space for these procedures. This issue is described in greater detail in chapter 6.</w:t>
      </w:r>
    </w:p>
    <w:p w14:paraId="0A81AF03" w14:textId="46225C30" w:rsidR="000D4F98" w:rsidRPr="00537483" w:rsidRDefault="00401D57" w:rsidP="00585B62">
      <w:pPr>
        <w:pStyle w:val="NCDBodyText"/>
        <w:jc w:val="center"/>
        <w:rPr>
          <w:rFonts w:eastAsia="Arial"/>
        </w:rPr>
      </w:pPr>
      <w:r w:rsidRPr="00401D57">
        <w:rPr>
          <w:b/>
        </w:rPr>
        <w:lastRenderedPageBreak/>
        <w:t>This page intentionally left blank</w:t>
      </w:r>
    </w:p>
    <w:p w14:paraId="2C23BF09" w14:textId="77777777" w:rsidR="000D4F98" w:rsidRPr="00537483" w:rsidRDefault="000D4F98" w:rsidP="000D4F98">
      <w:pPr>
        <w:rPr>
          <w:rFonts w:asciiTheme="majorHAnsi" w:eastAsiaTheme="majorEastAsia" w:hAnsiTheme="majorHAnsi" w:cstheme="majorBidi"/>
          <w:color w:val="365F91" w:themeColor="accent1" w:themeShade="BF"/>
          <w:sz w:val="32"/>
          <w:szCs w:val="32"/>
        </w:rPr>
      </w:pPr>
      <w:bookmarkStart w:id="100" w:name="_Toc83304267"/>
      <w:r>
        <w:br w:type="page"/>
      </w:r>
    </w:p>
    <w:p w14:paraId="55B9067F" w14:textId="77777777" w:rsidR="009B1EB6" w:rsidRDefault="009B1EB6" w:rsidP="00585B62">
      <w:pPr>
        <w:pStyle w:val="NCDBodyText"/>
        <w:rPr>
          <w:rFonts w:cs="Arial"/>
          <w:sz w:val="36"/>
          <w:szCs w:val="32"/>
        </w:rPr>
      </w:pPr>
      <w:bookmarkStart w:id="101" w:name="_Toc92354768"/>
      <w:bookmarkEnd w:id="100"/>
      <w:r>
        <w:lastRenderedPageBreak/>
        <w:br w:type="page"/>
      </w:r>
    </w:p>
    <w:p w14:paraId="726497E7" w14:textId="45973AD6" w:rsidR="000D4F98" w:rsidRPr="00537483" w:rsidRDefault="000D4F98" w:rsidP="009B1EB6">
      <w:pPr>
        <w:pStyle w:val="Heading1"/>
      </w:pPr>
      <w:bookmarkStart w:id="102" w:name="_Toc95237033"/>
      <w:r>
        <w:lastRenderedPageBreak/>
        <w:t>Acronym Glossary</w:t>
      </w:r>
      <w:bookmarkEnd w:id="101"/>
      <w:bookmarkEnd w:id="102"/>
    </w:p>
    <w:p w14:paraId="4DE89BF9" w14:textId="757842EB" w:rsidR="00042B28" w:rsidRDefault="000D4F98" w:rsidP="00042B28">
      <w:pPr>
        <w:pStyle w:val="NCDBodyText"/>
        <w:ind w:left="2160" w:hanging="2160"/>
      </w:pPr>
      <w:bookmarkStart w:id="103" w:name="_Hlk89713502"/>
      <w:bookmarkStart w:id="104" w:name="_Hlk92355187"/>
      <w:r>
        <w:t>ABLE</w:t>
      </w:r>
      <w:r w:rsidR="00042B28">
        <w:tab/>
      </w:r>
      <w:r>
        <w:t>Achieving a Better Life Experience</w:t>
      </w:r>
    </w:p>
    <w:p w14:paraId="78761799" w14:textId="21AC1D0C" w:rsidR="00042B28" w:rsidRDefault="000D4F98" w:rsidP="00042B28">
      <w:pPr>
        <w:pStyle w:val="NCDBodyText"/>
        <w:ind w:left="2160" w:hanging="2160"/>
      </w:pPr>
      <w:r>
        <w:t>ACA</w:t>
      </w:r>
      <w:r w:rsidR="00042B28">
        <w:tab/>
      </w:r>
      <w:r>
        <w:t>Affordable Care Act, short for the Patient Protection and Affordable Care Act signed into law in 2010</w:t>
      </w:r>
    </w:p>
    <w:p w14:paraId="39699525" w14:textId="62E30995" w:rsidR="00042B28" w:rsidRDefault="000D4F98" w:rsidP="00042B28">
      <w:pPr>
        <w:pStyle w:val="NCDBodyText"/>
        <w:ind w:left="2160" w:hanging="2160"/>
      </w:pPr>
      <w:r>
        <w:t>ADA</w:t>
      </w:r>
      <w:r w:rsidR="00042B28">
        <w:tab/>
      </w:r>
      <w:r>
        <w:t xml:space="preserve">Americans with Disabilities Act </w:t>
      </w:r>
      <w:r w:rsidR="00401D57" w:rsidRPr="00401D57">
        <w:rPr>
          <w:i/>
          <w:iCs/>
        </w:rPr>
        <w:t>or</w:t>
      </w:r>
      <w:r>
        <w:t xml:space="preserve"> American Dental Association, depending on context</w:t>
      </w:r>
    </w:p>
    <w:p w14:paraId="4A69BB1B" w14:textId="3AF38A1F" w:rsidR="00042B28" w:rsidRDefault="000D4F98" w:rsidP="00042B28">
      <w:pPr>
        <w:pStyle w:val="NCDBodyText"/>
        <w:ind w:left="2160" w:hanging="2160"/>
        <w:rPr>
          <w:rFonts w:ascii="Times New Roman" w:eastAsia="Times New Roman" w:hAnsi="Times New Roman"/>
          <w:color w:val="000000" w:themeColor="text1"/>
        </w:rPr>
      </w:pPr>
      <w:r w:rsidRPr="00E968BD">
        <w:rPr>
          <w:rFonts w:eastAsia="Times New Roman"/>
          <w:color w:val="000000" w:themeColor="text1"/>
          <w:shd w:val="clear" w:color="auto" w:fill="FFFFFF"/>
        </w:rPr>
        <w:t>AHRQ</w:t>
      </w:r>
      <w:r w:rsidR="00042B28">
        <w:rPr>
          <w:rFonts w:eastAsia="Times New Roman"/>
          <w:color w:val="000000" w:themeColor="text1"/>
          <w:shd w:val="clear" w:color="auto" w:fill="FFFFFF"/>
        </w:rPr>
        <w:tab/>
      </w:r>
      <w:r w:rsidRPr="00E968BD">
        <w:rPr>
          <w:rFonts w:eastAsia="Times New Roman"/>
          <w:color w:val="000000" w:themeColor="text1"/>
          <w:shd w:val="clear" w:color="auto" w:fill="FFFFFF"/>
        </w:rPr>
        <w:t>Agency for Healthcare Research and Quality</w:t>
      </w:r>
      <w:bookmarkEnd w:id="103"/>
    </w:p>
    <w:p w14:paraId="73AFF218" w14:textId="2C069DCE" w:rsidR="00042B28" w:rsidRDefault="000D4F98" w:rsidP="00042B28">
      <w:pPr>
        <w:pStyle w:val="NCDBodyText"/>
        <w:ind w:left="2160" w:hanging="2160"/>
      </w:pPr>
      <w:bookmarkStart w:id="105" w:name="_Hlk89713590"/>
      <w:r>
        <w:t>CDT</w:t>
      </w:r>
      <w:r w:rsidR="00042B28">
        <w:tab/>
      </w:r>
      <w:r>
        <w:t>Code on Dental Procedures and Nomenclature</w:t>
      </w:r>
      <w:bookmarkEnd w:id="105"/>
    </w:p>
    <w:p w14:paraId="2E3D7900" w14:textId="14E0B9CF" w:rsidR="00042B28" w:rsidRDefault="000D4F98" w:rsidP="00042B28">
      <w:pPr>
        <w:pStyle w:val="NCDBodyText"/>
        <w:ind w:left="2160" w:hanging="2160"/>
      </w:pPr>
      <w:bookmarkStart w:id="106" w:name="_Hlk89713597"/>
      <w:r>
        <w:t>CHIP</w:t>
      </w:r>
      <w:r w:rsidR="00042B28">
        <w:tab/>
      </w:r>
      <w:r>
        <w:t>Children’s Health Insurance Program</w:t>
      </w:r>
      <w:bookmarkEnd w:id="106"/>
    </w:p>
    <w:p w14:paraId="4EFFFBC5" w14:textId="0C45091A" w:rsidR="00042B28" w:rsidRDefault="000D4F98" w:rsidP="00042B28">
      <w:pPr>
        <w:pStyle w:val="NCDBodyText"/>
        <w:ind w:left="2160" w:hanging="2160"/>
      </w:pPr>
      <w:bookmarkStart w:id="107" w:name="_Hlk89713602"/>
      <w:r>
        <w:t>CLASS</w:t>
      </w:r>
      <w:r w:rsidR="00042B28">
        <w:tab/>
      </w:r>
      <w:r>
        <w:t>Community Living Assistance Services and Supports</w:t>
      </w:r>
      <w:bookmarkEnd w:id="107"/>
    </w:p>
    <w:p w14:paraId="09EEF417" w14:textId="4F7AE830" w:rsidR="00042B28" w:rsidRDefault="000D4F98" w:rsidP="00042B28">
      <w:pPr>
        <w:pStyle w:val="NCDBodyText"/>
        <w:ind w:left="2160" w:hanging="2160"/>
      </w:pPr>
      <w:r>
        <w:t>CMS</w:t>
      </w:r>
      <w:r w:rsidR="00042B28">
        <w:tab/>
      </w:r>
      <w:r>
        <w:t>Centers for Medicare and Medicaid Services</w:t>
      </w:r>
    </w:p>
    <w:p w14:paraId="17107026" w14:textId="392A46B0" w:rsidR="00042B28" w:rsidRDefault="000D4F98" w:rsidP="00042B28">
      <w:pPr>
        <w:pStyle w:val="NCDBodyText"/>
        <w:ind w:left="2160" w:hanging="2160"/>
      </w:pPr>
      <w:bookmarkStart w:id="108" w:name="_Hlk89713610"/>
      <w:r>
        <w:t>CODA</w:t>
      </w:r>
      <w:r w:rsidR="00042B28">
        <w:tab/>
      </w:r>
      <w:r>
        <w:t>Commission on Dental Accreditation</w:t>
      </w:r>
      <w:bookmarkEnd w:id="108"/>
    </w:p>
    <w:p w14:paraId="7E5E6EA8" w14:textId="25E6B232" w:rsidR="00042B28" w:rsidRDefault="000D4F98" w:rsidP="00042B28">
      <w:pPr>
        <w:pStyle w:val="NCDBodyText"/>
        <w:ind w:left="2160" w:hanging="2160"/>
      </w:pPr>
      <w:bookmarkStart w:id="109" w:name="_Hlk89713617"/>
      <w:r>
        <w:t>COPD</w:t>
      </w:r>
      <w:r w:rsidR="00042B28">
        <w:tab/>
      </w:r>
      <w:r>
        <w:t>Chronic Obstructive Pulmonary Disease</w:t>
      </w:r>
      <w:bookmarkEnd w:id="109"/>
    </w:p>
    <w:p w14:paraId="21EB9E57" w14:textId="1E4EDCFE" w:rsidR="00042B28" w:rsidRDefault="000D4F98" w:rsidP="00042B28">
      <w:pPr>
        <w:pStyle w:val="NCDBodyText"/>
        <w:ind w:left="2160" w:hanging="2160"/>
      </w:pPr>
      <w:r>
        <w:t>DD</w:t>
      </w:r>
      <w:r w:rsidR="00042B28">
        <w:tab/>
      </w:r>
      <w:r>
        <w:t>Developmental Disability/Disabilities</w:t>
      </w:r>
    </w:p>
    <w:p w14:paraId="4BA2E9E3" w14:textId="5280B1EC" w:rsidR="00042B28" w:rsidRDefault="000D4F98" w:rsidP="00042B28">
      <w:pPr>
        <w:pStyle w:val="NCDBodyText"/>
        <w:ind w:left="2160" w:hanging="2160"/>
      </w:pPr>
      <w:bookmarkStart w:id="110" w:name="_Hlk89713630"/>
      <w:r>
        <w:t>DDD</w:t>
      </w:r>
      <w:r w:rsidR="00042B28">
        <w:tab/>
      </w:r>
      <w:r>
        <w:t>Division of Developmental Disabilities</w:t>
      </w:r>
      <w:bookmarkEnd w:id="110"/>
    </w:p>
    <w:p w14:paraId="376D6423" w14:textId="2E3686AC" w:rsidR="00042B28" w:rsidRDefault="000D4F98" w:rsidP="00042B28">
      <w:pPr>
        <w:pStyle w:val="NCDBodyText"/>
        <w:ind w:left="2160" w:hanging="2160"/>
      </w:pPr>
      <w:r>
        <w:t>DSP</w:t>
      </w:r>
      <w:r w:rsidR="00042B28">
        <w:tab/>
      </w:r>
      <w:r>
        <w:t>Direct Support Professional</w:t>
      </w:r>
    </w:p>
    <w:p w14:paraId="020B0BA3" w14:textId="7CD94973" w:rsidR="00042B28" w:rsidRDefault="000D4F98" w:rsidP="00042B28">
      <w:pPr>
        <w:pStyle w:val="NCDBodyText"/>
        <w:ind w:left="2160" w:hanging="2160"/>
      </w:pPr>
      <w:r>
        <w:t>ED</w:t>
      </w:r>
      <w:r w:rsidR="00042B28">
        <w:tab/>
      </w:r>
      <w:r>
        <w:t>Emergency Department</w:t>
      </w:r>
    </w:p>
    <w:p w14:paraId="6EBBF72A" w14:textId="36E3C03B" w:rsidR="00042B28" w:rsidRDefault="000D4F98" w:rsidP="00042B28">
      <w:pPr>
        <w:pStyle w:val="NCDBodyText"/>
        <w:ind w:left="2160" w:hanging="2160"/>
      </w:pPr>
      <w:bookmarkStart w:id="111" w:name="_Hlk89713658"/>
      <w:r>
        <w:t>EPSDT</w:t>
      </w:r>
      <w:r w:rsidR="00042B28">
        <w:tab/>
      </w:r>
      <w:r>
        <w:t>Early and Periodic Screening, Diagnostic, and Treatment</w:t>
      </w:r>
      <w:bookmarkEnd w:id="111"/>
    </w:p>
    <w:p w14:paraId="4E386E5B" w14:textId="5A527039" w:rsidR="00042B28" w:rsidRDefault="000D4F98" w:rsidP="00042B28">
      <w:pPr>
        <w:pStyle w:val="NCDBodyText"/>
        <w:ind w:left="2160" w:hanging="2160"/>
      </w:pPr>
      <w:bookmarkStart w:id="112" w:name="_Hlk89713675"/>
      <w:r>
        <w:t>FFS</w:t>
      </w:r>
      <w:r w:rsidR="00042B28">
        <w:tab/>
      </w:r>
      <w:r>
        <w:t>Fee for Service</w:t>
      </w:r>
      <w:bookmarkEnd w:id="112"/>
    </w:p>
    <w:p w14:paraId="07789634" w14:textId="27A81DEA" w:rsidR="00042B28" w:rsidRDefault="000D4F98" w:rsidP="00042B28">
      <w:pPr>
        <w:pStyle w:val="NCDBodyText"/>
        <w:ind w:left="2160" w:hanging="2160"/>
      </w:pPr>
      <w:bookmarkStart w:id="113" w:name="_Hlk89713679"/>
      <w:r>
        <w:t>FMAP</w:t>
      </w:r>
      <w:r w:rsidR="00042B28">
        <w:tab/>
      </w:r>
      <w:r>
        <w:t>Federal Medical Assistance Percentage</w:t>
      </w:r>
      <w:bookmarkEnd w:id="113"/>
    </w:p>
    <w:p w14:paraId="7ACFE0C2" w14:textId="7790605D" w:rsidR="000D4F98" w:rsidRPr="00537483" w:rsidRDefault="000D4F98" w:rsidP="00042B28">
      <w:pPr>
        <w:pStyle w:val="NCDBodyText"/>
        <w:ind w:left="2160" w:hanging="2160"/>
      </w:pPr>
      <w:bookmarkStart w:id="114" w:name="_Hlk89713690"/>
      <w:r>
        <w:t>HCBS</w:t>
      </w:r>
      <w:r w:rsidR="00042B28">
        <w:tab/>
      </w:r>
      <w:r>
        <w:t xml:space="preserve">Home- and Community-Based Services </w:t>
      </w:r>
    </w:p>
    <w:p w14:paraId="4D4FF56E" w14:textId="78CDBF20" w:rsidR="00042B28" w:rsidRDefault="000D4F98" w:rsidP="00042B28">
      <w:pPr>
        <w:pStyle w:val="NCDBodyText"/>
        <w:ind w:left="2160" w:hanging="2160"/>
      </w:pPr>
      <w:r>
        <w:lastRenderedPageBreak/>
        <w:t>HEADs UP</w:t>
      </w:r>
      <w:r w:rsidR="00042B28">
        <w:tab/>
      </w:r>
      <w:r>
        <w:t>Healthcare Extension and Accessibility for Developmentally Disabled and Underserved Populations</w:t>
      </w:r>
      <w:bookmarkEnd w:id="114"/>
    </w:p>
    <w:p w14:paraId="54A13916" w14:textId="082A2BAF" w:rsidR="00042B28" w:rsidRDefault="000D4F98" w:rsidP="00042B28">
      <w:pPr>
        <w:pStyle w:val="NCDBodyText"/>
        <w:ind w:left="2160" w:hanging="2160"/>
      </w:pPr>
      <w:bookmarkStart w:id="115" w:name="_Hlk89713698"/>
      <w:r>
        <w:t>HPI</w:t>
      </w:r>
      <w:r w:rsidR="00042B28">
        <w:tab/>
      </w:r>
      <w:r>
        <w:t>Health Policy Institute</w:t>
      </w:r>
      <w:bookmarkEnd w:id="115"/>
    </w:p>
    <w:p w14:paraId="568C0B0A" w14:textId="54DA9231" w:rsidR="00042B28" w:rsidRDefault="00401D57" w:rsidP="00042B28">
      <w:pPr>
        <w:pStyle w:val="NCDBodyText"/>
        <w:ind w:left="2160" w:hanging="2160"/>
      </w:pPr>
      <w:bookmarkStart w:id="116" w:name="_Hlk89713715"/>
      <w:r w:rsidRPr="00401D57">
        <w:rPr>
          <w:i/>
          <w:iCs/>
        </w:rPr>
        <w:t>ICD</w:t>
      </w:r>
      <w:r w:rsidR="00042B28">
        <w:tab/>
      </w:r>
      <w:bookmarkEnd w:id="116"/>
      <w:r w:rsidRPr="00401D57">
        <w:rPr>
          <w:i/>
          <w:iCs/>
        </w:rPr>
        <w:t>International Statistical Classification of Diseases and Related Health Problems</w:t>
      </w:r>
    </w:p>
    <w:p w14:paraId="2167A00C" w14:textId="602755CA" w:rsidR="00042B28" w:rsidRDefault="000D4F98" w:rsidP="00042B28">
      <w:pPr>
        <w:pStyle w:val="NCDBodyText"/>
        <w:ind w:left="2160" w:hanging="2160"/>
      </w:pPr>
      <w:r>
        <w:t xml:space="preserve">IDD </w:t>
      </w:r>
      <w:r w:rsidR="00401D57" w:rsidRPr="00401D57">
        <w:rPr>
          <w:i/>
          <w:iCs/>
        </w:rPr>
        <w:t>or</w:t>
      </w:r>
      <w:r>
        <w:t xml:space="preserve"> I/DD</w:t>
      </w:r>
      <w:r w:rsidR="00042B28">
        <w:tab/>
      </w:r>
      <w:r>
        <w:t>Intellectual/Developmental Disabilities</w:t>
      </w:r>
    </w:p>
    <w:p w14:paraId="364E124C" w14:textId="6013071D" w:rsidR="00042B28" w:rsidRDefault="000D4F98" w:rsidP="00042B28">
      <w:pPr>
        <w:pStyle w:val="NCDBodyText"/>
        <w:ind w:left="2160" w:hanging="2160"/>
      </w:pPr>
      <w:bookmarkStart w:id="117" w:name="_Hlk89713728"/>
      <w:r>
        <w:t>IQ</w:t>
      </w:r>
      <w:r w:rsidR="00042B28">
        <w:tab/>
      </w:r>
      <w:r>
        <w:t>Intellectual Quotient</w:t>
      </w:r>
      <w:bookmarkEnd w:id="117"/>
    </w:p>
    <w:p w14:paraId="3ED2CC7F" w14:textId="5504D07B" w:rsidR="00042B28" w:rsidRDefault="000D4F98" w:rsidP="00042B28">
      <w:pPr>
        <w:pStyle w:val="NCDBodyText"/>
        <w:ind w:left="2160" w:hanging="2160"/>
      </w:pPr>
      <w:bookmarkStart w:id="118" w:name="_Hlk89713735"/>
      <w:r>
        <w:t>KII</w:t>
      </w:r>
      <w:r w:rsidR="00042B28">
        <w:tab/>
      </w:r>
      <w:r>
        <w:t>Key Informant Interview</w:t>
      </w:r>
      <w:bookmarkEnd w:id="118"/>
    </w:p>
    <w:p w14:paraId="573A4949" w14:textId="34BEDC92" w:rsidR="00042B28" w:rsidRDefault="000D4F98" w:rsidP="00042B28">
      <w:pPr>
        <w:pStyle w:val="NCDBodyText"/>
        <w:ind w:left="2160" w:hanging="2160"/>
      </w:pPr>
      <w:bookmarkStart w:id="119" w:name="_Hlk89713750"/>
      <w:r>
        <w:t>MC</w:t>
      </w:r>
      <w:r w:rsidR="00042B28">
        <w:tab/>
      </w:r>
      <w:r>
        <w:t>Managed Care</w:t>
      </w:r>
      <w:bookmarkEnd w:id="119"/>
    </w:p>
    <w:p w14:paraId="7AB8DC2C" w14:textId="1920975F" w:rsidR="00042B28" w:rsidRDefault="000D4F98" w:rsidP="00042B28">
      <w:pPr>
        <w:pStyle w:val="NCDBodyText"/>
        <w:ind w:left="2160" w:hanging="2160"/>
      </w:pPr>
      <w:r>
        <w:t>MCO</w:t>
      </w:r>
      <w:r w:rsidR="00042B28">
        <w:tab/>
      </w:r>
      <w:r>
        <w:t>Managed Care Organization</w:t>
      </w:r>
    </w:p>
    <w:p w14:paraId="509596BD" w14:textId="125BD22F" w:rsidR="00042B28" w:rsidRDefault="000D4F98" w:rsidP="00042B28">
      <w:pPr>
        <w:pStyle w:val="NCDBodyText"/>
        <w:ind w:left="2160" w:hanging="2160"/>
      </w:pPr>
      <w:r>
        <w:t>MEPS</w:t>
      </w:r>
      <w:r w:rsidR="00042B28">
        <w:tab/>
      </w:r>
      <w:r>
        <w:t>Medical Expenditure Panel Survey</w:t>
      </w:r>
    </w:p>
    <w:p w14:paraId="36FE48F4" w14:textId="679B112A" w:rsidR="00042B28" w:rsidRDefault="000D4F98" w:rsidP="00042B28">
      <w:pPr>
        <w:pStyle w:val="NCDBodyText"/>
        <w:ind w:left="2160" w:hanging="2160"/>
      </w:pPr>
      <w:bookmarkStart w:id="120" w:name="_Hlk89713791"/>
      <w:r>
        <w:t>MOA</w:t>
      </w:r>
      <w:r w:rsidR="00042B28">
        <w:tab/>
      </w:r>
      <w:r>
        <w:t>Memorandum of Agreement</w:t>
      </w:r>
      <w:bookmarkEnd w:id="120"/>
    </w:p>
    <w:p w14:paraId="72D9A7A3" w14:textId="42EE6C06" w:rsidR="00042B28" w:rsidRDefault="000D4F98" w:rsidP="00042B28">
      <w:pPr>
        <w:pStyle w:val="NCDBodyText"/>
        <w:ind w:left="2160" w:hanging="2160"/>
      </w:pPr>
      <w:bookmarkStart w:id="121" w:name="_Hlk89713807"/>
      <w:r>
        <w:t>MOHPD</w:t>
      </w:r>
      <w:r w:rsidR="00042B28">
        <w:tab/>
      </w:r>
      <w:r>
        <w:t>Medicaid Oral Health Policy Database</w:t>
      </w:r>
    </w:p>
    <w:p w14:paraId="7A88C442" w14:textId="4FB2EE02" w:rsidR="00042B28" w:rsidRDefault="000D4F98" w:rsidP="00042B28">
      <w:pPr>
        <w:pStyle w:val="NCDBodyText"/>
        <w:ind w:left="2160" w:hanging="2160"/>
      </w:pPr>
      <w:r>
        <w:t>MOU</w:t>
      </w:r>
      <w:r w:rsidR="00042B28">
        <w:tab/>
      </w:r>
      <w:r>
        <w:t>Memorandum of Understanding</w:t>
      </w:r>
      <w:bookmarkEnd w:id="121"/>
    </w:p>
    <w:p w14:paraId="40A061E9" w14:textId="1E6195AD" w:rsidR="00042B28" w:rsidRDefault="000D4F98" w:rsidP="00042B28">
      <w:pPr>
        <w:pStyle w:val="NCDBodyText"/>
        <w:ind w:left="2160" w:hanging="2160"/>
      </w:pPr>
      <w:bookmarkStart w:id="122" w:name="_Hlk89713813"/>
      <w:r>
        <w:t>MSDA</w:t>
      </w:r>
      <w:r w:rsidR="00042B28">
        <w:tab/>
      </w:r>
      <w:r>
        <w:t>Medicaid, Medicare, and Children’s Health Insurance Program (CHIP) Services Dental Association</w:t>
      </w:r>
      <w:bookmarkEnd w:id="122"/>
    </w:p>
    <w:p w14:paraId="185135C1" w14:textId="20B7C43F" w:rsidR="00042B28" w:rsidRDefault="000D4F98" w:rsidP="00042B28">
      <w:pPr>
        <w:pStyle w:val="NCDBodyText"/>
        <w:ind w:left="2160" w:hanging="2160"/>
      </w:pPr>
      <w:bookmarkStart w:id="123" w:name="_Hlk89713830"/>
      <w:r>
        <w:t>NADP</w:t>
      </w:r>
      <w:r w:rsidR="00042B28">
        <w:tab/>
      </w:r>
      <w:r>
        <w:t>National Association of Dental Plans</w:t>
      </w:r>
    </w:p>
    <w:p w14:paraId="3FF8F8EC" w14:textId="44F079C8" w:rsidR="00042B28" w:rsidRDefault="000D4F98" w:rsidP="00042B28">
      <w:pPr>
        <w:pStyle w:val="NCDBodyText"/>
        <w:ind w:left="2160" w:hanging="2160"/>
      </w:pPr>
      <w:r>
        <w:t>NASHP</w:t>
      </w:r>
      <w:r w:rsidR="00042B28">
        <w:tab/>
      </w:r>
      <w:r>
        <w:t>National Academy for State Health Policy</w:t>
      </w:r>
      <w:bookmarkEnd w:id="123"/>
    </w:p>
    <w:p w14:paraId="33C59EB3" w14:textId="587CBFC7" w:rsidR="00042B28" w:rsidRDefault="000D4F98" w:rsidP="00042B28">
      <w:pPr>
        <w:pStyle w:val="NCDBodyText"/>
        <w:ind w:left="2160" w:hanging="2160"/>
      </w:pPr>
      <w:r>
        <w:t>NCD</w:t>
      </w:r>
      <w:r w:rsidR="00042B28">
        <w:tab/>
      </w:r>
      <w:r>
        <w:t>National Council on Disability</w:t>
      </w:r>
    </w:p>
    <w:p w14:paraId="46CF8446" w14:textId="44D61221" w:rsidR="00042B28" w:rsidRDefault="000D4F98" w:rsidP="00042B28">
      <w:pPr>
        <w:pStyle w:val="NCDBodyText"/>
        <w:ind w:left="2160" w:hanging="2160"/>
      </w:pPr>
      <w:bookmarkStart w:id="124" w:name="_Hlk89713845"/>
      <w:r>
        <w:t>NHIS</w:t>
      </w:r>
      <w:r w:rsidR="00042B28">
        <w:tab/>
      </w:r>
      <w:r>
        <w:t>National Health Interview Survey</w:t>
      </w:r>
      <w:bookmarkEnd w:id="124"/>
    </w:p>
    <w:p w14:paraId="3203F191" w14:textId="638257D9" w:rsidR="00042B28" w:rsidRDefault="000D4F98" w:rsidP="00042B28">
      <w:pPr>
        <w:pStyle w:val="NCDBodyText"/>
        <w:ind w:left="2160" w:hanging="2160"/>
        <w:rPr>
          <w:rFonts w:ascii="Times New Roman" w:eastAsia="Times New Roman" w:hAnsi="Times New Roman"/>
          <w:color w:val="000000" w:themeColor="text1"/>
        </w:rPr>
      </w:pPr>
      <w:bookmarkStart w:id="125" w:name="_Hlk89713854"/>
      <w:r w:rsidRPr="00E968BD">
        <w:rPr>
          <w:rFonts w:eastAsia="Times New Roman"/>
          <w:color w:val="000000" w:themeColor="text1"/>
          <w:shd w:val="clear" w:color="auto" w:fill="FFFFFF"/>
        </w:rPr>
        <w:t>NIDCR</w:t>
      </w:r>
      <w:r w:rsidR="00042B28">
        <w:rPr>
          <w:rFonts w:eastAsia="Times New Roman"/>
          <w:color w:val="000000" w:themeColor="text1"/>
          <w:shd w:val="clear" w:color="auto" w:fill="FFFFFF"/>
        </w:rPr>
        <w:tab/>
      </w:r>
      <w:r w:rsidRPr="00E968BD">
        <w:rPr>
          <w:rFonts w:eastAsia="Times New Roman"/>
          <w:color w:val="000000" w:themeColor="text1"/>
          <w:shd w:val="clear" w:color="auto" w:fill="FFFFFF"/>
        </w:rPr>
        <w:t>National Institute of Dental and Craniofacial Research</w:t>
      </w:r>
      <w:bookmarkEnd w:id="125"/>
    </w:p>
    <w:p w14:paraId="168DCC8A" w14:textId="1A711433" w:rsidR="00042B28" w:rsidRDefault="000D4F98" w:rsidP="00042B28">
      <w:pPr>
        <w:pStyle w:val="NCDBodyText"/>
        <w:ind w:left="2160" w:hanging="2160"/>
      </w:pPr>
      <w:bookmarkStart w:id="126" w:name="_Hlk89713865"/>
      <w:r>
        <w:t>NJCDD</w:t>
      </w:r>
      <w:r w:rsidR="00042B28">
        <w:tab/>
      </w:r>
      <w:r>
        <w:t>New Jersey Council on Developmental Disabilities</w:t>
      </w:r>
      <w:bookmarkEnd w:id="126"/>
    </w:p>
    <w:p w14:paraId="071C72FF" w14:textId="7F209F5F" w:rsidR="00042B28" w:rsidRDefault="000D4F98" w:rsidP="00042B28">
      <w:pPr>
        <w:pStyle w:val="NCDBodyText"/>
        <w:ind w:left="2160" w:hanging="2160"/>
      </w:pPr>
      <w:r>
        <w:lastRenderedPageBreak/>
        <w:t>NTDC</w:t>
      </w:r>
      <w:r w:rsidR="00042B28">
        <w:tab/>
      </w:r>
      <w:r>
        <w:t>Nontraumatic Dental Condition</w:t>
      </w:r>
    </w:p>
    <w:p w14:paraId="31834EE9" w14:textId="218EFE38" w:rsidR="00042B28" w:rsidRDefault="000D4F98" w:rsidP="00042B28">
      <w:pPr>
        <w:pStyle w:val="NCDBodyText"/>
        <w:ind w:left="2160" w:hanging="2160"/>
      </w:pPr>
      <w:r>
        <w:t>OR</w:t>
      </w:r>
      <w:r w:rsidR="00042B28">
        <w:tab/>
      </w:r>
      <w:r>
        <w:t>Operating Room</w:t>
      </w:r>
    </w:p>
    <w:p w14:paraId="1534593D" w14:textId="05BB63D1" w:rsidR="00042B28" w:rsidRDefault="000D4F98" w:rsidP="00042B28">
      <w:pPr>
        <w:pStyle w:val="NCDBodyText"/>
        <w:ind w:left="2160" w:hanging="2160"/>
      </w:pPr>
      <w:r>
        <w:t>ROI</w:t>
      </w:r>
      <w:r w:rsidR="00042B28">
        <w:tab/>
      </w:r>
      <w:r>
        <w:t>Return on Investment</w:t>
      </w:r>
    </w:p>
    <w:p w14:paraId="65345F36" w14:textId="00F1089E" w:rsidR="00042B28" w:rsidRDefault="000D4F98" w:rsidP="00042B28">
      <w:pPr>
        <w:pStyle w:val="NCDBodyText"/>
        <w:ind w:left="2160" w:hanging="2160"/>
      </w:pPr>
      <w:r>
        <w:t>SDF</w:t>
      </w:r>
      <w:r w:rsidR="00042B28">
        <w:tab/>
      </w:r>
      <w:r>
        <w:t>Silver Diamine Fluoride</w:t>
      </w:r>
    </w:p>
    <w:p w14:paraId="0EC17E2E" w14:textId="39E45803" w:rsidR="00042B28" w:rsidRDefault="000D4F98" w:rsidP="00042B28">
      <w:pPr>
        <w:pStyle w:val="NCDBodyText"/>
        <w:ind w:left="2160" w:hanging="2160"/>
      </w:pPr>
      <w:r>
        <w:t>SMUP</w:t>
      </w:r>
      <w:r w:rsidR="00042B28">
        <w:tab/>
      </w:r>
      <w:r>
        <w:t>Special Medically Underserved Population</w:t>
      </w:r>
    </w:p>
    <w:p w14:paraId="02A8FBB2" w14:textId="081130EE" w:rsidR="000D4F98" w:rsidRPr="00537483" w:rsidRDefault="000D4F98" w:rsidP="00042B28">
      <w:pPr>
        <w:pStyle w:val="NCDBodyText"/>
        <w:ind w:left="2160" w:hanging="2160"/>
      </w:pPr>
      <w:r>
        <w:t>T-MSIS</w:t>
      </w:r>
      <w:r w:rsidR="00042B28">
        <w:tab/>
      </w:r>
      <w:r>
        <w:t>Transformed Medicaid Statistical Information System</w:t>
      </w:r>
    </w:p>
    <w:p w14:paraId="27CC9C54" w14:textId="168EBE21" w:rsidR="000D4F98" w:rsidRPr="00537483" w:rsidRDefault="000D4F98" w:rsidP="00042B28">
      <w:pPr>
        <w:pStyle w:val="NCDBodyText"/>
        <w:ind w:left="2160" w:hanging="2160"/>
      </w:pPr>
      <w:r>
        <w:t>WIC</w:t>
      </w:r>
      <w:r w:rsidR="00042B28">
        <w:tab/>
      </w:r>
      <w:r>
        <w:t>Women, Infants, and Children program</w:t>
      </w:r>
    </w:p>
    <w:bookmarkEnd w:id="104"/>
    <w:p w14:paraId="4E69E55A" w14:textId="77777777" w:rsidR="00042B28" w:rsidRDefault="00042B28">
      <w:pPr>
        <w:spacing w:after="160" w:line="259" w:lineRule="auto"/>
        <w:rPr>
          <w:rFonts w:eastAsia="Calibri" w:cs="Calibri"/>
          <w:color w:val="000000"/>
          <w:szCs w:val="24"/>
          <w:u w:color="000000"/>
          <w:bdr w:val="nil"/>
        </w:rPr>
      </w:pPr>
      <w:r>
        <w:br w:type="page"/>
      </w:r>
    </w:p>
    <w:p w14:paraId="1E88AB88" w14:textId="20BFBF1B" w:rsidR="000D4F98" w:rsidRPr="00537483" w:rsidRDefault="00401D57" w:rsidP="00042B28">
      <w:pPr>
        <w:pStyle w:val="NCDBodyText"/>
        <w:jc w:val="center"/>
      </w:pPr>
      <w:r w:rsidRPr="00401D57">
        <w:rPr>
          <w:b/>
        </w:rPr>
        <w:lastRenderedPageBreak/>
        <w:t>This page intentionally left blank</w:t>
      </w:r>
    </w:p>
    <w:p w14:paraId="7C29384D" w14:textId="77777777" w:rsidR="000D4F98" w:rsidRPr="00537483" w:rsidRDefault="000D4F98" w:rsidP="000D4F98">
      <w:pPr>
        <w:rPr>
          <w:rFonts w:asciiTheme="majorHAnsi" w:eastAsiaTheme="majorEastAsia" w:hAnsiTheme="majorHAnsi" w:cstheme="majorBidi"/>
          <w:color w:val="365F91" w:themeColor="accent1" w:themeShade="BF"/>
          <w:sz w:val="32"/>
          <w:szCs w:val="32"/>
        </w:rPr>
      </w:pPr>
      <w:bookmarkStart w:id="127" w:name="_heading=h.e7019ho3dngu" w:colFirst="0" w:colLast="0"/>
      <w:bookmarkStart w:id="128" w:name="_Toc83304268"/>
      <w:bookmarkEnd w:id="127"/>
      <w:r>
        <w:br w:type="page"/>
      </w:r>
    </w:p>
    <w:p w14:paraId="5461CF24" w14:textId="77777777" w:rsidR="000D4F98" w:rsidRPr="00537483" w:rsidRDefault="000D4F98" w:rsidP="00042B28">
      <w:pPr>
        <w:pStyle w:val="Heading1"/>
      </w:pPr>
      <w:bookmarkStart w:id="129" w:name="_Toc92354769"/>
      <w:bookmarkStart w:id="130" w:name="_Toc95237034"/>
      <w:r>
        <w:lastRenderedPageBreak/>
        <w:t>Introduction</w:t>
      </w:r>
      <w:bookmarkEnd w:id="128"/>
      <w:bookmarkEnd w:id="129"/>
      <w:bookmarkEnd w:id="130"/>
    </w:p>
    <w:p w14:paraId="246FA4DE" w14:textId="08C943D9" w:rsidR="000D4F98" w:rsidRPr="00537483" w:rsidRDefault="000D4F98" w:rsidP="00042B28">
      <w:pPr>
        <w:pStyle w:val="NCDBodyText"/>
      </w:pPr>
      <w:bookmarkStart w:id="131" w:name="_Hlk93307708"/>
      <w:r>
        <w:t xml:space="preserve">The Surgeon General’s Report on </w:t>
      </w:r>
      <w:r w:rsidR="00401D57" w:rsidRPr="00401D57">
        <w:rPr>
          <w:i/>
        </w:rPr>
        <w:t>Oral Health in America</w:t>
      </w:r>
      <w:r>
        <w:t>, released twenty years ago, highlighted the poor oral health outcomes and barriers to obtaining adequate oral health care experienced by people with disabilities.</w:t>
      </w:r>
      <w:r>
        <w:rPr>
          <w:vertAlign w:val="superscript"/>
        </w:rPr>
        <w:endnoteReference w:id="2"/>
      </w:r>
      <w:r w:rsidRPr="00D06F4B">
        <w:rPr>
          <w:vertAlign w:val="superscript"/>
        </w:rPr>
        <w:t>,</w:t>
      </w:r>
      <w:r>
        <w:rPr>
          <w:rStyle w:val="EndnoteReference"/>
          <w:rFonts w:eastAsia="Arial" w:cs="Arial"/>
        </w:rPr>
        <w:endnoteReference w:id="3"/>
      </w:r>
      <w:r>
        <w:t xml:space="preserve"> This oral health disparity for people with disabilities remains true today.</w:t>
      </w:r>
      <w:bookmarkEnd w:id="131"/>
      <w:r>
        <w:t xml:space="preserve"> P</w:t>
      </w:r>
      <w:r>
        <w:rPr>
          <w:highlight w:val="white"/>
        </w:rPr>
        <w:t>eople with intellectual and developmental disabilities (I/DD) are particularly vulnerable to poor oral health outcomes.</w:t>
      </w:r>
      <w:r>
        <w:rPr>
          <w:highlight w:val="white"/>
          <w:vertAlign w:val="superscript"/>
        </w:rPr>
        <w:endnoteReference w:id="4"/>
      </w:r>
      <w:r>
        <w:rPr>
          <w:highlight w:val="white"/>
        </w:rPr>
        <w:t xml:space="preserve"> </w:t>
      </w:r>
      <w:bookmarkStart w:id="132" w:name="_Hlk93307774"/>
      <w:r>
        <w:rPr>
          <w:highlight w:val="white"/>
        </w:rPr>
        <w:t xml:space="preserve">According to numerous studies, they have poorer oral hygiene, increased prevalence of periodontal disease, higher rates of edentulism </w:t>
      </w:r>
      <w:r>
        <w:t>(</w:t>
      </w:r>
      <w:r>
        <w:rPr>
          <w:highlight w:val="white"/>
        </w:rPr>
        <w:t>tooth loss), and increased numbers of untreated dental caries (cavities) than the general population.</w:t>
      </w:r>
      <w:r>
        <w:rPr>
          <w:highlight w:val="white"/>
          <w:vertAlign w:val="superscript"/>
        </w:rPr>
        <w:endnoteReference w:id="5"/>
      </w:r>
      <w:r>
        <w:rPr>
          <w:highlight w:val="white"/>
          <w:vertAlign w:val="superscript"/>
        </w:rPr>
        <w:t>,</w:t>
      </w:r>
      <w:r>
        <w:rPr>
          <w:highlight w:val="white"/>
          <w:vertAlign w:val="superscript"/>
        </w:rPr>
        <w:endnoteReference w:id="6"/>
      </w:r>
      <w:r>
        <w:rPr>
          <w:highlight w:val="white"/>
          <w:vertAlign w:val="superscript"/>
        </w:rPr>
        <w:t>,</w:t>
      </w:r>
      <w:r>
        <w:rPr>
          <w:highlight w:val="white"/>
          <w:vertAlign w:val="superscript"/>
        </w:rPr>
        <w:endnoteReference w:id="7"/>
      </w:r>
    </w:p>
    <w:bookmarkEnd w:id="132"/>
    <w:p w14:paraId="6A14B0E9" w14:textId="62E40B75" w:rsidR="000D4F98" w:rsidRPr="00537483" w:rsidRDefault="000D4F98" w:rsidP="00042B28">
      <w:pPr>
        <w:pStyle w:val="NCDBodyText"/>
      </w:pPr>
      <w:r>
        <w:t>One in four adults (approximately 63 million adults)</w:t>
      </w:r>
      <w:r>
        <w:rPr>
          <w:vertAlign w:val="superscript"/>
        </w:rPr>
        <w:t xml:space="preserve"> </w:t>
      </w:r>
      <w:r>
        <w:rPr>
          <w:vertAlign w:val="superscript"/>
        </w:rPr>
        <w:endnoteReference w:id="8"/>
      </w:r>
      <w:r>
        <w:t xml:space="preserve"> in the United States has a disability, and approximately 7.3 million Americans have an I/DD.</w:t>
      </w:r>
      <w:r>
        <w:rPr>
          <w:vertAlign w:val="superscript"/>
        </w:rPr>
        <w:endnoteReference w:id="9"/>
      </w:r>
      <w:r>
        <w:rPr>
          <w:vertAlign w:val="superscript"/>
        </w:rPr>
        <w:t>,</w:t>
      </w:r>
      <w:r>
        <w:rPr>
          <w:vertAlign w:val="superscript"/>
        </w:rPr>
        <w:endnoteReference w:id="10"/>
      </w:r>
      <w:r>
        <w:t xml:space="preserve"> In this report, the term </w:t>
      </w:r>
      <w:r w:rsidR="00401D57" w:rsidRPr="00401D57">
        <w:rPr>
          <w:i/>
          <w:iCs/>
        </w:rPr>
        <w:t>I/DD</w:t>
      </w:r>
      <w:r>
        <w:t xml:space="preserve"> is used to encompass both intellectual and developmental disorders that typically manifest before the age of eighteen years and “uniquely affect the trajectory of the individual’s physical, intellectual, and/or emotional development.”</w:t>
      </w:r>
      <w:r>
        <w:rPr>
          <w:vertAlign w:val="superscript"/>
        </w:rPr>
        <w:endnoteReference w:id="11"/>
      </w:r>
      <w:r>
        <w:t xml:space="preserve"> An intellectual disability is often identified by an intellectual quotient (IQ) score of below seventy to seventy-five.</w:t>
      </w:r>
      <w:r>
        <w:rPr>
          <w:vertAlign w:val="superscript"/>
        </w:rPr>
        <w:endnoteReference w:id="12"/>
      </w:r>
      <w:r>
        <w:t xml:space="preserve"> Conditions considered I/DDs include autism spectrum disorders, Down syndrome, fetal alcohol syndrome, and some forms of cerebral palsy, among others. While people with I/DD display a wide range of behaviors and functional abilities, I/DD is typically characterized by delays or limitations in development, intellectual learning skills, and adaptive behavior when compared to the general population.</w:t>
      </w:r>
    </w:p>
    <w:p w14:paraId="36D3D9CC" w14:textId="77777777" w:rsidR="000D4F98" w:rsidRPr="00537483" w:rsidRDefault="000D4F98" w:rsidP="00042B28">
      <w:pPr>
        <w:pStyle w:val="NCDBodyText"/>
        <w:rPr>
          <w:highlight w:val="white"/>
        </w:rPr>
      </w:pPr>
      <w:r>
        <w:rPr>
          <w:highlight w:val="white"/>
        </w:rPr>
        <w:t xml:space="preserve">Oral health is critical to overall physical and emotional well-being. </w:t>
      </w:r>
      <w:r>
        <w:t xml:space="preserve">Poor </w:t>
      </w:r>
      <w:r>
        <w:rPr>
          <w:highlight w:val="white"/>
        </w:rPr>
        <w:t>oral health is linked to multiple health conditions, including diabetes, hypertension, and other cardiovascular, endocrine, and respiratory diseases.</w:t>
      </w:r>
      <w:r>
        <w:rPr>
          <w:highlight w:val="white"/>
          <w:vertAlign w:val="superscript"/>
        </w:rPr>
        <w:endnoteReference w:id="13"/>
      </w:r>
      <w:r>
        <w:rPr>
          <w:highlight w:val="white"/>
        </w:rPr>
        <w:t xml:space="preserve"> Oral pain</w:t>
      </w:r>
      <w:r>
        <w:t xml:space="preserve"> can</w:t>
      </w:r>
      <w:r>
        <w:rPr>
          <w:highlight w:val="white"/>
        </w:rPr>
        <w:t xml:space="preserve"> interfere</w:t>
      </w:r>
      <w:r>
        <w:t xml:space="preserve"> with </w:t>
      </w:r>
      <w:r>
        <w:rPr>
          <w:highlight w:val="white"/>
        </w:rPr>
        <w:t xml:space="preserve">the functions of daily living, including eating (which, in turn, impacts diet and nutrition), sleeping, and conversing. </w:t>
      </w:r>
      <w:bookmarkStart w:id="133" w:name="_Hlk93308120"/>
      <w:r>
        <w:rPr>
          <w:highlight w:val="white"/>
        </w:rPr>
        <w:t>Oral disease and dysfunction result in low self-esteem and altered speech and affect social interactions, appearance, and behavior—all of which are vitally important for people with I/DD.</w:t>
      </w:r>
      <w:bookmarkEnd w:id="133"/>
      <w:r>
        <w:rPr>
          <w:highlight w:val="white"/>
          <w:vertAlign w:val="superscript"/>
        </w:rPr>
        <w:endnoteReference w:id="14"/>
      </w:r>
      <w:r>
        <w:rPr>
          <w:highlight w:val="white"/>
          <w:vertAlign w:val="superscript"/>
        </w:rPr>
        <w:t>,</w:t>
      </w:r>
      <w:r>
        <w:rPr>
          <w:highlight w:val="white"/>
          <w:vertAlign w:val="superscript"/>
        </w:rPr>
        <w:endnoteReference w:id="15"/>
      </w:r>
      <w:r>
        <w:rPr>
          <w:highlight w:val="white"/>
        </w:rPr>
        <w:t xml:space="preserve"> Because a significant proportion of people with I/DD may not be able to verbalize how disease impacts them, and untreated oral </w:t>
      </w:r>
      <w:r>
        <w:rPr>
          <w:highlight w:val="white"/>
        </w:rPr>
        <w:lastRenderedPageBreak/>
        <w:t>health problems may lead to or be an indicator for serious health issues, regular access to dental services and delivery of comprehensive oral health services are vital.</w:t>
      </w:r>
    </w:p>
    <w:p w14:paraId="78574A50" w14:textId="77777777" w:rsidR="000D4F98" w:rsidRPr="00537483" w:rsidRDefault="000D4F98" w:rsidP="00042B28">
      <w:pPr>
        <w:pStyle w:val="NCDBodyText"/>
        <w:rPr>
          <w:vertAlign w:val="superscript"/>
        </w:rPr>
      </w:pPr>
      <w:r>
        <w:t>Adults with I/DD, however, face substantial barriers to obtaining the oral health care services they need.</w:t>
      </w:r>
      <w:r>
        <w:rPr>
          <w:vertAlign w:val="superscript"/>
        </w:rPr>
        <w:endnoteReference w:id="16"/>
      </w:r>
      <w:r>
        <w:t xml:space="preserve"> </w:t>
      </w:r>
      <w:bookmarkStart w:id="134" w:name="_Hlk93308172"/>
      <w:r>
        <w:t>People with disabilities have a greater likelihood than those without disabilities of being uninsured or delaying or forgoing necessary health care.</w:t>
      </w:r>
      <w:r>
        <w:rPr>
          <w:vertAlign w:val="superscript"/>
        </w:rPr>
        <w:endnoteReference w:id="17"/>
      </w:r>
      <w:r>
        <w:t xml:space="preserve"> Adults with I/DD are less likely to have private dental insurance and are more likely to delay or forgo dental care.</w:t>
      </w:r>
      <w:r>
        <w:rPr>
          <w:vertAlign w:val="superscript"/>
        </w:rPr>
        <w:endnoteReference w:id="18"/>
      </w:r>
      <w:r>
        <w:t xml:space="preserve"> People with I/DD face greater barriers finding dentists to provide treatment, such as fillings, gum therapy, and extractions when necessary, than people with other types of disabilities.</w:t>
      </w:r>
      <w:r>
        <w:rPr>
          <w:vertAlign w:val="superscript"/>
        </w:rPr>
        <w:endnoteReference w:id="19"/>
      </w:r>
      <w:r>
        <w:t xml:space="preserve"> Many dentists do not treat patients with I/DD, especially adults, because they feel unprepared to treat them.</w:t>
      </w:r>
      <w:r>
        <w:rPr>
          <w:vertAlign w:val="superscript"/>
        </w:rPr>
        <w:endnoteReference w:id="20"/>
      </w:r>
      <w:r>
        <w:rPr>
          <w:vertAlign w:val="superscript"/>
        </w:rPr>
        <w:t>,</w:t>
      </w:r>
      <w:r>
        <w:rPr>
          <w:vertAlign w:val="superscript"/>
        </w:rPr>
        <w:endnoteReference w:id="21"/>
      </w:r>
      <w:r>
        <w:t xml:space="preserve"> Further, patients with I/DD may have to travel long distances to find a qualified dental provider; a lack of transportation is a common reason people with I/DD have trouble finding a physician, despite Medicaid providing nonemergency medical transportation services.</w:t>
      </w:r>
      <w:r>
        <w:rPr>
          <w:vertAlign w:val="superscript"/>
        </w:rPr>
        <w:endnoteReference w:id="22"/>
      </w:r>
      <w:r>
        <w:rPr>
          <w:vertAlign w:val="superscript"/>
        </w:rPr>
        <w:t>,</w:t>
      </w:r>
      <w:r>
        <w:rPr>
          <w:vertAlign w:val="superscript"/>
        </w:rPr>
        <w:endnoteReference w:id="23"/>
      </w:r>
    </w:p>
    <w:bookmarkEnd w:id="134"/>
    <w:p w14:paraId="47CACBC9" w14:textId="77777777" w:rsidR="000D4F98" w:rsidRPr="00537483" w:rsidRDefault="000D4F98" w:rsidP="00042B28">
      <w:pPr>
        <w:pStyle w:val="NCDBodyText"/>
      </w:pPr>
      <w:r w:rsidRPr="00257D88">
        <w:rPr>
          <w:i/>
        </w:rPr>
        <w:t>The Role of Medicaid</w:t>
      </w:r>
      <w:r>
        <w:t xml:space="preserve">. In assessing oral health care and financing, for those with I/DD, it is crucial to examine Medicaid, the program under which the majority of those with I/DD are enrolled and receive medical care—and, depending on the state—dental care. </w:t>
      </w:r>
      <w:bookmarkStart w:id="135" w:name="_Hlk93308529"/>
      <w:r>
        <w:t>Nearly 60 percent of people with I/DD in the United States rely on Medicaid for health care coverage, including dental care.</w:t>
      </w:r>
      <w:bookmarkEnd w:id="135"/>
      <w:r>
        <w:rPr>
          <w:vertAlign w:val="superscript"/>
        </w:rPr>
        <w:endnoteReference w:id="24"/>
      </w:r>
      <w:r>
        <w:t xml:space="preserve"> And while the Affordable Care Act and Medicaid expansions have reduced barriers to health care for the general population of adults, adults with disabilities face ongoing disparities in access to health care.</w:t>
      </w:r>
      <w:r>
        <w:rPr>
          <w:vertAlign w:val="superscript"/>
        </w:rPr>
        <w:endnoteReference w:id="25"/>
      </w:r>
    </w:p>
    <w:p w14:paraId="49F8A713" w14:textId="77777777" w:rsidR="000D4F98" w:rsidRPr="00537483" w:rsidRDefault="000D4F98" w:rsidP="00042B28">
      <w:pPr>
        <w:pStyle w:val="NCDBodyText"/>
      </w:pPr>
      <w:r>
        <w:t xml:space="preserve">Currently, Medicaid expends billions of dollars on dental services. </w:t>
      </w:r>
      <w:bookmarkStart w:id="136" w:name="_Hlk93308816"/>
      <w:r>
        <w:t>In 2019, the United States spent roughly $143 billion on dental care every year, which represents approximately 4 percent of overall health care spending.</w:t>
      </w:r>
      <w:bookmarkEnd w:id="136"/>
      <w:r>
        <w:t xml:space="preserve"> </w:t>
      </w:r>
      <w:bookmarkStart w:id="137" w:name="_Hlk93309234"/>
      <w:r>
        <w:t>About 11 percent of all dental expenditures were paid by the Centers for Medicare and Medicaid Services (CMS) programs, with 9.6 percent of dental expenditures attributed to Medicaid spending.</w:t>
      </w:r>
      <w:bookmarkEnd w:id="137"/>
      <w:r>
        <w:rPr>
          <w:vertAlign w:val="superscript"/>
        </w:rPr>
        <w:endnoteReference w:id="26"/>
      </w:r>
    </w:p>
    <w:p w14:paraId="632E6190" w14:textId="77777777" w:rsidR="000D4F98" w:rsidRPr="00537483" w:rsidRDefault="000D4F98" w:rsidP="00042B28">
      <w:pPr>
        <w:pStyle w:val="NCDBodyText"/>
      </w:pPr>
      <w:r>
        <w:t xml:space="preserve">However, not all states provide Medicaid coverage for routine or preventive dental services for adults with I/DD. </w:t>
      </w:r>
      <w:bookmarkStart w:id="138" w:name="_Hlk93309260"/>
      <w:r>
        <w:t xml:space="preserve">While states are required to provide dental benefits to children enrolled in </w:t>
      </w:r>
      <w:r w:rsidRPr="00180DC7">
        <w:rPr>
          <w:color w:val="000000" w:themeColor="text1"/>
        </w:rPr>
        <w:t xml:space="preserve">their Medicaid </w:t>
      </w:r>
      <w:r>
        <w:rPr>
          <w:color w:val="000000" w:themeColor="text1"/>
        </w:rPr>
        <w:t>s</w:t>
      </w:r>
      <w:r w:rsidRPr="00180DC7">
        <w:rPr>
          <w:color w:val="000000" w:themeColor="text1"/>
        </w:rPr>
        <w:t>tate plans, adult dental benefits in Medicaid are optional.</w:t>
      </w:r>
      <w:bookmarkEnd w:id="138"/>
      <w:r w:rsidRPr="00180DC7">
        <w:rPr>
          <w:rStyle w:val="EndnoteReference"/>
          <w:rFonts w:eastAsia="Arial" w:cs="Arial"/>
          <w:color w:val="000000" w:themeColor="text1"/>
        </w:rPr>
        <w:endnoteReference w:id="27"/>
      </w:r>
      <w:r>
        <w:rPr>
          <w:color w:val="000000" w:themeColor="text1"/>
          <w:vertAlign w:val="superscript"/>
        </w:rPr>
        <w:t>,</w:t>
      </w:r>
      <w:r w:rsidRPr="00180DC7">
        <w:rPr>
          <w:color w:val="000000" w:themeColor="text1"/>
          <w:vertAlign w:val="superscript"/>
        </w:rPr>
        <w:endnoteReference w:id="28"/>
      </w:r>
      <w:r w:rsidRPr="00180DC7">
        <w:rPr>
          <w:color w:val="000000" w:themeColor="text1"/>
        </w:rPr>
        <w:t xml:space="preserve"> </w:t>
      </w:r>
      <w:bookmarkStart w:id="139" w:name="_Hlk93309945"/>
      <w:r>
        <w:t xml:space="preserve">Currently, twelve states provide emergency-only or no dental coverage at </w:t>
      </w:r>
      <w:r>
        <w:lastRenderedPageBreak/>
        <w:t>all for adults in their Medicaid programs.</w:t>
      </w:r>
      <w:bookmarkEnd w:id="139"/>
      <w:r>
        <w:t xml:space="preserve"> Some states that do not provide dental coverage for the general adult population in their Medicaid state plan have Medicaid 1915 home- and community-based and/or 1115 demonstration waivers that provide dental care to people with I/DD, but these are typically small programs that do not cover the states’ entire adult population with I/DD.</w:t>
      </w:r>
      <w:r>
        <w:rPr>
          <w:vertAlign w:val="superscript"/>
        </w:rPr>
        <w:endnoteReference w:id="29"/>
      </w:r>
    </w:p>
    <w:p w14:paraId="0561AD1B" w14:textId="77777777" w:rsidR="000D4F98" w:rsidRPr="00537483" w:rsidRDefault="000D4F98" w:rsidP="00042B28">
      <w:pPr>
        <w:pStyle w:val="NCDBodyText"/>
      </w:pPr>
      <w:r w:rsidRPr="00257D88">
        <w:rPr>
          <w:i/>
        </w:rPr>
        <w:t>Medicaid Reimbursement</w:t>
      </w:r>
      <w:r>
        <w:t xml:space="preserve">. Understanding the structure of Medicaid reimbursement for providers is important to this study’s focus on cost-effective dental care for adults with I/DD. Dentists participating in Medicaid may be reimbursed by a </w:t>
      </w:r>
      <w:r>
        <w:rPr>
          <w:color w:val="222222"/>
        </w:rPr>
        <w:t>fee-for-service (FFS) method or by Medicaid managed care organizations (MCOs). In the FFS model, dentists receive payment directly from state Medicaid agencies for each service they provide to patients. The maximum fee for each service is set by the state Medicaid program, and it is provided in a fee schedule that is publicly available.</w:t>
      </w:r>
    </w:p>
    <w:p w14:paraId="0F3A857B" w14:textId="77777777" w:rsidR="000D4F98" w:rsidRPr="00537483" w:rsidRDefault="000D4F98" w:rsidP="00042B28">
      <w:pPr>
        <w:pStyle w:val="NCDBodyText"/>
      </w:pPr>
      <w:r>
        <w:t>When services are delivered through Medicaid MCOs under contract with the state Medicaid program, dentists are reimbursed in a different manner. In a managed care system, the state Medicaid program contracts with several MCOs to provide dental care to Medicaid beneficiaries. Each MCO is typically paid a capitated rate per enrolled member per month by the state Medicaid program. The MCO then negotiates a reimbursement rate with dentists who are contracted to provide care to the MCO plan participants. MCOs are not required to publicly disclose these negotiated reimbursement rates.</w:t>
      </w:r>
      <w:r>
        <w:rPr>
          <w:rStyle w:val="EndnoteReference"/>
          <w:rFonts w:eastAsia="Arial" w:cs="Arial"/>
          <w:color w:val="222222"/>
        </w:rPr>
        <w:endnoteReference w:id="30"/>
      </w:r>
      <w:r>
        <w:t xml:space="preserve"> Reimbursements may vary by provider, type of patients, location within a state, and plan.</w:t>
      </w:r>
    </w:p>
    <w:p w14:paraId="531F7AA7" w14:textId="77777777" w:rsidR="000D4F98" w:rsidRPr="00537483" w:rsidRDefault="000D4F98" w:rsidP="00042B28">
      <w:pPr>
        <w:pStyle w:val="NCDBodyText"/>
        <w:rPr>
          <w:color w:val="222222"/>
        </w:rPr>
      </w:pPr>
      <w:r>
        <w:rPr>
          <w:color w:val="222222"/>
        </w:rPr>
        <w:t xml:space="preserve">Some states deliver some Medicaid services through FFS and other services through MCOs. Furthermore, </w:t>
      </w:r>
      <w:r>
        <w:t xml:space="preserve">some </w:t>
      </w:r>
      <w:r>
        <w:rPr>
          <w:highlight w:val="white"/>
        </w:rPr>
        <w:t xml:space="preserve">state-MCO contracts are for a certain region of the state or a certain population. Therefore, </w:t>
      </w:r>
      <w:bookmarkStart w:id="140" w:name="_Hlk93310027"/>
      <w:r>
        <w:rPr>
          <w:highlight w:val="white"/>
        </w:rPr>
        <w:t>depending on the patients seen and their different coverages, dentists may bill the Medicaid MCO at the contracted rate for some patients and the state Medicaid program at the FFS rate for other patients.</w:t>
      </w:r>
      <w:bookmarkEnd w:id="140"/>
      <w:r>
        <w:rPr>
          <w:color w:val="222222"/>
          <w:vertAlign w:val="superscript"/>
        </w:rPr>
        <w:endnoteReference w:id="31"/>
      </w:r>
    </w:p>
    <w:p w14:paraId="79B130A1" w14:textId="77777777" w:rsidR="000D4F98" w:rsidRPr="00537483" w:rsidRDefault="000D4F98" w:rsidP="00042B28">
      <w:pPr>
        <w:pStyle w:val="NCDBodyText"/>
      </w:pPr>
      <w:r>
        <w:t>Managed care is used extensively to deliver Medicaid services nationwide; about 70 percent of all Medicaid beneficiaries currently receive health care through comprehensive managed care.</w:t>
      </w:r>
      <w:r>
        <w:rPr>
          <w:vertAlign w:val="superscript"/>
        </w:rPr>
        <w:endnoteReference w:id="32"/>
      </w:r>
      <w:r w:rsidRPr="00B81D28">
        <w:rPr>
          <w:vertAlign w:val="superscript"/>
        </w:rPr>
        <w:t>,</w:t>
      </w:r>
      <w:r>
        <w:rPr>
          <w:rStyle w:val="EndnoteReference"/>
          <w:rFonts w:eastAsia="Arial" w:cs="Arial"/>
          <w:color w:val="222222"/>
        </w:rPr>
        <w:endnoteReference w:id="33"/>
      </w:r>
      <w:r>
        <w:t xml:space="preserve"> People with disabilities are less likely to be enrolled </w:t>
      </w:r>
      <w:r>
        <w:lastRenderedPageBreak/>
        <w:t>in managed care than people without disabilities; however, states are increasingly including enrollees with complex needs in managed care.</w:t>
      </w:r>
      <w:r>
        <w:rPr>
          <w:vertAlign w:val="superscript"/>
        </w:rPr>
        <w:endnoteReference w:id="34"/>
      </w:r>
    </w:p>
    <w:p w14:paraId="1DA39A22" w14:textId="77777777" w:rsidR="000D4F98" w:rsidRPr="00537483" w:rsidRDefault="000D4F98" w:rsidP="00042B28">
      <w:pPr>
        <w:pStyle w:val="NCDBodyText"/>
      </w:pPr>
      <w:r>
        <w:rPr>
          <w:color w:val="222222"/>
        </w:rPr>
        <w:t xml:space="preserve">There is lack of data about the reimbursement rates provided by Medicaid MCOs, which has an impact on the </w:t>
      </w:r>
      <w:r>
        <w:t>available research about reimbursement rates for dental care.</w:t>
      </w:r>
      <w:r>
        <w:rPr>
          <w:vertAlign w:val="superscript"/>
        </w:rPr>
        <w:endnoteReference w:id="35"/>
      </w:r>
      <w:r>
        <w:t xml:space="preserve"> </w:t>
      </w:r>
      <w:bookmarkStart w:id="141" w:name="_Hlk93310091"/>
      <w:r>
        <w:t>In states that provide preventive dental services, FFS rates are substantially lower than reimbursement rates provided by private insurance companies.</w:t>
      </w:r>
      <w:bookmarkEnd w:id="141"/>
      <w:r>
        <w:rPr>
          <w:rStyle w:val="EndnoteReference"/>
          <w:rFonts w:eastAsia="Arial" w:cs="Arial"/>
        </w:rPr>
        <w:endnoteReference w:id="36"/>
      </w:r>
    </w:p>
    <w:p w14:paraId="285CD7C1" w14:textId="77777777" w:rsidR="000D4F98" w:rsidRPr="00537483" w:rsidRDefault="000D4F98" w:rsidP="00042B28">
      <w:pPr>
        <w:pStyle w:val="NCDBodyText"/>
      </w:pPr>
      <w:r>
        <w:t>Likely in part because of low reimbursement rates, 43 percent of general dentists participate in Medicaid or CHIP,</w:t>
      </w:r>
      <w:r w:rsidRPr="007D1CAA">
        <w:rPr>
          <w:vertAlign w:val="superscript"/>
        </w:rPr>
        <w:t xml:space="preserve"> </w:t>
      </w:r>
      <w:r>
        <w:t>further constraining the availability of dental services for people with I/DD who rely on Medicaid.</w:t>
      </w:r>
      <w:r>
        <w:rPr>
          <w:vertAlign w:val="superscript"/>
        </w:rPr>
        <w:endnoteReference w:id="37"/>
      </w:r>
      <w:r>
        <w:rPr>
          <w:vertAlign w:val="superscript"/>
        </w:rPr>
        <w:t>,</w:t>
      </w:r>
      <w:r>
        <w:rPr>
          <w:vertAlign w:val="superscript"/>
        </w:rPr>
        <w:endnoteReference w:id="38"/>
      </w:r>
      <w:r>
        <w:rPr>
          <w:vertAlign w:val="superscript"/>
        </w:rPr>
        <w:t xml:space="preserve"> </w:t>
      </w:r>
      <w:r>
        <w:t>About 73 percent of pediatric dentists, 56 percent of oral surgeons, and 53 percent of public health dentists participate in Medicaid or CHIP. A lower proportion of specialty dentists, like those in orthodontics (40 percent), endodontics (28 percent), and periodontics (25 percent) participate in Medicaid or CHIP. Additionally, younger dentists are more likely to participate in Medicaid than older dentists.</w:t>
      </w:r>
    </w:p>
    <w:p w14:paraId="0CCDD2F2" w14:textId="77777777" w:rsidR="000D4F98" w:rsidRPr="00537483" w:rsidRDefault="000D4F98" w:rsidP="00042B28">
      <w:pPr>
        <w:pStyle w:val="NCDBodyText"/>
      </w:pPr>
      <w:r w:rsidRPr="00257D88">
        <w:rPr>
          <w:i/>
        </w:rPr>
        <w:t>Potential Cost Savings Through Provision of Preventive Dental Care</w:t>
      </w:r>
      <w:r>
        <w:t xml:space="preserve">. Without access to preventive dental services, many Medicaid beneficiaries turn to the emergency department (ED) for dental care. </w:t>
      </w:r>
      <w:bookmarkStart w:id="142" w:name="_Hlk93310458"/>
      <w:r>
        <w:t>There are over two million ED visits for dental conditions annually, which total $2.7 billion.</w:t>
      </w:r>
      <w:bookmarkEnd w:id="142"/>
      <w:r>
        <w:rPr>
          <w:vertAlign w:val="superscript"/>
        </w:rPr>
        <w:endnoteReference w:id="39"/>
      </w:r>
      <w:r>
        <w:t xml:space="preserve"> </w:t>
      </w:r>
      <w:bookmarkStart w:id="143" w:name="_Hlk93310481"/>
      <w:r>
        <w:t>Medicaid is the most common payer for ED visits among adults, contributing 42.2 percent of the payment for these visits.</w:t>
      </w:r>
      <w:bookmarkEnd w:id="143"/>
      <w:r>
        <w:rPr>
          <w:rStyle w:val="EndnoteReference"/>
          <w:rFonts w:eastAsia="Arial" w:cs="Arial"/>
        </w:rPr>
        <w:endnoteReference w:id="40"/>
      </w:r>
      <w:r>
        <w:t xml:space="preserve"> The remainder of payments are covered through out-of-pocket payments or private insurers.</w:t>
      </w:r>
    </w:p>
    <w:p w14:paraId="4F223A7F" w14:textId="77777777" w:rsidR="000D4F98" w:rsidRPr="00537483" w:rsidRDefault="000D4F98" w:rsidP="00042B28">
      <w:pPr>
        <w:pStyle w:val="NCDBodyText"/>
      </w:pPr>
      <w:r>
        <w:t>Further, prior studies have demonstrated a link between good oral health and reductions in the cost of treating chronic health conditions, such as diabetes and coronary disease.</w:t>
      </w:r>
      <w:r>
        <w:rPr>
          <w:vertAlign w:val="superscript"/>
        </w:rPr>
        <w:endnoteReference w:id="41"/>
      </w:r>
      <w:r>
        <w:rPr>
          <w:vertAlign w:val="superscript"/>
        </w:rPr>
        <w:t>,</w:t>
      </w:r>
      <w:r>
        <w:rPr>
          <w:vertAlign w:val="superscript"/>
        </w:rPr>
        <w:endnoteReference w:id="42"/>
      </w:r>
      <w:r>
        <w:t xml:space="preserve"> Thus, </w:t>
      </w:r>
      <w:bookmarkStart w:id="144" w:name="_Hlk93312720"/>
      <w:r>
        <w:t>states could experience cost savings in their Medicaid programs if they provide accessible preventive dental care to Medicaid enrollees, and adults with I/DD in particular.</w:t>
      </w:r>
      <w:bookmarkEnd w:id="144"/>
    </w:p>
    <w:p w14:paraId="6F2AF6E5" w14:textId="77777777" w:rsidR="000D4F98" w:rsidRPr="00537483" w:rsidRDefault="000D4F98" w:rsidP="00042B28">
      <w:pPr>
        <w:pStyle w:val="NCDBodyText"/>
      </w:pPr>
      <w:r w:rsidRPr="00257D88">
        <w:rPr>
          <w:i/>
        </w:rPr>
        <w:t>Medicaid Coverage and Potential Cost Reductions</w:t>
      </w:r>
      <w:r>
        <w:t xml:space="preserve">. Prior research has demonstrated the potential for cost savings of providing more extensive dental benefits in Medicaid. </w:t>
      </w:r>
      <w:bookmarkStart w:id="145" w:name="_Hlk93312765"/>
      <w:r>
        <w:t>When Medicaid beneficiaries received comprehensive dental benefits, costly ED visits and hospital admissions for nontraumatic dental care decreased.</w:t>
      </w:r>
      <w:bookmarkEnd w:id="145"/>
      <w:r>
        <w:rPr>
          <w:vertAlign w:val="superscript"/>
        </w:rPr>
        <w:endnoteReference w:id="43"/>
      </w:r>
      <w:r>
        <w:rPr>
          <w:vertAlign w:val="superscript"/>
        </w:rPr>
        <w:t>,</w:t>
      </w:r>
      <w:r>
        <w:rPr>
          <w:vertAlign w:val="superscript"/>
        </w:rPr>
        <w:endnoteReference w:id="44"/>
      </w:r>
      <w:r>
        <w:rPr>
          <w:vertAlign w:val="superscript"/>
        </w:rPr>
        <w:t>,</w:t>
      </w:r>
      <w:r>
        <w:rPr>
          <w:vertAlign w:val="superscript"/>
        </w:rPr>
        <w:endnoteReference w:id="45"/>
      </w:r>
      <w:r>
        <w:rPr>
          <w:vertAlign w:val="superscript"/>
        </w:rPr>
        <w:t>,</w:t>
      </w:r>
      <w:r>
        <w:rPr>
          <w:rStyle w:val="EndnoteReference"/>
          <w:rFonts w:eastAsia="Arial" w:cs="Arial"/>
        </w:rPr>
        <w:endnoteReference w:id="46"/>
      </w:r>
      <w:r>
        <w:t xml:space="preserve"> These studies, </w:t>
      </w:r>
      <w:r>
        <w:lastRenderedPageBreak/>
        <w:t>however, primarily focus on the general adult population, not on people with I/DD. The exception is a recent Texas study that focused on people with disabilities.</w:t>
      </w:r>
      <w:r>
        <w:rPr>
          <w:rStyle w:val="EndnoteReference"/>
          <w:rFonts w:eastAsia="Arial" w:cs="Arial"/>
        </w:rPr>
        <w:endnoteReference w:id="47"/>
      </w:r>
    </w:p>
    <w:p w14:paraId="5E4EAA72" w14:textId="77777777" w:rsidR="000D4F98" w:rsidRPr="00537483" w:rsidRDefault="000D4F98" w:rsidP="00042B28">
      <w:pPr>
        <w:pStyle w:val="NCDBodyText"/>
      </w:pPr>
      <w:r w:rsidRPr="00257D88">
        <w:rPr>
          <w:i/>
        </w:rPr>
        <w:t>Reimbursement Rates and Access to Dental Care</w:t>
      </w:r>
      <w:r w:rsidRPr="006A7FFD">
        <w:t xml:space="preserve">. </w:t>
      </w:r>
      <w:r>
        <w:t>Prior research has shown that increasing physicians’ Medicaid reimbursement rates led to an increase in access to health care among adult Medicaid enrollees.</w:t>
      </w:r>
      <w:r>
        <w:rPr>
          <w:vertAlign w:val="superscript"/>
        </w:rPr>
        <w:endnoteReference w:id="48"/>
      </w:r>
      <w:r>
        <w:t xml:space="preserve"> And a study found that increasing Medicaid reimbursement rates for dentists led to an increase in children’s receipt of dental care.</w:t>
      </w:r>
      <w:r>
        <w:rPr>
          <w:vertAlign w:val="superscript"/>
        </w:rPr>
        <w:endnoteReference w:id="49"/>
      </w:r>
      <w:r>
        <w:t xml:space="preserve"> The literature review undertaken for this study did not uncover any research on the relationship between Medicaid reimbursement rates and receipt of dental care among adults with I/DD. Furthermore, the literature review uncovered no research that linked reimbursement rates for Medicaid dental providers to reductions in costs for ED visits or treatment of chronic disease.</w:t>
      </w:r>
    </w:p>
    <w:p w14:paraId="0AEDCFFA" w14:textId="77777777" w:rsidR="000D4F98" w:rsidRPr="00537483" w:rsidRDefault="000D4F98" w:rsidP="00042B28">
      <w:pPr>
        <w:pStyle w:val="NCDBodyText"/>
      </w:pPr>
      <w:r>
        <w:t>People with disabilities deserve equitable health care access and health outcomes. There are ongoing opportunities for improvement through careful review of Medicaid coverage and programmatic policies that can lead to improved outcomes and lower costs.</w:t>
      </w:r>
      <w:r>
        <w:rPr>
          <w:vertAlign w:val="superscript"/>
        </w:rPr>
        <w:endnoteReference w:id="50"/>
      </w:r>
      <w:r>
        <w:t xml:space="preserve"> </w:t>
      </w:r>
      <w:r>
        <w:br w:type="page"/>
      </w:r>
    </w:p>
    <w:p w14:paraId="5E79FF48" w14:textId="7A9F09B6" w:rsidR="000D4F98" w:rsidRPr="00537483" w:rsidRDefault="00401D57" w:rsidP="00042B28">
      <w:pPr>
        <w:pStyle w:val="NCDBodyText"/>
        <w:jc w:val="center"/>
        <w:rPr>
          <w:rFonts w:eastAsia="Arial"/>
        </w:rPr>
      </w:pPr>
      <w:r w:rsidRPr="00401D57">
        <w:rPr>
          <w:b/>
        </w:rPr>
        <w:lastRenderedPageBreak/>
        <w:t>This page intentionally left blank</w:t>
      </w:r>
    </w:p>
    <w:p w14:paraId="09435E3A" w14:textId="77777777" w:rsidR="000D4F98" w:rsidRPr="00537483" w:rsidRDefault="000D4F98" w:rsidP="000D4F98">
      <w:pPr>
        <w:rPr>
          <w:rFonts w:asciiTheme="majorHAnsi" w:eastAsiaTheme="majorEastAsia" w:hAnsiTheme="majorHAnsi" w:cstheme="majorBidi"/>
          <w:color w:val="365F91" w:themeColor="accent1" w:themeShade="BF"/>
          <w:sz w:val="32"/>
          <w:szCs w:val="32"/>
        </w:rPr>
      </w:pPr>
      <w:bookmarkStart w:id="146" w:name="_Toc83304269"/>
      <w:r>
        <w:br w:type="page"/>
      </w:r>
    </w:p>
    <w:p w14:paraId="78828E37" w14:textId="6C052761" w:rsidR="000D4F98" w:rsidRPr="00537483" w:rsidRDefault="000D4F98" w:rsidP="00042B28">
      <w:pPr>
        <w:pStyle w:val="Heading1"/>
      </w:pPr>
      <w:bookmarkStart w:id="147" w:name="_Toc92354770"/>
      <w:bookmarkStart w:id="148" w:name="_Toc95237035"/>
      <w:r>
        <w:lastRenderedPageBreak/>
        <w:t xml:space="preserve">Chapter </w:t>
      </w:r>
      <w:r w:rsidR="002442EE">
        <w:t>1</w:t>
      </w:r>
      <w:r>
        <w:t>: Research</w:t>
      </w:r>
      <w:r>
        <w:rPr>
          <w:sz w:val="24"/>
          <w:szCs w:val="24"/>
        </w:rPr>
        <w:t xml:space="preserve"> </w:t>
      </w:r>
      <w:r>
        <w:t>Questions and Methodology</w:t>
      </w:r>
      <w:bookmarkEnd w:id="146"/>
      <w:bookmarkEnd w:id="147"/>
      <w:bookmarkEnd w:id="148"/>
    </w:p>
    <w:p w14:paraId="0FF98A25" w14:textId="77777777" w:rsidR="000D4F98" w:rsidRPr="00537483" w:rsidRDefault="000D4F98" w:rsidP="00042B28">
      <w:pPr>
        <w:pStyle w:val="NCDBodyText"/>
      </w:pPr>
      <w:r>
        <w:t>This report was motivated by an overarching question proposed by the National Council on Disability (NCD): “Should the Centers for Medicare and Medicaid Services [CMS] require state Medicaid agencies to implement Medicaid reimbursement and payment policies that promote access to dental care for adults with I/DD, and could that ultimately be a cost-effective option over the long term?” To answer this question, a range of state- and federal-level Medicaid policies and programs and their effects need to be assessed.</w:t>
      </w:r>
    </w:p>
    <w:p w14:paraId="733561F7" w14:textId="77777777" w:rsidR="000D4F98" w:rsidRPr="00537483" w:rsidRDefault="000D4F98" w:rsidP="00042B28">
      <w:pPr>
        <w:pStyle w:val="NCDBodyText"/>
      </w:pPr>
      <w:r>
        <w:t>To date, very little research has delved into the receipt of dental services among adults with I/DD on Medicaid.</w:t>
      </w:r>
      <w:r>
        <w:rPr>
          <w:rStyle w:val="EndnoteReference"/>
        </w:rPr>
        <w:endnoteReference w:id="51"/>
      </w:r>
      <w:r w:rsidRPr="007F5606">
        <w:rPr>
          <w:vertAlign w:val="superscript"/>
        </w:rPr>
        <w:t>,</w:t>
      </w:r>
      <w:r>
        <w:rPr>
          <w:rStyle w:val="EndnoteReference"/>
        </w:rPr>
        <w:endnoteReference w:id="52"/>
      </w:r>
      <w:r>
        <w:t xml:space="preserve"> Further, no national studies have examined the relationship between states’ policies regarding provision of dental coverage through Medicaid or Medicaid reimbursement rates and receipt of dental services among adults with I/DD. And as described in the Introduction, there is no publicly available data regarding reimbursement rates for Medicaid dental providers who provide services under an MCO contract.</w:t>
      </w:r>
    </w:p>
    <w:p w14:paraId="61FC273B" w14:textId="77777777" w:rsidR="000D4F98" w:rsidRPr="00537483" w:rsidRDefault="000D4F98" w:rsidP="00042B28">
      <w:pPr>
        <w:pStyle w:val="NCDBodyText"/>
      </w:pPr>
      <w:r>
        <w:t xml:space="preserve">Several research questions must be answered regarding barriers to the receipt of dental services, the status of states’ Medicaid policy, the relationship between states’ Medicaid policy and receipt of dental services, and the relationship between Medicaid reimbursement rates and receipt of preventive and emergency dental services. </w:t>
      </w:r>
      <w:bookmarkStart w:id="149" w:name="_Hlk93312923"/>
      <w:r>
        <w:t>Specifically, this report addresses the following research questions:</w:t>
      </w:r>
    </w:p>
    <w:p w14:paraId="2179EEDB" w14:textId="40646F1C" w:rsidR="000D4F98" w:rsidRPr="00537483" w:rsidRDefault="00401D57" w:rsidP="00042B28">
      <w:pPr>
        <w:pStyle w:val="NCDBodyText"/>
      </w:pPr>
      <w:r w:rsidRPr="00401D57">
        <w:rPr>
          <w:i/>
        </w:rPr>
        <w:t>Barriers to Dental Care for Adults with I/DD</w:t>
      </w:r>
    </w:p>
    <w:p w14:paraId="5DCD1B07" w14:textId="77777777" w:rsidR="000D4F98" w:rsidRPr="00537483" w:rsidRDefault="000D4F98" w:rsidP="00F54928">
      <w:pPr>
        <w:pStyle w:val="NCDLetteredLevel1"/>
        <w:numPr>
          <w:ilvl w:val="0"/>
          <w:numId w:val="26"/>
        </w:numPr>
      </w:pPr>
      <w:r>
        <w:t>What are the key barriers to receipt of dental care among adults with I/DD who receive Medicaid?</w:t>
      </w:r>
    </w:p>
    <w:p w14:paraId="2092C2B9" w14:textId="587C926B" w:rsidR="000D4F98" w:rsidRPr="00537483" w:rsidRDefault="00401D57" w:rsidP="00042B28">
      <w:pPr>
        <w:pStyle w:val="NCDBodyText"/>
      </w:pPr>
      <w:r w:rsidRPr="00401D57">
        <w:rPr>
          <w:i/>
        </w:rPr>
        <w:t>Status of State Medicaid Policy and Dental Services</w:t>
      </w:r>
    </w:p>
    <w:p w14:paraId="3944EB41" w14:textId="64FC02B2" w:rsidR="000D4F98" w:rsidRPr="00537483" w:rsidRDefault="005E6FA4" w:rsidP="00F54928">
      <w:pPr>
        <w:pStyle w:val="NCDLetteredLevel1"/>
        <w:numPr>
          <w:ilvl w:val="0"/>
          <w:numId w:val="0"/>
        </w:numPr>
        <w:ind w:left="1080" w:hanging="360"/>
      </w:pPr>
      <w:r>
        <w:t>b</w:t>
      </w:r>
      <w:r w:rsidR="00F54928">
        <w:t>.</w:t>
      </w:r>
      <w:r w:rsidR="00F54928">
        <w:tab/>
      </w:r>
      <w:r w:rsidR="000D4F98">
        <w:t>How do states vary in the dental coverage they provide through Medicaid?</w:t>
      </w:r>
    </w:p>
    <w:p w14:paraId="2401F15C" w14:textId="2F9CD9A9" w:rsidR="000D4F98" w:rsidRPr="00537483" w:rsidRDefault="005E6FA4" w:rsidP="00F54928">
      <w:pPr>
        <w:pStyle w:val="NCDLetteredLevel1"/>
        <w:numPr>
          <w:ilvl w:val="0"/>
          <w:numId w:val="0"/>
        </w:numPr>
        <w:ind w:left="1080" w:hanging="360"/>
      </w:pPr>
      <w:r>
        <w:t>c</w:t>
      </w:r>
      <w:r w:rsidR="00F54928">
        <w:t>.</w:t>
      </w:r>
      <w:r w:rsidR="00F54928">
        <w:tab/>
      </w:r>
      <w:r w:rsidR="000D4F98">
        <w:t>What states expand dental coverage to patients with I/DD specifically through waiver programs?</w:t>
      </w:r>
    </w:p>
    <w:p w14:paraId="79951A9A" w14:textId="46C49F7D" w:rsidR="000D4F98" w:rsidRPr="00537483" w:rsidRDefault="00401D57" w:rsidP="00042B28">
      <w:pPr>
        <w:pStyle w:val="NCDBodyText"/>
      </w:pPr>
      <w:r w:rsidRPr="00401D57">
        <w:rPr>
          <w:i/>
        </w:rPr>
        <w:lastRenderedPageBreak/>
        <w:t>Receipt of Dental Services Among Adults with I/DD</w:t>
      </w:r>
    </w:p>
    <w:p w14:paraId="682A9162" w14:textId="3656FC7B" w:rsidR="000D4F98" w:rsidRPr="00537483" w:rsidRDefault="005E6FA4" w:rsidP="00F54928">
      <w:pPr>
        <w:pStyle w:val="NCDLetteredLevel1"/>
        <w:numPr>
          <w:ilvl w:val="0"/>
          <w:numId w:val="0"/>
        </w:numPr>
        <w:ind w:left="1080" w:hanging="360"/>
      </w:pPr>
      <w:r>
        <w:t>d</w:t>
      </w:r>
      <w:r w:rsidR="00F54928">
        <w:t>.</w:t>
      </w:r>
      <w:r w:rsidR="00F54928">
        <w:tab/>
      </w:r>
      <w:r w:rsidR="000D4F98">
        <w:t>Among adults with I/DD who receive Medicaid, what percentage receive preventive or routine dental services annually? (Henceforth, both preventive and routine dental services are referred to as “basic dental services.”)</w:t>
      </w:r>
    </w:p>
    <w:p w14:paraId="44185E27" w14:textId="516F73CF" w:rsidR="000D4F98" w:rsidRPr="00537483" w:rsidRDefault="00401D57" w:rsidP="00042B28">
      <w:pPr>
        <w:pStyle w:val="NCDBodyText"/>
      </w:pPr>
      <w:r w:rsidRPr="00401D57">
        <w:rPr>
          <w:i/>
        </w:rPr>
        <w:t>Impact and Costs of Medicaid Dental Benefits</w:t>
      </w:r>
    </w:p>
    <w:p w14:paraId="75E0DA2D" w14:textId="1A36E4EA" w:rsidR="000D4F98" w:rsidRPr="00537483" w:rsidRDefault="005E6FA4" w:rsidP="00F54928">
      <w:pPr>
        <w:pStyle w:val="NCDLetteredLevel1"/>
        <w:numPr>
          <w:ilvl w:val="0"/>
          <w:numId w:val="0"/>
        </w:numPr>
        <w:ind w:left="1080" w:hanging="360"/>
      </w:pPr>
      <w:r>
        <w:t>e</w:t>
      </w:r>
      <w:r w:rsidR="00F54928">
        <w:t>.</w:t>
      </w:r>
      <w:r w:rsidR="00F54928">
        <w:tab/>
      </w:r>
      <w:r w:rsidR="000D4F98">
        <w:t>What is the relationship between states’ Medicaid policies for dental services and the likelihood of receiving basic dental services among adults with I/DD? Are waiver programs associated with receipt of basic dental services among adults with I/DD?</w:t>
      </w:r>
    </w:p>
    <w:p w14:paraId="4E1EF2A6" w14:textId="4CD03543" w:rsidR="000D4F98" w:rsidRPr="00537483" w:rsidRDefault="005E6FA4" w:rsidP="00F54928">
      <w:pPr>
        <w:pStyle w:val="NCDLetteredLevel1"/>
        <w:numPr>
          <w:ilvl w:val="0"/>
          <w:numId w:val="0"/>
        </w:numPr>
        <w:ind w:left="1080" w:hanging="360"/>
      </w:pPr>
      <w:r>
        <w:t>f</w:t>
      </w:r>
      <w:r w:rsidR="00F54928">
        <w:t>.</w:t>
      </w:r>
      <w:r w:rsidR="00F54928">
        <w:tab/>
      </w:r>
      <w:r w:rsidR="000D4F98">
        <w:t>What is the relationship between reimbursement rates for Medicaid health care providers and receipt of health care among Medicaid beneficiaries?</w:t>
      </w:r>
    </w:p>
    <w:p w14:paraId="144F9F5A" w14:textId="68A0B559" w:rsidR="000D4F98" w:rsidRPr="00537483" w:rsidRDefault="005E6FA4" w:rsidP="00F54928">
      <w:pPr>
        <w:pStyle w:val="NCDLetteredLevel1"/>
        <w:numPr>
          <w:ilvl w:val="0"/>
          <w:numId w:val="0"/>
        </w:numPr>
        <w:ind w:left="1080" w:hanging="360"/>
      </w:pPr>
      <w:r>
        <w:t>g</w:t>
      </w:r>
      <w:r w:rsidR="00F54928">
        <w:t>.</w:t>
      </w:r>
      <w:r w:rsidR="00F54928">
        <w:tab/>
      </w:r>
      <w:r w:rsidR="000D4F98">
        <w:t>What is the relationship between states’ Medicaid policy and receipt of dental care in the emergency department (ED)?</w:t>
      </w:r>
    </w:p>
    <w:p w14:paraId="4DA0F964" w14:textId="30EA0F9A" w:rsidR="000D4F98" w:rsidRPr="00537483" w:rsidRDefault="005E6FA4" w:rsidP="00F54928">
      <w:pPr>
        <w:pStyle w:val="NCDLetteredLevel1"/>
        <w:numPr>
          <w:ilvl w:val="0"/>
          <w:numId w:val="0"/>
        </w:numPr>
        <w:ind w:left="1080" w:hanging="360"/>
      </w:pPr>
      <w:r>
        <w:t>h</w:t>
      </w:r>
      <w:r w:rsidR="00F54928">
        <w:t>.</w:t>
      </w:r>
      <w:r w:rsidR="00F54928">
        <w:tab/>
      </w:r>
      <w:r w:rsidR="000D4F98">
        <w:t>What are the potential cost savings associated with providing Medicaid coverage for basic dental services for patients with I/DD?</w:t>
      </w:r>
    </w:p>
    <w:p w14:paraId="27634B59" w14:textId="6789FE6C" w:rsidR="000D4F98" w:rsidRPr="00537483" w:rsidRDefault="00401D57" w:rsidP="00042B28">
      <w:pPr>
        <w:pStyle w:val="NCDBodyText"/>
      </w:pPr>
      <w:r w:rsidRPr="00401D57">
        <w:rPr>
          <w:i/>
        </w:rPr>
        <w:t>Lessons Learned and Recommendations for Future Medicaid Dental Coverage</w:t>
      </w:r>
    </w:p>
    <w:p w14:paraId="274E5C4A" w14:textId="2FA3EEB2" w:rsidR="000D4F98" w:rsidRPr="00537483" w:rsidRDefault="005E6FA4" w:rsidP="00F54928">
      <w:pPr>
        <w:pStyle w:val="NCDLetteredLevel1"/>
        <w:numPr>
          <w:ilvl w:val="0"/>
          <w:numId w:val="0"/>
        </w:numPr>
        <w:ind w:left="1080" w:hanging="360"/>
      </w:pPr>
      <w:r>
        <w:t>i</w:t>
      </w:r>
      <w:r w:rsidR="00F54928">
        <w:t>.</w:t>
      </w:r>
      <w:r w:rsidR="00F54928">
        <w:tab/>
      </w:r>
      <w:r w:rsidR="000D4F98">
        <w:t>What can be learned, and potentially adopted as useful policy, from states that have innovative oral health care approaches for people with I/DD?</w:t>
      </w:r>
    </w:p>
    <w:p w14:paraId="04375D40" w14:textId="5647787C" w:rsidR="000D4F98" w:rsidRPr="00537483" w:rsidRDefault="005E6FA4" w:rsidP="00F54928">
      <w:pPr>
        <w:pStyle w:val="NCDLetteredLevel1"/>
        <w:numPr>
          <w:ilvl w:val="0"/>
          <w:numId w:val="0"/>
        </w:numPr>
        <w:ind w:left="1080" w:hanging="360"/>
      </w:pPr>
      <w:r>
        <w:t>j</w:t>
      </w:r>
      <w:r w:rsidR="00F54928">
        <w:t>.</w:t>
      </w:r>
      <w:r w:rsidR="00F54928">
        <w:tab/>
      </w:r>
      <w:r w:rsidR="000D4F98">
        <w:t>What changes to Medicaid could be recommended at the federal and state levels to increase access to dental health services?</w:t>
      </w:r>
    </w:p>
    <w:p w14:paraId="5B0115F9" w14:textId="293B88CB" w:rsidR="000D4F98" w:rsidRPr="00537483" w:rsidRDefault="005E6FA4" w:rsidP="00F54928">
      <w:pPr>
        <w:pStyle w:val="NCDLetteredLevel1"/>
        <w:numPr>
          <w:ilvl w:val="0"/>
          <w:numId w:val="0"/>
        </w:numPr>
        <w:ind w:left="1080" w:hanging="360"/>
      </w:pPr>
      <w:r>
        <w:t>k</w:t>
      </w:r>
      <w:r w:rsidR="00F54928">
        <w:t>.</w:t>
      </w:r>
      <w:r w:rsidR="00F54928">
        <w:tab/>
      </w:r>
      <w:r w:rsidR="000D4F98">
        <w:t>Should reimbursement rates for Medicaid dental providers be increased to improve access?</w:t>
      </w:r>
      <w:bookmarkEnd w:id="149"/>
    </w:p>
    <w:p w14:paraId="5B43C4A2" w14:textId="77777777" w:rsidR="000D4F98" w:rsidRPr="00537483" w:rsidRDefault="000D4F98" w:rsidP="00171B3F">
      <w:pPr>
        <w:pStyle w:val="NCDBodyText"/>
      </w:pPr>
      <w:r>
        <w:t>The Surgeon General’s 2000 report on oral health care among people with disabilities noted the lack of available oral health and dental care data specific to the population with disabilities and urged for the equitable measurement, collection, and reporting of such information in the future.</w:t>
      </w:r>
      <w:r>
        <w:rPr>
          <w:vertAlign w:val="superscript"/>
        </w:rPr>
        <w:endnoteReference w:id="53"/>
      </w:r>
      <w:r>
        <w:t xml:space="preserve"> Data on oral health care for adults with I/DD remains </w:t>
      </w:r>
      <w:r>
        <w:lastRenderedPageBreak/>
        <w:t>difficult to obtain, even twenty years later. Thus, to comprehensively answer these research questions, NCD collected both qualitative and quantitative data from multiple sources. NCD hosted a virtual stakeholder meeting, conducted key informant interviews (KIIs), administered questionnaires to developmental disability (DD) agency leaders in all fifty states and Washington, DC, created a Medicaid Oral Health Policy Database (MOHPD), and analyzed Medicaid claims data from all fifty states, using CMS’ Transformed Medicaid Statistical Information System (T-MSIS) data. T-MSIS is a data and systems component of CMS containing utilization and claims data on Medicaid and the Children’s Health Insurance Program (CHIP).</w:t>
      </w:r>
    </w:p>
    <w:p w14:paraId="063FA766" w14:textId="77777777" w:rsidR="000D4F98" w:rsidRPr="00537483" w:rsidRDefault="000D4F98" w:rsidP="00171B3F">
      <w:pPr>
        <w:pStyle w:val="Heading2"/>
        <w:rPr>
          <w:rFonts w:eastAsia="Arial"/>
        </w:rPr>
      </w:pPr>
      <w:bookmarkStart w:id="150" w:name="_Toc95237036"/>
      <w:r>
        <w:rPr>
          <w:rFonts w:eastAsia="Arial"/>
        </w:rPr>
        <w:t>Research Methods</w:t>
      </w:r>
      <w:bookmarkEnd w:id="150"/>
    </w:p>
    <w:p w14:paraId="53059A0B" w14:textId="5C8E746C" w:rsidR="000D4F98" w:rsidRPr="00537483" w:rsidRDefault="00401D57" w:rsidP="00171B3F">
      <w:pPr>
        <w:pStyle w:val="Heading3"/>
      </w:pPr>
      <w:bookmarkStart w:id="151" w:name="_Toc95237037"/>
      <w:r w:rsidRPr="00401D57">
        <w:t>Virtual Stakeholder Meeting</w:t>
      </w:r>
      <w:bookmarkEnd w:id="151"/>
    </w:p>
    <w:p w14:paraId="18F3755C" w14:textId="77777777" w:rsidR="000D4F98" w:rsidRPr="00537483" w:rsidRDefault="000D4F98" w:rsidP="00171B3F">
      <w:pPr>
        <w:pStyle w:val="NCDBodyText"/>
      </w:pPr>
      <w:r>
        <w:t>In November 2020, NCD held a virtual Zoom meeting with oral health practitioners, I/DD researchers, and advocates to introduce the study to key stakeholders and solicit their perspectives and advice on the study objectives and methods.</w:t>
      </w:r>
      <w:r>
        <w:rPr>
          <w:sz w:val="26"/>
          <w:szCs w:val="26"/>
        </w:rPr>
        <w:t xml:space="preserve"> Thirty-five</w:t>
      </w:r>
      <w:r>
        <w:t xml:space="preserve"> individuals attended the summit, including four from NCD and five members of the research team, representing over twenty organizations. Attendees included self-advocates, dentists specializing in caring for people with I/DD, direct support professionals, oral health researchers, I/DD health and policy experts, and state Medicaid and DD agency administrators.</w:t>
      </w:r>
      <w:r>
        <w:rPr>
          <w:sz w:val="25"/>
          <w:szCs w:val="25"/>
          <w:highlight w:val="white"/>
        </w:rPr>
        <w:t xml:space="preserve"> </w:t>
      </w:r>
      <w:r>
        <w:t>The agenda and list of attendees are provided in Appendix A.</w:t>
      </w:r>
    </w:p>
    <w:p w14:paraId="4EEA0A56" w14:textId="77777777" w:rsidR="000D4F98" w:rsidRPr="00537483" w:rsidRDefault="000D4F98" w:rsidP="00171B3F">
      <w:pPr>
        <w:pStyle w:val="NCDBodyText"/>
      </w:pPr>
      <w:r>
        <w:t xml:space="preserve">The research team solicited feedback on four topics through two rounds of small breakout groups, giving each attendee the opportunity to participate in discussions on two topics. These topics were (1) innovative state Medicaid policies, (2) analytic approaches to Medicaid claims data, (3) coordination between Medicaid and state DD agencies and innovative DD agency practices, and (4) coverage and reimbursement of oral health care for people with I/DD and other important considerations. Other topics discussed included the importance of and general barriers to oral health care for the adult I/DD population. Summit proceedings were recorded and transcribed, with key stakeholders cited in this report anonymously. Transcripts were reviewed for themes as </w:t>
      </w:r>
      <w:r>
        <w:lastRenderedPageBreak/>
        <w:t>they related to the research questions and integrated experts’ ideas on ways to improve access to care in this report.</w:t>
      </w:r>
    </w:p>
    <w:p w14:paraId="7A425E4E" w14:textId="70C2931F" w:rsidR="000D4F98" w:rsidRPr="00537483" w:rsidRDefault="00401D57" w:rsidP="00171B3F">
      <w:pPr>
        <w:pStyle w:val="Heading3"/>
      </w:pPr>
      <w:bookmarkStart w:id="152" w:name="_Toc95237038"/>
      <w:r w:rsidRPr="00401D57">
        <w:t>Key Informant Interviews</w:t>
      </w:r>
      <w:bookmarkEnd w:id="152"/>
    </w:p>
    <w:p w14:paraId="5F28E2C0" w14:textId="77777777" w:rsidR="000D4F98" w:rsidRPr="00537483" w:rsidRDefault="000D4F98" w:rsidP="00171B3F">
      <w:pPr>
        <w:pStyle w:val="NCDBodyText"/>
      </w:pPr>
      <w:r>
        <w:t>Interviews were conducted with twenty-two KIIs between November 2020 and July 2021. Subject matter experts were identified during the discussions at the virtual stakeholder meeting, through KIIs, and via research</w:t>
      </w:r>
      <w:r>
        <w:rPr>
          <w:sz w:val="26"/>
          <w:szCs w:val="26"/>
        </w:rPr>
        <w:t xml:space="preserve">. </w:t>
      </w:r>
      <w:r>
        <w:t>The goals of the KIIs were to (1) explore and learn about promising practices in oral health and state policy and (2) collect recommendations from key experts about approaches to improving oral health for adults with I/DD, including opportunities within Medicaid policy. The specific questions asked in the KIIs were tailored to the expertise of the key informant but focused on the best use of Medicaid funding to improve access to dental services and promote oral and overall health. Each interviewee offered insights on other research questions for which they had professional experience and knowledge. Notes from each interview were reviewed, themes were identified as they relate to research questions, and findings were categorized by theme. This report integrates the learnings from these interviews.</w:t>
      </w:r>
    </w:p>
    <w:p w14:paraId="3E8FC8BA" w14:textId="1FE7BF20" w:rsidR="000D4F98" w:rsidRPr="00537483" w:rsidRDefault="00401D57" w:rsidP="00171B3F">
      <w:pPr>
        <w:pStyle w:val="Heading3"/>
      </w:pPr>
      <w:bookmarkStart w:id="153" w:name="_Toc95237039"/>
      <w:r w:rsidRPr="00401D57">
        <w:t>Questionnaire of Directors of State Developmental Disabilities Agencies</w:t>
      </w:r>
      <w:bookmarkEnd w:id="153"/>
    </w:p>
    <w:p w14:paraId="2D144D68" w14:textId="77777777" w:rsidR="000D4F98" w:rsidRPr="00537483" w:rsidRDefault="000D4F98" w:rsidP="00171B3F">
      <w:pPr>
        <w:pStyle w:val="NCDBodyText"/>
      </w:pPr>
      <w:r>
        <w:t>A questionnaire was sent to DD agency leaders in all fifty states and Washington, DC. The purpose of the questionnaire was to identify any unique or innovative strategies employed by state DD agencies in their provision of oral health services for adults with I/DD, including how they coordinate with their state’s Medicaid agency. The findings helped reveal current practices and potential recommendations for future policy that could benefit adults with I/DD.</w:t>
      </w:r>
    </w:p>
    <w:p w14:paraId="7EEA4D58" w14:textId="77777777" w:rsidR="000D4F98" w:rsidRPr="00537483" w:rsidRDefault="000D4F98" w:rsidP="00171B3F">
      <w:pPr>
        <w:pStyle w:val="NCDBodyText"/>
      </w:pPr>
      <w:r>
        <w:t>The questionnaire was further reviewed by a state DD agency leader and leaders at the National Association of State Directors of Developmental Disabilities. The questionnaire was tailored to reflect the level of Medicaid oral health benefits (none, emergency only, limited, or extensive) offered by the state of the respondent, as classified in prior research produced by the National Academy for State Health Policy (NASHP).</w:t>
      </w:r>
      <w:r>
        <w:rPr>
          <w:vertAlign w:val="superscript"/>
        </w:rPr>
        <w:endnoteReference w:id="54"/>
      </w:r>
      <w:r>
        <w:t xml:space="preserve"> (This classification is captured within the aforementioned fifty-state/Washington, DC, </w:t>
      </w:r>
      <w:r>
        <w:lastRenderedPageBreak/>
        <w:t>MOHPD, described in the next section.) The questionnaire was administered on the secure Qualtrics online platform.</w:t>
      </w:r>
    </w:p>
    <w:p w14:paraId="7DA61C81" w14:textId="77777777" w:rsidR="000D4F98" w:rsidRPr="00537483" w:rsidRDefault="000D4F98" w:rsidP="00171B3F">
      <w:pPr>
        <w:pStyle w:val="NCDBodyText"/>
      </w:pPr>
      <w:r>
        <w:t>The questionnaire asked directors how they coordinate health care services for adults with I/DD with the state Medicaid program and how they educate people served by their agency about additional oral health services, if applicable, outside of the general dental benefits their state Medicaid program offers. The questionnaire requested a description of any additional oral health–related services and activities for adults with I/DD outside of Medicaid, if applicable. Additionally, the questionnaire asked about the inclusion of consumers or patient advocates in agency meetings, and their perspectives on the main barriers to oral health care for adults with I/DD in their state. Nonrespondents were contacted multiple times by phone and by email. Twenty-eight leaders of state DD agencies completed questionnaires. The full questionnaire is available in Appendix B.</w:t>
      </w:r>
    </w:p>
    <w:p w14:paraId="68A08483" w14:textId="2546AD3A" w:rsidR="000D4F98" w:rsidRPr="00537483" w:rsidRDefault="00401D57" w:rsidP="00171B3F">
      <w:pPr>
        <w:pStyle w:val="Heading3"/>
      </w:pPr>
      <w:bookmarkStart w:id="154" w:name="_Toc95237040"/>
      <w:r w:rsidRPr="00401D57">
        <w:t>Medicaid Oral Health Policy Database (MOHPD)</w:t>
      </w:r>
      <w:bookmarkEnd w:id="154"/>
    </w:p>
    <w:p w14:paraId="710874F9" w14:textId="5BD4A0B4" w:rsidR="000D4F98" w:rsidRPr="00537483" w:rsidRDefault="000D4F98" w:rsidP="00171B3F">
      <w:pPr>
        <w:pStyle w:val="NCDBodyText"/>
      </w:pPr>
      <w:r>
        <w:t xml:space="preserve">The MOHPD contains the most recently available information about key Medicaid policy dimensions related to oral health for each state’s Medicaid program. The data spans the years 2015–2021, depending on data availability. The term </w:t>
      </w:r>
      <w:r w:rsidR="00401D57" w:rsidRPr="00401D57">
        <w:rPr>
          <w:i/>
          <w:iCs/>
        </w:rPr>
        <w:t>dimension</w:t>
      </w:r>
      <w:r>
        <w:t xml:space="preserve"> is used to describe a specific aspect of a state Medicaid program that is variable, in other words, subject to state policy choices and not federally mandated, or those that vary across states (e.g., a state’s Federal Medical Assistance Percentage [FMAP] rates). Dimensions were deemed salient for inclusion through KIIs, literature scan, and public availability of relevant information in a usable format. The dimensions include the level of Medicaid dental benefits for the general adult population as classified by the NASHP, state waivers that cover dental access specifically for people with I/DD, state FMAP levels, the fee schedules for key adult preventive oral health services, as well as other salient dimensions.</w:t>
      </w:r>
      <w:r>
        <w:rPr>
          <w:vertAlign w:val="superscript"/>
        </w:rPr>
        <w:endnoteReference w:id="55"/>
      </w:r>
      <w:r>
        <w:t xml:space="preserve"> The full explanation of dimensions and sources is provided in Appendix C.</w:t>
      </w:r>
    </w:p>
    <w:p w14:paraId="6C7C570F" w14:textId="77777777" w:rsidR="000D4F98" w:rsidRPr="00537483" w:rsidRDefault="000D4F98" w:rsidP="00171B3F">
      <w:pPr>
        <w:pStyle w:val="NCDBodyText"/>
      </w:pPr>
      <w:r>
        <w:t>The MOHPD was analyzed to answer the research questions, and it was merged with the T-MSIS data to assess the relationship between current state Medicaid policies and receipt of dental services, described in more detail next.</w:t>
      </w:r>
    </w:p>
    <w:p w14:paraId="7924DC26" w14:textId="1D7AC0C6" w:rsidR="000D4F98" w:rsidRPr="00537483" w:rsidRDefault="00401D57" w:rsidP="00171B3F">
      <w:pPr>
        <w:pStyle w:val="Heading3"/>
      </w:pPr>
      <w:bookmarkStart w:id="155" w:name="_Toc95237041"/>
      <w:r w:rsidRPr="00401D57">
        <w:lastRenderedPageBreak/>
        <w:t>T-MSIS Data Analysis</w:t>
      </w:r>
      <w:bookmarkEnd w:id="155"/>
    </w:p>
    <w:p w14:paraId="161E87D5" w14:textId="0FEE5AB0" w:rsidR="000D4F98" w:rsidRPr="00537483" w:rsidRDefault="000D4F98" w:rsidP="00171B3F">
      <w:pPr>
        <w:pStyle w:val="NCDBodyText"/>
      </w:pPr>
      <w:r>
        <w:t xml:space="preserve">NCD undertook an analysis of the T-MSIS data set, which contains the state Medicaid claims data available for all Medicaid beneficiaries, through CMS. NCD received a sample of over 800,000 adults with I/DD who had a Medicaid claim in 2018, the most recent year of data available at the time of the data request. Each Medicaid claim in T-MSIS data is linked to a unique beneficiary ID to track the services each beneficiary received that were paid for by Medicaid. This data was used to assess receipt of dental services, location of receipt of that care, and the association between state Medicaid policies and reimbursement rates and receipt of preventive oral health care, utilization of EDs for dental care, and the cost to states of providing oral health care to adults with I/DD. Because T-MSIS data is limited to Medicaid claims that were paid for by the Medicaid program, receipt of services does not include services that were paid for by other insurers or were received through charity programs. For ease of writing, the term </w:t>
      </w:r>
      <w:r w:rsidR="00401D57" w:rsidRPr="00401D57">
        <w:rPr>
          <w:i/>
          <w:iCs/>
        </w:rPr>
        <w:t>receipt of dental services</w:t>
      </w:r>
      <w:r>
        <w:t xml:space="preserve"> is used throughout the remainder of the report. Reimbursement rates in T-MSIS reflect FFS payments only, as described earlier, because MCOs do not consistently report to state Medicaid agencies about the fees that are paid to providers for services rendered, and reimbursements provided by MCOs are not included in the T-MSIS data.</w:t>
      </w:r>
      <w:r>
        <w:rPr>
          <w:vertAlign w:val="superscript"/>
        </w:rPr>
        <w:endnoteReference w:id="56"/>
      </w:r>
    </w:p>
    <w:p w14:paraId="3A9C86AE" w14:textId="77777777" w:rsidR="000D4F98" w:rsidRPr="00537483" w:rsidRDefault="000D4F98" w:rsidP="00171B3F">
      <w:pPr>
        <w:pStyle w:val="NCDBodyText"/>
      </w:pPr>
      <w:r>
        <w:t>Adults with I/DD in the T-MSIS were identified by whether they had a diagnosis code, displayed in Appendix D, in their 2018 Medicaid claims data, which is associated with an I/DD. CMS identified 1,134,264 beneficiaries with I/DD who received Medicaid in 2018. Appendix E provides more detail about the sample. The first column in Appendix E provides the sample size by state of adults with I/DD. The second column provides the total number of adults with I/DD in each state who receive Medicaid, as identified by CMS based on the diagnosis codes. The third column provides the percentage of adults with I/DD in the sample in each state. The fourth column provides the percentage of Medicaid beneficiaries in each state who had an I/DD.</w:t>
      </w:r>
    </w:p>
    <w:p w14:paraId="4B79674F" w14:textId="77777777" w:rsidR="000D4F98" w:rsidRPr="00537483" w:rsidRDefault="000D4F98" w:rsidP="00171B3F">
      <w:pPr>
        <w:pStyle w:val="NCDBodyText"/>
      </w:pPr>
      <w:r>
        <w:t>A representative sample of claims records for adults with I/DD was randomly selected within each state. The analytic sample used in this report represents 73 percent of adults identified with I/DD who receive Medicaid across the nation in 2018. For twenty-</w:t>
      </w:r>
      <w:r>
        <w:lastRenderedPageBreak/>
        <w:t>five states (Alabama, Alaska, Arkansas, Colorado, Delaware, Hawaii, Idaho, Iowa, Kansas, Maine, Mississippi, Montana, Nebraska, Nevada, New Hampshire, New Mexico, North Dakota, Oklahoma, Oregon, Rhode Island, South Dakota, Utah, Vermont, West Virginia, Wyoming</w:t>
      </w:r>
      <w:r>
        <w:rPr>
          <w:highlight w:val="white"/>
        </w:rPr>
        <w:t>) and the District of Columbia</w:t>
      </w:r>
      <w:r>
        <w:t>, the sample includes all (100 percent) adults with I/DD who received Medicaid in that state.</w:t>
      </w:r>
      <w:r>
        <w:rPr>
          <w:vertAlign w:val="superscript"/>
        </w:rPr>
        <w:endnoteReference w:id="57"/>
      </w:r>
      <w:r>
        <w:t xml:space="preserve"> On average, based on these data, 2.5 percent of Medicaid beneficiaries have an I/DD diagnosis; however, that percentage varies widely by state, from a low of 1 percent in </w:t>
      </w:r>
      <w:r>
        <w:rPr>
          <w:highlight w:val="white"/>
        </w:rPr>
        <w:t xml:space="preserve">Colorado </w:t>
      </w:r>
      <w:r>
        <w:t>to a high of 11 percent in Wyoming. It is possible that some adults with I/DD were not identified as having an I/DD because their I/DD diagnosis was not included in their Medicaid claims.</w:t>
      </w:r>
    </w:p>
    <w:p w14:paraId="3C3EC33F" w14:textId="77777777" w:rsidR="00171B3F" w:rsidRDefault="00171B3F">
      <w:pPr>
        <w:spacing w:after="160" w:line="259" w:lineRule="auto"/>
        <w:rPr>
          <w:rFonts w:eastAsia="Calibri" w:cs="Calibri"/>
          <w:color w:val="000000"/>
          <w:szCs w:val="24"/>
          <w:u w:color="000000"/>
          <w:bdr w:val="nil"/>
        </w:rPr>
      </w:pPr>
      <w:r>
        <w:br w:type="page"/>
      </w:r>
    </w:p>
    <w:p w14:paraId="65EFFF80" w14:textId="1DDEF17E" w:rsidR="000D4F98" w:rsidRPr="00537483" w:rsidRDefault="00401D57" w:rsidP="00171B3F">
      <w:pPr>
        <w:pStyle w:val="NCDBodyText"/>
        <w:jc w:val="center"/>
      </w:pPr>
      <w:r w:rsidRPr="00401D57">
        <w:rPr>
          <w:b/>
        </w:rPr>
        <w:lastRenderedPageBreak/>
        <w:t>This page intentionally left blank</w:t>
      </w:r>
    </w:p>
    <w:p w14:paraId="4329AFAF" w14:textId="77777777" w:rsidR="000D4F98" w:rsidRPr="00537483" w:rsidRDefault="000D4F98" w:rsidP="000D4F98">
      <w:pPr>
        <w:rPr>
          <w:rFonts w:asciiTheme="majorHAnsi" w:eastAsiaTheme="majorEastAsia" w:hAnsiTheme="majorHAnsi" w:cstheme="majorBidi"/>
          <w:color w:val="365F91" w:themeColor="accent1" w:themeShade="BF"/>
          <w:sz w:val="32"/>
          <w:szCs w:val="32"/>
        </w:rPr>
      </w:pPr>
      <w:bookmarkStart w:id="156" w:name="_Toc83304270"/>
      <w:r>
        <w:br w:type="page"/>
      </w:r>
    </w:p>
    <w:p w14:paraId="3145B2C7" w14:textId="3F347CDA" w:rsidR="000D4F98" w:rsidRPr="00537483" w:rsidRDefault="000D4F98" w:rsidP="00171B3F">
      <w:pPr>
        <w:pStyle w:val="Heading1"/>
      </w:pPr>
      <w:bookmarkStart w:id="157" w:name="_Toc92354771"/>
      <w:bookmarkStart w:id="158" w:name="_Toc95237042"/>
      <w:r>
        <w:lastRenderedPageBreak/>
        <w:t xml:space="preserve">Chapter </w:t>
      </w:r>
      <w:r w:rsidR="002442EE">
        <w:t>2</w:t>
      </w:r>
      <w:r>
        <w:t xml:space="preserve">: Barriers to Oral Health Care </w:t>
      </w:r>
      <w:r w:rsidR="00171B3F">
        <w:br/>
      </w:r>
      <w:r>
        <w:t>for Adults with I/DD</w:t>
      </w:r>
      <w:bookmarkEnd w:id="156"/>
      <w:bookmarkEnd w:id="157"/>
      <w:bookmarkEnd w:id="158"/>
    </w:p>
    <w:p w14:paraId="7819FD20" w14:textId="77777777" w:rsidR="000D4F98" w:rsidRPr="00537483" w:rsidRDefault="000D4F98" w:rsidP="00171B3F">
      <w:pPr>
        <w:pStyle w:val="NCDBodyText"/>
      </w:pPr>
      <w:r>
        <w:t>S</w:t>
      </w:r>
      <w:r w:rsidRPr="00E73F22">
        <w:t>ignificant</w:t>
      </w:r>
      <w:r>
        <w:t xml:space="preserve"> strides have been made toward expanding access to oral health care and raising awareness about and addressing barriers to care for people with I/DD. New standards and policies are being considered in or adopted by state and federal legislative bodies for dental education and dental practice. The federal </w:t>
      </w:r>
      <w:bookmarkStart w:id="159" w:name="_Hlk93314049"/>
      <w:r>
        <w:t>Action for Dental Health Act</w:t>
      </w:r>
      <w:bookmarkEnd w:id="159"/>
      <w:r>
        <w:t xml:space="preserve"> was signed into law on December 11, 2018, which signified a need to improve access to oral health care for older adults and those with disabilities, among other underserved populations.</w:t>
      </w:r>
      <w:r>
        <w:rPr>
          <w:vertAlign w:val="superscript"/>
        </w:rPr>
        <w:endnoteReference w:id="58"/>
      </w:r>
      <w:r>
        <w:rPr>
          <w:vertAlign w:val="superscript"/>
        </w:rPr>
        <w:t xml:space="preserve"> </w:t>
      </w:r>
      <w:r>
        <w:t>This bipartisan legislation, which authorizes close to $32 million in spending annually from FY 2018 to FY 2022,</w:t>
      </w:r>
      <w:r>
        <w:rPr>
          <w:vertAlign w:val="superscript"/>
        </w:rPr>
        <w:endnoteReference w:id="59"/>
      </w:r>
      <w:r>
        <w:t xml:space="preserve"> amends the Public Health Service Act to fund organizations to improve oral health education and dental disease prevention, facilitate the establishment of dental homes for children and adults, and implement initiatives</w:t>
      </w:r>
      <w:r>
        <w:rPr>
          <w:rStyle w:val="EndnoteReference"/>
          <w:rFonts w:eastAsia="Arial" w:cs="Arial"/>
        </w:rPr>
        <w:endnoteReference w:id="60"/>
      </w:r>
      <w:r>
        <w:t xml:space="preserve"> that reduce ED visits for certain dental services.</w:t>
      </w:r>
      <w:r>
        <w:rPr>
          <w:vertAlign w:val="superscript"/>
        </w:rPr>
        <w:endnoteReference w:id="61"/>
      </w:r>
    </w:p>
    <w:p w14:paraId="1810A120" w14:textId="77777777" w:rsidR="000D4F98" w:rsidRPr="00537483" w:rsidRDefault="000D4F98" w:rsidP="00171B3F">
      <w:pPr>
        <w:pStyle w:val="NCDBodyText"/>
      </w:pPr>
      <w:r>
        <w:t xml:space="preserve">Also </w:t>
      </w:r>
      <w:bookmarkStart w:id="160" w:name="_Hlk93313827"/>
      <w:r>
        <w:t>in 2018, following NCD’s recommendation, the American Dental Association (ADA) revised its Code of Professional Conduct to state that a patient cannot be denied treatment based on their disability status alone.</w:t>
      </w:r>
      <w:bookmarkEnd w:id="160"/>
      <w:r>
        <w:rPr>
          <w:vertAlign w:val="superscript"/>
        </w:rPr>
        <w:endnoteReference w:id="62"/>
      </w:r>
      <w:r>
        <w:t xml:space="preserve"> Because the ADA code of conduct is often used as the basis for state laws and regulations, this change had a ripple effect on dental practices.</w:t>
      </w:r>
    </w:p>
    <w:p w14:paraId="5101FCB3" w14:textId="77777777" w:rsidR="000D4F98" w:rsidRPr="00537483" w:rsidRDefault="000D4F98" w:rsidP="00171B3F">
      <w:pPr>
        <w:pStyle w:val="NCDBodyText"/>
      </w:pPr>
      <w:bookmarkStart w:id="161" w:name="_Hlk93313869"/>
      <w:r>
        <w:t>In 2019, the Commission on Dental Accreditation (CODA), at the recommendation of NCD,</w:t>
      </w:r>
      <w:r>
        <w:rPr>
          <w:vertAlign w:val="superscript"/>
        </w:rPr>
        <w:endnoteReference w:id="63"/>
      </w:r>
      <w:r>
        <w:t xml:space="preserve"> revised its standards to require graduating dental students, dental hygienists, and other oral health professionals to be competent in managing the treatment of people with I/DD and other disabilities.</w:t>
      </w:r>
      <w:bookmarkEnd w:id="161"/>
      <w:r>
        <w:t xml:space="preserve"> The aim of this revision is to better prepare a workforce that is comfortable with and trained to provide care to those with disabilities.</w:t>
      </w:r>
    </w:p>
    <w:p w14:paraId="54484215" w14:textId="77777777" w:rsidR="000D4F98" w:rsidRPr="00537483" w:rsidRDefault="000D4F98" w:rsidP="00171B3F">
      <w:pPr>
        <w:pStyle w:val="NCDBodyText"/>
      </w:pPr>
      <w:bookmarkStart w:id="162" w:name="_Hlk93313931"/>
      <w:r>
        <w:t>Finally, in 2020, ADA’s Code on Dental Procedures and Nomenclature, or Current Dental Terminology (CDT) included codes for dental case management for patients with special needs.</w:t>
      </w:r>
      <w:bookmarkEnd w:id="162"/>
      <w:r>
        <w:rPr>
          <w:vertAlign w:val="superscript"/>
        </w:rPr>
        <w:endnoteReference w:id="64"/>
      </w:r>
      <w:r>
        <w:t xml:space="preserve"> The CDT is a standardized set of procedural codes for oral health services produced by the ADA and used in all fifty states and Washington, DC, to achieve “uniformity, consistency and specificity in accurately documenting dental </w:t>
      </w:r>
      <w:r>
        <w:lastRenderedPageBreak/>
        <w:t>treatment.”</w:t>
      </w:r>
      <w:r>
        <w:rPr>
          <w:vertAlign w:val="superscript"/>
        </w:rPr>
        <w:endnoteReference w:id="65"/>
      </w:r>
      <w:r>
        <w:t xml:space="preserve"> These codes allow dental care providers to bill for the additional and important work of ensuring coordination of care for patients with special needs.</w:t>
      </w:r>
    </w:p>
    <w:p w14:paraId="731BFE69" w14:textId="77777777" w:rsidR="000D4F98" w:rsidRPr="00537483" w:rsidRDefault="000D4F98" w:rsidP="00171B3F">
      <w:pPr>
        <w:pStyle w:val="NCDBodyText"/>
      </w:pPr>
      <w:r>
        <w:t xml:space="preserve">Despite these efforts to raise awareness of, and address, barriers to dental care for adults with I/DD, barriers remain. The summit attendees for this report, state DD agency leaders, and key informants all uniformly described multiple ongoing barriers to receiving oral health care. Nearly all the key informant interview interviewees and the summit participants agreed that increasing access to dental care for adults with I/DD was essential for improving quality of life for this population, especially regarding socialization and employment opportunities. They additionally confirmed many barriers described in the research literature that adults with I/DD face in accessing oral health care. </w:t>
      </w:r>
      <w:bookmarkStart w:id="163" w:name="_Hlk93315020"/>
      <w:r>
        <w:t>Five main categories of systemic barriers and challenges emerged: lack of adult Medicaid dental coverage, lack of providers who accept Medicaid, lack of trained providers, difficulty in providing for specialized care needs, and transportation. (See Appe</w:t>
      </w:r>
      <w:bookmarkEnd w:id="163"/>
      <w:r>
        <w:t>ndix F for detailed descriptions of the DD questionnaire responses about these barriers.)</w:t>
      </w:r>
    </w:p>
    <w:p w14:paraId="13FBF9BC" w14:textId="30C8CF11" w:rsidR="000D4F98" w:rsidRPr="00537483" w:rsidRDefault="005B3E62" w:rsidP="00631007">
      <w:pPr>
        <w:pStyle w:val="NCDNumberedLevel1"/>
        <w:numPr>
          <w:ilvl w:val="0"/>
          <w:numId w:val="0"/>
        </w:numPr>
        <w:ind w:left="1008" w:hanging="504"/>
      </w:pPr>
      <w:r w:rsidRPr="005B3E62">
        <w:t>(</w:t>
      </w:r>
      <w:r>
        <w:t>1</w:t>
      </w:r>
      <w:r w:rsidRPr="005B3E62">
        <w:t>)</w:t>
      </w:r>
      <w:r>
        <w:tab/>
      </w:r>
      <w:r w:rsidR="00401D57" w:rsidRPr="00401D57">
        <w:rPr>
          <w:i/>
        </w:rPr>
        <w:t>Lack of adult Medicaid dental coverage</w:t>
      </w:r>
      <w:r w:rsidR="000D4F98" w:rsidRPr="00D06F4B">
        <w:rPr>
          <w:iCs/>
        </w:rPr>
        <w:t>:</w:t>
      </w:r>
      <w:r w:rsidR="00401D57" w:rsidRPr="00401D57">
        <w:rPr>
          <w:i/>
        </w:rPr>
        <w:t xml:space="preserve"> </w:t>
      </w:r>
      <w:r w:rsidR="000D4F98">
        <w:t>The lack of standardized Medicaid coverage for preventive services critical to serving this population, like silver diamine fluoride (SDF) application and use of nitrous oxide, limits dental care for adults with I/DD across states. Six DD questionnaire respondents and two key informants mentioned this as a barrier.</w:t>
      </w:r>
    </w:p>
    <w:p w14:paraId="08338855" w14:textId="3125DFE0" w:rsidR="000D4F98" w:rsidRPr="00537483" w:rsidRDefault="005B3E62" w:rsidP="00631007">
      <w:pPr>
        <w:pStyle w:val="NCDNumberedLevel1"/>
        <w:numPr>
          <w:ilvl w:val="0"/>
          <w:numId w:val="0"/>
        </w:numPr>
        <w:ind w:left="1008" w:hanging="504"/>
        <w:rPr>
          <w:rFonts w:eastAsia="Arial"/>
        </w:rPr>
      </w:pPr>
      <w:r w:rsidRPr="005B3E62">
        <w:t>(</w:t>
      </w:r>
      <w:r>
        <w:t>2</w:t>
      </w:r>
      <w:r w:rsidRPr="005B3E62">
        <w:t>)</w:t>
      </w:r>
      <w:r>
        <w:tab/>
      </w:r>
      <w:r w:rsidR="00401D57" w:rsidRPr="00401D57">
        <w:rPr>
          <w:rFonts w:eastAsia="Arial"/>
          <w:i/>
        </w:rPr>
        <w:t>Lack of providers who accept Medicaid</w:t>
      </w:r>
      <w:r w:rsidR="000D4F98" w:rsidRPr="00D06F4B">
        <w:rPr>
          <w:rFonts w:eastAsia="Arial"/>
          <w:iCs/>
        </w:rPr>
        <w:t>:</w:t>
      </w:r>
      <w:r w:rsidR="00401D57" w:rsidRPr="00401D57">
        <w:rPr>
          <w:rFonts w:eastAsia="Arial"/>
          <w:i/>
        </w:rPr>
        <w:t xml:space="preserve"> </w:t>
      </w:r>
      <w:r w:rsidR="000D4F98">
        <w:rPr>
          <w:rFonts w:eastAsia="Arial"/>
        </w:rPr>
        <w:t>There is a lack of dental providers who serve Medicaid patients, due not only to the lack of training, but likely compounded by low Medicaid reimbursement rates. Medicaid FFS reimbursement rates are lower than those for private insurers.</w:t>
      </w:r>
      <w:r w:rsidR="000D4F98">
        <w:rPr>
          <w:rFonts w:eastAsia="Arial"/>
          <w:vertAlign w:val="superscript"/>
        </w:rPr>
        <w:endnoteReference w:id="66"/>
      </w:r>
      <w:r w:rsidR="000D4F98">
        <w:rPr>
          <w:rFonts w:eastAsia="Arial"/>
        </w:rPr>
        <w:t xml:space="preserve"> As described in chapter 1, </w:t>
      </w:r>
      <w:r w:rsidR="000D4F98">
        <w:rPr>
          <w:rFonts w:eastAsia="Arial"/>
          <w:highlight w:val="white"/>
        </w:rPr>
        <w:t>one study indicated that increasing the Medicaid reimbursement rates increased receipt of preventive dental care for children who are Medicaid beneficiaries.</w:t>
      </w:r>
      <w:r w:rsidR="000D4F98">
        <w:rPr>
          <w:rFonts w:eastAsia="Arial"/>
          <w:highlight w:val="white"/>
          <w:vertAlign w:val="superscript"/>
        </w:rPr>
        <w:endnoteReference w:id="67"/>
      </w:r>
      <w:r w:rsidR="000D4F98">
        <w:rPr>
          <w:rFonts w:eastAsia="Arial"/>
          <w:highlight w:val="white"/>
        </w:rPr>
        <w:t xml:space="preserve"> </w:t>
      </w:r>
      <w:r w:rsidR="000D4F98">
        <w:rPr>
          <w:rFonts w:eastAsia="Arial"/>
        </w:rPr>
        <w:t>Two prior studies, using rigorous quasi-experimental designs, demonstrated increases in access to medical care associated with higher reimbursement rates. The first of these studies demonstrated that increased Medicaid reimbursement, through both FFS and states’ capitation rates</w:t>
      </w:r>
      <w:r w:rsidR="000D4F98">
        <w:rPr>
          <w:rFonts w:eastAsia="Arial"/>
          <w:vertAlign w:val="superscript"/>
        </w:rPr>
        <w:endnoteReference w:id="68"/>
      </w:r>
      <w:r w:rsidR="000D4F98">
        <w:rPr>
          <w:rFonts w:eastAsia="Arial"/>
        </w:rPr>
        <w:t xml:space="preserve"> to </w:t>
      </w:r>
      <w:r w:rsidR="000D4F98">
        <w:rPr>
          <w:rFonts w:eastAsia="Arial"/>
        </w:rPr>
        <w:lastRenderedPageBreak/>
        <w:t xml:space="preserve">managed care organizations, which were required under the </w:t>
      </w:r>
      <w:r w:rsidR="000D4F98" w:rsidRPr="00384C8F">
        <w:t>Patient Protection and Affordable Care Act</w:t>
      </w:r>
      <w:r w:rsidR="000D4F98">
        <w:rPr>
          <w:rFonts w:cstheme="minorHAnsi"/>
        </w:rPr>
        <w:t xml:space="preserve"> </w:t>
      </w:r>
      <w:r w:rsidR="000D4F98">
        <w:rPr>
          <w:rFonts w:eastAsia="Arial"/>
        </w:rPr>
        <w:t>mandates, for certain nondental health services, led to decreases in patients’ reports of physicians not accepting Medicaid beneficiaries, increases in utilization of care, and improvements in self-reported health.</w:t>
      </w:r>
      <w:r w:rsidR="000D4F98">
        <w:rPr>
          <w:rFonts w:eastAsia="Arial"/>
          <w:vertAlign w:val="superscript"/>
        </w:rPr>
        <w:endnoteReference w:id="69"/>
      </w:r>
      <w:r w:rsidR="000D4F98">
        <w:rPr>
          <w:rFonts w:eastAsia="Arial"/>
        </w:rPr>
        <w:t xml:space="preserve"> The second study found that when this mandated rate increase expired in 2016, primary care appointment availability decreased for new Medicaid patients in the states that allowed their rates to decrease.</w:t>
      </w:r>
      <w:r w:rsidR="000D4F98">
        <w:rPr>
          <w:rFonts w:eastAsia="Arial"/>
          <w:vertAlign w:val="superscript"/>
        </w:rPr>
        <w:endnoteReference w:id="70"/>
      </w:r>
    </w:p>
    <w:p w14:paraId="2B6348ED" w14:textId="77777777" w:rsidR="000D4F98" w:rsidRPr="00537483" w:rsidRDefault="000D4F98" w:rsidP="00631007">
      <w:pPr>
        <w:pStyle w:val="NCDNumberedLevel1"/>
        <w:numPr>
          <w:ilvl w:val="0"/>
          <w:numId w:val="0"/>
        </w:numPr>
        <w:ind w:left="1008"/>
        <w:rPr>
          <w:rFonts w:eastAsia="Arial"/>
        </w:rPr>
      </w:pPr>
      <w:r>
        <w:rPr>
          <w:rFonts w:eastAsia="Arial"/>
        </w:rPr>
        <w:t>While summit attendees cited low Medicaid reimbursement as a barrier to care, several attendees and key informants who were interviewed mentioned that higher reimbursement does not necessarily lead to more dentists being willing to serve the I/DD population. Demonstrating this, nine DD questionnaire respondents cited a lack of providers who take Medicaid, while only four mentioned low reimbursement rates as barriers to care.</w:t>
      </w:r>
    </w:p>
    <w:p w14:paraId="3B42412D" w14:textId="2BF710C5" w:rsidR="000D4F98" w:rsidRPr="00537483" w:rsidRDefault="005B3E62" w:rsidP="00631007">
      <w:pPr>
        <w:pStyle w:val="NCDNumberedLevel1"/>
        <w:numPr>
          <w:ilvl w:val="0"/>
          <w:numId w:val="0"/>
        </w:numPr>
        <w:ind w:left="1008" w:hanging="504"/>
        <w:rPr>
          <w:rFonts w:eastAsia="Arial"/>
        </w:rPr>
      </w:pPr>
      <w:r w:rsidRPr="005B3E62">
        <w:t>(</w:t>
      </w:r>
      <w:r>
        <w:t>3</w:t>
      </w:r>
      <w:r w:rsidRPr="005B3E62">
        <w:t>)</w:t>
      </w:r>
      <w:r>
        <w:tab/>
      </w:r>
      <w:r w:rsidR="00401D57" w:rsidRPr="00401D57">
        <w:rPr>
          <w:rFonts w:eastAsia="Arial"/>
          <w:i/>
        </w:rPr>
        <w:t>Training and education</w:t>
      </w:r>
      <w:r w:rsidR="000D4F98" w:rsidRPr="00D06F4B">
        <w:rPr>
          <w:rFonts w:eastAsia="Arial"/>
          <w:iCs/>
        </w:rPr>
        <w:t>:</w:t>
      </w:r>
      <w:r w:rsidR="000D4F98">
        <w:rPr>
          <w:rFonts w:eastAsia="Arial"/>
        </w:rPr>
        <w:t xml:space="preserve"> There </w:t>
      </w:r>
      <w:r w:rsidR="000D4F98" w:rsidRPr="002442EE">
        <w:rPr>
          <w:rFonts w:eastAsia="Arial"/>
        </w:rPr>
        <w:t>is a</w:t>
      </w:r>
      <w:r w:rsidR="00401D57" w:rsidRPr="002442EE">
        <w:rPr>
          <w:rFonts w:eastAsia="Arial"/>
        </w:rPr>
        <w:t xml:space="preserve"> </w:t>
      </w:r>
      <w:r w:rsidR="000D4F98" w:rsidRPr="002442EE">
        <w:rPr>
          <w:rFonts w:eastAsia="Arial"/>
        </w:rPr>
        <w:t>lack</w:t>
      </w:r>
      <w:r w:rsidR="000D4F98">
        <w:rPr>
          <w:rFonts w:eastAsia="Arial"/>
        </w:rPr>
        <w:t xml:space="preserve"> of provider training and education and stigma associated with serving the I/DD population. Oral health care providers</w:t>
      </w:r>
      <w:r w:rsidR="000D4F98">
        <w:t xml:space="preserve">, </w:t>
      </w:r>
      <w:r w:rsidR="000D4F98">
        <w:rPr>
          <w:rFonts w:eastAsia="Arial"/>
        </w:rPr>
        <w:t>particularly those who graduated before CODA revised its standards to include training on the management of the treatment of patients with disabilities, may be unaware of the unique needs of the I/DD population</w:t>
      </w:r>
      <w:r w:rsidR="000D4F98">
        <w:t xml:space="preserve">. </w:t>
      </w:r>
      <w:r w:rsidR="000D4F98">
        <w:rPr>
          <w:rFonts w:eastAsia="Arial"/>
        </w:rPr>
        <w:t>They can find it difficult to spend the extra time and patience needed to care for patients with I/DD. Thirteen respondents to the DD questionnaire and three key informants cited a lack of trained providers and/or stigma about treating people with disabilities as a barrier to oral health care.</w:t>
      </w:r>
    </w:p>
    <w:p w14:paraId="47B91BA6" w14:textId="3C060BBF" w:rsidR="000D4F98" w:rsidRPr="00537483" w:rsidRDefault="005B3E62" w:rsidP="00631007">
      <w:pPr>
        <w:pStyle w:val="NCDNumberedLevel1"/>
        <w:numPr>
          <w:ilvl w:val="0"/>
          <w:numId w:val="0"/>
        </w:numPr>
        <w:ind w:left="1008" w:hanging="504"/>
        <w:rPr>
          <w:rFonts w:eastAsia="Arial"/>
        </w:rPr>
      </w:pPr>
      <w:r w:rsidRPr="005B3E62">
        <w:t>(</w:t>
      </w:r>
      <w:r>
        <w:t>4</w:t>
      </w:r>
      <w:r w:rsidRPr="005B3E62">
        <w:t>)</w:t>
      </w:r>
      <w:r>
        <w:tab/>
      </w:r>
      <w:r w:rsidR="00401D57" w:rsidRPr="00401D57">
        <w:rPr>
          <w:rFonts w:eastAsia="Arial"/>
          <w:i/>
        </w:rPr>
        <w:t>Difficulties in accessing operating rooms (ORs) in hospitals for oral health procedures and providing specialized care</w:t>
      </w:r>
      <w:r w:rsidR="000D4F98" w:rsidRPr="00D06F4B">
        <w:rPr>
          <w:rFonts w:eastAsia="Arial"/>
          <w:iCs/>
        </w:rPr>
        <w:t>:</w:t>
      </w:r>
      <w:r w:rsidR="000D4F98" w:rsidRPr="0060205E">
        <w:rPr>
          <w:rFonts w:eastAsia="Arial"/>
          <w:iCs/>
        </w:rPr>
        <w:t xml:space="preserve"> </w:t>
      </w:r>
      <w:r w:rsidR="000D4F98">
        <w:rPr>
          <w:rFonts w:eastAsia="Arial"/>
        </w:rPr>
        <w:t xml:space="preserve">Adults with serious I/DDs may require general anesthesia to receive preventive oral health care because they cannot tolerate dental care otherwise. Thus, they must receive oral health care in a hospital setting or in outpatient dental surgery settings. Ten DD respondents mentioned an inability to provide specialized care as a barrier to oral health access. Research on access to oral health care for Medicaid enrollees with I/DD in California indicates that lack of access to general </w:t>
      </w:r>
      <w:r w:rsidR="000D4F98">
        <w:rPr>
          <w:rFonts w:eastAsia="Arial"/>
        </w:rPr>
        <w:lastRenderedPageBreak/>
        <w:t>anesthesia for the dental care of patients with I/DD results from a lack of facilities that offer this service and accept Medicaid and hospitals’ prioritization of other surgeries over dental services in the OR.</w:t>
      </w:r>
      <w:r w:rsidR="000D4F98">
        <w:rPr>
          <w:rFonts w:eastAsia="Arial"/>
          <w:vertAlign w:val="superscript"/>
        </w:rPr>
        <w:endnoteReference w:id="71"/>
      </w:r>
      <w:r w:rsidR="000D4F98">
        <w:rPr>
          <w:rFonts w:eastAsia="Arial"/>
        </w:rPr>
        <w:t xml:space="preserve"> Chapter 6 of this report addresses this issue in greater detail.</w:t>
      </w:r>
    </w:p>
    <w:p w14:paraId="2D01C0A3" w14:textId="4FEA3743" w:rsidR="000D4F98" w:rsidRPr="00537483" w:rsidRDefault="005B3E62" w:rsidP="00631007">
      <w:pPr>
        <w:pStyle w:val="NCDNumberedLevel1"/>
        <w:numPr>
          <w:ilvl w:val="0"/>
          <w:numId w:val="0"/>
        </w:numPr>
        <w:ind w:left="1008" w:hanging="504"/>
        <w:rPr>
          <w:rFonts w:eastAsia="Arial"/>
        </w:rPr>
      </w:pPr>
      <w:r w:rsidRPr="005B3E62">
        <w:t>(</w:t>
      </w:r>
      <w:r>
        <w:t>5</w:t>
      </w:r>
      <w:r w:rsidRPr="005B3E62">
        <w:t>)</w:t>
      </w:r>
      <w:r>
        <w:tab/>
      </w:r>
      <w:r w:rsidR="00401D57" w:rsidRPr="00401D57">
        <w:rPr>
          <w:rFonts w:eastAsia="Arial"/>
          <w:i/>
        </w:rPr>
        <w:t>Transportation</w:t>
      </w:r>
      <w:r w:rsidR="000D4F98">
        <w:rPr>
          <w:rFonts w:eastAsia="Arial"/>
        </w:rPr>
        <w:t>: Even when a patient can locate a dentist who is willing to treat them, they may face barriers arranging transportation to the appointment or must drive long distances for dental care. Two DD questionnaire respondents cited transportation as a barrier to care, while four key informants mentioned the lack of providers and transportation as a barrier.</w:t>
      </w:r>
    </w:p>
    <w:p w14:paraId="3747EDBB" w14:textId="77777777" w:rsidR="000D4F98" w:rsidRPr="00537483" w:rsidRDefault="000D4F98" w:rsidP="000D4F98">
      <w:pPr>
        <w:rPr>
          <w:rFonts w:eastAsia="Arial" w:cs="Arial"/>
        </w:rPr>
      </w:pPr>
      <w:r>
        <w:br w:type="page"/>
      </w:r>
    </w:p>
    <w:p w14:paraId="5D77E178" w14:textId="20F42DFC" w:rsidR="000D4F98" w:rsidRPr="00537483" w:rsidRDefault="000D4F98" w:rsidP="00235B82">
      <w:pPr>
        <w:pStyle w:val="Heading1"/>
      </w:pPr>
      <w:bookmarkStart w:id="164" w:name="_Toc83304271"/>
      <w:bookmarkStart w:id="165" w:name="_Toc92354772"/>
      <w:bookmarkStart w:id="166" w:name="_Toc95237043"/>
      <w:r>
        <w:lastRenderedPageBreak/>
        <w:t xml:space="preserve">Chapter </w:t>
      </w:r>
      <w:r w:rsidR="002442EE">
        <w:t>3</w:t>
      </w:r>
      <w:r>
        <w:t>: The Role of Medicaid in Providing Dental Services for Adults with I/DD</w:t>
      </w:r>
      <w:bookmarkEnd w:id="164"/>
      <w:bookmarkEnd w:id="165"/>
      <w:bookmarkEnd w:id="166"/>
    </w:p>
    <w:p w14:paraId="355C5868" w14:textId="77777777" w:rsidR="000D4F98" w:rsidRPr="00537483" w:rsidRDefault="000D4F98" w:rsidP="00235B82">
      <w:pPr>
        <w:pStyle w:val="NCDBodyText"/>
      </w:pPr>
      <w:r>
        <w:t xml:space="preserve">Medicaid is a state-administered program that is supported by both state and federal funding. Each state agency has the authority to determine the structure of the program that best aligns with the needs and resources of its state population, as long as the state program complies with federal statutes and regulations. </w:t>
      </w:r>
      <w:bookmarkStart w:id="167" w:name="_Hlk93315469"/>
      <w:r>
        <w:t xml:space="preserve">Although states are required to make dental care available to children and adolescents under age twenty-one years enrolled in Medicaid via the Early and Periodic Screening, Diagnostic, and Treatment (EPSDT) benefit, there is not a comparable mandate for adult dental benefits in Medicaid. </w:t>
      </w:r>
      <w:bookmarkEnd w:id="167"/>
      <w:r>
        <w:t>As such, there is significant variation in Medicaid programs from state to state in terms of both eligibility criteria and the covered services for adult dental benefits, which range from being nonexistent to extensive.</w:t>
      </w:r>
      <w:r>
        <w:rPr>
          <w:vertAlign w:val="superscript"/>
        </w:rPr>
        <w:endnoteReference w:id="72"/>
      </w:r>
      <w:r>
        <w:t xml:space="preserve"> </w:t>
      </w:r>
      <w:bookmarkStart w:id="168" w:name="_Hlk93315516"/>
      <w:r>
        <w:t>Among the general population of adults, those who live in states without an adult dental benefit in Medicaid are more likely to report that life is often “less satisfying due to the condition of mouth and teeth.”</w:t>
      </w:r>
      <w:bookmarkEnd w:id="168"/>
      <w:r>
        <w:rPr>
          <w:vertAlign w:val="superscript"/>
        </w:rPr>
        <w:endnoteReference w:id="73"/>
      </w:r>
      <w:r>
        <w:t xml:space="preserve"> Studies have shown that access to adult Medicaid dental benefits increases the probability of a dental visit within twelve months, underscoring the importance of access to dental care through Medicaid.</w:t>
      </w:r>
      <w:r>
        <w:rPr>
          <w:vertAlign w:val="superscript"/>
        </w:rPr>
        <w:endnoteReference w:id="74"/>
      </w:r>
      <w:r>
        <w:rPr>
          <w:vertAlign w:val="superscript"/>
        </w:rPr>
        <w:t>,</w:t>
      </w:r>
      <w:r>
        <w:rPr>
          <w:vertAlign w:val="superscript"/>
        </w:rPr>
        <w:endnoteReference w:id="75"/>
      </w:r>
    </w:p>
    <w:p w14:paraId="32B86E97" w14:textId="77777777" w:rsidR="000D4F98" w:rsidRPr="00537483" w:rsidRDefault="000D4F98" w:rsidP="00235B82">
      <w:pPr>
        <w:pStyle w:val="NCDBodyText"/>
      </w:pPr>
      <w:r>
        <w:t>The NASHP categorized states’ adult dental benefits in Medicaid in July 2021 as no coverage, emergency only, limited, and extensive.</w:t>
      </w:r>
      <w:r>
        <w:rPr>
          <w:vertAlign w:val="superscript"/>
        </w:rPr>
        <w:endnoteReference w:id="76"/>
      </w:r>
      <w:r>
        <w:t xml:space="preserve"> Twenty-three states and Washington, DC, provide extensive dental benefits for adults, with spending caps of at least $1,000 per person per year and coverage for diagnostic, preventive, and major restorative dental services. Fourteen states provide limited adult dental benefits with lower annual spending caps and coverage for diagnostic, preventive, and minor diagnostic dental services. Nine cover only emergency dental care for relief of pain or infection in emergency situations. Three states do not offer any adult dental services (see Table 1). Variation in state Medicaid policy provides opportunities for studying the impact of these variations on receipt of dental care (see Appendix C and MOHPD). This classification system is used for this study and included in the MOHPD created for this study (see chapter 1).</w:t>
      </w:r>
    </w:p>
    <w:p w14:paraId="4753C38C" w14:textId="6ACA5A77" w:rsidR="000D4F98" w:rsidRPr="00235B82" w:rsidRDefault="00401D57" w:rsidP="00235B82">
      <w:pPr>
        <w:pStyle w:val="NCDTableHeader"/>
        <w:spacing w:after="200"/>
        <w:rPr>
          <w:rFonts w:eastAsia="Arial"/>
        </w:rPr>
      </w:pPr>
      <w:r w:rsidRPr="00401D57">
        <w:rPr>
          <w:rFonts w:eastAsia="Arial"/>
        </w:rPr>
        <w:lastRenderedPageBreak/>
        <w:t>Table 1</w:t>
      </w:r>
      <w:r w:rsidR="00C26485">
        <w:rPr>
          <w:rFonts w:eastAsia="Arial"/>
        </w:rPr>
        <w:t>:</w:t>
      </w:r>
      <w:r w:rsidRPr="00401D57">
        <w:rPr>
          <w:rFonts w:eastAsia="Arial"/>
        </w:rPr>
        <w:t xml:space="preserve"> Number of States’ Medicaid Programs Offering Different Levels of Dental Benefits for the General Adult Population, 2021</w:t>
      </w:r>
      <w:r w:rsidRPr="00401D57">
        <w:rPr>
          <w:rFonts w:eastAsia="Arial"/>
          <w:vertAlign w:val="superscript"/>
        </w:rPr>
        <w:endnoteReference w:id="77"/>
      </w:r>
    </w:p>
    <w:tbl>
      <w:tblPr>
        <w:tblW w:w="7980" w:type="dxa"/>
        <w:jc w:val="center"/>
        <w:tblBorders>
          <w:top w:val="nil"/>
          <w:left w:val="nil"/>
          <w:bottom w:val="nil"/>
          <w:right w:val="nil"/>
          <w:insideH w:val="nil"/>
          <w:insideV w:val="nil"/>
        </w:tblBorders>
        <w:tblLayout w:type="fixed"/>
        <w:tblCellMar>
          <w:top w:w="43" w:type="dxa"/>
          <w:left w:w="115" w:type="dxa"/>
          <w:bottom w:w="43" w:type="dxa"/>
          <w:right w:w="115" w:type="dxa"/>
        </w:tblCellMar>
        <w:tblLook w:val="0600" w:firstRow="0" w:lastRow="0" w:firstColumn="0" w:lastColumn="0" w:noHBand="1" w:noVBand="1"/>
      </w:tblPr>
      <w:tblGrid>
        <w:gridCol w:w="3870"/>
        <w:gridCol w:w="4110"/>
      </w:tblGrid>
      <w:tr w:rsidR="000D4F98" w:rsidRPr="00235B82" w14:paraId="5864F580" w14:textId="77777777" w:rsidTr="004E689B">
        <w:trPr>
          <w:trHeight w:val="315"/>
          <w:jc w:val="center"/>
        </w:trPr>
        <w:tc>
          <w:tcPr>
            <w:tcW w:w="387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73819C8F" w14:textId="08D24867" w:rsidR="000D4F98" w:rsidRPr="00235B82" w:rsidRDefault="00401D57" w:rsidP="00235B82">
            <w:pPr>
              <w:pStyle w:val="NCDTableHeader"/>
              <w:rPr>
                <w:rFonts w:eastAsia="Arial"/>
              </w:rPr>
            </w:pPr>
            <w:bookmarkStart w:id="169" w:name="_heading=h.35nkun2" w:colFirst="0" w:colLast="0"/>
            <w:bookmarkEnd w:id="169"/>
            <w:r w:rsidRPr="00401D57">
              <w:rPr>
                <w:rFonts w:eastAsia="Arial"/>
              </w:rPr>
              <w:t>Level of Dental Benefits</w:t>
            </w:r>
          </w:p>
        </w:tc>
        <w:tc>
          <w:tcPr>
            <w:tcW w:w="411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4E601DD3" w14:textId="20DD30D2" w:rsidR="000D4F98" w:rsidRPr="00235B82" w:rsidRDefault="00401D57" w:rsidP="00235B82">
            <w:pPr>
              <w:pStyle w:val="NCDTableHeader"/>
              <w:jc w:val="center"/>
              <w:rPr>
                <w:rFonts w:eastAsia="Arial"/>
              </w:rPr>
            </w:pPr>
            <w:r w:rsidRPr="00401D57">
              <w:rPr>
                <w:rFonts w:eastAsia="Arial"/>
              </w:rPr>
              <w:t>Number of States</w:t>
            </w:r>
          </w:p>
        </w:tc>
      </w:tr>
      <w:tr w:rsidR="000D4F98" w:rsidRPr="00235B82" w14:paraId="0C78929F" w14:textId="77777777" w:rsidTr="004E689B">
        <w:trPr>
          <w:trHeight w:val="315"/>
          <w:jc w:val="center"/>
        </w:trPr>
        <w:tc>
          <w:tcPr>
            <w:tcW w:w="387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342B2523" w14:textId="77777777" w:rsidR="000D4F98" w:rsidRPr="00235B82" w:rsidRDefault="000D4F98" w:rsidP="00235B82">
            <w:pPr>
              <w:pStyle w:val="NCDTableText"/>
              <w:rPr>
                <w:rFonts w:eastAsia="Arial"/>
              </w:rPr>
            </w:pPr>
            <w:r w:rsidRPr="00235B82">
              <w:rPr>
                <w:rFonts w:eastAsia="Arial"/>
              </w:rPr>
              <w:t>No coverage</w:t>
            </w:r>
          </w:p>
        </w:tc>
        <w:tc>
          <w:tcPr>
            <w:tcW w:w="411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763C904B" w14:textId="77777777" w:rsidR="000D4F98" w:rsidRPr="00235B82" w:rsidRDefault="000D4F98" w:rsidP="00235B82">
            <w:pPr>
              <w:pStyle w:val="NCDTableText"/>
              <w:ind w:right="2016"/>
              <w:jc w:val="right"/>
              <w:rPr>
                <w:rFonts w:eastAsia="Arial"/>
              </w:rPr>
            </w:pPr>
            <w:r w:rsidRPr="00235B82">
              <w:rPr>
                <w:rFonts w:eastAsia="Arial"/>
              </w:rPr>
              <w:t>3</w:t>
            </w:r>
          </w:p>
        </w:tc>
      </w:tr>
      <w:tr w:rsidR="000D4F98" w:rsidRPr="00235B82" w14:paraId="206474D7" w14:textId="77777777" w:rsidTr="004E689B">
        <w:trPr>
          <w:trHeight w:val="315"/>
          <w:jc w:val="center"/>
        </w:trPr>
        <w:tc>
          <w:tcPr>
            <w:tcW w:w="387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89D9D88" w14:textId="77777777" w:rsidR="000D4F98" w:rsidRPr="00235B82" w:rsidRDefault="000D4F98" w:rsidP="00235B82">
            <w:pPr>
              <w:pStyle w:val="NCDTableText"/>
              <w:rPr>
                <w:rFonts w:eastAsia="Arial"/>
              </w:rPr>
            </w:pPr>
            <w:r w:rsidRPr="00235B82">
              <w:rPr>
                <w:rFonts w:eastAsia="Arial"/>
              </w:rPr>
              <w:t>Emergency only</w:t>
            </w:r>
          </w:p>
        </w:tc>
        <w:tc>
          <w:tcPr>
            <w:tcW w:w="411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21B10DA0" w14:textId="77777777" w:rsidR="000D4F98" w:rsidRPr="00235B82" w:rsidRDefault="000D4F98" w:rsidP="00235B82">
            <w:pPr>
              <w:pStyle w:val="NCDTableText"/>
              <w:ind w:right="2016"/>
              <w:jc w:val="right"/>
              <w:rPr>
                <w:rFonts w:eastAsia="Arial"/>
              </w:rPr>
            </w:pPr>
            <w:r w:rsidRPr="00235B82">
              <w:rPr>
                <w:rFonts w:eastAsia="Arial"/>
              </w:rPr>
              <w:t>9</w:t>
            </w:r>
          </w:p>
        </w:tc>
      </w:tr>
      <w:tr w:rsidR="000D4F98" w:rsidRPr="00235B82" w14:paraId="23DD1323" w14:textId="77777777" w:rsidTr="004E689B">
        <w:trPr>
          <w:trHeight w:val="315"/>
          <w:jc w:val="center"/>
        </w:trPr>
        <w:tc>
          <w:tcPr>
            <w:tcW w:w="387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8E31B0C" w14:textId="77777777" w:rsidR="000D4F98" w:rsidRPr="00235B82" w:rsidRDefault="000D4F98" w:rsidP="00235B82">
            <w:pPr>
              <w:pStyle w:val="NCDTableText"/>
              <w:rPr>
                <w:rFonts w:eastAsia="Arial"/>
              </w:rPr>
            </w:pPr>
            <w:r w:rsidRPr="00235B82">
              <w:rPr>
                <w:rFonts w:eastAsia="Arial"/>
              </w:rPr>
              <w:t>Limited</w:t>
            </w:r>
          </w:p>
        </w:tc>
        <w:tc>
          <w:tcPr>
            <w:tcW w:w="411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4B916503" w14:textId="77777777" w:rsidR="000D4F98" w:rsidRPr="00235B82" w:rsidRDefault="000D4F98" w:rsidP="00235B82">
            <w:pPr>
              <w:pStyle w:val="NCDTableText"/>
              <w:ind w:right="2016"/>
              <w:jc w:val="right"/>
              <w:rPr>
                <w:rFonts w:eastAsia="Arial"/>
              </w:rPr>
            </w:pPr>
            <w:r w:rsidRPr="00235B82">
              <w:rPr>
                <w:rFonts w:eastAsia="Arial"/>
              </w:rPr>
              <w:t>15</w:t>
            </w:r>
          </w:p>
        </w:tc>
      </w:tr>
      <w:tr w:rsidR="000D4F98" w:rsidRPr="00235B82" w14:paraId="4866CAA2" w14:textId="77777777" w:rsidTr="004E689B">
        <w:trPr>
          <w:trHeight w:val="315"/>
          <w:jc w:val="center"/>
        </w:trPr>
        <w:tc>
          <w:tcPr>
            <w:tcW w:w="387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7333E088" w14:textId="77777777" w:rsidR="000D4F98" w:rsidRPr="00235B82" w:rsidRDefault="000D4F98" w:rsidP="00235B82">
            <w:pPr>
              <w:pStyle w:val="NCDTableText"/>
              <w:rPr>
                <w:rFonts w:eastAsia="Arial"/>
              </w:rPr>
            </w:pPr>
            <w:r w:rsidRPr="00235B82">
              <w:rPr>
                <w:rFonts w:eastAsia="Arial"/>
              </w:rPr>
              <w:t>Extensive</w:t>
            </w:r>
          </w:p>
        </w:tc>
        <w:tc>
          <w:tcPr>
            <w:tcW w:w="411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2839B1CD" w14:textId="77777777" w:rsidR="000D4F98" w:rsidRPr="00235B82" w:rsidRDefault="000D4F98" w:rsidP="00235B82">
            <w:pPr>
              <w:pStyle w:val="NCDTableText"/>
              <w:ind w:right="2016"/>
              <w:jc w:val="right"/>
              <w:rPr>
                <w:rFonts w:eastAsia="Arial"/>
              </w:rPr>
            </w:pPr>
            <w:r w:rsidRPr="00235B82">
              <w:rPr>
                <w:rFonts w:eastAsia="Arial"/>
              </w:rPr>
              <w:t>24</w:t>
            </w:r>
          </w:p>
        </w:tc>
      </w:tr>
    </w:tbl>
    <w:p w14:paraId="6A3DC8DC" w14:textId="77777777" w:rsidR="000D4F98" w:rsidRPr="00537483" w:rsidRDefault="000D4F98" w:rsidP="00235B82">
      <w:pPr>
        <w:pStyle w:val="NCDBodyText"/>
        <w:spacing w:before="200"/>
      </w:pPr>
      <w:r>
        <w:t>Each state also has a distinct DDs services agency serving adults with DDs in the state. Many state Medicaid agencies, in conjunction with state DD agencies, administer 1915(c) home- and community-based services Medicaid waivers, some of which include provisions for dental care for adults with intellectual and developmental disabilities (I/DD; see Appendix C and MOHPD). The 1915(c) waivers are dependent on funding, serving a limited number of people every year, and include specific target groups. Waiver enrollees must have met eligibility requirements for 1915(c) waivers, which means that not all adults with I/DD on Medicaid have access to dental benefits under these waivers. Additionally, some states have implemented section 1115 demonstrations that include an adult dental benefit.</w:t>
      </w:r>
    </w:p>
    <w:p w14:paraId="5F4FA033" w14:textId="77777777" w:rsidR="000D4F98" w:rsidRPr="00537483" w:rsidRDefault="000D4F98" w:rsidP="00235B82">
      <w:pPr>
        <w:pStyle w:val="NCDBodyText"/>
      </w:pPr>
      <w:r>
        <w:t>Table 2 displays the states with and without waivers, in 2018, among states that provide no or emergency-only dental coverage through Medicaid. Both 1915 waivers and 1115 waivers are included in the table. Data from 2018 is displayed to align with the year of T-MSIS data used for this study. Seven of these states provided dental coverage for adults with I/DD through 1915 and/or 1115 waivers. People with I/DD in the states with Medicaid waivers (Table 2) may be able to access Medicaid-covered dental care (if they fulfill waiver requirements and are enrolled in the waiver program), even though the Medicaid state plan does not cover basic dental care.</w:t>
      </w:r>
    </w:p>
    <w:p w14:paraId="239F50D6" w14:textId="77777777" w:rsidR="00235B82" w:rsidRDefault="00235B82">
      <w:pPr>
        <w:spacing w:after="160" w:line="259" w:lineRule="auto"/>
        <w:rPr>
          <w:rFonts w:eastAsia="Arial" w:cs="Arial"/>
          <w:b/>
          <w:bCs/>
          <w:szCs w:val="24"/>
        </w:rPr>
      </w:pPr>
      <w:r>
        <w:rPr>
          <w:rFonts w:eastAsia="Arial"/>
        </w:rPr>
        <w:br w:type="page"/>
      </w:r>
    </w:p>
    <w:p w14:paraId="0CC19D2C" w14:textId="799A9FCC" w:rsidR="000D4F98" w:rsidRPr="00537483" w:rsidRDefault="00401D57" w:rsidP="00235B82">
      <w:pPr>
        <w:pStyle w:val="NCDTableHeader"/>
        <w:spacing w:after="200"/>
        <w:rPr>
          <w:rFonts w:eastAsia="Arial"/>
        </w:rPr>
      </w:pPr>
      <w:r w:rsidRPr="00401D57">
        <w:rPr>
          <w:rFonts w:eastAsia="Arial"/>
        </w:rPr>
        <w:lastRenderedPageBreak/>
        <w:t>Table 2: States with 1915 Waiver or 1115 Demonstration Coverage of Dental Benefits for Adults with I/DD, in 2018, Among States with No or Emergency-Only Medicaid Dental Benefits for the General Adult Population</w:t>
      </w:r>
      <w:r w:rsidRPr="00401D57">
        <w:rPr>
          <w:rFonts w:eastAsia="Arial"/>
          <w:vertAlign w:val="superscript"/>
        </w:rPr>
        <w:endnoteReference w:id="78"/>
      </w:r>
    </w:p>
    <w:tbl>
      <w:tblPr>
        <w:tblW w:w="8720" w:type="dxa"/>
        <w:jc w:val="center"/>
        <w:tblBorders>
          <w:top w:val="nil"/>
          <w:left w:val="nil"/>
          <w:bottom w:val="nil"/>
          <w:right w:val="nil"/>
          <w:insideH w:val="nil"/>
          <w:insideV w:val="nil"/>
        </w:tblBorders>
        <w:tblLayout w:type="fixed"/>
        <w:tblLook w:val="0600" w:firstRow="0" w:lastRow="0" w:firstColumn="0" w:lastColumn="0" w:noHBand="1" w:noVBand="1"/>
      </w:tblPr>
      <w:tblGrid>
        <w:gridCol w:w="2760"/>
        <w:gridCol w:w="3135"/>
        <w:gridCol w:w="2825"/>
      </w:tblGrid>
      <w:tr w:rsidR="000D4F98" w14:paraId="51D3D568" w14:textId="77777777" w:rsidTr="00235B82">
        <w:trPr>
          <w:trHeight w:val="651"/>
          <w:jc w:val="center"/>
        </w:trPr>
        <w:tc>
          <w:tcPr>
            <w:tcW w:w="276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7AB74FE3" w14:textId="3E9E1A7E" w:rsidR="000D4F98" w:rsidRPr="00FE6934" w:rsidRDefault="00401D57" w:rsidP="00235B82">
            <w:pPr>
              <w:pStyle w:val="NCDTableHeader"/>
              <w:rPr>
                <w:rFonts w:eastAsia="Arial"/>
              </w:rPr>
            </w:pPr>
            <w:r w:rsidRPr="00401D57">
              <w:rPr>
                <w:rFonts w:eastAsia="Arial"/>
              </w:rPr>
              <w:t>State</w:t>
            </w:r>
          </w:p>
        </w:tc>
        <w:tc>
          <w:tcPr>
            <w:tcW w:w="3135" w:type="dxa"/>
            <w:tcBorders>
              <w:top w:val="single" w:sz="8" w:space="0" w:color="000000"/>
              <w:left w:val="nil"/>
              <w:bottom w:val="single" w:sz="8" w:space="0" w:color="000000"/>
              <w:right w:val="single" w:sz="8" w:space="0" w:color="000000"/>
            </w:tcBorders>
            <w:tcMar>
              <w:top w:w="40" w:type="dxa"/>
              <w:left w:w="40" w:type="dxa"/>
              <w:bottom w:w="40" w:type="dxa"/>
              <w:right w:w="40" w:type="dxa"/>
            </w:tcMar>
            <w:vAlign w:val="bottom"/>
          </w:tcPr>
          <w:p w14:paraId="6580AC6D" w14:textId="3A053112" w:rsidR="000D4F98" w:rsidRPr="00FE6934" w:rsidRDefault="00401D57" w:rsidP="00235B82">
            <w:pPr>
              <w:pStyle w:val="NCDTableHeader"/>
              <w:jc w:val="center"/>
              <w:rPr>
                <w:rFonts w:eastAsia="Arial"/>
              </w:rPr>
            </w:pPr>
            <w:r w:rsidRPr="00401D57">
              <w:rPr>
                <w:rFonts w:eastAsia="Arial"/>
              </w:rPr>
              <w:t xml:space="preserve">Level of Dental Coverage for General Adult Population </w:t>
            </w:r>
          </w:p>
        </w:tc>
        <w:tc>
          <w:tcPr>
            <w:tcW w:w="2825" w:type="dxa"/>
            <w:tcBorders>
              <w:top w:val="single" w:sz="8" w:space="0" w:color="000000"/>
              <w:left w:val="nil"/>
              <w:bottom w:val="single" w:sz="8" w:space="0" w:color="000000"/>
              <w:right w:val="single" w:sz="8" w:space="0" w:color="000000"/>
            </w:tcBorders>
            <w:tcMar>
              <w:top w:w="40" w:type="dxa"/>
              <w:left w:w="40" w:type="dxa"/>
              <w:bottom w:w="40" w:type="dxa"/>
              <w:right w:w="40" w:type="dxa"/>
            </w:tcMar>
            <w:vAlign w:val="bottom"/>
          </w:tcPr>
          <w:p w14:paraId="1463C045" w14:textId="26C327FD" w:rsidR="000D4F98" w:rsidRPr="00FE6934" w:rsidRDefault="00401D57" w:rsidP="00235B82">
            <w:pPr>
              <w:pStyle w:val="NCDTableHeader"/>
              <w:jc w:val="center"/>
              <w:rPr>
                <w:rFonts w:eastAsia="Arial"/>
              </w:rPr>
            </w:pPr>
            <w:r w:rsidRPr="00401D57">
              <w:rPr>
                <w:rFonts w:eastAsia="Arial"/>
              </w:rPr>
              <w:t>Waiver Coverage of Dental Benefits for Adults with I/DD</w:t>
            </w:r>
          </w:p>
        </w:tc>
      </w:tr>
      <w:tr w:rsidR="000D4F98" w14:paraId="04B493B0" w14:textId="77777777" w:rsidTr="00235B82">
        <w:trPr>
          <w:trHeight w:val="20"/>
          <w:jc w:val="center"/>
        </w:trPr>
        <w:tc>
          <w:tcPr>
            <w:tcW w:w="2760" w:type="dxa"/>
            <w:tcBorders>
              <w:top w:val="nil"/>
              <w:left w:val="single" w:sz="8" w:space="0" w:color="000000"/>
              <w:bottom w:val="single" w:sz="8" w:space="0" w:color="000000"/>
              <w:right w:val="single" w:sz="8" w:space="0" w:color="000000"/>
            </w:tcBorders>
            <w:tcMar>
              <w:top w:w="40" w:type="dxa"/>
              <w:left w:w="40" w:type="dxa"/>
              <w:bottom w:w="40" w:type="dxa"/>
              <w:right w:w="40" w:type="dxa"/>
            </w:tcMar>
            <w:vAlign w:val="bottom"/>
          </w:tcPr>
          <w:p w14:paraId="46AED56A" w14:textId="77777777" w:rsidR="000D4F98" w:rsidRPr="00FE6934" w:rsidRDefault="000D4F98" w:rsidP="00235B82">
            <w:pPr>
              <w:pStyle w:val="NCDTableText"/>
              <w:rPr>
                <w:rFonts w:eastAsia="Arial"/>
              </w:rPr>
            </w:pPr>
            <w:r w:rsidRPr="00FE6934">
              <w:rPr>
                <w:rFonts w:eastAsia="Arial"/>
              </w:rPr>
              <w:t xml:space="preserve">Alabama </w:t>
            </w:r>
          </w:p>
        </w:tc>
        <w:tc>
          <w:tcPr>
            <w:tcW w:w="3135" w:type="dxa"/>
            <w:tcBorders>
              <w:top w:val="nil"/>
              <w:left w:val="nil"/>
              <w:bottom w:val="single" w:sz="8" w:space="0" w:color="000000"/>
              <w:right w:val="single" w:sz="8" w:space="0" w:color="000000"/>
            </w:tcBorders>
            <w:tcMar>
              <w:top w:w="40" w:type="dxa"/>
              <w:left w:w="40" w:type="dxa"/>
              <w:bottom w:w="40" w:type="dxa"/>
              <w:right w:w="40" w:type="dxa"/>
            </w:tcMar>
            <w:vAlign w:val="bottom"/>
          </w:tcPr>
          <w:p w14:paraId="3C3E2D28" w14:textId="77777777" w:rsidR="000D4F98" w:rsidRPr="00FE6934" w:rsidRDefault="000D4F98" w:rsidP="00235B82">
            <w:pPr>
              <w:pStyle w:val="NCDTableText"/>
              <w:jc w:val="center"/>
              <w:rPr>
                <w:rFonts w:eastAsia="Arial"/>
              </w:rPr>
            </w:pPr>
            <w:r w:rsidRPr="00FE6934">
              <w:rPr>
                <w:rFonts w:eastAsia="Arial"/>
              </w:rPr>
              <w:t xml:space="preserve">No </w:t>
            </w:r>
            <w:r>
              <w:rPr>
                <w:rFonts w:eastAsia="Arial"/>
              </w:rPr>
              <w:t>c</w:t>
            </w:r>
            <w:r w:rsidRPr="00FE6934">
              <w:rPr>
                <w:rFonts w:eastAsia="Arial"/>
              </w:rPr>
              <w:t>overage</w:t>
            </w:r>
          </w:p>
        </w:tc>
        <w:tc>
          <w:tcPr>
            <w:tcW w:w="2825" w:type="dxa"/>
            <w:tcBorders>
              <w:top w:val="nil"/>
              <w:left w:val="nil"/>
              <w:bottom w:val="single" w:sz="8" w:space="0" w:color="000000"/>
              <w:right w:val="single" w:sz="8" w:space="0" w:color="000000"/>
            </w:tcBorders>
            <w:tcMar>
              <w:top w:w="40" w:type="dxa"/>
              <w:left w:w="40" w:type="dxa"/>
              <w:bottom w:w="40" w:type="dxa"/>
              <w:right w:w="40" w:type="dxa"/>
            </w:tcMar>
            <w:vAlign w:val="bottom"/>
          </w:tcPr>
          <w:p w14:paraId="385735B8" w14:textId="77777777" w:rsidR="000D4F98" w:rsidRPr="00FE6934" w:rsidRDefault="000D4F98" w:rsidP="00235B82">
            <w:pPr>
              <w:pStyle w:val="NCDTableText"/>
              <w:jc w:val="center"/>
              <w:rPr>
                <w:rFonts w:eastAsia="Arial"/>
              </w:rPr>
            </w:pPr>
            <w:r w:rsidRPr="00FE6934">
              <w:rPr>
                <w:rFonts w:eastAsia="Arial"/>
              </w:rPr>
              <w:t>N</w:t>
            </w:r>
          </w:p>
        </w:tc>
      </w:tr>
      <w:tr w:rsidR="000D4F98" w14:paraId="2313969B" w14:textId="77777777" w:rsidTr="00235B82">
        <w:trPr>
          <w:trHeight w:val="20"/>
          <w:jc w:val="center"/>
        </w:trPr>
        <w:tc>
          <w:tcPr>
            <w:tcW w:w="2760" w:type="dxa"/>
            <w:tcBorders>
              <w:top w:val="nil"/>
              <w:left w:val="single" w:sz="8" w:space="0" w:color="000000"/>
              <w:bottom w:val="single" w:sz="8" w:space="0" w:color="000000"/>
              <w:right w:val="single" w:sz="8" w:space="0" w:color="000000"/>
            </w:tcBorders>
            <w:tcMar>
              <w:top w:w="40" w:type="dxa"/>
              <w:left w:w="40" w:type="dxa"/>
              <w:bottom w:w="40" w:type="dxa"/>
              <w:right w:w="40" w:type="dxa"/>
            </w:tcMar>
            <w:vAlign w:val="bottom"/>
          </w:tcPr>
          <w:p w14:paraId="1E927120" w14:textId="77777777" w:rsidR="000D4F98" w:rsidRPr="00FE6934" w:rsidRDefault="000D4F98" w:rsidP="00235B82">
            <w:pPr>
              <w:pStyle w:val="NCDTableText"/>
              <w:rPr>
                <w:rFonts w:eastAsia="Arial"/>
              </w:rPr>
            </w:pPr>
            <w:r w:rsidRPr="00FE6934">
              <w:rPr>
                <w:rFonts w:eastAsia="Arial"/>
              </w:rPr>
              <w:t>Arizona</w:t>
            </w:r>
          </w:p>
        </w:tc>
        <w:tc>
          <w:tcPr>
            <w:tcW w:w="3135" w:type="dxa"/>
            <w:tcBorders>
              <w:top w:val="nil"/>
              <w:left w:val="nil"/>
              <w:bottom w:val="single" w:sz="8" w:space="0" w:color="000000"/>
              <w:right w:val="single" w:sz="8" w:space="0" w:color="000000"/>
            </w:tcBorders>
            <w:tcMar>
              <w:top w:w="40" w:type="dxa"/>
              <w:left w:w="40" w:type="dxa"/>
              <w:bottom w:w="40" w:type="dxa"/>
              <w:right w:w="40" w:type="dxa"/>
            </w:tcMar>
            <w:vAlign w:val="bottom"/>
          </w:tcPr>
          <w:p w14:paraId="730A9637" w14:textId="77777777" w:rsidR="000D4F98" w:rsidRPr="00FE6934" w:rsidRDefault="000D4F98" w:rsidP="00235B82">
            <w:pPr>
              <w:pStyle w:val="NCDTableText"/>
              <w:jc w:val="center"/>
              <w:rPr>
                <w:rFonts w:eastAsia="Arial"/>
              </w:rPr>
            </w:pPr>
            <w:r w:rsidRPr="00FE6934">
              <w:rPr>
                <w:rFonts w:eastAsia="Arial"/>
              </w:rPr>
              <w:t xml:space="preserve">Emergency </w:t>
            </w:r>
            <w:r>
              <w:rPr>
                <w:rFonts w:eastAsia="Arial"/>
              </w:rPr>
              <w:t>o</w:t>
            </w:r>
            <w:r w:rsidRPr="00FE6934">
              <w:rPr>
                <w:rFonts w:eastAsia="Arial"/>
              </w:rPr>
              <w:t>nly</w:t>
            </w:r>
          </w:p>
        </w:tc>
        <w:tc>
          <w:tcPr>
            <w:tcW w:w="2825" w:type="dxa"/>
            <w:tcBorders>
              <w:top w:val="nil"/>
              <w:left w:val="nil"/>
              <w:bottom w:val="single" w:sz="8" w:space="0" w:color="000000"/>
              <w:right w:val="single" w:sz="8" w:space="0" w:color="000000"/>
            </w:tcBorders>
            <w:tcMar>
              <w:top w:w="40" w:type="dxa"/>
              <w:left w:w="40" w:type="dxa"/>
              <w:bottom w:w="40" w:type="dxa"/>
              <w:right w:w="40" w:type="dxa"/>
            </w:tcMar>
            <w:vAlign w:val="bottom"/>
          </w:tcPr>
          <w:p w14:paraId="7831A1A8" w14:textId="77777777" w:rsidR="000D4F98" w:rsidRPr="00FE6934" w:rsidRDefault="000D4F98" w:rsidP="00235B82">
            <w:pPr>
              <w:pStyle w:val="NCDTableText"/>
              <w:jc w:val="center"/>
              <w:rPr>
                <w:rFonts w:eastAsia="Arial"/>
              </w:rPr>
            </w:pPr>
            <w:r w:rsidRPr="00FE6934">
              <w:rPr>
                <w:rFonts w:eastAsia="Arial"/>
              </w:rPr>
              <w:t>Y</w:t>
            </w:r>
          </w:p>
        </w:tc>
      </w:tr>
      <w:tr w:rsidR="000D4F98" w14:paraId="6D105335" w14:textId="77777777" w:rsidTr="00235B82">
        <w:trPr>
          <w:trHeight w:val="20"/>
          <w:jc w:val="center"/>
        </w:trPr>
        <w:tc>
          <w:tcPr>
            <w:tcW w:w="2760" w:type="dxa"/>
            <w:tcBorders>
              <w:top w:val="nil"/>
              <w:left w:val="single" w:sz="8" w:space="0" w:color="000000"/>
              <w:bottom w:val="single" w:sz="8" w:space="0" w:color="000000"/>
              <w:right w:val="single" w:sz="8" w:space="0" w:color="000000"/>
            </w:tcBorders>
            <w:tcMar>
              <w:top w:w="40" w:type="dxa"/>
              <w:left w:w="40" w:type="dxa"/>
              <w:bottom w:w="40" w:type="dxa"/>
              <w:right w:w="40" w:type="dxa"/>
            </w:tcMar>
            <w:vAlign w:val="bottom"/>
          </w:tcPr>
          <w:p w14:paraId="4185736D" w14:textId="77777777" w:rsidR="000D4F98" w:rsidRPr="00FE6934" w:rsidRDefault="000D4F98" w:rsidP="00235B82">
            <w:pPr>
              <w:pStyle w:val="NCDTableText"/>
              <w:rPr>
                <w:rFonts w:eastAsia="Arial"/>
              </w:rPr>
            </w:pPr>
            <w:r w:rsidRPr="00FE6934">
              <w:rPr>
                <w:rFonts w:eastAsia="Arial"/>
              </w:rPr>
              <w:t>Florida</w:t>
            </w:r>
          </w:p>
        </w:tc>
        <w:tc>
          <w:tcPr>
            <w:tcW w:w="3135" w:type="dxa"/>
            <w:tcBorders>
              <w:top w:val="nil"/>
              <w:left w:val="nil"/>
              <w:bottom w:val="single" w:sz="8" w:space="0" w:color="000000"/>
              <w:right w:val="single" w:sz="8" w:space="0" w:color="000000"/>
            </w:tcBorders>
            <w:tcMar>
              <w:top w:w="40" w:type="dxa"/>
              <w:left w:w="40" w:type="dxa"/>
              <w:bottom w:w="40" w:type="dxa"/>
              <w:right w:w="40" w:type="dxa"/>
            </w:tcMar>
            <w:vAlign w:val="bottom"/>
          </w:tcPr>
          <w:p w14:paraId="37AA0280" w14:textId="77777777" w:rsidR="000D4F98" w:rsidRPr="00FE6934" w:rsidRDefault="000D4F98" w:rsidP="00235B82">
            <w:pPr>
              <w:pStyle w:val="NCDTableText"/>
              <w:jc w:val="center"/>
              <w:rPr>
                <w:rFonts w:eastAsia="Arial"/>
              </w:rPr>
            </w:pPr>
            <w:r w:rsidRPr="00FE6934">
              <w:rPr>
                <w:rFonts w:eastAsia="Arial"/>
              </w:rPr>
              <w:t xml:space="preserve">Emergency </w:t>
            </w:r>
            <w:r>
              <w:rPr>
                <w:rFonts w:eastAsia="Arial"/>
              </w:rPr>
              <w:t>o</w:t>
            </w:r>
            <w:r w:rsidRPr="00FE6934">
              <w:rPr>
                <w:rFonts w:eastAsia="Arial"/>
              </w:rPr>
              <w:t>nly</w:t>
            </w:r>
          </w:p>
        </w:tc>
        <w:tc>
          <w:tcPr>
            <w:tcW w:w="2825" w:type="dxa"/>
            <w:tcBorders>
              <w:top w:val="nil"/>
              <w:left w:val="nil"/>
              <w:bottom w:val="single" w:sz="8" w:space="0" w:color="000000"/>
              <w:right w:val="single" w:sz="8" w:space="0" w:color="000000"/>
            </w:tcBorders>
            <w:tcMar>
              <w:top w:w="40" w:type="dxa"/>
              <w:left w:w="40" w:type="dxa"/>
              <w:bottom w:w="40" w:type="dxa"/>
              <w:right w:w="40" w:type="dxa"/>
            </w:tcMar>
            <w:vAlign w:val="bottom"/>
          </w:tcPr>
          <w:p w14:paraId="102EC38B" w14:textId="77777777" w:rsidR="000D4F98" w:rsidRPr="00FE6934" w:rsidRDefault="000D4F98" w:rsidP="00235B82">
            <w:pPr>
              <w:pStyle w:val="NCDTableText"/>
              <w:jc w:val="center"/>
              <w:rPr>
                <w:rFonts w:eastAsia="Arial"/>
              </w:rPr>
            </w:pPr>
            <w:r w:rsidRPr="00FE6934">
              <w:rPr>
                <w:rFonts w:eastAsia="Arial"/>
              </w:rPr>
              <w:t>Y</w:t>
            </w:r>
          </w:p>
        </w:tc>
      </w:tr>
      <w:tr w:rsidR="000D4F98" w14:paraId="522A5BF1" w14:textId="77777777" w:rsidTr="00235B82">
        <w:trPr>
          <w:trHeight w:val="20"/>
          <w:jc w:val="center"/>
        </w:trPr>
        <w:tc>
          <w:tcPr>
            <w:tcW w:w="2760" w:type="dxa"/>
            <w:tcBorders>
              <w:top w:val="nil"/>
              <w:left w:val="single" w:sz="8" w:space="0" w:color="000000"/>
              <w:bottom w:val="single" w:sz="8" w:space="0" w:color="000000"/>
              <w:right w:val="single" w:sz="8" w:space="0" w:color="000000"/>
            </w:tcBorders>
            <w:tcMar>
              <w:top w:w="40" w:type="dxa"/>
              <w:left w:w="40" w:type="dxa"/>
              <w:bottom w:w="40" w:type="dxa"/>
              <w:right w:w="40" w:type="dxa"/>
            </w:tcMar>
            <w:vAlign w:val="bottom"/>
          </w:tcPr>
          <w:p w14:paraId="2654FC6F" w14:textId="77777777" w:rsidR="000D4F98" w:rsidRPr="00FE6934" w:rsidRDefault="000D4F98" w:rsidP="00235B82">
            <w:pPr>
              <w:pStyle w:val="NCDTableText"/>
              <w:rPr>
                <w:rFonts w:eastAsia="Arial"/>
              </w:rPr>
            </w:pPr>
            <w:r w:rsidRPr="00FE6934">
              <w:rPr>
                <w:rFonts w:eastAsia="Arial"/>
              </w:rPr>
              <w:t>Georgia</w:t>
            </w:r>
          </w:p>
        </w:tc>
        <w:tc>
          <w:tcPr>
            <w:tcW w:w="3135" w:type="dxa"/>
            <w:tcBorders>
              <w:top w:val="nil"/>
              <w:left w:val="nil"/>
              <w:bottom w:val="single" w:sz="8" w:space="0" w:color="000000"/>
              <w:right w:val="single" w:sz="8" w:space="0" w:color="000000"/>
            </w:tcBorders>
            <w:tcMar>
              <w:top w:w="40" w:type="dxa"/>
              <w:left w:w="40" w:type="dxa"/>
              <w:bottom w:w="40" w:type="dxa"/>
              <w:right w:w="40" w:type="dxa"/>
            </w:tcMar>
            <w:vAlign w:val="bottom"/>
          </w:tcPr>
          <w:p w14:paraId="2565029F" w14:textId="77777777" w:rsidR="000D4F98" w:rsidRPr="00FE6934" w:rsidRDefault="000D4F98" w:rsidP="00235B82">
            <w:pPr>
              <w:pStyle w:val="NCDTableText"/>
              <w:jc w:val="center"/>
              <w:rPr>
                <w:rFonts w:eastAsia="Arial"/>
              </w:rPr>
            </w:pPr>
            <w:r w:rsidRPr="00FE6934">
              <w:rPr>
                <w:rFonts w:eastAsia="Arial"/>
              </w:rPr>
              <w:t xml:space="preserve">Emergency </w:t>
            </w:r>
            <w:r>
              <w:rPr>
                <w:rFonts w:eastAsia="Arial"/>
              </w:rPr>
              <w:t>o</w:t>
            </w:r>
            <w:r w:rsidRPr="00FE6934">
              <w:rPr>
                <w:rFonts w:eastAsia="Arial"/>
              </w:rPr>
              <w:t>nly</w:t>
            </w:r>
          </w:p>
        </w:tc>
        <w:tc>
          <w:tcPr>
            <w:tcW w:w="2825" w:type="dxa"/>
            <w:tcBorders>
              <w:top w:val="nil"/>
              <w:left w:val="nil"/>
              <w:bottom w:val="single" w:sz="8" w:space="0" w:color="000000"/>
              <w:right w:val="single" w:sz="8" w:space="0" w:color="000000"/>
            </w:tcBorders>
            <w:tcMar>
              <w:top w:w="40" w:type="dxa"/>
              <w:left w:w="40" w:type="dxa"/>
              <w:bottom w:w="40" w:type="dxa"/>
              <w:right w:w="40" w:type="dxa"/>
            </w:tcMar>
            <w:vAlign w:val="bottom"/>
          </w:tcPr>
          <w:p w14:paraId="2F224E80" w14:textId="77777777" w:rsidR="000D4F98" w:rsidRPr="00FE6934" w:rsidRDefault="000D4F98" w:rsidP="00235B82">
            <w:pPr>
              <w:pStyle w:val="NCDTableText"/>
              <w:jc w:val="center"/>
              <w:rPr>
                <w:rFonts w:eastAsia="Arial"/>
              </w:rPr>
            </w:pPr>
            <w:r w:rsidRPr="00FE6934">
              <w:rPr>
                <w:rFonts w:eastAsia="Arial"/>
              </w:rPr>
              <w:t>Y</w:t>
            </w:r>
          </w:p>
        </w:tc>
      </w:tr>
      <w:tr w:rsidR="000D4F98" w14:paraId="0B2568EC" w14:textId="77777777" w:rsidTr="00235B82">
        <w:trPr>
          <w:trHeight w:val="20"/>
          <w:jc w:val="center"/>
        </w:trPr>
        <w:tc>
          <w:tcPr>
            <w:tcW w:w="2760" w:type="dxa"/>
            <w:tcBorders>
              <w:top w:val="nil"/>
              <w:left w:val="single" w:sz="8" w:space="0" w:color="000000"/>
              <w:bottom w:val="single" w:sz="8" w:space="0" w:color="000000"/>
              <w:right w:val="single" w:sz="8" w:space="0" w:color="000000"/>
            </w:tcBorders>
            <w:tcMar>
              <w:top w:w="40" w:type="dxa"/>
              <w:left w:w="40" w:type="dxa"/>
              <w:bottom w:w="40" w:type="dxa"/>
              <w:right w:w="40" w:type="dxa"/>
            </w:tcMar>
            <w:vAlign w:val="bottom"/>
          </w:tcPr>
          <w:p w14:paraId="3E16056B" w14:textId="77777777" w:rsidR="000D4F98" w:rsidRPr="00FE6934" w:rsidRDefault="000D4F98" w:rsidP="00235B82">
            <w:pPr>
              <w:pStyle w:val="NCDTableText"/>
              <w:rPr>
                <w:rFonts w:eastAsia="Arial"/>
              </w:rPr>
            </w:pPr>
            <w:r w:rsidRPr="00FE6934">
              <w:rPr>
                <w:rFonts w:eastAsia="Arial"/>
              </w:rPr>
              <w:t>Hawaii</w:t>
            </w:r>
          </w:p>
        </w:tc>
        <w:tc>
          <w:tcPr>
            <w:tcW w:w="3135" w:type="dxa"/>
            <w:tcBorders>
              <w:top w:val="nil"/>
              <w:left w:val="nil"/>
              <w:bottom w:val="single" w:sz="8" w:space="0" w:color="000000"/>
              <w:right w:val="single" w:sz="8" w:space="0" w:color="000000"/>
            </w:tcBorders>
            <w:tcMar>
              <w:top w:w="40" w:type="dxa"/>
              <w:left w:w="40" w:type="dxa"/>
              <w:bottom w:w="40" w:type="dxa"/>
              <w:right w:w="40" w:type="dxa"/>
            </w:tcMar>
            <w:vAlign w:val="bottom"/>
          </w:tcPr>
          <w:p w14:paraId="6DDA9DAE" w14:textId="77777777" w:rsidR="000D4F98" w:rsidRPr="00FE6934" w:rsidRDefault="000D4F98" w:rsidP="00235B82">
            <w:pPr>
              <w:pStyle w:val="NCDTableText"/>
              <w:jc w:val="center"/>
              <w:rPr>
                <w:rFonts w:eastAsia="Arial"/>
              </w:rPr>
            </w:pPr>
            <w:r w:rsidRPr="00FE6934">
              <w:rPr>
                <w:rFonts w:eastAsia="Arial"/>
              </w:rPr>
              <w:t xml:space="preserve">Emergency </w:t>
            </w:r>
            <w:r>
              <w:rPr>
                <w:rFonts w:eastAsia="Arial"/>
              </w:rPr>
              <w:t>o</w:t>
            </w:r>
            <w:r w:rsidRPr="00FE6934">
              <w:rPr>
                <w:rFonts w:eastAsia="Arial"/>
              </w:rPr>
              <w:t>nly</w:t>
            </w:r>
          </w:p>
        </w:tc>
        <w:tc>
          <w:tcPr>
            <w:tcW w:w="2825" w:type="dxa"/>
            <w:tcBorders>
              <w:top w:val="nil"/>
              <w:left w:val="nil"/>
              <w:bottom w:val="single" w:sz="8" w:space="0" w:color="000000"/>
              <w:right w:val="single" w:sz="8" w:space="0" w:color="000000"/>
            </w:tcBorders>
            <w:tcMar>
              <w:top w:w="40" w:type="dxa"/>
              <w:left w:w="40" w:type="dxa"/>
              <w:bottom w:w="40" w:type="dxa"/>
              <w:right w:w="40" w:type="dxa"/>
            </w:tcMar>
            <w:vAlign w:val="bottom"/>
          </w:tcPr>
          <w:p w14:paraId="76E004CF" w14:textId="77777777" w:rsidR="000D4F98" w:rsidRPr="00FE6934" w:rsidRDefault="000D4F98" w:rsidP="00235B82">
            <w:pPr>
              <w:pStyle w:val="NCDTableText"/>
              <w:jc w:val="center"/>
              <w:rPr>
                <w:rFonts w:eastAsia="Arial"/>
              </w:rPr>
            </w:pPr>
            <w:r w:rsidRPr="00FE6934">
              <w:rPr>
                <w:rFonts w:eastAsia="Arial"/>
              </w:rPr>
              <w:t>N</w:t>
            </w:r>
          </w:p>
        </w:tc>
      </w:tr>
      <w:tr w:rsidR="000D4F98" w14:paraId="273817D0" w14:textId="77777777" w:rsidTr="00235B82">
        <w:trPr>
          <w:trHeight w:val="20"/>
          <w:jc w:val="center"/>
        </w:trPr>
        <w:tc>
          <w:tcPr>
            <w:tcW w:w="2760" w:type="dxa"/>
            <w:tcBorders>
              <w:top w:val="nil"/>
              <w:left w:val="single" w:sz="8" w:space="0" w:color="000000"/>
              <w:bottom w:val="single" w:sz="8" w:space="0" w:color="000000"/>
              <w:right w:val="single" w:sz="8" w:space="0" w:color="000000"/>
            </w:tcBorders>
            <w:tcMar>
              <w:top w:w="40" w:type="dxa"/>
              <w:left w:w="40" w:type="dxa"/>
              <w:bottom w:w="40" w:type="dxa"/>
              <w:right w:w="40" w:type="dxa"/>
            </w:tcMar>
            <w:vAlign w:val="bottom"/>
          </w:tcPr>
          <w:p w14:paraId="3536D29E" w14:textId="77777777" w:rsidR="000D4F98" w:rsidRPr="00FE6934" w:rsidRDefault="000D4F98" w:rsidP="00235B82">
            <w:pPr>
              <w:pStyle w:val="NCDTableText"/>
              <w:rPr>
                <w:rFonts w:eastAsia="Arial"/>
              </w:rPr>
            </w:pPr>
            <w:r w:rsidRPr="00FE6934">
              <w:rPr>
                <w:rFonts w:eastAsia="Arial"/>
              </w:rPr>
              <w:t>Maryland</w:t>
            </w:r>
          </w:p>
        </w:tc>
        <w:tc>
          <w:tcPr>
            <w:tcW w:w="3135" w:type="dxa"/>
            <w:tcBorders>
              <w:top w:val="nil"/>
              <w:left w:val="nil"/>
              <w:bottom w:val="single" w:sz="8" w:space="0" w:color="000000"/>
              <w:right w:val="single" w:sz="8" w:space="0" w:color="000000"/>
            </w:tcBorders>
            <w:tcMar>
              <w:top w:w="40" w:type="dxa"/>
              <w:left w:w="40" w:type="dxa"/>
              <w:bottom w:w="40" w:type="dxa"/>
              <w:right w:w="40" w:type="dxa"/>
            </w:tcMar>
            <w:vAlign w:val="bottom"/>
          </w:tcPr>
          <w:p w14:paraId="133AC9AC" w14:textId="77777777" w:rsidR="000D4F98" w:rsidRPr="00FE6934" w:rsidRDefault="000D4F98" w:rsidP="00235B82">
            <w:pPr>
              <w:pStyle w:val="NCDTableText"/>
              <w:jc w:val="center"/>
              <w:rPr>
                <w:rFonts w:eastAsia="Arial"/>
              </w:rPr>
            </w:pPr>
            <w:r w:rsidRPr="00FE6934">
              <w:rPr>
                <w:rFonts w:eastAsia="Arial"/>
              </w:rPr>
              <w:t xml:space="preserve">No </w:t>
            </w:r>
            <w:r>
              <w:rPr>
                <w:rFonts w:eastAsia="Arial"/>
              </w:rPr>
              <w:t>c</w:t>
            </w:r>
            <w:r w:rsidRPr="00FE6934">
              <w:rPr>
                <w:rFonts w:eastAsia="Arial"/>
              </w:rPr>
              <w:t>overage</w:t>
            </w:r>
          </w:p>
        </w:tc>
        <w:tc>
          <w:tcPr>
            <w:tcW w:w="2825" w:type="dxa"/>
            <w:tcBorders>
              <w:top w:val="nil"/>
              <w:left w:val="nil"/>
              <w:bottom w:val="single" w:sz="8" w:space="0" w:color="000000"/>
              <w:right w:val="single" w:sz="8" w:space="0" w:color="000000"/>
            </w:tcBorders>
            <w:tcMar>
              <w:top w:w="40" w:type="dxa"/>
              <w:left w:w="40" w:type="dxa"/>
              <w:bottom w:w="40" w:type="dxa"/>
              <w:right w:w="40" w:type="dxa"/>
            </w:tcMar>
            <w:vAlign w:val="bottom"/>
          </w:tcPr>
          <w:p w14:paraId="51578FE5" w14:textId="77777777" w:rsidR="000D4F98" w:rsidRPr="00FE6934" w:rsidRDefault="000D4F98" w:rsidP="00235B82">
            <w:pPr>
              <w:pStyle w:val="NCDTableText"/>
              <w:jc w:val="center"/>
              <w:rPr>
                <w:rFonts w:eastAsia="Arial"/>
              </w:rPr>
            </w:pPr>
            <w:r w:rsidRPr="00FE6934">
              <w:rPr>
                <w:rFonts w:eastAsia="Arial"/>
              </w:rPr>
              <w:t>N</w:t>
            </w:r>
          </w:p>
        </w:tc>
      </w:tr>
      <w:tr w:rsidR="000D4F98" w14:paraId="1814379B" w14:textId="77777777" w:rsidTr="00235B82">
        <w:trPr>
          <w:trHeight w:val="20"/>
          <w:jc w:val="center"/>
        </w:trPr>
        <w:tc>
          <w:tcPr>
            <w:tcW w:w="2760" w:type="dxa"/>
            <w:tcBorders>
              <w:top w:val="nil"/>
              <w:left w:val="single" w:sz="8" w:space="0" w:color="000000"/>
              <w:bottom w:val="single" w:sz="8" w:space="0" w:color="000000"/>
              <w:right w:val="single" w:sz="8" w:space="0" w:color="000000"/>
            </w:tcBorders>
            <w:tcMar>
              <w:top w:w="40" w:type="dxa"/>
              <w:left w:w="40" w:type="dxa"/>
              <w:bottom w:w="40" w:type="dxa"/>
              <w:right w:w="40" w:type="dxa"/>
            </w:tcMar>
            <w:vAlign w:val="bottom"/>
          </w:tcPr>
          <w:p w14:paraId="2DF65550" w14:textId="77777777" w:rsidR="000D4F98" w:rsidRPr="00FE6934" w:rsidRDefault="000D4F98" w:rsidP="00235B82">
            <w:pPr>
              <w:pStyle w:val="NCDTableText"/>
              <w:rPr>
                <w:rFonts w:eastAsia="Arial"/>
              </w:rPr>
            </w:pPr>
            <w:r w:rsidRPr="00FE6934">
              <w:rPr>
                <w:rFonts w:eastAsia="Arial"/>
              </w:rPr>
              <w:t>Nevada</w:t>
            </w:r>
          </w:p>
        </w:tc>
        <w:tc>
          <w:tcPr>
            <w:tcW w:w="3135" w:type="dxa"/>
            <w:tcBorders>
              <w:top w:val="nil"/>
              <w:left w:val="nil"/>
              <w:bottom w:val="single" w:sz="8" w:space="0" w:color="000000"/>
              <w:right w:val="single" w:sz="8" w:space="0" w:color="000000"/>
            </w:tcBorders>
            <w:tcMar>
              <w:top w:w="40" w:type="dxa"/>
              <w:left w:w="40" w:type="dxa"/>
              <w:bottom w:w="40" w:type="dxa"/>
              <w:right w:w="40" w:type="dxa"/>
            </w:tcMar>
            <w:vAlign w:val="bottom"/>
          </w:tcPr>
          <w:p w14:paraId="5E33B43B" w14:textId="77777777" w:rsidR="000D4F98" w:rsidRPr="00FE6934" w:rsidRDefault="000D4F98" w:rsidP="00235B82">
            <w:pPr>
              <w:pStyle w:val="NCDTableText"/>
              <w:jc w:val="center"/>
              <w:rPr>
                <w:rFonts w:eastAsia="Arial"/>
              </w:rPr>
            </w:pPr>
            <w:r w:rsidRPr="00FE6934">
              <w:rPr>
                <w:rFonts w:eastAsia="Arial"/>
              </w:rPr>
              <w:t xml:space="preserve">Emergency </w:t>
            </w:r>
            <w:r>
              <w:rPr>
                <w:rFonts w:eastAsia="Arial"/>
              </w:rPr>
              <w:t>o</w:t>
            </w:r>
            <w:r w:rsidRPr="00FE6934">
              <w:rPr>
                <w:rFonts w:eastAsia="Arial"/>
              </w:rPr>
              <w:t>nly</w:t>
            </w:r>
          </w:p>
        </w:tc>
        <w:tc>
          <w:tcPr>
            <w:tcW w:w="2825" w:type="dxa"/>
            <w:tcBorders>
              <w:top w:val="nil"/>
              <w:left w:val="nil"/>
              <w:bottom w:val="single" w:sz="8" w:space="0" w:color="000000"/>
              <w:right w:val="single" w:sz="8" w:space="0" w:color="000000"/>
            </w:tcBorders>
            <w:tcMar>
              <w:top w:w="40" w:type="dxa"/>
              <w:left w:w="40" w:type="dxa"/>
              <w:bottom w:w="40" w:type="dxa"/>
              <w:right w:w="40" w:type="dxa"/>
            </w:tcMar>
            <w:vAlign w:val="bottom"/>
          </w:tcPr>
          <w:p w14:paraId="009610EE" w14:textId="77777777" w:rsidR="000D4F98" w:rsidRPr="00FE6934" w:rsidRDefault="000D4F98" w:rsidP="00235B82">
            <w:pPr>
              <w:pStyle w:val="NCDTableText"/>
              <w:jc w:val="center"/>
              <w:rPr>
                <w:rFonts w:eastAsia="Arial"/>
              </w:rPr>
            </w:pPr>
            <w:r w:rsidRPr="00FE6934">
              <w:rPr>
                <w:rFonts w:eastAsia="Arial"/>
              </w:rPr>
              <w:t>N</w:t>
            </w:r>
          </w:p>
        </w:tc>
      </w:tr>
      <w:tr w:rsidR="000D4F98" w14:paraId="138FD464" w14:textId="77777777" w:rsidTr="00235B82">
        <w:trPr>
          <w:trHeight w:val="20"/>
          <w:jc w:val="center"/>
        </w:trPr>
        <w:tc>
          <w:tcPr>
            <w:tcW w:w="2760" w:type="dxa"/>
            <w:tcBorders>
              <w:top w:val="nil"/>
              <w:left w:val="single" w:sz="8" w:space="0" w:color="000000"/>
              <w:bottom w:val="single" w:sz="8" w:space="0" w:color="000000"/>
              <w:right w:val="single" w:sz="8" w:space="0" w:color="000000"/>
            </w:tcBorders>
            <w:tcMar>
              <w:top w:w="40" w:type="dxa"/>
              <w:left w:w="40" w:type="dxa"/>
              <w:bottom w:w="40" w:type="dxa"/>
              <w:right w:w="40" w:type="dxa"/>
            </w:tcMar>
            <w:vAlign w:val="bottom"/>
          </w:tcPr>
          <w:p w14:paraId="5AA5F12D" w14:textId="77777777" w:rsidR="000D4F98" w:rsidRPr="00FE6934" w:rsidRDefault="000D4F98" w:rsidP="00235B82">
            <w:pPr>
              <w:pStyle w:val="NCDTableText"/>
              <w:rPr>
                <w:rFonts w:eastAsia="Arial"/>
              </w:rPr>
            </w:pPr>
            <w:r w:rsidRPr="00FE6934">
              <w:rPr>
                <w:rFonts w:eastAsia="Arial"/>
              </w:rPr>
              <w:t>New Hampshire</w:t>
            </w:r>
          </w:p>
        </w:tc>
        <w:tc>
          <w:tcPr>
            <w:tcW w:w="3135" w:type="dxa"/>
            <w:tcBorders>
              <w:top w:val="nil"/>
              <w:left w:val="nil"/>
              <w:bottom w:val="single" w:sz="8" w:space="0" w:color="000000"/>
              <w:right w:val="single" w:sz="8" w:space="0" w:color="000000"/>
            </w:tcBorders>
            <w:tcMar>
              <w:top w:w="40" w:type="dxa"/>
              <w:left w:w="40" w:type="dxa"/>
              <w:bottom w:w="40" w:type="dxa"/>
              <w:right w:w="40" w:type="dxa"/>
            </w:tcMar>
            <w:vAlign w:val="bottom"/>
          </w:tcPr>
          <w:p w14:paraId="2B2235B6" w14:textId="77777777" w:rsidR="000D4F98" w:rsidRPr="00FE6934" w:rsidRDefault="000D4F98" w:rsidP="00235B82">
            <w:pPr>
              <w:pStyle w:val="NCDTableText"/>
              <w:jc w:val="center"/>
              <w:rPr>
                <w:rFonts w:eastAsia="Arial"/>
              </w:rPr>
            </w:pPr>
            <w:r w:rsidRPr="00FE6934">
              <w:rPr>
                <w:rFonts w:eastAsia="Arial"/>
              </w:rPr>
              <w:t xml:space="preserve">Emergency </w:t>
            </w:r>
            <w:r>
              <w:rPr>
                <w:rFonts w:eastAsia="Arial"/>
              </w:rPr>
              <w:t>o</w:t>
            </w:r>
            <w:r w:rsidRPr="00FE6934">
              <w:rPr>
                <w:rFonts w:eastAsia="Arial"/>
              </w:rPr>
              <w:t>nly</w:t>
            </w:r>
          </w:p>
        </w:tc>
        <w:tc>
          <w:tcPr>
            <w:tcW w:w="2825" w:type="dxa"/>
            <w:tcBorders>
              <w:top w:val="nil"/>
              <w:left w:val="nil"/>
              <w:bottom w:val="single" w:sz="8" w:space="0" w:color="000000"/>
              <w:right w:val="single" w:sz="8" w:space="0" w:color="000000"/>
            </w:tcBorders>
            <w:tcMar>
              <w:top w:w="40" w:type="dxa"/>
              <w:left w:w="40" w:type="dxa"/>
              <w:bottom w:w="40" w:type="dxa"/>
              <w:right w:w="40" w:type="dxa"/>
            </w:tcMar>
            <w:vAlign w:val="bottom"/>
          </w:tcPr>
          <w:p w14:paraId="5A7347A1" w14:textId="77777777" w:rsidR="000D4F98" w:rsidRPr="00FE6934" w:rsidRDefault="000D4F98" w:rsidP="00235B82">
            <w:pPr>
              <w:pStyle w:val="NCDTableText"/>
              <w:jc w:val="center"/>
              <w:rPr>
                <w:rFonts w:eastAsia="Arial"/>
              </w:rPr>
            </w:pPr>
            <w:r w:rsidRPr="00FE6934">
              <w:rPr>
                <w:rFonts w:eastAsia="Arial"/>
              </w:rPr>
              <w:t>N</w:t>
            </w:r>
          </w:p>
        </w:tc>
      </w:tr>
      <w:tr w:rsidR="000D4F98" w14:paraId="59E24D71" w14:textId="77777777" w:rsidTr="00235B82">
        <w:trPr>
          <w:trHeight w:val="20"/>
          <w:jc w:val="center"/>
        </w:trPr>
        <w:tc>
          <w:tcPr>
            <w:tcW w:w="2760" w:type="dxa"/>
            <w:tcBorders>
              <w:top w:val="nil"/>
              <w:left w:val="single" w:sz="8" w:space="0" w:color="000000"/>
              <w:bottom w:val="single" w:sz="8" w:space="0" w:color="000000"/>
              <w:right w:val="single" w:sz="8" w:space="0" w:color="000000"/>
            </w:tcBorders>
            <w:tcMar>
              <w:top w:w="40" w:type="dxa"/>
              <w:left w:w="40" w:type="dxa"/>
              <w:bottom w:w="40" w:type="dxa"/>
              <w:right w:w="40" w:type="dxa"/>
            </w:tcMar>
            <w:vAlign w:val="bottom"/>
          </w:tcPr>
          <w:p w14:paraId="0FD3BF32" w14:textId="77777777" w:rsidR="000D4F98" w:rsidRPr="00FE6934" w:rsidRDefault="000D4F98" w:rsidP="00235B82">
            <w:pPr>
              <w:pStyle w:val="NCDTableText"/>
              <w:rPr>
                <w:rFonts w:eastAsia="Arial"/>
              </w:rPr>
            </w:pPr>
            <w:r w:rsidRPr="00FE6934">
              <w:rPr>
                <w:rFonts w:eastAsia="Arial"/>
              </w:rPr>
              <w:t>Oklahoma</w:t>
            </w:r>
          </w:p>
        </w:tc>
        <w:tc>
          <w:tcPr>
            <w:tcW w:w="3135" w:type="dxa"/>
            <w:tcBorders>
              <w:top w:val="nil"/>
              <w:left w:val="nil"/>
              <w:bottom w:val="single" w:sz="8" w:space="0" w:color="000000"/>
              <w:right w:val="single" w:sz="8" w:space="0" w:color="000000"/>
            </w:tcBorders>
            <w:tcMar>
              <w:top w:w="40" w:type="dxa"/>
              <w:left w:w="40" w:type="dxa"/>
              <w:bottom w:w="40" w:type="dxa"/>
              <w:right w:w="40" w:type="dxa"/>
            </w:tcMar>
            <w:vAlign w:val="bottom"/>
          </w:tcPr>
          <w:p w14:paraId="495AA3DA" w14:textId="77777777" w:rsidR="000D4F98" w:rsidRPr="00FE6934" w:rsidRDefault="000D4F98" w:rsidP="00235B82">
            <w:pPr>
              <w:pStyle w:val="NCDTableText"/>
              <w:jc w:val="center"/>
              <w:rPr>
                <w:rFonts w:eastAsia="Arial"/>
              </w:rPr>
            </w:pPr>
            <w:r w:rsidRPr="00FE6934">
              <w:rPr>
                <w:rFonts w:eastAsia="Arial"/>
              </w:rPr>
              <w:t xml:space="preserve">Emergency </w:t>
            </w:r>
            <w:r>
              <w:rPr>
                <w:rFonts w:eastAsia="Arial"/>
              </w:rPr>
              <w:t>o</w:t>
            </w:r>
            <w:r w:rsidRPr="00FE6934">
              <w:rPr>
                <w:rFonts w:eastAsia="Arial"/>
              </w:rPr>
              <w:t>nly</w:t>
            </w:r>
          </w:p>
        </w:tc>
        <w:tc>
          <w:tcPr>
            <w:tcW w:w="2825" w:type="dxa"/>
            <w:tcBorders>
              <w:top w:val="nil"/>
              <w:left w:val="nil"/>
              <w:bottom w:val="single" w:sz="8" w:space="0" w:color="000000"/>
              <w:right w:val="single" w:sz="8" w:space="0" w:color="000000"/>
            </w:tcBorders>
            <w:tcMar>
              <w:top w:w="40" w:type="dxa"/>
              <w:left w:w="40" w:type="dxa"/>
              <w:bottom w:w="40" w:type="dxa"/>
              <w:right w:w="40" w:type="dxa"/>
            </w:tcMar>
            <w:vAlign w:val="bottom"/>
          </w:tcPr>
          <w:p w14:paraId="354CAEFF" w14:textId="77777777" w:rsidR="000D4F98" w:rsidRPr="00FE6934" w:rsidRDefault="000D4F98" w:rsidP="00235B82">
            <w:pPr>
              <w:pStyle w:val="NCDTableText"/>
              <w:jc w:val="center"/>
              <w:rPr>
                <w:rFonts w:eastAsia="Arial"/>
              </w:rPr>
            </w:pPr>
            <w:r w:rsidRPr="00FE6934">
              <w:rPr>
                <w:rFonts w:eastAsia="Arial"/>
              </w:rPr>
              <w:t>Y</w:t>
            </w:r>
          </w:p>
        </w:tc>
      </w:tr>
      <w:tr w:rsidR="000D4F98" w14:paraId="71192BB0" w14:textId="77777777" w:rsidTr="00235B82">
        <w:trPr>
          <w:trHeight w:val="401"/>
          <w:jc w:val="center"/>
        </w:trPr>
        <w:tc>
          <w:tcPr>
            <w:tcW w:w="2760" w:type="dxa"/>
            <w:tcBorders>
              <w:top w:val="nil"/>
              <w:left w:val="single" w:sz="8" w:space="0" w:color="000000"/>
              <w:bottom w:val="single" w:sz="8" w:space="0" w:color="000000"/>
              <w:right w:val="single" w:sz="8" w:space="0" w:color="000000"/>
            </w:tcBorders>
            <w:tcMar>
              <w:top w:w="40" w:type="dxa"/>
              <w:left w:w="40" w:type="dxa"/>
              <w:bottom w:w="40" w:type="dxa"/>
              <w:right w:w="40" w:type="dxa"/>
            </w:tcMar>
            <w:vAlign w:val="bottom"/>
          </w:tcPr>
          <w:p w14:paraId="59C1DBF7" w14:textId="77777777" w:rsidR="000D4F98" w:rsidRPr="00FE6934" w:rsidRDefault="000D4F98" w:rsidP="00235B82">
            <w:pPr>
              <w:pStyle w:val="NCDTableText"/>
              <w:rPr>
                <w:rFonts w:eastAsia="Arial"/>
              </w:rPr>
            </w:pPr>
            <w:r w:rsidRPr="00FE6934">
              <w:rPr>
                <w:rFonts w:eastAsia="Arial"/>
              </w:rPr>
              <w:t>Tennessee</w:t>
            </w:r>
          </w:p>
        </w:tc>
        <w:tc>
          <w:tcPr>
            <w:tcW w:w="3135" w:type="dxa"/>
            <w:tcBorders>
              <w:top w:val="nil"/>
              <w:left w:val="nil"/>
              <w:bottom w:val="single" w:sz="8" w:space="0" w:color="000000"/>
              <w:right w:val="single" w:sz="8" w:space="0" w:color="000000"/>
            </w:tcBorders>
            <w:tcMar>
              <w:top w:w="40" w:type="dxa"/>
              <w:left w:w="40" w:type="dxa"/>
              <w:bottom w:w="40" w:type="dxa"/>
              <w:right w:w="40" w:type="dxa"/>
            </w:tcMar>
            <w:vAlign w:val="bottom"/>
          </w:tcPr>
          <w:p w14:paraId="7D206C7E" w14:textId="77777777" w:rsidR="000D4F98" w:rsidRPr="00FE6934" w:rsidRDefault="000D4F98" w:rsidP="00235B82">
            <w:pPr>
              <w:pStyle w:val="NCDTableText"/>
              <w:jc w:val="center"/>
              <w:rPr>
                <w:rFonts w:eastAsia="Arial"/>
              </w:rPr>
            </w:pPr>
            <w:r w:rsidRPr="00FE6934">
              <w:rPr>
                <w:rFonts w:eastAsia="Arial"/>
              </w:rPr>
              <w:t xml:space="preserve">No </w:t>
            </w:r>
            <w:r>
              <w:rPr>
                <w:rFonts w:eastAsia="Arial"/>
              </w:rPr>
              <w:t>c</w:t>
            </w:r>
            <w:r w:rsidRPr="00FE6934">
              <w:rPr>
                <w:rFonts w:eastAsia="Arial"/>
              </w:rPr>
              <w:t>overage</w:t>
            </w:r>
          </w:p>
        </w:tc>
        <w:tc>
          <w:tcPr>
            <w:tcW w:w="2825" w:type="dxa"/>
            <w:tcBorders>
              <w:top w:val="nil"/>
              <w:left w:val="nil"/>
              <w:bottom w:val="single" w:sz="8" w:space="0" w:color="000000"/>
              <w:right w:val="single" w:sz="8" w:space="0" w:color="000000"/>
            </w:tcBorders>
            <w:tcMar>
              <w:top w:w="40" w:type="dxa"/>
              <w:left w:w="40" w:type="dxa"/>
              <w:bottom w:w="40" w:type="dxa"/>
              <w:right w:w="40" w:type="dxa"/>
            </w:tcMar>
            <w:vAlign w:val="bottom"/>
          </w:tcPr>
          <w:p w14:paraId="5FEF0ED7" w14:textId="77777777" w:rsidR="000D4F98" w:rsidRPr="00FE6934" w:rsidRDefault="000D4F98" w:rsidP="00235B82">
            <w:pPr>
              <w:pStyle w:val="NCDTableText"/>
              <w:jc w:val="center"/>
              <w:rPr>
                <w:rFonts w:eastAsia="Arial"/>
              </w:rPr>
            </w:pPr>
            <w:r w:rsidRPr="00FE6934">
              <w:rPr>
                <w:rFonts w:eastAsia="Arial"/>
              </w:rPr>
              <w:t>Y</w:t>
            </w:r>
          </w:p>
        </w:tc>
      </w:tr>
      <w:tr w:rsidR="000D4F98" w14:paraId="079D3998" w14:textId="77777777" w:rsidTr="00235B82">
        <w:trPr>
          <w:trHeight w:val="20"/>
          <w:jc w:val="center"/>
        </w:trPr>
        <w:tc>
          <w:tcPr>
            <w:tcW w:w="2760" w:type="dxa"/>
            <w:tcBorders>
              <w:top w:val="nil"/>
              <w:left w:val="single" w:sz="8" w:space="0" w:color="000000"/>
              <w:bottom w:val="single" w:sz="4" w:space="0" w:color="auto"/>
              <w:right w:val="single" w:sz="8" w:space="0" w:color="000000"/>
            </w:tcBorders>
            <w:tcMar>
              <w:top w:w="40" w:type="dxa"/>
              <w:left w:w="40" w:type="dxa"/>
              <w:bottom w:w="40" w:type="dxa"/>
              <w:right w:w="40" w:type="dxa"/>
            </w:tcMar>
            <w:vAlign w:val="bottom"/>
          </w:tcPr>
          <w:p w14:paraId="6DADFA1E" w14:textId="77777777" w:rsidR="000D4F98" w:rsidRPr="00FE6934" w:rsidRDefault="000D4F98" w:rsidP="00235B82">
            <w:pPr>
              <w:pStyle w:val="NCDTableText"/>
              <w:rPr>
                <w:rFonts w:eastAsia="Arial"/>
              </w:rPr>
            </w:pPr>
            <w:r w:rsidRPr="00FE6934">
              <w:rPr>
                <w:rFonts w:eastAsia="Arial"/>
              </w:rPr>
              <w:t>Texas</w:t>
            </w:r>
          </w:p>
        </w:tc>
        <w:tc>
          <w:tcPr>
            <w:tcW w:w="3135" w:type="dxa"/>
            <w:tcBorders>
              <w:top w:val="nil"/>
              <w:left w:val="nil"/>
              <w:bottom w:val="single" w:sz="4" w:space="0" w:color="auto"/>
              <w:right w:val="single" w:sz="8" w:space="0" w:color="000000"/>
            </w:tcBorders>
            <w:tcMar>
              <w:top w:w="40" w:type="dxa"/>
              <w:left w:w="40" w:type="dxa"/>
              <w:bottom w:w="40" w:type="dxa"/>
              <w:right w:w="40" w:type="dxa"/>
            </w:tcMar>
            <w:vAlign w:val="bottom"/>
          </w:tcPr>
          <w:p w14:paraId="4661426A" w14:textId="77777777" w:rsidR="000D4F98" w:rsidRPr="00FE6934" w:rsidRDefault="000D4F98" w:rsidP="00235B82">
            <w:pPr>
              <w:pStyle w:val="NCDTableText"/>
              <w:jc w:val="center"/>
              <w:rPr>
                <w:rFonts w:eastAsia="Arial"/>
              </w:rPr>
            </w:pPr>
            <w:r w:rsidRPr="00FE6934">
              <w:rPr>
                <w:rFonts w:eastAsia="Arial"/>
              </w:rPr>
              <w:t xml:space="preserve">Emergency </w:t>
            </w:r>
            <w:r>
              <w:rPr>
                <w:rFonts w:eastAsia="Arial"/>
              </w:rPr>
              <w:t>o</w:t>
            </w:r>
            <w:r w:rsidRPr="00FE6934">
              <w:rPr>
                <w:rFonts w:eastAsia="Arial"/>
              </w:rPr>
              <w:t>nly</w:t>
            </w:r>
          </w:p>
        </w:tc>
        <w:tc>
          <w:tcPr>
            <w:tcW w:w="2825" w:type="dxa"/>
            <w:tcBorders>
              <w:top w:val="nil"/>
              <w:left w:val="nil"/>
              <w:bottom w:val="single" w:sz="4" w:space="0" w:color="auto"/>
              <w:right w:val="single" w:sz="8" w:space="0" w:color="000000"/>
            </w:tcBorders>
            <w:tcMar>
              <w:top w:w="40" w:type="dxa"/>
              <w:left w:w="40" w:type="dxa"/>
              <w:bottom w:w="40" w:type="dxa"/>
              <w:right w:w="40" w:type="dxa"/>
            </w:tcMar>
            <w:vAlign w:val="bottom"/>
          </w:tcPr>
          <w:p w14:paraId="1C3DBD8B" w14:textId="77777777" w:rsidR="000D4F98" w:rsidRPr="00FE6934" w:rsidRDefault="000D4F98" w:rsidP="00235B82">
            <w:pPr>
              <w:pStyle w:val="NCDTableText"/>
              <w:jc w:val="center"/>
              <w:rPr>
                <w:rFonts w:eastAsia="Arial"/>
              </w:rPr>
            </w:pPr>
            <w:r w:rsidRPr="00FE6934">
              <w:rPr>
                <w:rFonts w:eastAsia="Arial"/>
              </w:rPr>
              <w:t>Y</w:t>
            </w:r>
          </w:p>
        </w:tc>
      </w:tr>
      <w:tr w:rsidR="000D4F98" w14:paraId="043E386C" w14:textId="77777777" w:rsidTr="00235B82">
        <w:trPr>
          <w:trHeight w:val="490"/>
          <w:jc w:val="center"/>
        </w:trPr>
        <w:tc>
          <w:tcPr>
            <w:tcW w:w="276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35B72342" w14:textId="77777777" w:rsidR="000D4F98" w:rsidRPr="00FE6934" w:rsidRDefault="000D4F98" w:rsidP="00235B82">
            <w:pPr>
              <w:pStyle w:val="NCDTableText"/>
              <w:rPr>
                <w:rFonts w:eastAsia="Arial"/>
              </w:rPr>
            </w:pPr>
            <w:r w:rsidRPr="00FE6934">
              <w:rPr>
                <w:rFonts w:eastAsia="Arial"/>
              </w:rPr>
              <w:t>Utah</w:t>
            </w:r>
          </w:p>
        </w:tc>
        <w:tc>
          <w:tcPr>
            <w:tcW w:w="3135"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4DD066CE" w14:textId="77777777" w:rsidR="000D4F98" w:rsidRPr="00FE6934" w:rsidRDefault="000D4F98" w:rsidP="00235B82">
            <w:pPr>
              <w:pStyle w:val="NCDTableText"/>
              <w:jc w:val="center"/>
              <w:rPr>
                <w:rFonts w:eastAsia="Arial"/>
              </w:rPr>
            </w:pPr>
            <w:r w:rsidRPr="00FE6934">
              <w:rPr>
                <w:rFonts w:eastAsia="Arial"/>
              </w:rPr>
              <w:t xml:space="preserve">Emergency </w:t>
            </w:r>
            <w:r>
              <w:rPr>
                <w:rFonts w:eastAsia="Arial"/>
              </w:rPr>
              <w:t>o</w:t>
            </w:r>
            <w:r w:rsidRPr="00FE6934">
              <w:rPr>
                <w:rFonts w:eastAsia="Arial"/>
              </w:rPr>
              <w:t>nly</w:t>
            </w:r>
          </w:p>
        </w:tc>
        <w:tc>
          <w:tcPr>
            <w:tcW w:w="2825"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4F04BFC8" w14:textId="77777777" w:rsidR="000D4F98" w:rsidRPr="00FE6934" w:rsidRDefault="000D4F98" w:rsidP="00235B82">
            <w:pPr>
              <w:pStyle w:val="NCDTableText"/>
              <w:jc w:val="center"/>
              <w:rPr>
                <w:rFonts w:eastAsia="Arial"/>
              </w:rPr>
            </w:pPr>
            <w:r w:rsidRPr="00FE6934">
              <w:rPr>
                <w:rFonts w:eastAsia="Arial"/>
              </w:rPr>
              <w:t>Y</w:t>
            </w:r>
          </w:p>
        </w:tc>
      </w:tr>
    </w:tbl>
    <w:p w14:paraId="49A67253" w14:textId="77777777" w:rsidR="000D4F98" w:rsidRPr="00537483" w:rsidRDefault="000D4F98" w:rsidP="00235B82">
      <w:pPr>
        <w:pStyle w:val="NCDBodyText"/>
        <w:spacing w:before="200"/>
      </w:pPr>
      <w:r>
        <w:t xml:space="preserve">Adding further complexity to understanding state Medicaid programs, states set the reimbursement rates for medical and dental services for benefits under an FFS payment system, as described in the Introduction. </w:t>
      </w:r>
      <w:r w:rsidRPr="008F19D5">
        <w:t xml:space="preserve">According to the 2019 questionnaires conducted by Medicaid, Medicare, CHIP Services Dental Association, </w:t>
      </w:r>
      <w:r>
        <w:t>twenty-seven</w:t>
      </w:r>
      <w:r w:rsidRPr="008F19D5">
        <w:t xml:space="preserve"> states delivered Medicaid dental services through FFS, and </w:t>
      </w:r>
      <w:r>
        <w:t>twenty-four</w:t>
      </w:r>
      <w:r w:rsidRPr="008F19D5">
        <w:t xml:space="preserve"> states and </w:t>
      </w:r>
      <w:r>
        <w:t xml:space="preserve">Washington, </w:t>
      </w:r>
      <w:r w:rsidRPr="008F19D5">
        <w:t>DC</w:t>
      </w:r>
      <w:r>
        <w:t>,</w:t>
      </w:r>
      <w:r w:rsidRPr="008F19D5">
        <w:t xml:space="preserve"> delivered Medicaid dental services through both FFS and </w:t>
      </w:r>
      <w:r>
        <w:t>managed care</w:t>
      </w:r>
      <w:r w:rsidRPr="008F19D5">
        <w:t xml:space="preserve"> systems. These delivery models characterize adults' and children's access to dental services under Medicaid</w:t>
      </w:r>
      <w:r>
        <w:t>.</w:t>
      </w:r>
      <w:r>
        <w:rPr>
          <w:vertAlign w:val="superscript"/>
        </w:rPr>
        <w:endnoteReference w:id="79"/>
      </w:r>
      <w:r>
        <w:t xml:space="preserve"> Under FFS, states directly pay providers for each covered service, while in managed care systems, the state pays a capitated fee per </w:t>
      </w:r>
      <w:r>
        <w:lastRenderedPageBreak/>
        <w:t>person enrolled in the plan to the MCO that delivers covered services. In a mixed system, states may contract with MCOs to deliver benefits to a certain population or provide specific services.</w:t>
      </w:r>
      <w:r>
        <w:rPr>
          <w:vertAlign w:val="superscript"/>
        </w:rPr>
        <w:endnoteReference w:id="80"/>
      </w:r>
      <w:r>
        <w:t xml:space="preserve"> In key informant interviews, several stakeholders noted that states are moving toward more managed care delivery systems for their Medicaid programs. Close to 70 percent of Medicaid enrollees nationwide are enrolled in managed care programs,</w:t>
      </w:r>
      <w:r>
        <w:rPr>
          <w:vertAlign w:val="superscript"/>
        </w:rPr>
        <w:endnoteReference w:id="81"/>
      </w:r>
      <w:r>
        <w:t xml:space="preserve"> and 44 percent of Medicaid beneficiaries with disabilities were enrolled in managed care limited-benefit plans in 2018, which include dental benefits in many states.</w:t>
      </w:r>
      <w:r>
        <w:rPr>
          <w:vertAlign w:val="superscript"/>
        </w:rPr>
        <w:endnoteReference w:id="82"/>
      </w:r>
      <w:r>
        <w:t xml:space="preserve"> Reimbursement rates under managed care systems may differ from Medicaid FFS fee schedules. </w:t>
      </w:r>
      <w:bookmarkStart w:id="171" w:name="_Hlk93348198"/>
      <w:r>
        <w:t>Reimbursement rates under managed care plans are not required to be publicly available.</w:t>
      </w:r>
      <w:bookmarkEnd w:id="171"/>
      <w:r>
        <w:rPr>
          <w:vertAlign w:val="superscript"/>
        </w:rPr>
        <w:endnoteReference w:id="83"/>
      </w:r>
    </w:p>
    <w:p w14:paraId="117CB6FE" w14:textId="77777777" w:rsidR="000D4F98" w:rsidRPr="00537483" w:rsidRDefault="000D4F98" w:rsidP="00235B82">
      <w:pPr>
        <w:pStyle w:val="NCDBodyText"/>
      </w:pPr>
      <w:r>
        <w:t xml:space="preserve">State fee schedules are the Medicaid FFS maximum reimbursement rates to health care providers or suppliers. These are made publicly available by Medicaid agencies in each state. One 2016 study from the American Dental Association compared Medicaid FFS reimbursement rates for child and adult dental care services across states, additionally comparing them to private insurance reimbursement rates and the rates providers charge for these same services. The study found considerable variation in FFS rates for dental care across states and, overall, found Medicaid FFS reimbursement rates to be low. </w:t>
      </w:r>
      <w:bookmarkStart w:id="172" w:name="_Hlk93348243"/>
      <w:r>
        <w:t>On average, for adult dental services, FFS rates are only 37 percent of those charged by dentists and 46 percent of private dental insurance reimbursement.</w:t>
      </w:r>
      <w:bookmarkEnd w:id="172"/>
      <w:r>
        <w:rPr>
          <w:vertAlign w:val="superscript"/>
        </w:rPr>
        <w:endnoteReference w:id="84"/>
      </w:r>
      <w:r>
        <w:t xml:space="preserve"> </w:t>
      </w:r>
      <w:r>
        <w:br w:type="page"/>
      </w:r>
    </w:p>
    <w:p w14:paraId="7884E3C5" w14:textId="361C3864" w:rsidR="000D4F98" w:rsidRPr="00537483" w:rsidRDefault="000D4F98" w:rsidP="00235B82">
      <w:pPr>
        <w:pStyle w:val="Heading1"/>
      </w:pPr>
      <w:bookmarkStart w:id="173" w:name="_Toc83304272"/>
      <w:bookmarkStart w:id="174" w:name="_Toc92354773"/>
      <w:bookmarkStart w:id="175" w:name="_Toc95237044"/>
      <w:r>
        <w:lastRenderedPageBreak/>
        <w:t xml:space="preserve">Chapter </w:t>
      </w:r>
      <w:r w:rsidR="002442EE">
        <w:t>4</w:t>
      </w:r>
      <w:r>
        <w:t>: Analysis of State Medicaid Dental Coverage, Medicaid Reimbursement Rates, and Receipt of Oral Health Care Among Adults with I/DD</w:t>
      </w:r>
      <w:bookmarkEnd w:id="173"/>
      <w:bookmarkEnd w:id="174"/>
      <w:bookmarkEnd w:id="175"/>
    </w:p>
    <w:p w14:paraId="6B72F9B1" w14:textId="77777777" w:rsidR="000D4F98" w:rsidRPr="00537483" w:rsidRDefault="000D4F98" w:rsidP="005A585A">
      <w:pPr>
        <w:pStyle w:val="NCDBodyText"/>
      </w:pPr>
      <w:r>
        <w:t xml:space="preserve">This chapter presents the results of </w:t>
      </w:r>
      <w:r w:rsidRPr="00B325C3">
        <w:t xml:space="preserve">the T-MSIS data analysis. </w:t>
      </w:r>
      <w:r>
        <w:t>NCD merged the Medicaid Oral Health Policy Database created for this study (see chapter 1) with the T-MSIS Medicaid claims data by the state of residence of the Medicaid beneficiary. The analysis was restricted to adults with I/DD, as identified by an I/DD diagnosis in the T-MSIS data. As noted in chapter 1, the T-MSIS analysis uses data from 2018, the most recent year available at the time of the T-MSIS data request.</w:t>
      </w:r>
    </w:p>
    <w:p w14:paraId="34E1FD4D" w14:textId="73A459A0" w:rsidR="000D4F98" w:rsidRPr="00537483" w:rsidRDefault="000D4F98" w:rsidP="005A585A">
      <w:pPr>
        <w:pStyle w:val="NCDBodyText"/>
      </w:pPr>
      <w:r>
        <w:t>NCD used three key pieces of data in the analysis: (1</w:t>
      </w:r>
      <w:r w:rsidRPr="004C3F31">
        <w:t xml:space="preserve">) Code on Dental Procedures and Nomenclature </w:t>
      </w:r>
      <w:r>
        <w:t>(</w:t>
      </w:r>
      <w:r w:rsidRPr="004C3F31">
        <w:t>CDT</w:t>
      </w:r>
      <w:r>
        <w:t>)</w:t>
      </w:r>
      <w:r w:rsidRPr="004C3F31">
        <w:t xml:space="preserve"> codes to identify the dental care se</w:t>
      </w:r>
      <w:r>
        <w:t>rvices that the beneficiary received in 2018; (2) an indicator of whether dental services were received in the emergency department (ED); and (3</w:t>
      </w:r>
      <w:r w:rsidRPr="00E11EC3">
        <w:t xml:space="preserve">) </w:t>
      </w:r>
      <w:r w:rsidR="00401D57" w:rsidRPr="00401D57">
        <w:rPr>
          <w:i/>
          <w:iCs/>
        </w:rPr>
        <w:t>International Statistical Classification of Diseases and Related Health Problems, Tenth Revision</w:t>
      </w:r>
      <w:r w:rsidRPr="00E11EC3">
        <w:t xml:space="preserve"> (</w:t>
      </w:r>
      <w:r w:rsidR="00401D57" w:rsidRPr="00401D57">
        <w:rPr>
          <w:i/>
          <w:iCs/>
        </w:rPr>
        <w:t>ICD-10</w:t>
      </w:r>
      <w:r w:rsidRPr="00E11EC3">
        <w:t>) codes to identify diagnoses. The first two variables are available for all medical</w:t>
      </w:r>
      <w:r>
        <w:t xml:space="preserve"> or dental services that the beneficiary received in 2018. The </w:t>
      </w:r>
      <w:r w:rsidR="00401D57" w:rsidRPr="00401D57">
        <w:rPr>
          <w:i/>
          <w:iCs/>
        </w:rPr>
        <w:t>ICD-10</w:t>
      </w:r>
      <w:r>
        <w:t xml:space="preserve"> codes are available for services provided in hospitals, EDs, and ambulatory/urgent care centers. NCD presents state- and national-level analyses to address the research questions. The state data was weighted, based on the sampling design, to estimate an average across the nation. NCD then identified relationships between variables that are statistically significant.</w:t>
      </w:r>
    </w:p>
    <w:p w14:paraId="5CBF5281" w14:textId="77777777" w:rsidR="000D4F98" w:rsidRPr="00537483" w:rsidRDefault="000D4F98" w:rsidP="005A585A">
      <w:pPr>
        <w:pStyle w:val="NCDBodyText"/>
      </w:pPr>
      <w:r>
        <w:t xml:space="preserve">Throughout the report, the shorthand “receipt of dental services” is used to mean receipt of dental services that were paid for by Medicaid. </w:t>
      </w:r>
      <w:r w:rsidRPr="000B0E22">
        <w:t xml:space="preserve">It is important to note that </w:t>
      </w:r>
      <w:r>
        <w:t xml:space="preserve">while </w:t>
      </w:r>
      <w:r w:rsidRPr="000B0E22">
        <w:t xml:space="preserve">the T-MSIS data includes only services that are paid by Medicaid, a Medicaid beneficiary may receive services that are not included in the T-MSIS data. </w:t>
      </w:r>
      <w:r>
        <w:t>T</w:t>
      </w:r>
      <w:r w:rsidRPr="000B0E22">
        <w:t xml:space="preserve">he </w:t>
      </w:r>
      <w:r>
        <w:t xml:space="preserve">T-MSIS </w:t>
      </w:r>
      <w:r w:rsidRPr="000B0E22">
        <w:t>data does not include noncovered services or denied claims</w:t>
      </w:r>
      <w:r>
        <w:t>; therefore,</w:t>
      </w:r>
      <w:r w:rsidRPr="000B0E22" w:rsidDel="0013271B">
        <w:t xml:space="preserve"> </w:t>
      </w:r>
      <w:r>
        <w:t>i</w:t>
      </w:r>
      <w:r w:rsidRPr="000B0E22">
        <w:t xml:space="preserve">t is possible for a Medicaid beneficiary to receive services through a </w:t>
      </w:r>
      <w:r>
        <w:t>f</w:t>
      </w:r>
      <w:r w:rsidRPr="000B0E22">
        <w:t xml:space="preserve">ederally </w:t>
      </w:r>
      <w:r>
        <w:t>q</w:t>
      </w:r>
      <w:r w:rsidRPr="000B0E22">
        <w:t xml:space="preserve">ualified </w:t>
      </w:r>
      <w:r>
        <w:t>h</w:t>
      </w:r>
      <w:r w:rsidRPr="000B0E22">
        <w:t xml:space="preserve">ealth </w:t>
      </w:r>
      <w:r>
        <w:t>c</w:t>
      </w:r>
      <w:r w:rsidRPr="000B0E22">
        <w:t xml:space="preserve">linic that did not submit a claim for noncovered services. Furthermore, if a Medicaid beneficiary received services through a charity (e.g., a Special Olympics dental clinic) or received services </w:t>
      </w:r>
      <w:r w:rsidRPr="000B0E22">
        <w:lastRenderedPageBreak/>
        <w:t xml:space="preserve">that were paid out-of-pocket or through another insurance plan, these services would not be included in the T-MSIS data. </w:t>
      </w:r>
      <w:r>
        <w:t>The estimates in this report may not include all dental services that an adult with I/DD received in 2018.</w:t>
      </w:r>
    </w:p>
    <w:p w14:paraId="32CD0F68" w14:textId="77777777" w:rsidR="000D4F98" w:rsidRPr="00537483" w:rsidRDefault="000D4F98" w:rsidP="005A585A">
      <w:pPr>
        <w:pStyle w:val="NCDBodyText"/>
      </w:pPr>
      <w:r>
        <w:t>This chapter presents the following analyses for adults with I/DD: (1) the percentage of adults with I/DD who receive basic dental care by state; (2) the relationship between state Medicaid coverage of dental services and receipt of basic dental care; (3) the relationship between state Medicaid waivers that cover dental services and receipt of dental care in the ED; and (4) the potential return on investment (ROI) of expanding dental care to adults with I/DD in states that do not currently do so, including estimates of the cost of expanding coverage relative to potential savings as a consequence of decreased ED use and reductions in cost of treatment of chronic diseases.</w:t>
      </w:r>
    </w:p>
    <w:p w14:paraId="7FD4DBE0" w14:textId="77777777" w:rsidR="000D4F98" w:rsidRPr="00537483" w:rsidRDefault="000D4F98" w:rsidP="005A585A">
      <w:pPr>
        <w:pStyle w:val="NCDBodyText"/>
        <w:rPr>
          <w:highlight w:val="white"/>
        </w:rPr>
      </w:pPr>
      <w:r w:rsidRPr="00257D88">
        <w:rPr>
          <w:i/>
        </w:rPr>
        <w:t>Receipt of Basic Oral Health Care Among Adults with I/DD</w:t>
      </w:r>
      <w:r>
        <w:t>. First, NCD examined the percentage of adults with I/DD who received basic oral health services by state in 2018. NCD then identified basic oral health services by CDT codes.</w:t>
      </w:r>
      <w:r>
        <w:rPr>
          <w:vertAlign w:val="superscript"/>
        </w:rPr>
        <w:endnoteReference w:id="85"/>
      </w:r>
      <w:r>
        <w:rPr>
          <w:highlight w:val="white"/>
        </w:rPr>
        <w:t xml:space="preserve"> Basic dental services, as defined by CDT codes, were provided in four settings: ambulatory/urgent care, inpatient hospital setting, ED, or “other setting.” For this analysis, the focus was on basic dental services provided in “other settings,” which were likely dentists’ offices, capturing the type of dental care that is the focus of this report. Adults with I/DD may also receive basic dental care in an inpatient hospital or ambulatory care setting; however, some inpatient care may reflect admittance to the hospital after an ED visit for an oral health emergency, and some care provided in ambulatory or urgent care settings may reflect care resulting from an emergency. Thus, NCD focused on basic care offered in “other settings” in this section.</w:t>
      </w:r>
    </w:p>
    <w:p w14:paraId="24040B13" w14:textId="77777777" w:rsidR="000D4F98" w:rsidRPr="00537483" w:rsidRDefault="000D4F98" w:rsidP="005A585A">
      <w:pPr>
        <w:pStyle w:val="NCDBodyText"/>
        <w:rPr>
          <w:highlight w:val="white"/>
        </w:rPr>
      </w:pPr>
      <w:r>
        <w:rPr>
          <w:highlight w:val="white"/>
          <w:vertAlign w:val="superscript"/>
        </w:rPr>
        <w:endnoteReference w:id="86"/>
      </w:r>
      <w:r>
        <w:rPr>
          <w:highlight w:val="white"/>
        </w:rPr>
        <w:t xml:space="preserve"> These percentages ranged widely by state, with a low of 5 percent in Utah and a high of 71 percent in the District of Columbia (Table 3). This national average of 24 percent matches prior estimates of use of dental benefits by Medicaid beneficiaries who live in states with extensive benefits.</w:t>
      </w:r>
      <w:r>
        <w:rPr>
          <w:highlight w:val="white"/>
          <w:vertAlign w:val="superscript"/>
        </w:rPr>
        <w:endnoteReference w:id="87"/>
      </w:r>
    </w:p>
    <w:p w14:paraId="4AB2EA69" w14:textId="77777777" w:rsidR="005A585A" w:rsidRDefault="005A585A">
      <w:pPr>
        <w:spacing w:after="160" w:line="259" w:lineRule="auto"/>
        <w:rPr>
          <w:rFonts w:eastAsia="Arial" w:cs="Arial"/>
        </w:rPr>
      </w:pPr>
      <w:r>
        <w:rPr>
          <w:rFonts w:eastAsia="Arial" w:cs="Arial"/>
        </w:rPr>
        <w:br w:type="page"/>
      </w:r>
    </w:p>
    <w:p w14:paraId="3A9AAE75" w14:textId="1669F782" w:rsidR="000D4F98" w:rsidRPr="00537483" w:rsidRDefault="000D4F98" w:rsidP="005A585A">
      <w:pPr>
        <w:pStyle w:val="NCDTableHeader"/>
        <w:rPr>
          <w:rFonts w:eastAsia="Arial"/>
          <w:highlight w:val="white"/>
        </w:rPr>
      </w:pPr>
      <w:r w:rsidRPr="00537483">
        <w:rPr>
          <w:rFonts w:eastAsia="Arial"/>
        </w:rPr>
        <w:lastRenderedPageBreak/>
        <w:t>Table 3</w:t>
      </w:r>
      <w:r w:rsidR="00C26485">
        <w:rPr>
          <w:rFonts w:eastAsia="Arial"/>
        </w:rPr>
        <w:t>:</w:t>
      </w:r>
      <w:r w:rsidRPr="00537483">
        <w:rPr>
          <w:rFonts w:eastAsia="Arial"/>
        </w:rPr>
        <w:t xml:space="preserve"> </w:t>
      </w:r>
      <w:r w:rsidRPr="00537483">
        <w:rPr>
          <w:rFonts w:eastAsia="Arial"/>
          <w:highlight w:val="white"/>
        </w:rPr>
        <w:t>Percentage of Adults with I/DD Who Received Basic Dental Care, by State, 2018</w:t>
      </w:r>
      <w:r w:rsidRPr="00537483">
        <w:rPr>
          <w:rFonts w:eastAsia="Arial"/>
          <w:highlight w:val="white"/>
          <w:vertAlign w:val="superscript"/>
        </w:rPr>
        <w:endnoteReference w:id="88"/>
      </w:r>
    </w:p>
    <w:tbl>
      <w:tblPr>
        <w:tblStyle w:val="TableGrid"/>
        <w:tblW w:w="7227" w:type="dxa"/>
        <w:jc w:val="center"/>
        <w:tblLayout w:type="fixed"/>
        <w:tblLook w:val="0600" w:firstRow="0" w:lastRow="0" w:firstColumn="0" w:lastColumn="0" w:noHBand="1" w:noVBand="1"/>
        <w:tblDescription w:val="Table 3. Percentage of Adults with I/DD Who Received Basic Dental Care, by State, 2018"/>
      </w:tblPr>
      <w:tblGrid>
        <w:gridCol w:w="4347"/>
        <w:gridCol w:w="2880"/>
      </w:tblGrid>
      <w:tr w:rsidR="000D4F98" w14:paraId="4B0DCBDF" w14:textId="77777777" w:rsidTr="005A585A">
        <w:trPr>
          <w:trHeight w:val="116"/>
          <w:tblHeader/>
          <w:jc w:val="center"/>
        </w:trPr>
        <w:tc>
          <w:tcPr>
            <w:tcW w:w="4347" w:type="dxa"/>
          </w:tcPr>
          <w:p w14:paraId="5B23944C" w14:textId="003E8758" w:rsidR="000D4F98" w:rsidRPr="000B0E22" w:rsidRDefault="00401D57" w:rsidP="005A585A">
            <w:pPr>
              <w:pStyle w:val="NCDTableHeader"/>
              <w:spacing w:before="40" w:after="40"/>
              <w:rPr>
                <w:rFonts w:eastAsia="Arial"/>
              </w:rPr>
            </w:pPr>
            <w:r w:rsidRPr="00401D57">
              <w:rPr>
                <w:rFonts w:eastAsia="Arial"/>
              </w:rPr>
              <w:t>State</w:t>
            </w:r>
          </w:p>
        </w:tc>
        <w:tc>
          <w:tcPr>
            <w:tcW w:w="2880" w:type="dxa"/>
          </w:tcPr>
          <w:p w14:paraId="7EFD009F" w14:textId="153DF1B5" w:rsidR="000D4F98" w:rsidRPr="000B0E22" w:rsidRDefault="00401D57" w:rsidP="005A585A">
            <w:pPr>
              <w:pStyle w:val="NCDTableHeader"/>
              <w:spacing w:before="40" w:after="40"/>
              <w:rPr>
                <w:rFonts w:eastAsia="Arial"/>
              </w:rPr>
            </w:pPr>
            <w:r w:rsidRPr="00401D57">
              <w:rPr>
                <w:rFonts w:eastAsia="Arial"/>
              </w:rPr>
              <w:t>Percentage (%)</w:t>
            </w:r>
          </w:p>
        </w:tc>
      </w:tr>
      <w:tr w:rsidR="000D4F98" w14:paraId="6DB4EB6A" w14:textId="77777777" w:rsidTr="005A585A">
        <w:trPr>
          <w:trHeight w:val="330"/>
          <w:jc w:val="center"/>
        </w:trPr>
        <w:tc>
          <w:tcPr>
            <w:tcW w:w="4347" w:type="dxa"/>
          </w:tcPr>
          <w:p w14:paraId="6B530A71" w14:textId="77777777" w:rsidR="000D4F98" w:rsidRPr="000B0E22" w:rsidRDefault="000D4F98" w:rsidP="005A585A">
            <w:pPr>
              <w:pStyle w:val="NCDTableText"/>
              <w:spacing w:before="40" w:after="40"/>
              <w:rPr>
                <w:rFonts w:eastAsia="Arial"/>
              </w:rPr>
            </w:pPr>
            <w:r w:rsidRPr="000B0E22">
              <w:rPr>
                <w:rFonts w:eastAsia="Arial"/>
              </w:rPr>
              <w:t>Alabama</w:t>
            </w:r>
          </w:p>
        </w:tc>
        <w:tc>
          <w:tcPr>
            <w:tcW w:w="2880" w:type="dxa"/>
          </w:tcPr>
          <w:p w14:paraId="6BC4887C" w14:textId="77777777" w:rsidR="000D4F98" w:rsidRPr="000B0E22" w:rsidRDefault="000D4F98" w:rsidP="005A585A">
            <w:pPr>
              <w:pStyle w:val="NCDTableText"/>
              <w:spacing w:before="40" w:after="40"/>
              <w:jc w:val="center"/>
              <w:rPr>
                <w:rFonts w:eastAsia="Arial"/>
              </w:rPr>
            </w:pPr>
            <w:r w:rsidRPr="000B0E22">
              <w:rPr>
                <w:rFonts w:eastAsia="Arial"/>
              </w:rPr>
              <w:t>5</w:t>
            </w:r>
          </w:p>
        </w:tc>
      </w:tr>
      <w:tr w:rsidR="000D4F98" w14:paraId="79A6E75A" w14:textId="77777777" w:rsidTr="005A585A">
        <w:trPr>
          <w:trHeight w:val="330"/>
          <w:jc w:val="center"/>
        </w:trPr>
        <w:tc>
          <w:tcPr>
            <w:tcW w:w="4347" w:type="dxa"/>
          </w:tcPr>
          <w:p w14:paraId="50B830C7" w14:textId="77777777" w:rsidR="000D4F98" w:rsidRPr="000B0E22" w:rsidRDefault="000D4F98" w:rsidP="005A585A">
            <w:pPr>
              <w:pStyle w:val="NCDTableText"/>
              <w:spacing w:before="40" w:after="40"/>
              <w:rPr>
                <w:rFonts w:eastAsia="Arial"/>
              </w:rPr>
            </w:pPr>
            <w:r w:rsidRPr="000B0E22">
              <w:rPr>
                <w:rFonts w:eastAsia="Arial"/>
              </w:rPr>
              <w:t>Alaska</w:t>
            </w:r>
          </w:p>
        </w:tc>
        <w:tc>
          <w:tcPr>
            <w:tcW w:w="2880" w:type="dxa"/>
          </w:tcPr>
          <w:p w14:paraId="45341217" w14:textId="77777777" w:rsidR="000D4F98" w:rsidRPr="000B0E22" w:rsidRDefault="000D4F98" w:rsidP="005A585A">
            <w:pPr>
              <w:pStyle w:val="NCDTableText"/>
              <w:spacing w:before="40" w:after="40"/>
              <w:jc w:val="center"/>
              <w:rPr>
                <w:rFonts w:eastAsia="Arial"/>
              </w:rPr>
            </w:pPr>
            <w:r w:rsidRPr="000B0E22">
              <w:rPr>
                <w:rFonts w:eastAsia="Arial"/>
              </w:rPr>
              <w:t>49</w:t>
            </w:r>
          </w:p>
        </w:tc>
      </w:tr>
      <w:tr w:rsidR="000D4F98" w14:paraId="644318E1" w14:textId="77777777" w:rsidTr="005A585A">
        <w:trPr>
          <w:trHeight w:val="330"/>
          <w:jc w:val="center"/>
        </w:trPr>
        <w:tc>
          <w:tcPr>
            <w:tcW w:w="4347" w:type="dxa"/>
          </w:tcPr>
          <w:p w14:paraId="13065039" w14:textId="77777777" w:rsidR="000D4F98" w:rsidRPr="000B0E22" w:rsidRDefault="000D4F98" w:rsidP="005A585A">
            <w:pPr>
              <w:pStyle w:val="NCDTableText"/>
              <w:spacing w:before="40" w:after="40"/>
              <w:rPr>
                <w:rFonts w:eastAsia="Arial"/>
              </w:rPr>
            </w:pPr>
            <w:r w:rsidRPr="000B0E22">
              <w:rPr>
                <w:rFonts w:eastAsia="Arial"/>
              </w:rPr>
              <w:t>Arizona</w:t>
            </w:r>
          </w:p>
        </w:tc>
        <w:tc>
          <w:tcPr>
            <w:tcW w:w="2880" w:type="dxa"/>
          </w:tcPr>
          <w:p w14:paraId="74405D2A" w14:textId="77777777" w:rsidR="000D4F98" w:rsidRPr="000B0E22" w:rsidRDefault="000D4F98" w:rsidP="005A585A">
            <w:pPr>
              <w:pStyle w:val="NCDTableText"/>
              <w:spacing w:before="40" w:after="40"/>
              <w:jc w:val="center"/>
              <w:rPr>
                <w:rFonts w:eastAsia="Arial"/>
              </w:rPr>
            </w:pPr>
            <w:r w:rsidRPr="000B0E22">
              <w:rPr>
                <w:rFonts w:eastAsia="Arial"/>
              </w:rPr>
              <w:t>25</w:t>
            </w:r>
          </w:p>
        </w:tc>
      </w:tr>
      <w:tr w:rsidR="000D4F98" w14:paraId="5B514DDE" w14:textId="77777777" w:rsidTr="005A585A">
        <w:trPr>
          <w:trHeight w:val="330"/>
          <w:jc w:val="center"/>
        </w:trPr>
        <w:tc>
          <w:tcPr>
            <w:tcW w:w="4347" w:type="dxa"/>
          </w:tcPr>
          <w:p w14:paraId="7D1E5CE8" w14:textId="77777777" w:rsidR="000D4F98" w:rsidRPr="000B0E22" w:rsidRDefault="000D4F98" w:rsidP="005A585A">
            <w:pPr>
              <w:pStyle w:val="NCDTableText"/>
              <w:spacing w:before="40" w:after="40"/>
              <w:rPr>
                <w:rFonts w:eastAsia="Arial"/>
              </w:rPr>
            </w:pPr>
            <w:r w:rsidRPr="000B0E22">
              <w:rPr>
                <w:rFonts w:eastAsia="Arial"/>
              </w:rPr>
              <w:t>Arkansas</w:t>
            </w:r>
          </w:p>
        </w:tc>
        <w:tc>
          <w:tcPr>
            <w:tcW w:w="2880" w:type="dxa"/>
          </w:tcPr>
          <w:p w14:paraId="10DF2313" w14:textId="77777777" w:rsidR="000D4F98" w:rsidRPr="000B0E22" w:rsidRDefault="000D4F98" w:rsidP="005A585A">
            <w:pPr>
              <w:pStyle w:val="NCDTableText"/>
              <w:spacing w:before="40" w:after="40"/>
              <w:jc w:val="center"/>
              <w:rPr>
                <w:rFonts w:eastAsia="Arial"/>
              </w:rPr>
            </w:pPr>
            <w:r w:rsidRPr="000B0E22">
              <w:rPr>
                <w:rFonts w:eastAsia="Arial"/>
              </w:rPr>
              <w:t>27</w:t>
            </w:r>
          </w:p>
        </w:tc>
      </w:tr>
      <w:tr w:rsidR="000D4F98" w14:paraId="7E1630E1" w14:textId="77777777" w:rsidTr="005A585A">
        <w:trPr>
          <w:trHeight w:val="330"/>
          <w:jc w:val="center"/>
        </w:trPr>
        <w:tc>
          <w:tcPr>
            <w:tcW w:w="4347" w:type="dxa"/>
          </w:tcPr>
          <w:p w14:paraId="59251FCE" w14:textId="77777777" w:rsidR="000D4F98" w:rsidRPr="000B0E22" w:rsidRDefault="000D4F98" w:rsidP="005A585A">
            <w:pPr>
              <w:pStyle w:val="NCDTableText"/>
              <w:spacing w:before="40" w:after="40"/>
              <w:rPr>
                <w:rFonts w:eastAsia="Arial"/>
              </w:rPr>
            </w:pPr>
            <w:r w:rsidRPr="000B0E22">
              <w:rPr>
                <w:rFonts w:eastAsia="Arial"/>
              </w:rPr>
              <w:t>California</w:t>
            </w:r>
          </w:p>
        </w:tc>
        <w:tc>
          <w:tcPr>
            <w:tcW w:w="2880" w:type="dxa"/>
          </w:tcPr>
          <w:p w14:paraId="0041F9BB" w14:textId="77777777" w:rsidR="000D4F98" w:rsidRPr="000B0E22" w:rsidRDefault="000D4F98" w:rsidP="005A585A">
            <w:pPr>
              <w:pStyle w:val="NCDTableText"/>
              <w:spacing w:before="40" w:after="40"/>
              <w:jc w:val="center"/>
              <w:rPr>
                <w:rFonts w:eastAsia="Arial"/>
              </w:rPr>
            </w:pPr>
            <w:r w:rsidRPr="000B0E22">
              <w:rPr>
                <w:rFonts w:eastAsia="Arial"/>
              </w:rPr>
              <w:t>27</w:t>
            </w:r>
          </w:p>
        </w:tc>
      </w:tr>
      <w:tr w:rsidR="000D4F98" w14:paraId="3C6489A4" w14:textId="77777777" w:rsidTr="005A585A">
        <w:trPr>
          <w:trHeight w:val="330"/>
          <w:jc w:val="center"/>
        </w:trPr>
        <w:tc>
          <w:tcPr>
            <w:tcW w:w="4347" w:type="dxa"/>
          </w:tcPr>
          <w:p w14:paraId="345E1F8D" w14:textId="77777777" w:rsidR="000D4F98" w:rsidRPr="000B0E22" w:rsidRDefault="000D4F98" w:rsidP="005A585A">
            <w:pPr>
              <w:pStyle w:val="NCDTableText"/>
              <w:spacing w:before="40" w:after="40"/>
              <w:rPr>
                <w:rFonts w:eastAsia="Arial"/>
              </w:rPr>
            </w:pPr>
            <w:r w:rsidRPr="000B0E22">
              <w:rPr>
                <w:rFonts w:eastAsia="Arial"/>
              </w:rPr>
              <w:t>Colorado</w:t>
            </w:r>
          </w:p>
        </w:tc>
        <w:tc>
          <w:tcPr>
            <w:tcW w:w="2880" w:type="dxa"/>
          </w:tcPr>
          <w:p w14:paraId="19ED3705" w14:textId="77777777" w:rsidR="000D4F98" w:rsidRPr="000B0E22" w:rsidRDefault="000D4F98" w:rsidP="005A585A">
            <w:pPr>
              <w:pStyle w:val="NCDTableText"/>
              <w:spacing w:before="40" w:after="40"/>
              <w:jc w:val="center"/>
              <w:rPr>
                <w:rFonts w:eastAsia="Arial"/>
              </w:rPr>
            </w:pPr>
            <w:r w:rsidRPr="000B0E22">
              <w:rPr>
                <w:rFonts w:eastAsia="Arial"/>
              </w:rPr>
              <w:t>44</w:t>
            </w:r>
          </w:p>
        </w:tc>
      </w:tr>
      <w:tr w:rsidR="000D4F98" w14:paraId="19ED5514" w14:textId="77777777" w:rsidTr="005A585A">
        <w:trPr>
          <w:trHeight w:val="330"/>
          <w:jc w:val="center"/>
        </w:trPr>
        <w:tc>
          <w:tcPr>
            <w:tcW w:w="4347" w:type="dxa"/>
          </w:tcPr>
          <w:p w14:paraId="780135B6" w14:textId="77777777" w:rsidR="000D4F98" w:rsidRPr="000B0E22" w:rsidRDefault="000D4F98" w:rsidP="005A585A">
            <w:pPr>
              <w:pStyle w:val="NCDTableText"/>
              <w:spacing w:before="40" w:after="40"/>
              <w:rPr>
                <w:rFonts w:eastAsia="Arial"/>
              </w:rPr>
            </w:pPr>
            <w:r w:rsidRPr="000B0E22">
              <w:rPr>
                <w:rFonts w:eastAsia="Arial"/>
              </w:rPr>
              <w:t>Connecticut</w:t>
            </w:r>
          </w:p>
        </w:tc>
        <w:tc>
          <w:tcPr>
            <w:tcW w:w="2880" w:type="dxa"/>
          </w:tcPr>
          <w:p w14:paraId="61767EDA" w14:textId="77777777" w:rsidR="000D4F98" w:rsidRPr="000B0E22" w:rsidRDefault="000D4F98" w:rsidP="005A585A">
            <w:pPr>
              <w:pStyle w:val="NCDTableText"/>
              <w:spacing w:before="40" w:after="40"/>
              <w:jc w:val="center"/>
              <w:rPr>
                <w:rFonts w:eastAsia="Arial"/>
              </w:rPr>
            </w:pPr>
            <w:r w:rsidRPr="000B0E22">
              <w:rPr>
                <w:rFonts w:eastAsia="Arial"/>
              </w:rPr>
              <w:t>48</w:t>
            </w:r>
          </w:p>
        </w:tc>
      </w:tr>
      <w:tr w:rsidR="000D4F98" w14:paraId="38CBB5F3" w14:textId="77777777" w:rsidTr="005A585A">
        <w:trPr>
          <w:trHeight w:val="330"/>
          <w:jc w:val="center"/>
        </w:trPr>
        <w:tc>
          <w:tcPr>
            <w:tcW w:w="4347" w:type="dxa"/>
          </w:tcPr>
          <w:p w14:paraId="40E5989D" w14:textId="77777777" w:rsidR="000D4F98" w:rsidRPr="000B0E22" w:rsidRDefault="000D4F98" w:rsidP="005A585A">
            <w:pPr>
              <w:pStyle w:val="NCDTableText"/>
              <w:spacing w:before="40" w:after="40"/>
              <w:rPr>
                <w:rFonts w:eastAsia="Arial"/>
              </w:rPr>
            </w:pPr>
            <w:r w:rsidRPr="000B0E22">
              <w:rPr>
                <w:rFonts w:eastAsia="Arial"/>
              </w:rPr>
              <w:t>Delaware</w:t>
            </w:r>
          </w:p>
        </w:tc>
        <w:tc>
          <w:tcPr>
            <w:tcW w:w="2880" w:type="dxa"/>
          </w:tcPr>
          <w:p w14:paraId="431C894A" w14:textId="77777777" w:rsidR="000D4F98" w:rsidRPr="000B0E22" w:rsidRDefault="000D4F98" w:rsidP="005A585A">
            <w:pPr>
              <w:pStyle w:val="NCDTableText"/>
              <w:spacing w:before="40" w:after="40"/>
              <w:jc w:val="center"/>
              <w:rPr>
                <w:rFonts w:eastAsia="Arial"/>
              </w:rPr>
            </w:pPr>
            <w:r w:rsidRPr="000B0E22">
              <w:rPr>
                <w:rFonts w:eastAsia="Arial"/>
              </w:rPr>
              <w:t>8</w:t>
            </w:r>
          </w:p>
        </w:tc>
      </w:tr>
      <w:tr w:rsidR="000D4F98" w14:paraId="158040D3" w14:textId="77777777" w:rsidTr="005A585A">
        <w:trPr>
          <w:trHeight w:val="224"/>
          <w:jc w:val="center"/>
        </w:trPr>
        <w:tc>
          <w:tcPr>
            <w:tcW w:w="4347" w:type="dxa"/>
          </w:tcPr>
          <w:p w14:paraId="7A0FEB7D" w14:textId="77777777" w:rsidR="000D4F98" w:rsidRPr="000B0E22" w:rsidRDefault="000D4F98" w:rsidP="005A585A">
            <w:pPr>
              <w:pStyle w:val="NCDTableText"/>
              <w:spacing w:before="40" w:after="40"/>
              <w:rPr>
                <w:rFonts w:eastAsia="Arial"/>
              </w:rPr>
            </w:pPr>
            <w:r w:rsidRPr="000B0E22">
              <w:rPr>
                <w:rFonts w:eastAsia="Arial"/>
              </w:rPr>
              <w:t>District of Columbia</w:t>
            </w:r>
          </w:p>
        </w:tc>
        <w:tc>
          <w:tcPr>
            <w:tcW w:w="2880" w:type="dxa"/>
          </w:tcPr>
          <w:p w14:paraId="4FCA0DCD" w14:textId="77777777" w:rsidR="000D4F98" w:rsidRPr="000B0E22" w:rsidRDefault="000D4F98" w:rsidP="005A585A">
            <w:pPr>
              <w:pStyle w:val="NCDTableText"/>
              <w:spacing w:before="40" w:after="40"/>
              <w:jc w:val="center"/>
              <w:rPr>
                <w:rFonts w:eastAsia="Arial"/>
              </w:rPr>
            </w:pPr>
            <w:r w:rsidRPr="000B0E22">
              <w:rPr>
                <w:rFonts w:eastAsia="Arial"/>
              </w:rPr>
              <w:t>71</w:t>
            </w:r>
          </w:p>
        </w:tc>
      </w:tr>
      <w:tr w:rsidR="000D4F98" w14:paraId="01B957DB" w14:textId="77777777" w:rsidTr="005A585A">
        <w:trPr>
          <w:trHeight w:val="330"/>
          <w:jc w:val="center"/>
        </w:trPr>
        <w:tc>
          <w:tcPr>
            <w:tcW w:w="4347" w:type="dxa"/>
          </w:tcPr>
          <w:p w14:paraId="74439FD6" w14:textId="77777777" w:rsidR="000D4F98" w:rsidRPr="000B0E22" w:rsidRDefault="000D4F98" w:rsidP="005A585A">
            <w:pPr>
              <w:pStyle w:val="NCDTableText"/>
              <w:spacing w:before="40" w:after="40"/>
              <w:rPr>
                <w:rFonts w:eastAsia="Arial"/>
              </w:rPr>
            </w:pPr>
            <w:r w:rsidRPr="000B0E22">
              <w:rPr>
                <w:rFonts w:eastAsia="Arial"/>
              </w:rPr>
              <w:t>Florida</w:t>
            </w:r>
          </w:p>
        </w:tc>
        <w:tc>
          <w:tcPr>
            <w:tcW w:w="2880" w:type="dxa"/>
          </w:tcPr>
          <w:p w14:paraId="6157D5FE" w14:textId="77777777" w:rsidR="000D4F98" w:rsidRPr="000B0E22" w:rsidRDefault="000D4F98" w:rsidP="005A585A">
            <w:pPr>
              <w:pStyle w:val="NCDTableText"/>
              <w:spacing w:before="40" w:after="40"/>
              <w:jc w:val="center"/>
              <w:rPr>
                <w:rFonts w:eastAsia="Arial"/>
              </w:rPr>
            </w:pPr>
            <w:r w:rsidRPr="000B0E22">
              <w:rPr>
                <w:rFonts w:eastAsia="Arial"/>
              </w:rPr>
              <w:t>27</w:t>
            </w:r>
          </w:p>
        </w:tc>
      </w:tr>
      <w:tr w:rsidR="000D4F98" w14:paraId="170EB4A5" w14:textId="77777777" w:rsidTr="005A585A">
        <w:trPr>
          <w:trHeight w:val="330"/>
          <w:jc w:val="center"/>
        </w:trPr>
        <w:tc>
          <w:tcPr>
            <w:tcW w:w="4347" w:type="dxa"/>
          </w:tcPr>
          <w:p w14:paraId="3E6C1339" w14:textId="77777777" w:rsidR="000D4F98" w:rsidRPr="000B0E22" w:rsidRDefault="000D4F98" w:rsidP="005A585A">
            <w:pPr>
              <w:pStyle w:val="NCDTableText"/>
              <w:spacing w:before="40" w:after="40"/>
              <w:rPr>
                <w:rFonts w:eastAsia="Arial"/>
              </w:rPr>
            </w:pPr>
            <w:r w:rsidRPr="000B0E22">
              <w:rPr>
                <w:rFonts w:eastAsia="Arial"/>
              </w:rPr>
              <w:t>Georgia</w:t>
            </w:r>
          </w:p>
        </w:tc>
        <w:tc>
          <w:tcPr>
            <w:tcW w:w="2880" w:type="dxa"/>
          </w:tcPr>
          <w:p w14:paraId="532A410F" w14:textId="77777777" w:rsidR="000D4F98" w:rsidRPr="000B0E22" w:rsidRDefault="000D4F98" w:rsidP="005A585A">
            <w:pPr>
              <w:pStyle w:val="NCDTableText"/>
              <w:spacing w:before="40" w:after="40"/>
              <w:jc w:val="center"/>
              <w:rPr>
                <w:rFonts w:eastAsia="Arial"/>
              </w:rPr>
            </w:pPr>
            <w:r w:rsidRPr="000B0E22">
              <w:rPr>
                <w:rFonts w:eastAsia="Arial"/>
              </w:rPr>
              <w:t>17</w:t>
            </w:r>
          </w:p>
        </w:tc>
      </w:tr>
      <w:tr w:rsidR="000D4F98" w14:paraId="364FB696" w14:textId="77777777" w:rsidTr="005A585A">
        <w:trPr>
          <w:trHeight w:val="330"/>
          <w:jc w:val="center"/>
        </w:trPr>
        <w:tc>
          <w:tcPr>
            <w:tcW w:w="4347" w:type="dxa"/>
          </w:tcPr>
          <w:p w14:paraId="2A34C967" w14:textId="77777777" w:rsidR="000D4F98" w:rsidRPr="000B0E22" w:rsidRDefault="000D4F98" w:rsidP="005A585A">
            <w:pPr>
              <w:pStyle w:val="NCDTableText"/>
              <w:spacing w:before="40" w:after="40"/>
              <w:rPr>
                <w:rFonts w:eastAsia="Arial"/>
              </w:rPr>
            </w:pPr>
            <w:r w:rsidRPr="000B0E22">
              <w:rPr>
                <w:rFonts w:eastAsia="Arial"/>
              </w:rPr>
              <w:t>Hawaii</w:t>
            </w:r>
          </w:p>
        </w:tc>
        <w:tc>
          <w:tcPr>
            <w:tcW w:w="2880" w:type="dxa"/>
          </w:tcPr>
          <w:p w14:paraId="461F3561" w14:textId="77777777" w:rsidR="000D4F98" w:rsidRPr="000B0E22" w:rsidRDefault="000D4F98" w:rsidP="005A585A">
            <w:pPr>
              <w:pStyle w:val="NCDTableText"/>
              <w:spacing w:before="40" w:after="40"/>
              <w:jc w:val="center"/>
              <w:rPr>
                <w:rFonts w:eastAsia="Arial"/>
              </w:rPr>
            </w:pPr>
            <w:r w:rsidRPr="000B0E22">
              <w:rPr>
                <w:rFonts w:eastAsia="Arial"/>
              </w:rPr>
              <w:t>8</w:t>
            </w:r>
          </w:p>
        </w:tc>
      </w:tr>
      <w:tr w:rsidR="000D4F98" w14:paraId="79087212" w14:textId="77777777" w:rsidTr="005A585A">
        <w:trPr>
          <w:trHeight w:val="330"/>
          <w:jc w:val="center"/>
        </w:trPr>
        <w:tc>
          <w:tcPr>
            <w:tcW w:w="4347" w:type="dxa"/>
          </w:tcPr>
          <w:p w14:paraId="2B1C64FF" w14:textId="77777777" w:rsidR="000D4F98" w:rsidRPr="000B0E22" w:rsidRDefault="000D4F98" w:rsidP="005A585A">
            <w:pPr>
              <w:pStyle w:val="NCDTableText"/>
              <w:spacing w:before="40" w:after="40"/>
              <w:rPr>
                <w:rFonts w:eastAsia="Arial"/>
              </w:rPr>
            </w:pPr>
            <w:r w:rsidRPr="000B0E22">
              <w:rPr>
                <w:rFonts w:eastAsia="Arial"/>
              </w:rPr>
              <w:t>Idaho</w:t>
            </w:r>
          </w:p>
        </w:tc>
        <w:tc>
          <w:tcPr>
            <w:tcW w:w="2880" w:type="dxa"/>
          </w:tcPr>
          <w:p w14:paraId="7B5B4F91" w14:textId="77777777" w:rsidR="000D4F98" w:rsidRPr="000B0E22" w:rsidRDefault="000D4F98" w:rsidP="005A585A">
            <w:pPr>
              <w:pStyle w:val="NCDTableText"/>
              <w:spacing w:before="40" w:after="40"/>
              <w:jc w:val="center"/>
              <w:rPr>
                <w:rFonts w:eastAsia="Arial"/>
              </w:rPr>
            </w:pPr>
            <w:r w:rsidRPr="000B0E22">
              <w:rPr>
                <w:rFonts w:eastAsia="Arial"/>
              </w:rPr>
              <w:t>48</w:t>
            </w:r>
          </w:p>
        </w:tc>
      </w:tr>
      <w:tr w:rsidR="000D4F98" w14:paraId="0C9CFE1D" w14:textId="77777777" w:rsidTr="005A585A">
        <w:trPr>
          <w:trHeight w:val="330"/>
          <w:jc w:val="center"/>
        </w:trPr>
        <w:tc>
          <w:tcPr>
            <w:tcW w:w="4347" w:type="dxa"/>
          </w:tcPr>
          <w:p w14:paraId="540D1B3E" w14:textId="77777777" w:rsidR="000D4F98" w:rsidRPr="000B0E22" w:rsidRDefault="000D4F98" w:rsidP="005A585A">
            <w:pPr>
              <w:pStyle w:val="NCDTableText"/>
              <w:spacing w:before="40" w:after="40"/>
              <w:rPr>
                <w:rFonts w:eastAsia="Arial"/>
              </w:rPr>
            </w:pPr>
            <w:r w:rsidRPr="000B0E22">
              <w:rPr>
                <w:rFonts w:eastAsia="Arial"/>
              </w:rPr>
              <w:t>Illinois</w:t>
            </w:r>
          </w:p>
        </w:tc>
        <w:tc>
          <w:tcPr>
            <w:tcW w:w="2880" w:type="dxa"/>
          </w:tcPr>
          <w:p w14:paraId="15DAF95C" w14:textId="77777777" w:rsidR="000D4F98" w:rsidRPr="000B0E22" w:rsidRDefault="000D4F98" w:rsidP="005A585A">
            <w:pPr>
              <w:pStyle w:val="NCDTableText"/>
              <w:spacing w:before="40" w:after="40"/>
              <w:jc w:val="center"/>
              <w:rPr>
                <w:rFonts w:eastAsia="Arial"/>
              </w:rPr>
            </w:pPr>
            <w:r w:rsidRPr="000B0E22">
              <w:rPr>
                <w:rFonts w:eastAsia="Arial"/>
              </w:rPr>
              <w:t>25</w:t>
            </w:r>
          </w:p>
        </w:tc>
      </w:tr>
      <w:tr w:rsidR="000D4F98" w14:paraId="7462B624" w14:textId="77777777" w:rsidTr="005A585A">
        <w:trPr>
          <w:trHeight w:val="330"/>
          <w:jc w:val="center"/>
        </w:trPr>
        <w:tc>
          <w:tcPr>
            <w:tcW w:w="4347" w:type="dxa"/>
          </w:tcPr>
          <w:p w14:paraId="7DCD6125" w14:textId="77777777" w:rsidR="000D4F98" w:rsidRPr="000B0E22" w:rsidRDefault="000D4F98" w:rsidP="005A585A">
            <w:pPr>
              <w:pStyle w:val="NCDTableText"/>
              <w:spacing w:before="40" w:after="40"/>
              <w:rPr>
                <w:rFonts w:eastAsia="Arial"/>
              </w:rPr>
            </w:pPr>
            <w:r w:rsidRPr="000B0E22">
              <w:rPr>
                <w:rFonts w:eastAsia="Arial"/>
              </w:rPr>
              <w:t>Indiana</w:t>
            </w:r>
          </w:p>
        </w:tc>
        <w:tc>
          <w:tcPr>
            <w:tcW w:w="2880" w:type="dxa"/>
          </w:tcPr>
          <w:p w14:paraId="4B14B4A3" w14:textId="77777777" w:rsidR="000D4F98" w:rsidRPr="000B0E22" w:rsidRDefault="000D4F98" w:rsidP="005A585A">
            <w:pPr>
              <w:pStyle w:val="NCDTableText"/>
              <w:spacing w:before="40" w:after="40"/>
              <w:jc w:val="center"/>
              <w:rPr>
                <w:rFonts w:eastAsia="Arial"/>
              </w:rPr>
            </w:pPr>
            <w:r w:rsidRPr="000B0E22">
              <w:rPr>
                <w:rFonts w:eastAsia="Arial"/>
              </w:rPr>
              <w:t>55</w:t>
            </w:r>
          </w:p>
        </w:tc>
      </w:tr>
      <w:tr w:rsidR="000D4F98" w14:paraId="3E65E0E2" w14:textId="77777777" w:rsidTr="005A585A">
        <w:trPr>
          <w:trHeight w:val="330"/>
          <w:jc w:val="center"/>
        </w:trPr>
        <w:tc>
          <w:tcPr>
            <w:tcW w:w="4347" w:type="dxa"/>
          </w:tcPr>
          <w:p w14:paraId="09F2769F" w14:textId="77777777" w:rsidR="000D4F98" w:rsidRPr="000B0E22" w:rsidRDefault="000D4F98" w:rsidP="005A585A">
            <w:pPr>
              <w:pStyle w:val="NCDTableText"/>
              <w:spacing w:before="40" w:after="40"/>
              <w:rPr>
                <w:rFonts w:eastAsia="Arial"/>
              </w:rPr>
            </w:pPr>
            <w:r w:rsidRPr="000B0E22">
              <w:rPr>
                <w:rFonts w:eastAsia="Arial"/>
              </w:rPr>
              <w:t>Iowa</w:t>
            </w:r>
          </w:p>
        </w:tc>
        <w:tc>
          <w:tcPr>
            <w:tcW w:w="2880" w:type="dxa"/>
          </w:tcPr>
          <w:p w14:paraId="35BD68AF" w14:textId="77777777" w:rsidR="000D4F98" w:rsidRPr="000B0E22" w:rsidRDefault="000D4F98" w:rsidP="005A585A">
            <w:pPr>
              <w:pStyle w:val="NCDTableText"/>
              <w:spacing w:before="40" w:after="40"/>
              <w:jc w:val="center"/>
              <w:rPr>
                <w:rFonts w:eastAsia="Arial"/>
              </w:rPr>
            </w:pPr>
            <w:r w:rsidRPr="000B0E22">
              <w:rPr>
                <w:rFonts w:eastAsia="Arial"/>
              </w:rPr>
              <w:t>56</w:t>
            </w:r>
          </w:p>
        </w:tc>
      </w:tr>
      <w:tr w:rsidR="000D4F98" w14:paraId="62B63378" w14:textId="77777777" w:rsidTr="005A585A">
        <w:trPr>
          <w:trHeight w:val="330"/>
          <w:jc w:val="center"/>
        </w:trPr>
        <w:tc>
          <w:tcPr>
            <w:tcW w:w="4347" w:type="dxa"/>
          </w:tcPr>
          <w:p w14:paraId="657119BD" w14:textId="77777777" w:rsidR="000D4F98" w:rsidRPr="000B0E22" w:rsidRDefault="000D4F98" w:rsidP="005A585A">
            <w:pPr>
              <w:pStyle w:val="NCDTableText"/>
              <w:spacing w:before="40" w:after="40"/>
              <w:rPr>
                <w:rFonts w:eastAsia="Arial"/>
              </w:rPr>
            </w:pPr>
            <w:r w:rsidRPr="000B0E22">
              <w:rPr>
                <w:rFonts w:eastAsia="Arial"/>
              </w:rPr>
              <w:t>Kansas</w:t>
            </w:r>
          </w:p>
        </w:tc>
        <w:tc>
          <w:tcPr>
            <w:tcW w:w="2880" w:type="dxa"/>
          </w:tcPr>
          <w:p w14:paraId="3EF5471F" w14:textId="77777777" w:rsidR="000D4F98" w:rsidRPr="000B0E22" w:rsidRDefault="000D4F98" w:rsidP="005A585A">
            <w:pPr>
              <w:pStyle w:val="NCDTableText"/>
              <w:spacing w:before="40" w:after="40"/>
              <w:jc w:val="center"/>
              <w:rPr>
                <w:rFonts w:eastAsia="Arial"/>
              </w:rPr>
            </w:pPr>
            <w:r w:rsidRPr="000B0E22">
              <w:rPr>
                <w:rFonts w:eastAsia="Arial"/>
              </w:rPr>
              <w:t>36</w:t>
            </w:r>
          </w:p>
        </w:tc>
      </w:tr>
      <w:tr w:rsidR="000D4F98" w14:paraId="150860E1" w14:textId="77777777" w:rsidTr="005A585A">
        <w:trPr>
          <w:trHeight w:val="330"/>
          <w:jc w:val="center"/>
        </w:trPr>
        <w:tc>
          <w:tcPr>
            <w:tcW w:w="4347" w:type="dxa"/>
          </w:tcPr>
          <w:p w14:paraId="02E1802D" w14:textId="77777777" w:rsidR="000D4F98" w:rsidRPr="000B0E22" w:rsidRDefault="000D4F98" w:rsidP="005A585A">
            <w:pPr>
              <w:pStyle w:val="NCDTableText"/>
              <w:spacing w:before="40" w:after="40"/>
              <w:rPr>
                <w:rFonts w:eastAsia="Arial"/>
              </w:rPr>
            </w:pPr>
            <w:r w:rsidRPr="000B0E22">
              <w:rPr>
                <w:rFonts w:eastAsia="Arial"/>
              </w:rPr>
              <w:t>Kentucky</w:t>
            </w:r>
          </w:p>
        </w:tc>
        <w:tc>
          <w:tcPr>
            <w:tcW w:w="2880" w:type="dxa"/>
          </w:tcPr>
          <w:p w14:paraId="1FFF024F" w14:textId="77777777" w:rsidR="000D4F98" w:rsidRPr="000B0E22" w:rsidRDefault="000D4F98" w:rsidP="005A585A">
            <w:pPr>
              <w:pStyle w:val="NCDTableText"/>
              <w:spacing w:before="40" w:after="40"/>
              <w:jc w:val="center"/>
              <w:rPr>
                <w:rFonts w:eastAsia="Arial"/>
              </w:rPr>
            </w:pPr>
            <w:r w:rsidRPr="000B0E22">
              <w:rPr>
                <w:rFonts w:eastAsia="Arial"/>
              </w:rPr>
              <w:t>40</w:t>
            </w:r>
          </w:p>
        </w:tc>
      </w:tr>
      <w:tr w:rsidR="000D4F98" w14:paraId="2F4DB2A6" w14:textId="77777777" w:rsidTr="005A585A">
        <w:trPr>
          <w:trHeight w:val="330"/>
          <w:jc w:val="center"/>
        </w:trPr>
        <w:tc>
          <w:tcPr>
            <w:tcW w:w="4347" w:type="dxa"/>
          </w:tcPr>
          <w:p w14:paraId="7D79497D" w14:textId="77777777" w:rsidR="000D4F98" w:rsidRPr="000B0E22" w:rsidRDefault="000D4F98" w:rsidP="005A585A">
            <w:pPr>
              <w:pStyle w:val="NCDTableText"/>
              <w:spacing w:before="40" w:after="40"/>
              <w:rPr>
                <w:rFonts w:eastAsia="Arial"/>
              </w:rPr>
            </w:pPr>
            <w:r w:rsidRPr="000B0E22">
              <w:rPr>
                <w:rFonts w:eastAsia="Arial"/>
              </w:rPr>
              <w:t>Louisiana</w:t>
            </w:r>
          </w:p>
        </w:tc>
        <w:tc>
          <w:tcPr>
            <w:tcW w:w="2880" w:type="dxa"/>
          </w:tcPr>
          <w:p w14:paraId="310531A1" w14:textId="77777777" w:rsidR="000D4F98" w:rsidRPr="000B0E22" w:rsidRDefault="000D4F98" w:rsidP="005A585A">
            <w:pPr>
              <w:pStyle w:val="NCDTableText"/>
              <w:spacing w:before="40" w:after="40"/>
              <w:jc w:val="center"/>
              <w:rPr>
                <w:rFonts w:eastAsia="Arial"/>
              </w:rPr>
            </w:pPr>
            <w:r w:rsidRPr="000B0E22">
              <w:rPr>
                <w:rFonts w:eastAsia="Arial"/>
              </w:rPr>
              <w:t>8</w:t>
            </w:r>
          </w:p>
        </w:tc>
      </w:tr>
      <w:tr w:rsidR="000D4F98" w14:paraId="32614847" w14:textId="77777777" w:rsidTr="005A585A">
        <w:trPr>
          <w:trHeight w:val="330"/>
          <w:jc w:val="center"/>
        </w:trPr>
        <w:tc>
          <w:tcPr>
            <w:tcW w:w="4347" w:type="dxa"/>
          </w:tcPr>
          <w:p w14:paraId="52CB56E1" w14:textId="77777777" w:rsidR="000D4F98" w:rsidRPr="000B0E22" w:rsidRDefault="000D4F98" w:rsidP="005A585A">
            <w:pPr>
              <w:pStyle w:val="NCDTableText"/>
              <w:spacing w:before="40" w:after="40"/>
              <w:rPr>
                <w:rFonts w:eastAsia="Arial"/>
              </w:rPr>
            </w:pPr>
            <w:r w:rsidRPr="000B0E22">
              <w:rPr>
                <w:rFonts w:eastAsia="Arial"/>
              </w:rPr>
              <w:t>Maine</w:t>
            </w:r>
          </w:p>
        </w:tc>
        <w:tc>
          <w:tcPr>
            <w:tcW w:w="2880" w:type="dxa"/>
          </w:tcPr>
          <w:p w14:paraId="5DD0E801" w14:textId="77777777" w:rsidR="000D4F98" w:rsidRPr="000B0E22" w:rsidRDefault="000D4F98" w:rsidP="005A585A">
            <w:pPr>
              <w:pStyle w:val="NCDTableText"/>
              <w:spacing w:before="40" w:after="40"/>
              <w:jc w:val="center"/>
              <w:rPr>
                <w:rFonts w:eastAsia="Arial"/>
              </w:rPr>
            </w:pPr>
            <w:r w:rsidRPr="000B0E22">
              <w:rPr>
                <w:rFonts w:eastAsia="Arial"/>
              </w:rPr>
              <w:t>17</w:t>
            </w:r>
          </w:p>
        </w:tc>
      </w:tr>
      <w:tr w:rsidR="000D4F98" w14:paraId="48A494D1" w14:textId="77777777" w:rsidTr="005A585A">
        <w:trPr>
          <w:trHeight w:val="330"/>
          <w:jc w:val="center"/>
        </w:trPr>
        <w:tc>
          <w:tcPr>
            <w:tcW w:w="4347" w:type="dxa"/>
          </w:tcPr>
          <w:p w14:paraId="591EA46F" w14:textId="77777777" w:rsidR="000D4F98" w:rsidRPr="000B0E22" w:rsidRDefault="000D4F98" w:rsidP="005A585A">
            <w:pPr>
              <w:pStyle w:val="NCDTableText"/>
              <w:spacing w:before="40" w:after="40"/>
              <w:rPr>
                <w:rFonts w:eastAsia="Arial"/>
              </w:rPr>
            </w:pPr>
            <w:r w:rsidRPr="000B0E22">
              <w:rPr>
                <w:rFonts w:eastAsia="Arial"/>
              </w:rPr>
              <w:t>Maryland</w:t>
            </w:r>
          </w:p>
        </w:tc>
        <w:tc>
          <w:tcPr>
            <w:tcW w:w="2880" w:type="dxa"/>
          </w:tcPr>
          <w:p w14:paraId="07970B99" w14:textId="77777777" w:rsidR="000D4F98" w:rsidRPr="000B0E22" w:rsidRDefault="000D4F98" w:rsidP="005A585A">
            <w:pPr>
              <w:pStyle w:val="NCDTableText"/>
              <w:spacing w:before="40" w:after="40"/>
              <w:jc w:val="center"/>
              <w:rPr>
                <w:rFonts w:eastAsia="Arial"/>
              </w:rPr>
            </w:pPr>
            <w:r w:rsidRPr="000B0E22">
              <w:rPr>
                <w:rFonts w:eastAsia="Arial"/>
              </w:rPr>
              <w:t>14</w:t>
            </w:r>
          </w:p>
        </w:tc>
      </w:tr>
      <w:tr w:rsidR="000D4F98" w14:paraId="1016158E" w14:textId="77777777" w:rsidTr="005A585A">
        <w:trPr>
          <w:trHeight w:val="330"/>
          <w:jc w:val="center"/>
        </w:trPr>
        <w:tc>
          <w:tcPr>
            <w:tcW w:w="4347" w:type="dxa"/>
          </w:tcPr>
          <w:p w14:paraId="6CEE0484" w14:textId="77777777" w:rsidR="000D4F98" w:rsidRPr="000B0E22" w:rsidRDefault="000D4F98" w:rsidP="005A585A">
            <w:pPr>
              <w:pStyle w:val="NCDTableText"/>
              <w:spacing w:before="40" w:after="40"/>
              <w:rPr>
                <w:rFonts w:eastAsia="Arial"/>
              </w:rPr>
            </w:pPr>
            <w:r w:rsidRPr="000B0E22">
              <w:rPr>
                <w:rFonts w:eastAsia="Arial"/>
              </w:rPr>
              <w:t>Massachusetts</w:t>
            </w:r>
          </w:p>
        </w:tc>
        <w:tc>
          <w:tcPr>
            <w:tcW w:w="2880" w:type="dxa"/>
          </w:tcPr>
          <w:p w14:paraId="0230400E" w14:textId="77777777" w:rsidR="000D4F98" w:rsidRPr="000B0E22" w:rsidRDefault="000D4F98" w:rsidP="005A585A">
            <w:pPr>
              <w:pStyle w:val="NCDTableText"/>
              <w:spacing w:before="40" w:after="40"/>
              <w:jc w:val="center"/>
              <w:rPr>
                <w:rFonts w:eastAsia="Arial"/>
              </w:rPr>
            </w:pPr>
            <w:r w:rsidRPr="000B0E22">
              <w:rPr>
                <w:rFonts w:eastAsia="Arial"/>
              </w:rPr>
              <w:t>57</w:t>
            </w:r>
          </w:p>
        </w:tc>
      </w:tr>
      <w:tr w:rsidR="000D4F98" w14:paraId="0A540B0C" w14:textId="77777777" w:rsidTr="005A585A">
        <w:trPr>
          <w:trHeight w:val="330"/>
          <w:jc w:val="center"/>
        </w:trPr>
        <w:tc>
          <w:tcPr>
            <w:tcW w:w="4347" w:type="dxa"/>
          </w:tcPr>
          <w:p w14:paraId="3A45B278" w14:textId="77777777" w:rsidR="000D4F98" w:rsidRPr="000B0E22" w:rsidRDefault="000D4F98" w:rsidP="005A585A">
            <w:pPr>
              <w:pStyle w:val="NCDTableText"/>
              <w:spacing w:before="40" w:after="40"/>
              <w:rPr>
                <w:rFonts w:eastAsia="Arial"/>
              </w:rPr>
            </w:pPr>
            <w:r w:rsidRPr="000B0E22">
              <w:rPr>
                <w:rFonts w:eastAsia="Arial"/>
              </w:rPr>
              <w:t>Michigan</w:t>
            </w:r>
          </w:p>
        </w:tc>
        <w:tc>
          <w:tcPr>
            <w:tcW w:w="2880" w:type="dxa"/>
          </w:tcPr>
          <w:p w14:paraId="1EDC73D2" w14:textId="77777777" w:rsidR="000D4F98" w:rsidRPr="000B0E22" w:rsidRDefault="000D4F98" w:rsidP="005A585A">
            <w:pPr>
              <w:pStyle w:val="NCDTableText"/>
              <w:spacing w:before="40" w:after="40"/>
              <w:jc w:val="center"/>
              <w:rPr>
                <w:rFonts w:eastAsia="Arial"/>
              </w:rPr>
            </w:pPr>
            <w:r w:rsidRPr="000B0E22">
              <w:rPr>
                <w:rFonts w:eastAsia="Arial"/>
              </w:rPr>
              <w:t>30</w:t>
            </w:r>
          </w:p>
        </w:tc>
      </w:tr>
      <w:tr w:rsidR="000D4F98" w14:paraId="139B9B21" w14:textId="77777777" w:rsidTr="005A585A">
        <w:trPr>
          <w:trHeight w:val="330"/>
          <w:jc w:val="center"/>
        </w:trPr>
        <w:tc>
          <w:tcPr>
            <w:tcW w:w="4347" w:type="dxa"/>
          </w:tcPr>
          <w:p w14:paraId="553870F9" w14:textId="77777777" w:rsidR="000D4F98" w:rsidRPr="000B0E22" w:rsidRDefault="000D4F98" w:rsidP="005A585A">
            <w:pPr>
              <w:pStyle w:val="NCDTableText"/>
              <w:spacing w:before="40" w:after="40"/>
              <w:rPr>
                <w:rFonts w:eastAsia="Arial"/>
              </w:rPr>
            </w:pPr>
            <w:r w:rsidRPr="000B0E22">
              <w:rPr>
                <w:rFonts w:eastAsia="Arial"/>
              </w:rPr>
              <w:lastRenderedPageBreak/>
              <w:t>Minnesota</w:t>
            </w:r>
          </w:p>
        </w:tc>
        <w:tc>
          <w:tcPr>
            <w:tcW w:w="2880" w:type="dxa"/>
          </w:tcPr>
          <w:p w14:paraId="7152E156" w14:textId="77777777" w:rsidR="000D4F98" w:rsidRPr="000B0E22" w:rsidRDefault="000D4F98" w:rsidP="005A585A">
            <w:pPr>
              <w:pStyle w:val="NCDTableText"/>
              <w:spacing w:before="40" w:after="40"/>
              <w:jc w:val="center"/>
              <w:rPr>
                <w:rFonts w:eastAsia="Arial"/>
              </w:rPr>
            </w:pPr>
            <w:r w:rsidRPr="000B0E22">
              <w:rPr>
                <w:rFonts w:eastAsia="Arial"/>
              </w:rPr>
              <w:t>54</w:t>
            </w:r>
          </w:p>
        </w:tc>
      </w:tr>
      <w:tr w:rsidR="000D4F98" w14:paraId="795C2F6D" w14:textId="77777777" w:rsidTr="005A585A">
        <w:trPr>
          <w:trHeight w:val="330"/>
          <w:jc w:val="center"/>
        </w:trPr>
        <w:tc>
          <w:tcPr>
            <w:tcW w:w="4347" w:type="dxa"/>
          </w:tcPr>
          <w:p w14:paraId="539AF044" w14:textId="77777777" w:rsidR="000D4F98" w:rsidRPr="000B0E22" w:rsidRDefault="000D4F98" w:rsidP="005A585A">
            <w:pPr>
              <w:pStyle w:val="NCDTableText"/>
              <w:spacing w:before="40" w:after="40"/>
              <w:rPr>
                <w:rFonts w:eastAsia="Arial"/>
              </w:rPr>
            </w:pPr>
            <w:r w:rsidRPr="000B0E22">
              <w:rPr>
                <w:rFonts w:eastAsia="Arial"/>
              </w:rPr>
              <w:t>Mississippi</w:t>
            </w:r>
          </w:p>
        </w:tc>
        <w:tc>
          <w:tcPr>
            <w:tcW w:w="2880" w:type="dxa"/>
          </w:tcPr>
          <w:p w14:paraId="7A005224" w14:textId="77777777" w:rsidR="000D4F98" w:rsidRPr="000B0E22" w:rsidRDefault="000D4F98" w:rsidP="005A585A">
            <w:pPr>
              <w:pStyle w:val="NCDTableText"/>
              <w:spacing w:before="40" w:after="40"/>
              <w:jc w:val="center"/>
              <w:rPr>
                <w:rFonts w:eastAsia="Arial"/>
              </w:rPr>
            </w:pPr>
            <w:r w:rsidRPr="000B0E22">
              <w:rPr>
                <w:rFonts w:eastAsia="Arial"/>
              </w:rPr>
              <w:t>21</w:t>
            </w:r>
          </w:p>
        </w:tc>
      </w:tr>
      <w:tr w:rsidR="000D4F98" w14:paraId="0724522D" w14:textId="77777777" w:rsidTr="005A585A">
        <w:trPr>
          <w:trHeight w:val="330"/>
          <w:jc w:val="center"/>
        </w:trPr>
        <w:tc>
          <w:tcPr>
            <w:tcW w:w="4347" w:type="dxa"/>
          </w:tcPr>
          <w:p w14:paraId="60946EA5" w14:textId="77777777" w:rsidR="000D4F98" w:rsidRPr="000B0E22" w:rsidRDefault="000D4F98" w:rsidP="005A585A">
            <w:pPr>
              <w:pStyle w:val="NCDTableText"/>
              <w:spacing w:before="40" w:after="40"/>
              <w:rPr>
                <w:rFonts w:eastAsia="Arial"/>
              </w:rPr>
            </w:pPr>
            <w:r w:rsidRPr="000B0E22">
              <w:rPr>
                <w:rFonts w:eastAsia="Arial"/>
              </w:rPr>
              <w:t>Missouri</w:t>
            </w:r>
          </w:p>
        </w:tc>
        <w:tc>
          <w:tcPr>
            <w:tcW w:w="2880" w:type="dxa"/>
          </w:tcPr>
          <w:p w14:paraId="39658822" w14:textId="77777777" w:rsidR="000D4F98" w:rsidRPr="000B0E22" w:rsidRDefault="000D4F98" w:rsidP="005A585A">
            <w:pPr>
              <w:pStyle w:val="NCDTableText"/>
              <w:spacing w:before="40" w:after="40"/>
              <w:jc w:val="center"/>
              <w:rPr>
                <w:rFonts w:eastAsia="Arial"/>
              </w:rPr>
            </w:pPr>
            <w:r w:rsidRPr="000B0E22">
              <w:rPr>
                <w:rFonts w:eastAsia="Arial"/>
              </w:rPr>
              <w:t>29</w:t>
            </w:r>
          </w:p>
        </w:tc>
      </w:tr>
      <w:tr w:rsidR="000D4F98" w14:paraId="21D6C0DD" w14:textId="77777777" w:rsidTr="005A585A">
        <w:trPr>
          <w:trHeight w:val="330"/>
          <w:jc w:val="center"/>
        </w:trPr>
        <w:tc>
          <w:tcPr>
            <w:tcW w:w="4347" w:type="dxa"/>
          </w:tcPr>
          <w:p w14:paraId="17714950" w14:textId="77777777" w:rsidR="000D4F98" w:rsidRPr="000B0E22" w:rsidRDefault="000D4F98" w:rsidP="005A585A">
            <w:pPr>
              <w:pStyle w:val="NCDTableText"/>
              <w:spacing w:before="40" w:after="40"/>
              <w:rPr>
                <w:rFonts w:eastAsia="Arial"/>
              </w:rPr>
            </w:pPr>
            <w:r w:rsidRPr="000B0E22">
              <w:rPr>
                <w:rFonts w:eastAsia="Arial"/>
              </w:rPr>
              <w:t>Montana</w:t>
            </w:r>
          </w:p>
        </w:tc>
        <w:tc>
          <w:tcPr>
            <w:tcW w:w="2880" w:type="dxa"/>
          </w:tcPr>
          <w:p w14:paraId="7016480B" w14:textId="77777777" w:rsidR="000D4F98" w:rsidRPr="000B0E22" w:rsidRDefault="000D4F98" w:rsidP="005A585A">
            <w:pPr>
              <w:pStyle w:val="NCDTableText"/>
              <w:spacing w:before="40" w:after="40"/>
              <w:jc w:val="center"/>
              <w:rPr>
                <w:rFonts w:eastAsia="Arial"/>
              </w:rPr>
            </w:pPr>
            <w:r w:rsidRPr="000B0E22">
              <w:rPr>
                <w:rFonts w:eastAsia="Arial"/>
              </w:rPr>
              <w:t>56</w:t>
            </w:r>
          </w:p>
        </w:tc>
      </w:tr>
      <w:tr w:rsidR="000D4F98" w14:paraId="4BB6C065" w14:textId="77777777" w:rsidTr="005A585A">
        <w:trPr>
          <w:trHeight w:val="330"/>
          <w:jc w:val="center"/>
        </w:trPr>
        <w:tc>
          <w:tcPr>
            <w:tcW w:w="4347" w:type="dxa"/>
          </w:tcPr>
          <w:p w14:paraId="46B1A34B" w14:textId="77777777" w:rsidR="000D4F98" w:rsidRPr="000B0E22" w:rsidRDefault="000D4F98" w:rsidP="005A585A">
            <w:pPr>
              <w:pStyle w:val="NCDTableText"/>
              <w:spacing w:before="40" w:after="40"/>
              <w:rPr>
                <w:rFonts w:eastAsia="Arial"/>
              </w:rPr>
            </w:pPr>
            <w:r w:rsidRPr="000B0E22">
              <w:rPr>
                <w:rFonts w:eastAsia="Arial"/>
              </w:rPr>
              <w:t>Nebraska</w:t>
            </w:r>
          </w:p>
        </w:tc>
        <w:tc>
          <w:tcPr>
            <w:tcW w:w="2880" w:type="dxa"/>
          </w:tcPr>
          <w:p w14:paraId="27D25940" w14:textId="77777777" w:rsidR="000D4F98" w:rsidRPr="000B0E22" w:rsidRDefault="000D4F98" w:rsidP="005A585A">
            <w:pPr>
              <w:pStyle w:val="NCDTableText"/>
              <w:spacing w:before="40" w:after="40"/>
              <w:jc w:val="center"/>
              <w:rPr>
                <w:rFonts w:eastAsia="Arial"/>
              </w:rPr>
            </w:pPr>
            <w:r w:rsidRPr="000B0E22">
              <w:rPr>
                <w:rFonts w:eastAsia="Arial"/>
              </w:rPr>
              <w:t>59</w:t>
            </w:r>
          </w:p>
        </w:tc>
      </w:tr>
      <w:tr w:rsidR="000D4F98" w14:paraId="79CE42A3" w14:textId="77777777" w:rsidTr="005A585A">
        <w:trPr>
          <w:trHeight w:val="330"/>
          <w:jc w:val="center"/>
        </w:trPr>
        <w:tc>
          <w:tcPr>
            <w:tcW w:w="4347" w:type="dxa"/>
          </w:tcPr>
          <w:p w14:paraId="3CFFBBDB" w14:textId="77777777" w:rsidR="000D4F98" w:rsidRPr="000B0E22" w:rsidRDefault="000D4F98" w:rsidP="005A585A">
            <w:pPr>
              <w:pStyle w:val="NCDTableText"/>
              <w:spacing w:before="40" w:after="40"/>
              <w:rPr>
                <w:rFonts w:eastAsia="Arial"/>
              </w:rPr>
            </w:pPr>
            <w:r w:rsidRPr="000B0E22">
              <w:rPr>
                <w:rFonts w:eastAsia="Arial"/>
              </w:rPr>
              <w:t>Nevada</w:t>
            </w:r>
          </w:p>
        </w:tc>
        <w:tc>
          <w:tcPr>
            <w:tcW w:w="2880" w:type="dxa"/>
          </w:tcPr>
          <w:p w14:paraId="39D6A03E" w14:textId="77777777" w:rsidR="000D4F98" w:rsidRPr="000B0E22" w:rsidRDefault="000D4F98" w:rsidP="005A585A">
            <w:pPr>
              <w:pStyle w:val="NCDTableText"/>
              <w:spacing w:before="40" w:after="40"/>
              <w:jc w:val="center"/>
              <w:rPr>
                <w:rFonts w:eastAsia="Arial"/>
              </w:rPr>
            </w:pPr>
            <w:r w:rsidRPr="000B0E22">
              <w:rPr>
                <w:rFonts w:eastAsia="Arial"/>
              </w:rPr>
              <w:t>22</w:t>
            </w:r>
          </w:p>
        </w:tc>
      </w:tr>
      <w:tr w:rsidR="000D4F98" w14:paraId="456BE4B3" w14:textId="77777777" w:rsidTr="005A585A">
        <w:trPr>
          <w:trHeight w:val="330"/>
          <w:jc w:val="center"/>
        </w:trPr>
        <w:tc>
          <w:tcPr>
            <w:tcW w:w="4347" w:type="dxa"/>
          </w:tcPr>
          <w:p w14:paraId="78DF586E" w14:textId="77777777" w:rsidR="000D4F98" w:rsidRPr="000B0E22" w:rsidRDefault="000D4F98" w:rsidP="005A585A">
            <w:pPr>
              <w:pStyle w:val="NCDTableText"/>
              <w:spacing w:before="40" w:after="40"/>
              <w:rPr>
                <w:rFonts w:eastAsia="Arial"/>
              </w:rPr>
            </w:pPr>
            <w:r w:rsidRPr="000B0E22">
              <w:rPr>
                <w:rFonts w:eastAsia="Arial"/>
              </w:rPr>
              <w:t>New Hampshire</w:t>
            </w:r>
          </w:p>
        </w:tc>
        <w:tc>
          <w:tcPr>
            <w:tcW w:w="2880" w:type="dxa"/>
          </w:tcPr>
          <w:p w14:paraId="2B505F7C" w14:textId="77777777" w:rsidR="000D4F98" w:rsidRPr="000B0E22" w:rsidRDefault="000D4F98" w:rsidP="005A585A">
            <w:pPr>
              <w:pStyle w:val="NCDTableText"/>
              <w:spacing w:before="40" w:after="40"/>
              <w:jc w:val="center"/>
              <w:rPr>
                <w:rFonts w:eastAsia="Arial"/>
              </w:rPr>
            </w:pPr>
            <w:r w:rsidRPr="000B0E22">
              <w:rPr>
                <w:rFonts w:eastAsia="Arial"/>
              </w:rPr>
              <w:t>14</w:t>
            </w:r>
          </w:p>
        </w:tc>
      </w:tr>
      <w:tr w:rsidR="000D4F98" w14:paraId="43E42959" w14:textId="77777777" w:rsidTr="005A585A">
        <w:trPr>
          <w:trHeight w:val="330"/>
          <w:jc w:val="center"/>
        </w:trPr>
        <w:tc>
          <w:tcPr>
            <w:tcW w:w="4347" w:type="dxa"/>
          </w:tcPr>
          <w:p w14:paraId="573179E6" w14:textId="77777777" w:rsidR="000D4F98" w:rsidRPr="000B0E22" w:rsidRDefault="000D4F98" w:rsidP="005A585A">
            <w:pPr>
              <w:pStyle w:val="NCDTableText"/>
              <w:spacing w:before="40" w:after="40"/>
              <w:rPr>
                <w:rFonts w:eastAsia="Arial"/>
              </w:rPr>
            </w:pPr>
            <w:r w:rsidRPr="000B0E22">
              <w:rPr>
                <w:rFonts w:eastAsia="Arial"/>
              </w:rPr>
              <w:t>New Jersey</w:t>
            </w:r>
          </w:p>
        </w:tc>
        <w:tc>
          <w:tcPr>
            <w:tcW w:w="2880" w:type="dxa"/>
          </w:tcPr>
          <w:p w14:paraId="201E425A" w14:textId="77777777" w:rsidR="000D4F98" w:rsidRPr="000B0E22" w:rsidRDefault="000D4F98" w:rsidP="005A585A">
            <w:pPr>
              <w:pStyle w:val="NCDTableText"/>
              <w:spacing w:before="40" w:after="40"/>
              <w:jc w:val="center"/>
              <w:rPr>
                <w:rFonts w:eastAsia="Arial"/>
              </w:rPr>
            </w:pPr>
            <w:r w:rsidRPr="000B0E22">
              <w:rPr>
                <w:rFonts w:eastAsia="Arial"/>
              </w:rPr>
              <w:t>48</w:t>
            </w:r>
          </w:p>
        </w:tc>
      </w:tr>
      <w:tr w:rsidR="000D4F98" w14:paraId="1890FC3B" w14:textId="77777777" w:rsidTr="005A585A">
        <w:trPr>
          <w:trHeight w:val="330"/>
          <w:jc w:val="center"/>
        </w:trPr>
        <w:tc>
          <w:tcPr>
            <w:tcW w:w="4347" w:type="dxa"/>
          </w:tcPr>
          <w:p w14:paraId="23130D15" w14:textId="77777777" w:rsidR="000D4F98" w:rsidRPr="000B0E22" w:rsidRDefault="000D4F98" w:rsidP="005A585A">
            <w:pPr>
              <w:pStyle w:val="NCDTableText"/>
              <w:spacing w:before="40" w:after="40"/>
              <w:rPr>
                <w:rFonts w:eastAsia="Arial"/>
              </w:rPr>
            </w:pPr>
            <w:r w:rsidRPr="000B0E22">
              <w:rPr>
                <w:rFonts w:eastAsia="Arial"/>
              </w:rPr>
              <w:t>New Mexico</w:t>
            </w:r>
          </w:p>
        </w:tc>
        <w:tc>
          <w:tcPr>
            <w:tcW w:w="2880" w:type="dxa"/>
          </w:tcPr>
          <w:p w14:paraId="2CE998A0" w14:textId="77777777" w:rsidR="000D4F98" w:rsidRPr="000B0E22" w:rsidRDefault="000D4F98" w:rsidP="005A585A">
            <w:pPr>
              <w:pStyle w:val="NCDTableText"/>
              <w:spacing w:before="40" w:after="40"/>
              <w:jc w:val="center"/>
              <w:rPr>
                <w:rFonts w:eastAsia="Arial"/>
              </w:rPr>
            </w:pPr>
            <w:r w:rsidRPr="000B0E22">
              <w:rPr>
                <w:rFonts w:eastAsia="Arial"/>
              </w:rPr>
              <w:t>53</w:t>
            </w:r>
          </w:p>
        </w:tc>
      </w:tr>
      <w:tr w:rsidR="000D4F98" w14:paraId="5E56A4D8" w14:textId="77777777" w:rsidTr="005A585A">
        <w:trPr>
          <w:trHeight w:val="330"/>
          <w:jc w:val="center"/>
        </w:trPr>
        <w:tc>
          <w:tcPr>
            <w:tcW w:w="4347" w:type="dxa"/>
          </w:tcPr>
          <w:p w14:paraId="0D292F90" w14:textId="77777777" w:rsidR="000D4F98" w:rsidRPr="000B0E22" w:rsidRDefault="000D4F98" w:rsidP="005A585A">
            <w:pPr>
              <w:pStyle w:val="NCDTableText"/>
              <w:spacing w:before="40" w:after="40"/>
              <w:rPr>
                <w:rFonts w:eastAsia="Arial"/>
              </w:rPr>
            </w:pPr>
            <w:r w:rsidRPr="000B0E22">
              <w:rPr>
                <w:rFonts w:eastAsia="Arial"/>
              </w:rPr>
              <w:t>New York</w:t>
            </w:r>
          </w:p>
        </w:tc>
        <w:tc>
          <w:tcPr>
            <w:tcW w:w="2880" w:type="dxa"/>
          </w:tcPr>
          <w:p w14:paraId="00126FC6" w14:textId="77777777" w:rsidR="000D4F98" w:rsidRPr="000B0E22" w:rsidRDefault="000D4F98" w:rsidP="005A585A">
            <w:pPr>
              <w:pStyle w:val="NCDTableText"/>
              <w:spacing w:before="40" w:after="40"/>
              <w:jc w:val="center"/>
              <w:rPr>
                <w:rFonts w:eastAsia="Arial"/>
              </w:rPr>
            </w:pPr>
            <w:r w:rsidRPr="000B0E22">
              <w:rPr>
                <w:rFonts w:eastAsia="Arial"/>
              </w:rPr>
              <w:t>22</w:t>
            </w:r>
          </w:p>
        </w:tc>
      </w:tr>
      <w:tr w:rsidR="000D4F98" w14:paraId="020E6B66" w14:textId="77777777" w:rsidTr="005A585A">
        <w:trPr>
          <w:trHeight w:val="330"/>
          <w:jc w:val="center"/>
        </w:trPr>
        <w:tc>
          <w:tcPr>
            <w:tcW w:w="4347" w:type="dxa"/>
          </w:tcPr>
          <w:p w14:paraId="3CFEC8DD" w14:textId="77777777" w:rsidR="000D4F98" w:rsidRPr="000B0E22" w:rsidRDefault="000D4F98" w:rsidP="005A585A">
            <w:pPr>
              <w:pStyle w:val="NCDTableText"/>
              <w:spacing w:before="40" w:after="40"/>
              <w:rPr>
                <w:rFonts w:eastAsia="Arial"/>
              </w:rPr>
            </w:pPr>
            <w:r w:rsidRPr="000B0E22">
              <w:rPr>
                <w:rFonts w:eastAsia="Arial"/>
              </w:rPr>
              <w:t>North Carolina</w:t>
            </w:r>
          </w:p>
        </w:tc>
        <w:tc>
          <w:tcPr>
            <w:tcW w:w="2880" w:type="dxa"/>
          </w:tcPr>
          <w:p w14:paraId="156C97F6" w14:textId="77777777" w:rsidR="000D4F98" w:rsidRPr="000B0E22" w:rsidRDefault="000D4F98" w:rsidP="005A585A">
            <w:pPr>
              <w:pStyle w:val="NCDTableText"/>
              <w:spacing w:before="40" w:after="40"/>
              <w:jc w:val="center"/>
              <w:rPr>
                <w:rFonts w:eastAsia="Arial"/>
              </w:rPr>
            </w:pPr>
            <w:r w:rsidRPr="000B0E22">
              <w:rPr>
                <w:rFonts w:eastAsia="Arial"/>
              </w:rPr>
              <w:t>48</w:t>
            </w:r>
          </w:p>
        </w:tc>
      </w:tr>
      <w:tr w:rsidR="000D4F98" w14:paraId="13F44C9C" w14:textId="77777777" w:rsidTr="005A585A">
        <w:trPr>
          <w:trHeight w:val="330"/>
          <w:jc w:val="center"/>
        </w:trPr>
        <w:tc>
          <w:tcPr>
            <w:tcW w:w="4347" w:type="dxa"/>
          </w:tcPr>
          <w:p w14:paraId="7E3ACFEA" w14:textId="77777777" w:rsidR="000D4F98" w:rsidRPr="000B0E22" w:rsidRDefault="000D4F98" w:rsidP="005A585A">
            <w:pPr>
              <w:pStyle w:val="NCDTableText"/>
              <w:spacing w:before="40" w:after="40"/>
              <w:rPr>
                <w:rFonts w:eastAsia="Arial"/>
              </w:rPr>
            </w:pPr>
            <w:r w:rsidRPr="000B0E22">
              <w:rPr>
                <w:rFonts w:eastAsia="Arial"/>
              </w:rPr>
              <w:t>North Dakota</w:t>
            </w:r>
          </w:p>
        </w:tc>
        <w:tc>
          <w:tcPr>
            <w:tcW w:w="2880" w:type="dxa"/>
          </w:tcPr>
          <w:p w14:paraId="31473621" w14:textId="77777777" w:rsidR="000D4F98" w:rsidRPr="000B0E22" w:rsidRDefault="000D4F98" w:rsidP="005A585A">
            <w:pPr>
              <w:pStyle w:val="NCDTableText"/>
              <w:spacing w:before="40" w:after="40"/>
              <w:jc w:val="center"/>
              <w:rPr>
                <w:rFonts w:eastAsia="Arial"/>
              </w:rPr>
            </w:pPr>
            <w:r w:rsidRPr="000B0E22">
              <w:rPr>
                <w:rFonts w:eastAsia="Arial"/>
              </w:rPr>
              <w:t>64</w:t>
            </w:r>
          </w:p>
        </w:tc>
      </w:tr>
      <w:tr w:rsidR="000D4F98" w14:paraId="501ABDA9" w14:textId="77777777" w:rsidTr="005A585A">
        <w:trPr>
          <w:trHeight w:val="330"/>
          <w:jc w:val="center"/>
        </w:trPr>
        <w:tc>
          <w:tcPr>
            <w:tcW w:w="4347" w:type="dxa"/>
          </w:tcPr>
          <w:p w14:paraId="1E2BAE20" w14:textId="77777777" w:rsidR="000D4F98" w:rsidRPr="000B0E22" w:rsidRDefault="000D4F98" w:rsidP="005A585A">
            <w:pPr>
              <w:pStyle w:val="NCDTableText"/>
              <w:spacing w:before="40" w:after="40"/>
              <w:rPr>
                <w:rFonts w:eastAsia="Arial"/>
              </w:rPr>
            </w:pPr>
            <w:r w:rsidRPr="000B0E22">
              <w:rPr>
                <w:rFonts w:eastAsia="Arial"/>
              </w:rPr>
              <w:t>Ohio</w:t>
            </w:r>
          </w:p>
        </w:tc>
        <w:tc>
          <w:tcPr>
            <w:tcW w:w="2880" w:type="dxa"/>
          </w:tcPr>
          <w:p w14:paraId="0CC3D6F9" w14:textId="77777777" w:rsidR="000D4F98" w:rsidRPr="000B0E22" w:rsidRDefault="000D4F98" w:rsidP="005A585A">
            <w:pPr>
              <w:pStyle w:val="NCDTableText"/>
              <w:spacing w:before="40" w:after="40"/>
              <w:jc w:val="center"/>
              <w:rPr>
                <w:rFonts w:eastAsia="Arial"/>
              </w:rPr>
            </w:pPr>
            <w:r w:rsidRPr="000B0E22">
              <w:rPr>
                <w:rFonts w:eastAsia="Arial"/>
              </w:rPr>
              <w:t>38</w:t>
            </w:r>
          </w:p>
        </w:tc>
      </w:tr>
      <w:tr w:rsidR="000D4F98" w14:paraId="1E34E1B6" w14:textId="77777777" w:rsidTr="005A585A">
        <w:trPr>
          <w:trHeight w:val="330"/>
          <w:jc w:val="center"/>
        </w:trPr>
        <w:tc>
          <w:tcPr>
            <w:tcW w:w="4347" w:type="dxa"/>
          </w:tcPr>
          <w:p w14:paraId="2CEAE6DE" w14:textId="77777777" w:rsidR="000D4F98" w:rsidRPr="000B0E22" w:rsidRDefault="000D4F98" w:rsidP="005A585A">
            <w:pPr>
              <w:pStyle w:val="NCDTableText"/>
              <w:spacing w:before="40" w:after="40"/>
              <w:rPr>
                <w:rFonts w:eastAsia="Arial"/>
              </w:rPr>
            </w:pPr>
            <w:r w:rsidRPr="000B0E22">
              <w:rPr>
                <w:rFonts w:eastAsia="Arial"/>
              </w:rPr>
              <w:t>Oklahoma</w:t>
            </w:r>
          </w:p>
        </w:tc>
        <w:tc>
          <w:tcPr>
            <w:tcW w:w="2880" w:type="dxa"/>
          </w:tcPr>
          <w:p w14:paraId="4AA7B0C2" w14:textId="77777777" w:rsidR="000D4F98" w:rsidRPr="000B0E22" w:rsidRDefault="000D4F98" w:rsidP="005A585A">
            <w:pPr>
              <w:pStyle w:val="NCDTableText"/>
              <w:spacing w:before="40" w:after="40"/>
              <w:jc w:val="center"/>
              <w:rPr>
                <w:rFonts w:eastAsia="Arial"/>
              </w:rPr>
            </w:pPr>
            <w:r w:rsidRPr="000B0E22">
              <w:rPr>
                <w:rFonts w:eastAsia="Arial"/>
              </w:rPr>
              <w:t>33</w:t>
            </w:r>
          </w:p>
        </w:tc>
      </w:tr>
      <w:tr w:rsidR="000D4F98" w14:paraId="098E5FDC" w14:textId="77777777" w:rsidTr="005A585A">
        <w:trPr>
          <w:trHeight w:val="330"/>
          <w:jc w:val="center"/>
        </w:trPr>
        <w:tc>
          <w:tcPr>
            <w:tcW w:w="4347" w:type="dxa"/>
          </w:tcPr>
          <w:p w14:paraId="6DC3D7C9" w14:textId="77777777" w:rsidR="000D4F98" w:rsidRPr="000B0E22" w:rsidRDefault="000D4F98" w:rsidP="005A585A">
            <w:pPr>
              <w:pStyle w:val="NCDTableText"/>
              <w:spacing w:before="40" w:after="40"/>
              <w:rPr>
                <w:rFonts w:eastAsia="Arial"/>
              </w:rPr>
            </w:pPr>
            <w:r w:rsidRPr="000B0E22">
              <w:rPr>
                <w:rFonts w:eastAsia="Arial"/>
              </w:rPr>
              <w:t>Oregon</w:t>
            </w:r>
          </w:p>
        </w:tc>
        <w:tc>
          <w:tcPr>
            <w:tcW w:w="2880" w:type="dxa"/>
          </w:tcPr>
          <w:p w14:paraId="0D3A1D9A" w14:textId="77777777" w:rsidR="000D4F98" w:rsidRPr="000B0E22" w:rsidRDefault="000D4F98" w:rsidP="005A585A">
            <w:pPr>
              <w:pStyle w:val="NCDTableText"/>
              <w:spacing w:before="40" w:after="40"/>
              <w:jc w:val="center"/>
              <w:rPr>
                <w:rFonts w:eastAsia="Arial"/>
              </w:rPr>
            </w:pPr>
            <w:r w:rsidRPr="000B0E22">
              <w:rPr>
                <w:rFonts w:eastAsia="Arial"/>
              </w:rPr>
              <w:t>48</w:t>
            </w:r>
          </w:p>
        </w:tc>
      </w:tr>
      <w:tr w:rsidR="000D4F98" w14:paraId="3535B77B" w14:textId="77777777" w:rsidTr="005A585A">
        <w:trPr>
          <w:trHeight w:val="330"/>
          <w:jc w:val="center"/>
        </w:trPr>
        <w:tc>
          <w:tcPr>
            <w:tcW w:w="4347" w:type="dxa"/>
          </w:tcPr>
          <w:p w14:paraId="36003644" w14:textId="77777777" w:rsidR="000D4F98" w:rsidRPr="000B0E22" w:rsidRDefault="000D4F98" w:rsidP="005A585A">
            <w:pPr>
              <w:pStyle w:val="NCDTableText"/>
              <w:spacing w:before="40" w:after="40"/>
              <w:rPr>
                <w:rFonts w:eastAsia="Arial"/>
              </w:rPr>
            </w:pPr>
            <w:r w:rsidRPr="000B0E22">
              <w:rPr>
                <w:rFonts w:eastAsia="Arial"/>
              </w:rPr>
              <w:t>Pennsylvania</w:t>
            </w:r>
          </w:p>
        </w:tc>
        <w:tc>
          <w:tcPr>
            <w:tcW w:w="2880" w:type="dxa"/>
          </w:tcPr>
          <w:p w14:paraId="412EA326" w14:textId="77777777" w:rsidR="000D4F98" w:rsidRPr="000B0E22" w:rsidRDefault="000D4F98" w:rsidP="005A585A">
            <w:pPr>
              <w:pStyle w:val="NCDTableText"/>
              <w:spacing w:before="40" w:after="40"/>
              <w:jc w:val="center"/>
              <w:rPr>
                <w:rFonts w:eastAsia="Arial"/>
              </w:rPr>
            </w:pPr>
            <w:r w:rsidRPr="000B0E22">
              <w:rPr>
                <w:rFonts w:eastAsia="Arial"/>
              </w:rPr>
              <w:t>36</w:t>
            </w:r>
          </w:p>
        </w:tc>
      </w:tr>
      <w:tr w:rsidR="000D4F98" w14:paraId="1EDF429D" w14:textId="77777777" w:rsidTr="005A585A">
        <w:trPr>
          <w:trHeight w:val="330"/>
          <w:jc w:val="center"/>
        </w:trPr>
        <w:tc>
          <w:tcPr>
            <w:tcW w:w="4347" w:type="dxa"/>
          </w:tcPr>
          <w:p w14:paraId="68CCB8E1" w14:textId="77777777" w:rsidR="000D4F98" w:rsidRPr="000B0E22" w:rsidRDefault="000D4F98" w:rsidP="005A585A">
            <w:pPr>
              <w:pStyle w:val="NCDTableText"/>
              <w:spacing w:before="40" w:after="40"/>
              <w:rPr>
                <w:rFonts w:eastAsia="Arial"/>
              </w:rPr>
            </w:pPr>
            <w:r w:rsidRPr="000B0E22">
              <w:rPr>
                <w:rFonts w:eastAsia="Arial"/>
              </w:rPr>
              <w:t>Rhode Island</w:t>
            </w:r>
          </w:p>
        </w:tc>
        <w:tc>
          <w:tcPr>
            <w:tcW w:w="2880" w:type="dxa"/>
          </w:tcPr>
          <w:p w14:paraId="10DD8FB8" w14:textId="77777777" w:rsidR="000D4F98" w:rsidRPr="000B0E22" w:rsidRDefault="000D4F98" w:rsidP="005A585A">
            <w:pPr>
              <w:pStyle w:val="NCDTableText"/>
              <w:spacing w:before="40" w:after="40"/>
              <w:jc w:val="center"/>
              <w:rPr>
                <w:rFonts w:eastAsia="Arial"/>
              </w:rPr>
            </w:pPr>
            <w:r w:rsidRPr="000B0E22">
              <w:rPr>
                <w:rFonts w:eastAsia="Arial"/>
              </w:rPr>
              <w:t>48</w:t>
            </w:r>
          </w:p>
        </w:tc>
      </w:tr>
      <w:tr w:rsidR="000D4F98" w14:paraId="04DE436C" w14:textId="77777777" w:rsidTr="005A585A">
        <w:trPr>
          <w:trHeight w:val="330"/>
          <w:jc w:val="center"/>
        </w:trPr>
        <w:tc>
          <w:tcPr>
            <w:tcW w:w="4347" w:type="dxa"/>
          </w:tcPr>
          <w:p w14:paraId="760B406C" w14:textId="77777777" w:rsidR="000D4F98" w:rsidRPr="000B0E22" w:rsidRDefault="000D4F98" w:rsidP="005A585A">
            <w:pPr>
              <w:pStyle w:val="NCDTableText"/>
              <w:spacing w:before="40" w:after="40"/>
              <w:rPr>
                <w:rFonts w:eastAsia="Arial"/>
              </w:rPr>
            </w:pPr>
            <w:r w:rsidRPr="000B0E22">
              <w:rPr>
                <w:rFonts w:eastAsia="Arial"/>
              </w:rPr>
              <w:t>South Carolina</w:t>
            </w:r>
          </w:p>
        </w:tc>
        <w:tc>
          <w:tcPr>
            <w:tcW w:w="2880" w:type="dxa"/>
          </w:tcPr>
          <w:p w14:paraId="28B362B3" w14:textId="77777777" w:rsidR="000D4F98" w:rsidRPr="000B0E22" w:rsidRDefault="000D4F98" w:rsidP="005A585A">
            <w:pPr>
              <w:pStyle w:val="NCDTableText"/>
              <w:spacing w:before="40" w:after="40"/>
              <w:jc w:val="center"/>
              <w:rPr>
                <w:rFonts w:eastAsia="Arial"/>
              </w:rPr>
            </w:pPr>
            <w:r w:rsidRPr="000B0E22">
              <w:rPr>
                <w:rFonts w:eastAsia="Arial"/>
              </w:rPr>
              <w:t>42</w:t>
            </w:r>
          </w:p>
        </w:tc>
      </w:tr>
      <w:tr w:rsidR="000D4F98" w14:paraId="4F25A49C" w14:textId="77777777" w:rsidTr="005A585A">
        <w:trPr>
          <w:trHeight w:val="330"/>
          <w:jc w:val="center"/>
        </w:trPr>
        <w:tc>
          <w:tcPr>
            <w:tcW w:w="4347" w:type="dxa"/>
          </w:tcPr>
          <w:p w14:paraId="5DCD4A45" w14:textId="77777777" w:rsidR="000D4F98" w:rsidRPr="000B0E22" w:rsidRDefault="000D4F98" w:rsidP="005A585A">
            <w:pPr>
              <w:pStyle w:val="NCDTableText"/>
              <w:spacing w:before="40" w:after="40"/>
              <w:rPr>
                <w:rFonts w:eastAsia="Arial"/>
              </w:rPr>
            </w:pPr>
            <w:r w:rsidRPr="000B0E22">
              <w:rPr>
                <w:rFonts w:eastAsia="Arial"/>
              </w:rPr>
              <w:t>South Dakota</w:t>
            </w:r>
          </w:p>
        </w:tc>
        <w:tc>
          <w:tcPr>
            <w:tcW w:w="2880" w:type="dxa"/>
          </w:tcPr>
          <w:p w14:paraId="27A71036" w14:textId="77777777" w:rsidR="000D4F98" w:rsidRPr="000B0E22" w:rsidRDefault="000D4F98" w:rsidP="005A585A">
            <w:pPr>
              <w:pStyle w:val="NCDTableText"/>
              <w:spacing w:before="40" w:after="40"/>
              <w:jc w:val="center"/>
              <w:rPr>
                <w:rFonts w:eastAsia="Arial"/>
              </w:rPr>
            </w:pPr>
            <w:r w:rsidRPr="000B0E22">
              <w:rPr>
                <w:rFonts w:eastAsia="Arial"/>
              </w:rPr>
              <w:t>71</w:t>
            </w:r>
          </w:p>
        </w:tc>
      </w:tr>
      <w:tr w:rsidR="000D4F98" w14:paraId="5AB7CCD2" w14:textId="77777777" w:rsidTr="005A585A">
        <w:trPr>
          <w:trHeight w:val="330"/>
          <w:jc w:val="center"/>
        </w:trPr>
        <w:tc>
          <w:tcPr>
            <w:tcW w:w="4347" w:type="dxa"/>
          </w:tcPr>
          <w:p w14:paraId="7228C8F7" w14:textId="77777777" w:rsidR="000D4F98" w:rsidRPr="000B0E22" w:rsidRDefault="000D4F98" w:rsidP="005A585A">
            <w:pPr>
              <w:pStyle w:val="NCDTableText"/>
              <w:spacing w:before="40" w:after="40"/>
              <w:rPr>
                <w:rFonts w:eastAsia="Arial"/>
              </w:rPr>
            </w:pPr>
            <w:r w:rsidRPr="000B0E22">
              <w:rPr>
                <w:rFonts w:eastAsia="Arial"/>
              </w:rPr>
              <w:t>Tennessee</w:t>
            </w:r>
          </w:p>
        </w:tc>
        <w:tc>
          <w:tcPr>
            <w:tcW w:w="2880" w:type="dxa"/>
          </w:tcPr>
          <w:p w14:paraId="21B292D5" w14:textId="77777777" w:rsidR="000D4F98" w:rsidRPr="000B0E22" w:rsidRDefault="000D4F98" w:rsidP="005A585A">
            <w:pPr>
              <w:pStyle w:val="NCDTableText"/>
              <w:spacing w:before="40" w:after="40"/>
              <w:jc w:val="center"/>
              <w:rPr>
                <w:rFonts w:eastAsia="Arial"/>
              </w:rPr>
            </w:pPr>
            <w:r w:rsidRPr="000B0E22">
              <w:rPr>
                <w:rFonts w:eastAsia="Arial"/>
              </w:rPr>
              <w:t>26</w:t>
            </w:r>
          </w:p>
        </w:tc>
      </w:tr>
      <w:tr w:rsidR="000D4F98" w14:paraId="37460135" w14:textId="77777777" w:rsidTr="005A585A">
        <w:trPr>
          <w:trHeight w:val="330"/>
          <w:jc w:val="center"/>
        </w:trPr>
        <w:tc>
          <w:tcPr>
            <w:tcW w:w="4347" w:type="dxa"/>
          </w:tcPr>
          <w:p w14:paraId="58396D27" w14:textId="77777777" w:rsidR="000D4F98" w:rsidRPr="000B0E22" w:rsidRDefault="000D4F98" w:rsidP="005A585A">
            <w:pPr>
              <w:pStyle w:val="NCDTableText"/>
              <w:spacing w:before="40" w:after="40"/>
              <w:rPr>
                <w:rFonts w:eastAsia="Arial"/>
              </w:rPr>
            </w:pPr>
            <w:r w:rsidRPr="000B0E22">
              <w:rPr>
                <w:rFonts w:eastAsia="Arial"/>
              </w:rPr>
              <w:t>Texas</w:t>
            </w:r>
          </w:p>
        </w:tc>
        <w:tc>
          <w:tcPr>
            <w:tcW w:w="2880" w:type="dxa"/>
          </w:tcPr>
          <w:p w14:paraId="2E1D5B58" w14:textId="77777777" w:rsidR="000D4F98" w:rsidRPr="000B0E22" w:rsidRDefault="000D4F98" w:rsidP="005A585A">
            <w:pPr>
              <w:pStyle w:val="NCDTableText"/>
              <w:spacing w:before="40" w:after="40"/>
              <w:jc w:val="center"/>
              <w:rPr>
                <w:rFonts w:eastAsia="Arial"/>
              </w:rPr>
            </w:pPr>
            <w:r w:rsidRPr="000B0E22">
              <w:rPr>
                <w:rFonts w:eastAsia="Arial"/>
              </w:rPr>
              <w:t>21</w:t>
            </w:r>
          </w:p>
        </w:tc>
      </w:tr>
      <w:tr w:rsidR="000D4F98" w14:paraId="45A3BFC6" w14:textId="77777777" w:rsidTr="005A585A">
        <w:trPr>
          <w:trHeight w:val="330"/>
          <w:jc w:val="center"/>
        </w:trPr>
        <w:tc>
          <w:tcPr>
            <w:tcW w:w="4347" w:type="dxa"/>
          </w:tcPr>
          <w:p w14:paraId="13A9179D" w14:textId="77777777" w:rsidR="000D4F98" w:rsidRPr="000B0E22" w:rsidRDefault="000D4F98" w:rsidP="005A585A">
            <w:pPr>
              <w:pStyle w:val="NCDTableText"/>
              <w:spacing w:before="40" w:after="40"/>
              <w:rPr>
                <w:rFonts w:eastAsia="Arial"/>
              </w:rPr>
            </w:pPr>
            <w:r w:rsidRPr="000B0E22">
              <w:rPr>
                <w:rFonts w:eastAsia="Arial"/>
              </w:rPr>
              <w:t>Utah</w:t>
            </w:r>
          </w:p>
        </w:tc>
        <w:tc>
          <w:tcPr>
            <w:tcW w:w="2880" w:type="dxa"/>
          </w:tcPr>
          <w:p w14:paraId="58FB8ED7" w14:textId="77777777" w:rsidR="000D4F98" w:rsidRPr="000B0E22" w:rsidRDefault="000D4F98" w:rsidP="005A585A">
            <w:pPr>
              <w:pStyle w:val="NCDTableText"/>
              <w:spacing w:before="40" w:after="40"/>
              <w:jc w:val="center"/>
              <w:rPr>
                <w:rFonts w:eastAsia="Arial"/>
              </w:rPr>
            </w:pPr>
            <w:r w:rsidRPr="000B0E22">
              <w:rPr>
                <w:rFonts w:eastAsia="Arial"/>
              </w:rPr>
              <w:t>5</w:t>
            </w:r>
          </w:p>
        </w:tc>
      </w:tr>
      <w:tr w:rsidR="000D4F98" w14:paraId="6AD633CE" w14:textId="77777777" w:rsidTr="005A585A">
        <w:trPr>
          <w:trHeight w:val="330"/>
          <w:jc w:val="center"/>
        </w:trPr>
        <w:tc>
          <w:tcPr>
            <w:tcW w:w="4347" w:type="dxa"/>
          </w:tcPr>
          <w:p w14:paraId="3600D776" w14:textId="77777777" w:rsidR="000D4F98" w:rsidRPr="000B0E22" w:rsidRDefault="000D4F98" w:rsidP="005A585A">
            <w:pPr>
              <w:pStyle w:val="NCDTableText"/>
              <w:spacing w:before="40" w:after="40"/>
              <w:rPr>
                <w:rFonts w:eastAsia="Arial"/>
              </w:rPr>
            </w:pPr>
            <w:r w:rsidRPr="000B0E22">
              <w:rPr>
                <w:rFonts w:eastAsia="Arial"/>
              </w:rPr>
              <w:t>Vermont</w:t>
            </w:r>
          </w:p>
        </w:tc>
        <w:tc>
          <w:tcPr>
            <w:tcW w:w="2880" w:type="dxa"/>
          </w:tcPr>
          <w:p w14:paraId="59569D1C" w14:textId="77777777" w:rsidR="000D4F98" w:rsidRPr="000B0E22" w:rsidRDefault="000D4F98" w:rsidP="005A585A">
            <w:pPr>
              <w:pStyle w:val="NCDTableText"/>
              <w:spacing w:before="40" w:after="40"/>
              <w:jc w:val="center"/>
              <w:rPr>
                <w:rFonts w:eastAsia="Arial"/>
              </w:rPr>
            </w:pPr>
            <w:r w:rsidRPr="000B0E22">
              <w:rPr>
                <w:rFonts w:eastAsia="Arial"/>
              </w:rPr>
              <w:t>56</w:t>
            </w:r>
          </w:p>
        </w:tc>
      </w:tr>
      <w:tr w:rsidR="000D4F98" w14:paraId="6DC69FDD" w14:textId="77777777" w:rsidTr="005A585A">
        <w:trPr>
          <w:trHeight w:val="330"/>
          <w:jc w:val="center"/>
        </w:trPr>
        <w:tc>
          <w:tcPr>
            <w:tcW w:w="4347" w:type="dxa"/>
          </w:tcPr>
          <w:p w14:paraId="368E509C" w14:textId="77777777" w:rsidR="000D4F98" w:rsidRPr="000B0E22" w:rsidRDefault="000D4F98" w:rsidP="005A585A">
            <w:pPr>
              <w:pStyle w:val="NCDTableText"/>
              <w:spacing w:before="40" w:after="40"/>
              <w:rPr>
                <w:rFonts w:eastAsia="Arial"/>
              </w:rPr>
            </w:pPr>
            <w:r w:rsidRPr="000B0E22">
              <w:rPr>
                <w:rFonts w:eastAsia="Arial"/>
              </w:rPr>
              <w:t>Virginia</w:t>
            </w:r>
          </w:p>
        </w:tc>
        <w:tc>
          <w:tcPr>
            <w:tcW w:w="2880" w:type="dxa"/>
          </w:tcPr>
          <w:p w14:paraId="0CB7445F" w14:textId="77777777" w:rsidR="000D4F98" w:rsidRPr="000B0E22" w:rsidRDefault="000D4F98" w:rsidP="005A585A">
            <w:pPr>
              <w:pStyle w:val="NCDTableText"/>
              <w:spacing w:before="40" w:after="40"/>
              <w:jc w:val="center"/>
              <w:rPr>
                <w:rFonts w:eastAsia="Arial"/>
              </w:rPr>
            </w:pPr>
            <w:r w:rsidRPr="000B0E22">
              <w:rPr>
                <w:rFonts w:eastAsia="Arial"/>
              </w:rPr>
              <w:t>6</w:t>
            </w:r>
          </w:p>
        </w:tc>
      </w:tr>
      <w:tr w:rsidR="000D4F98" w14:paraId="7B50BC55" w14:textId="77777777" w:rsidTr="005A585A">
        <w:trPr>
          <w:trHeight w:val="330"/>
          <w:jc w:val="center"/>
        </w:trPr>
        <w:tc>
          <w:tcPr>
            <w:tcW w:w="4347" w:type="dxa"/>
          </w:tcPr>
          <w:p w14:paraId="77EFD9B1" w14:textId="77777777" w:rsidR="000D4F98" w:rsidRPr="000B0E22" w:rsidRDefault="000D4F98" w:rsidP="005A585A">
            <w:pPr>
              <w:pStyle w:val="NCDTableText"/>
              <w:spacing w:before="40" w:after="40"/>
              <w:rPr>
                <w:rFonts w:eastAsia="Arial"/>
              </w:rPr>
            </w:pPr>
            <w:r w:rsidRPr="000B0E22">
              <w:rPr>
                <w:rFonts w:eastAsia="Arial"/>
              </w:rPr>
              <w:lastRenderedPageBreak/>
              <w:t>Washington</w:t>
            </w:r>
          </w:p>
        </w:tc>
        <w:tc>
          <w:tcPr>
            <w:tcW w:w="2880" w:type="dxa"/>
          </w:tcPr>
          <w:p w14:paraId="477F579B" w14:textId="77777777" w:rsidR="000D4F98" w:rsidRPr="000B0E22" w:rsidRDefault="000D4F98" w:rsidP="005A585A">
            <w:pPr>
              <w:pStyle w:val="NCDTableText"/>
              <w:spacing w:before="40" w:after="40"/>
              <w:jc w:val="center"/>
              <w:rPr>
                <w:rFonts w:eastAsia="Arial"/>
              </w:rPr>
            </w:pPr>
            <w:r w:rsidRPr="000B0E22">
              <w:rPr>
                <w:rFonts w:eastAsia="Arial"/>
              </w:rPr>
              <w:t>43</w:t>
            </w:r>
          </w:p>
        </w:tc>
      </w:tr>
      <w:tr w:rsidR="000D4F98" w14:paraId="305F7B08" w14:textId="77777777" w:rsidTr="005A585A">
        <w:trPr>
          <w:trHeight w:val="330"/>
          <w:jc w:val="center"/>
        </w:trPr>
        <w:tc>
          <w:tcPr>
            <w:tcW w:w="4347" w:type="dxa"/>
          </w:tcPr>
          <w:p w14:paraId="6355FFB7" w14:textId="77777777" w:rsidR="000D4F98" w:rsidRPr="000B0E22" w:rsidRDefault="000D4F98" w:rsidP="005A585A">
            <w:pPr>
              <w:pStyle w:val="NCDTableText"/>
              <w:spacing w:before="40" w:after="40"/>
              <w:rPr>
                <w:rFonts w:eastAsia="Arial"/>
              </w:rPr>
            </w:pPr>
            <w:r w:rsidRPr="000B0E22">
              <w:rPr>
                <w:rFonts w:eastAsia="Arial"/>
              </w:rPr>
              <w:t>West Virginia</w:t>
            </w:r>
          </w:p>
        </w:tc>
        <w:tc>
          <w:tcPr>
            <w:tcW w:w="2880" w:type="dxa"/>
          </w:tcPr>
          <w:p w14:paraId="753FEC77" w14:textId="77777777" w:rsidR="000D4F98" w:rsidRPr="000B0E22" w:rsidRDefault="000D4F98" w:rsidP="005A585A">
            <w:pPr>
              <w:pStyle w:val="NCDTableText"/>
              <w:spacing w:before="40" w:after="40"/>
              <w:jc w:val="center"/>
              <w:rPr>
                <w:rFonts w:eastAsia="Arial"/>
              </w:rPr>
            </w:pPr>
            <w:r w:rsidRPr="000B0E22">
              <w:rPr>
                <w:rFonts w:eastAsia="Arial"/>
              </w:rPr>
              <w:t>14</w:t>
            </w:r>
          </w:p>
        </w:tc>
      </w:tr>
      <w:tr w:rsidR="000D4F98" w14:paraId="2A051E25" w14:textId="77777777" w:rsidTr="005A585A">
        <w:trPr>
          <w:trHeight w:val="330"/>
          <w:jc w:val="center"/>
        </w:trPr>
        <w:tc>
          <w:tcPr>
            <w:tcW w:w="4347" w:type="dxa"/>
          </w:tcPr>
          <w:p w14:paraId="59FFA7AA" w14:textId="77777777" w:rsidR="000D4F98" w:rsidRPr="000B0E22" w:rsidRDefault="000D4F98" w:rsidP="005A585A">
            <w:pPr>
              <w:pStyle w:val="NCDTableText"/>
              <w:spacing w:before="40" w:after="40"/>
              <w:rPr>
                <w:rFonts w:eastAsia="Arial"/>
              </w:rPr>
            </w:pPr>
            <w:r w:rsidRPr="000B0E22">
              <w:rPr>
                <w:rFonts w:eastAsia="Arial"/>
              </w:rPr>
              <w:t>Wisconsin</w:t>
            </w:r>
          </w:p>
        </w:tc>
        <w:tc>
          <w:tcPr>
            <w:tcW w:w="2880" w:type="dxa"/>
          </w:tcPr>
          <w:p w14:paraId="3FD002B8" w14:textId="77777777" w:rsidR="000D4F98" w:rsidRPr="000B0E22" w:rsidRDefault="000D4F98" w:rsidP="005A585A">
            <w:pPr>
              <w:pStyle w:val="NCDTableText"/>
              <w:spacing w:before="40" w:after="40"/>
              <w:jc w:val="center"/>
              <w:rPr>
                <w:rFonts w:eastAsia="Arial"/>
              </w:rPr>
            </w:pPr>
            <w:r w:rsidRPr="000B0E22">
              <w:rPr>
                <w:rFonts w:eastAsia="Arial"/>
              </w:rPr>
              <w:t>41</w:t>
            </w:r>
          </w:p>
        </w:tc>
      </w:tr>
      <w:tr w:rsidR="000D4F98" w14:paraId="4CC0FDE7" w14:textId="77777777" w:rsidTr="005A585A">
        <w:trPr>
          <w:trHeight w:val="330"/>
          <w:jc w:val="center"/>
        </w:trPr>
        <w:tc>
          <w:tcPr>
            <w:tcW w:w="4347" w:type="dxa"/>
          </w:tcPr>
          <w:p w14:paraId="216227FE" w14:textId="77777777" w:rsidR="000D4F98" w:rsidRPr="000B0E22" w:rsidRDefault="000D4F98" w:rsidP="005A585A">
            <w:pPr>
              <w:pStyle w:val="NCDTableText"/>
              <w:spacing w:before="40" w:after="40"/>
              <w:rPr>
                <w:rFonts w:eastAsia="Arial"/>
              </w:rPr>
            </w:pPr>
            <w:r w:rsidRPr="000B0E22">
              <w:rPr>
                <w:rFonts w:eastAsia="Arial"/>
              </w:rPr>
              <w:t>Wyoming</w:t>
            </w:r>
          </w:p>
        </w:tc>
        <w:tc>
          <w:tcPr>
            <w:tcW w:w="2880" w:type="dxa"/>
          </w:tcPr>
          <w:p w14:paraId="4DA4F7BD" w14:textId="77777777" w:rsidR="000D4F98" w:rsidRPr="000B0E22" w:rsidRDefault="000D4F98" w:rsidP="005A585A">
            <w:pPr>
              <w:pStyle w:val="NCDTableText"/>
              <w:spacing w:before="40" w:after="40"/>
              <w:jc w:val="center"/>
              <w:rPr>
                <w:rFonts w:eastAsia="Arial"/>
              </w:rPr>
            </w:pPr>
            <w:r w:rsidRPr="000B0E22">
              <w:rPr>
                <w:rFonts w:eastAsia="Arial"/>
              </w:rPr>
              <w:t>40</w:t>
            </w:r>
          </w:p>
        </w:tc>
      </w:tr>
      <w:tr w:rsidR="000D4F98" w14:paraId="336F6DBA" w14:textId="77777777" w:rsidTr="005A585A">
        <w:trPr>
          <w:trHeight w:val="330"/>
          <w:jc w:val="center"/>
        </w:trPr>
        <w:tc>
          <w:tcPr>
            <w:tcW w:w="4347" w:type="dxa"/>
          </w:tcPr>
          <w:p w14:paraId="22D96481" w14:textId="0708C02F" w:rsidR="000D4F98" w:rsidRPr="000B0E22" w:rsidRDefault="00401D57" w:rsidP="005A585A">
            <w:pPr>
              <w:pStyle w:val="NCDTableText"/>
              <w:spacing w:before="40" w:after="40"/>
              <w:rPr>
                <w:rFonts w:eastAsia="Arial"/>
                <w:b/>
              </w:rPr>
            </w:pPr>
            <w:r w:rsidRPr="00401D57">
              <w:rPr>
                <w:rFonts w:eastAsia="Arial"/>
                <w:b/>
              </w:rPr>
              <w:t>National average (weighted)</w:t>
            </w:r>
          </w:p>
        </w:tc>
        <w:tc>
          <w:tcPr>
            <w:tcW w:w="2880" w:type="dxa"/>
          </w:tcPr>
          <w:p w14:paraId="08F17DB0" w14:textId="69F78EA3" w:rsidR="000D4F98" w:rsidRPr="000B0E22" w:rsidRDefault="00401D57" w:rsidP="005A585A">
            <w:pPr>
              <w:pStyle w:val="NCDTableText"/>
              <w:spacing w:before="40" w:after="40"/>
              <w:jc w:val="center"/>
              <w:rPr>
                <w:rFonts w:eastAsia="Arial"/>
                <w:b/>
              </w:rPr>
            </w:pPr>
            <w:r w:rsidRPr="00401D57">
              <w:rPr>
                <w:rFonts w:eastAsia="Arial"/>
                <w:b/>
              </w:rPr>
              <w:t>24</w:t>
            </w:r>
          </w:p>
        </w:tc>
      </w:tr>
    </w:tbl>
    <w:p w14:paraId="6D7E11ED" w14:textId="77777777" w:rsidR="000D4F98" w:rsidRPr="00537483" w:rsidRDefault="000D4F98" w:rsidP="005A585A">
      <w:pPr>
        <w:pStyle w:val="NCDBodyText"/>
        <w:spacing w:before="200"/>
        <w:rPr>
          <w:highlight w:val="white"/>
        </w:rPr>
      </w:pPr>
      <w:r w:rsidRPr="00257D88">
        <w:rPr>
          <w:i/>
        </w:rPr>
        <w:t>Number of Adults with I/DD by State Policy</w:t>
      </w:r>
      <w:r>
        <w:rPr>
          <w:highlight w:val="white"/>
        </w:rPr>
        <w:t xml:space="preserve">. Table 4 shows the number of adults with I/DD who live in states by the state Medicaid dental policy. NCD used the categorization of dental policies created by the NASHP described in chapter 3. Approximately </w:t>
      </w:r>
      <w:r>
        <w:t xml:space="preserve">three-quarters </w:t>
      </w:r>
      <w:r>
        <w:rPr>
          <w:highlight w:val="white"/>
        </w:rPr>
        <w:t xml:space="preserve">of adults with I/DD who receive Medicaid live in states with either extensive or limited adult dental benefits. However, </w:t>
      </w:r>
      <w:bookmarkStart w:id="176" w:name="_Hlk93348809"/>
      <w:r>
        <w:t xml:space="preserve">23 percent (over 250,000 adults </w:t>
      </w:r>
      <w:r>
        <w:rPr>
          <w:highlight w:val="white"/>
        </w:rPr>
        <w:t>with I/DD who receive Medicaid) live in states with either emergency-only or no coverage.</w:t>
      </w:r>
      <w:bookmarkEnd w:id="176"/>
      <w:r>
        <w:rPr>
          <w:highlight w:val="white"/>
        </w:rPr>
        <w:t xml:space="preserve"> In Tables 5 to 7, NCD calculated the cost and ROI of providing basic dental care for adults with I/DD in those states.</w:t>
      </w:r>
    </w:p>
    <w:p w14:paraId="1882A2EB" w14:textId="5D1A4EF4" w:rsidR="000D4F98" w:rsidRPr="00537483" w:rsidRDefault="000D4F98" w:rsidP="005A585A">
      <w:pPr>
        <w:pStyle w:val="NCDTableHeader"/>
        <w:spacing w:after="200"/>
        <w:rPr>
          <w:rFonts w:eastAsia="Arial"/>
          <w:sz w:val="20"/>
          <w:szCs w:val="20"/>
          <w:highlight w:val="white"/>
          <w:vertAlign w:val="superscript"/>
        </w:rPr>
      </w:pPr>
      <w:r w:rsidRPr="00537483">
        <w:rPr>
          <w:rFonts w:eastAsia="Arial"/>
        </w:rPr>
        <w:t>Table 4</w:t>
      </w:r>
      <w:r w:rsidR="00C26485">
        <w:rPr>
          <w:rFonts w:eastAsia="Arial"/>
        </w:rPr>
        <w:t>:</w:t>
      </w:r>
      <w:r w:rsidRPr="00537483">
        <w:rPr>
          <w:rFonts w:eastAsia="Arial"/>
        </w:rPr>
        <w:t xml:space="preserve"> </w:t>
      </w:r>
      <w:r w:rsidRPr="00537483">
        <w:rPr>
          <w:rFonts w:eastAsia="Arial"/>
          <w:highlight w:val="white"/>
        </w:rPr>
        <w:t>Number and Percentage of Adults with I/DD by State Medicaid Benefits for the General Adult Population, 2018</w:t>
      </w:r>
      <w:r w:rsidRPr="00537483">
        <w:rPr>
          <w:rFonts w:eastAsia="Arial"/>
          <w:highlight w:val="white"/>
          <w:vertAlign w:val="superscript"/>
        </w:rPr>
        <w:endnoteReference w:id="89"/>
      </w:r>
      <w:r w:rsidRPr="00537483">
        <w:rPr>
          <w:rFonts w:eastAsia="Arial"/>
          <w:sz w:val="20"/>
          <w:szCs w:val="20"/>
          <w:highlight w:val="white"/>
          <w:vertAlign w:val="superscript"/>
        </w:rPr>
        <w:t>,</w:t>
      </w:r>
      <w:r w:rsidRPr="00537483">
        <w:rPr>
          <w:rFonts w:eastAsia="Arial"/>
          <w:highlight w:val="white"/>
          <w:vertAlign w:val="superscript"/>
        </w:rPr>
        <w:endnoteReference w:id="90"/>
      </w:r>
    </w:p>
    <w:tbl>
      <w:tblPr>
        <w:tblStyle w:val="TableGrid"/>
        <w:tblW w:w="8640" w:type="dxa"/>
        <w:jc w:val="center"/>
        <w:tblLayout w:type="fixed"/>
        <w:tblLook w:val="0600" w:firstRow="0" w:lastRow="0" w:firstColumn="0" w:lastColumn="0" w:noHBand="1" w:noVBand="1"/>
        <w:tblDescription w:val="Table 4. Number and Percentage of Adults with I/DD by State Medicaid Benefits for the General Adult Population, 2018."/>
      </w:tblPr>
      <w:tblGrid>
        <w:gridCol w:w="3462"/>
        <w:gridCol w:w="2754"/>
        <w:gridCol w:w="2424"/>
      </w:tblGrid>
      <w:tr w:rsidR="000D4F98" w:rsidRPr="0082733A" w14:paraId="4B27D2EB" w14:textId="77777777" w:rsidTr="005A585A">
        <w:trPr>
          <w:trHeight w:val="330"/>
          <w:tblHeader/>
          <w:jc w:val="center"/>
        </w:trPr>
        <w:tc>
          <w:tcPr>
            <w:tcW w:w="1800" w:type="dxa"/>
          </w:tcPr>
          <w:p w14:paraId="66B0C18C" w14:textId="77777777" w:rsidR="000D4F98" w:rsidRPr="000B0E22" w:rsidRDefault="000D4F98" w:rsidP="005A585A">
            <w:pPr>
              <w:pStyle w:val="NCDTableHeader"/>
              <w:spacing w:before="60" w:after="60"/>
              <w:rPr>
                <w:rFonts w:eastAsia="Arial"/>
              </w:rPr>
            </w:pPr>
          </w:p>
        </w:tc>
        <w:tc>
          <w:tcPr>
            <w:tcW w:w="1432" w:type="dxa"/>
            <w:vAlign w:val="bottom"/>
          </w:tcPr>
          <w:p w14:paraId="25FE1032" w14:textId="4B8C96FA" w:rsidR="000D4F98" w:rsidRPr="000B0E22" w:rsidRDefault="00401D57" w:rsidP="005A585A">
            <w:pPr>
              <w:pStyle w:val="NCDTableHeader"/>
              <w:spacing w:before="60" w:after="60"/>
              <w:jc w:val="center"/>
              <w:rPr>
                <w:rFonts w:eastAsia="Arial"/>
              </w:rPr>
            </w:pPr>
            <w:r w:rsidRPr="00401D57">
              <w:rPr>
                <w:rFonts w:eastAsia="Arial"/>
              </w:rPr>
              <w:t>Population</w:t>
            </w:r>
          </w:p>
        </w:tc>
        <w:tc>
          <w:tcPr>
            <w:tcW w:w="1260" w:type="dxa"/>
            <w:vAlign w:val="bottom"/>
          </w:tcPr>
          <w:p w14:paraId="1EC01D11" w14:textId="2F42EF8B" w:rsidR="000D4F98" w:rsidRPr="000B0E22" w:rsidRDefault="000D4F98" w:rsidP="005A585A">
            <w:pPr>
              <w:pStyle w:val="NCDTableHeader"/>
              <w:spacing w:before="60" w:after="60"/>
              <w:jc w:val="center"/>
              <w:rPr>
                <w:rFonts w:eastAsia="Arial"/>
              </w:rPr>
            </w:pPr>
            <w:r w:rsidRPr="00537483">
              <w:rPr>
                <w:rFonts w:eastAsia="Arial"/>
              </w:rPr>
              <w:t>Percentage (%)</w:t>
            </w:r>
          </w:p>
        </w:tc>
      </w:tr>
      <w:tr w:rsidR="000D4F98" w:rsidRPr="0082733A" w14:paraId="19FD9198" w14:textId="77777777" w:rsidTr="005A585A">
        <w:trPr>
          <w:trHeight w:val="330"/>
          <w:jc w:val="center"/>
        </w:trPr>
        <w:tc>
          <w:tcPr>
            <w:tcW w:w="1800" w:type="dxa"/>
          </w:tcPr>
          <w:p w14:paraId="51D34E9F" w14:textId="77777777" w:rsidR="000D4F98" w:rsidRPr="000B0E22" w:rsidRDefault="000D4F98" w:rsidP="005A585A">
            <w:pPr>
              <w:pStyle w:val="NCDTableText"/>
              <w:spacing w:before="60" w:after="60"/>
              <w:rPr>
                <w:rFonts w:eastAsia="Arial"/>
              </w:rPr>
            </w:pPr>
            <w:r w:rsidRPr="000B0E22">
              <w:rPr>
                <w:rFonts w:eastAsia="Arial"/>
              </w:rPr>
              <w:t>Extensive</w:t>
            </w:r>
          </w:p>
        </w:tc>
        <w:tc>
          <w:tcPr>
            <w:tcW w:w="1432" w:type="dxa"/>
          </w:tcPr>
          <w:p w14:paraId="327C0E04" w14:textId="77777777" w:rsidR="000D4F98" w:rsidRPr="000B0E22" w:rsidRDefault="000D4F98" w:rsidP="005A585A">
            <w:pPr>
              <w:pStyle w:val="NCDTableText"/>
              <w:spacing w:before="60" w:after="60"/>
              <w:ind w:right="864"/>
              <w:jc w:val="right"/>
              <w:rPr>
                <w:rFonts w:eastAsia="Arial"/>
              </w:rPr>
            </w:pPr>
            <w:r w:rsidRPr="000B0E22">
              <w:rPr>
                <w:rFonts w:eastAsia="Arial"/>
                <w:color w:val="000000"/>
              </w:rPr>
              <w:t>567,692</w:t>
            </w:r>
          </w:p>
        </w:tc>
        <w:tc>
          <w:tcPr>
            <w:tcW w:w="1260" w:type="dxa"/>
          </w:tcPr>
          <w:p w14:paraId="5C328AA4" w14:textId="77777777" w:rsidR="000D4F98" w:rsidRPr="000B0E22" w:rsidRDefault="000D4F98" w:rsidP="005A585A">
            <w:pPr>
              <w:pStyle w:val="NCDTableText"/>
              <w:spacing w:before="60" w:after="60"/>
              <w:ind w:right="864"/>
              <w:jc w:val="right"/>
              <w:rPr>
                <w:rFonts w:eastAsia="Arial"/>
              </w:rPr>
            </w:pPr>
            <w:r w:rsidRPr="000B0E22">
              <w:rPr>
                <w:rFonts w:eastAsia="Arial"/>
                <w:color w:val="000000"/>
              </w:rPr>
              <w:t>50</w:t>
            </w:r>
          </w:p>
        </w:tc>
      </w:tr>
      <w:tr w:rsidR="000D4F98" w:rsidRPr="0082733A" w14:paraId="4822D7C1" w14:textId="77777777" w:rsidTr="005A585A">
        <w:trPr>
          <w:trHeight w:val="330"/>
          <w:jc w:val="center"/>
        </w:trPr>
        <w:tc>
          <w:tcPr>
            <w:tcW w:w="1800" w:type="dxa"/>
          </w:tcPr>
          <w:p w14:paraId="2FC729CB" w14:textId="77777777" w:rsidR="000D4F98" w:rsidRPr="000B0E22" w:rsidRDefault="000D4F98" w:rsidP="005A585A">
            <w:pPr>
              <w:pStyle w:val="NCDTableText"/>
              <w:spacing w:before="60" w:after="60"/>
              <w:rPr>
                <w:rFonts w:eastAsia="Arial"/>
              </w:rPr>
            </w:pPr>
            <w:r w:rsidRPr="000B0E22">
              <w:rPr>
                <w:rFonts w:eastAsia="Arial"/>
              </w:rPr>
              <w:t>Limited</w:t>
            </w:r>
          </w:p>
        </w:tc>
        <w:tc>
          <w:tcPr>
            <w:tcW w:w="1432" w:type="dxa"/>
          </w:tcPr>
          <w:p w14:paraId="069B25B8" w14:textId="77777777" w:rsidR="000D4F98" w:rsidRPr="000B0E22" w:rsidRDefault="000D4F98" w:rsidP="005A585A">
            <w:pPr>
              <w:pStyle w:val="NCDTableText"/>
              <w:spacing w:before="60" w:after="60"/>
              <w:ind w:right="864"/>
              <w:jc w:val="right"/>
              <w:rPr>
                <w:rFonts w:eastAsia="Arial"/>
              </w:rPr>
            </w:pPr>
            <w:r w:rsidRPr="000B0E22">
              <w:rPr>
                <w:rFonts w:eastAsia="Arial"/>
                <w:color w:val="000000"/>
              </w:rPr>
              <w:t>305,625</w:t>
            </w:r>
          </w:p>
        </w:tc>
        <w:tc>
          <w:tcPr>
            <w:tcW w:w="1260" w:type="dxa"/>
          </w:tcPr>
          <w:p w14:paraId="0902B693" w14:textId="77777777" w:rsidR="000D4F98" w:rsidRPr="000B0E22" w:rsidRDefault="000D4F98" w:rsidP="005A585A">
            <w:pPr>
              <w:pStyle w:val="NCDTableText"/>
              <w:spacing w:before="60" w:after="60"/>
              <w:ind w:right="864"/>
              <w:jc w:val="right"/>
              <w:rPr>
                <w:rFonts w:eastAsia="Arial"/>
              </w:rPr>
            </w:pPr>
            <w:r w:rsidRPr="000B0E22">
              <w:rPr>
                <w:rFonts w:eastAsia="Arial"/>
                <w:color w:val="000000"/>
              </w:rPr>
              <w:t>27</w:t>
            </w:r>
          </w:p>
        </w:tc>
      </w:tr>
      <w:tr w:rsidR="000D4F98" w:rsidRPr="0082733A" w14:paraId="4B3D46EE" w14:textId="77777777" w:rsidTr="005A585A">
        <w:trPr>
          <w:trHeight w:val="585"/>
          <w:jc w:val="center"/>
        </w:trPr>
        <w:tc>
          <w:tcPr>
            <w:tcW w:w="1800" w:type="dxa"/>
          </w:tcPr>
          <w:p w14:paraId="7BBBE359" w14:textId="77777777" w:rsidR="000D4F98" w:rsidRPr="000B0E22" w:rsidRDefault="000D4F98" w:rsidP="005A585A">
            <w:pPr>
              <w:pStyle w:val="NCDTableText"/>
              <w:spacing w:before="60" w:after="60"/>
              <w:rPr>
                <w:rFonts w:eastAsia="Arial"/>
              </w:rPr>
            </w:pPr>
            <w:r w:rsidRPr="000B0E22">
              <w:rPr>
                <w:rFonts w:eastAsia="Arial"/>
              </w:rPr>
              <w:t xml:space="preserve">Emergency </w:t>
            </w:r>
            <w:r>
              <w:rPr>
                <w:rFonts w:eastAsia="Arial"/>
              </w:rPr>
              <w:t>o</w:t>
            </w:r>
            <w:r w:rsidRPr="000B0E22">
              <w:rPr>
                <w:rFonts w:eastAsia="Arial"/>
              </w:rPr>
              <w:t>nly</w:t>
            </w:r>
          </w:p>
        </w:tc>
        <w:tc>
          <w:tcPr>
            <w:tcW w:w="1432" w:type="dxa"/>
          </w:tcPr>
          <w:p w14:paraId="720DBE2C" w14:textId="77777777" w:rsidR="000D4F98" w:rsidRPr="000B0E22" w:rsidRDefault="000D4F98" w:rsidP="005A585A">
            <w:pPr>
              <w:pStyle w:val="NCDTableText"/>
              <w:spacing w:before="60" w:after="60"/>
              <w:ind w:right="864"/>
              <w:jc w:val="right"/>
              <w:rPr>
                <w:rFonts w:eastAsia="Arial"/>
              </w:rPr>
            </w:pPr>
            <w:r w:rsidRPr="000B0E22">
              <w:rPr>
                <w:rFonts w:eastAsia="Arial"/>
                <w:color w:val="000000"/>
              </w:rPr>
              <w:t>222,857</w:t>
            </w:r>
          </w:p>
        </w:tc>
        <w:tc>
          <w:tcPr>
            <w:tcW w:w="1260" w:type="dxa"/>
          </w:tcPr>
          <w:p w14:paraId="14458CF5" w14:textId="77777777" w:rsidR="000D4F98" w:rsidRPr="000B0E22" w:rsidRDefault="000D4F98" w:rsidP="005A585A">
            <w:pPr>
              <w:pStyle w:val="NCDTableText"/>
              <w:spacing w:before="60" w:after="60"/>
              <w:ind w:right="864"/>
              <w:jc w:val="right"/>
              <w:rPr>
                <w:rFonts w:eastAsia="Arial"/>
              </w:rPr>
            </w:pPr>
            <w:r w:rsidRPr="000B0E22">
              <w:rPr>
                <w:rFonts w:eastAsia="Arial"/>
                <w:color w:val="000000"/>
              </w:rPr>
              <w:t>20</w:t>
            </w:r>
          </w:p>
        </w:tc>
      </w:tr>
      <w:tr w:rsidR="000D4F98" w:rsidRPr="0082733A" w14:paraId="715B6254" w14:textId="77777777" w:rsidTr="005A585A">
        <w:trPr>
          <w:trHeight w:val="330"/>
          <w:jc w:val="center"/>
        </w:trPr>
        <w:tc>
          <w:tcPr>
            <w:tcW w:w="1800" w:type="dxa"/>
          </w:tcPr>
          <w:p w14:paraId="08D6ED95" w14:textId="77777777" w:rsidR="000D4F98" w:rsidRPr="000B0E22" w:rsidRDefault="000D4F98" w:rsidP="005A585A">
            <w:pPr>
              <w:pStyle w:val="NCDTableText"/>
              <w:spacing w:before="60" w:after="60"/>
              <w:rPr>
                <w:rFonts w:eastAsia="Arial"/>
              </w:rPr>
            </w:pPr>
            <w:r w:rsidRPr="000B0E22">
              <w:rPr>
                <w:rFonts w:eastAsia="Arial"/>
              </w:rPr>
              <w:t xml:space="preserve">No </w:t>
            </w:r>
            <w:r>
              <w:rPr>
                <w:rFonts w:eastAsia="Arial"/>
              </w:rPr>
              <w:t>c</w:t>
            </w:r>
            <w:r w:rsidRPr="000B0E22">
              <w:rPr>
                <w:rFonts w:eastAsia="Arial"/>
              </w:rPr>
              <w:t>overage</w:t>
            </w:r>
          </w:p>
        </w:tc>
        <w:tc>
          <w:tcPr>
            <w:tcW w:w="1432" w:type="dxa"/>
          </w:tcPr>
          <w:p w14:paraId="38652DCB" w14:textId="77777777" w:rsidR="000D4F98" w:rsidRPr="000B0E22" w:rsidRDefault="000D4F98" w:rsidP="005A585A">
            <w:pPr>
              <w:pStyle w:val="NCDTableText"/>
              <w:spacing w:before="60" w:after="60"/>
              <w:ind w:right="864"/>
              <w:jc w:val="right"/>
              <w:rPr>
                <w:rFonts w:eastAsia="Arial"/>
              </w:rPr>
            </w:pPr>
            <w:r w:rsidRPr="000B0E22">
              <w:rPr>
                <w:rFonts w:eastAsia="Arial"/>
                <w:color w:val="000000"/>
              </w:rPr>
              <w:t>38,090</w:t>
            </w:r>
          </w:p>
        </w:tc>
        <w:tc>
          <w:tcPr>
            <w:tcW w:w="1260" w:type="dxa"/>
          </w:tcPr>
          <w:p w14:paraId="1C9A9539" w14:textId="77777777" w:rsidR="000D4F98" w:rsidRPr="000B0E22" w:rsidRDefault="000D4F98" w:rsidP="005A585A">
            <w:pPr>
              <w:pStyle w:val="NCDTableText"/>
              <w:spacing w:before="60" w:after="60"/>
              <w:ind w:right="864"/>
              <w:jc w:val="right"/>
              <w:rPr>
                <w:rFonts w:eastAsia="Arial"/>
              </w:rPr>
            </w:pPr>
            <w:r w:rsidRPr="000B0E22">
              <w:rPr>
                <w:rFonts w:eastAsia="Arial"/>
                <w:color w:val="000000"/>
              </w:rPr>
              <w:t>3</w:t>
            </w:r>
          </w:p>
        </w:tc>
      </w:tr>
      <w:tr w:rsidR="000D4F98" w:rsidRPr="0082733A" w14:paraId="6AFC4290" w14:textId="77777777" w:rsidTr="005A585A">
        <w:trPr>
          <w:trHeight w:val="330"/>
          <w:jc w:val="center"/>
        </w:trPr>
        <w:tc>
          <w:tcPr>
            <w:tcW w:w="1800" w:type="dxa"/>
          </w:tcPr>
          <w:p w14:paraId="59D81A50" w14:textId="724042B9" w:rsidR="000D4F98" w:rsidRPr="000B0E22" w:rsidRDefault="00401D57" w:rsidP="005A585A">
            <w:pPr>
              <w:pStyle w:val="NCDTableText"/>
              <w:spacing w:before="60" w:after="60"/>
              <w:rPr>
                <w:rFonts w:eastAsia="Arial"/>
                <w:b/>
              </w:rPr>
            </w:pPr>
            <w:r w:rsidRPr="00401D57">
              <w:rPr>
                <w:rFonts w:eastAsia="Arial"/>
                <w:b/>
              </w:rPr>
              <w:t>Total</w:t>
            </w:r>
          </w:p>
        </w:tc>
        <w:tc>
          <w:tcPr>
            <w:tcW w:w="1432" w:type="dxa"/>
          </w:tcPr>
          <w:p w14:paraId="52765B2F" w14:textId="77777777" w:rsidR="000D4F98" w:rsidRPr="000B0E22" w:rsidRDefault="000D4F98" w:rsidP="005A585A">
            <w:pPr>
              <w:pStyle w:val="NCDTableText"/>
              <w:spacing w:before="60" w:after="60"/>
              <w:ind w:right="864"/>
              <w:jc w:val="right"/>
              <w:rPr>
                <w:rFonts w:eastAsia="Arial"/>
                <w:b/>
              </w:rPr>
            </w:pPr>
            <w:r w:rsidRPr="000B0E22">
              <w:rPr>
                <w:rFonts w:eastAsia="Arial"/>
                <w:color w:val="000000"/>
              </w:rPr>
              <w:t>1,134,264</w:t>
            </w:r>
          </w:p>
        </w:tc>
        <w:tc>
          <w:tcPr>
            <w:tcW w:w="1260" w:type="dxa"/>
          </w:tcPr>
          <w:p w14:paraId="2194F809" w14:textId="77777777" w:rsidR="000D4F98" w:rsidRPr="000B0E22" w:rsidRDefault="000D4F98" w:rsidP="005A585A">
            <w:pPr>
              <w:pStyle w:val="NCDTableText"/>
              <w:spacing w:before="60" w:after="60"/>
              <w:ind w:right="864"/>
              <w:jc w:val="right"/>
              <w:rPr>
                <w:rFonts w:eastAsia="Arial"/>
                <w:b/>
              </w:rPr>
            </w:pPr>
            <w:r w:rsidRPr="000B0E22">
              <w:rPr>
                <w:rFonts w:eastAsia="Arial"/>
                <w:color w:val="000000"/>
              </w:rPr>
              <w:t>100</w:t>
            </w:r>
          </w:p>
        </w:tc>
      </w:tr>
    </w:tbl>
    <w:p w14:paraId="47E0DC08" w14:textId="77777777" w:rsidR="000D4F98" w:rsidRPr="00537483" w:rsidRDefault="000D4F98" w:rsidP="005A585A">
      <w:pPr>
        <w:pStyle w:val="NCDBodyText"/>
        <w:spacing w:before="200"/>
        <w:rPr>
          <w:highlight w:val="white"/>
        </w:rPr>
      </w:pPr>
      <w:r w:rsidRPr="00257D88">
        <w:rPr>
          <w:i/>
        </w:rPr>
        <w:t>State Medicaid Policy and Receipt of Preventive Care</w:t>
      </w:r>
      <w:r>
        <w:rPr>
          <w:highlight w:val="white"/>
        </w:rPr>
        <w:t xml:space="preserve">. NCD examined the likelihood of receiving basic dental care among adults with I/DD by the Medicaid policy for basic dental care of the state in 2018 in which they lived. The categorization of dental policies in 2018 was used to match the T-MSIS data. As shown in Figure 1, NCD found a strong </w:t>
      </w:r>
      <w:r>
        <w:rPr>
          <w:highlight w:val="white"/>
        </w:rPr>
        <w:lastRenderedPageBreak/>
        <w:t>association between states’ Medicaid policies and receipt of dental care</w:t>
      </w:r>
      <w:bookmarkStart w:id="177" w:name="_Hlk93348927"/>
      <w:r>
        <w:rPr>
          <w:highlight w:val="white"/>
        </w:rPr>
        <w:t>. Adults with I/DD were over three times as likely to receive basic dental care if they lived in a state with extensive or limited Medicaid dental coverage, relative to states with no coverage, and 1.5 times as likely to receive basic dental care, relative to states with emergency-only coverage</w:t>
      </w:r>
      <w:bookmarkEnd w:id="177"/>
      <w:r>
        <w:rPr>
          <w:highlight w:val="white"/>
        </w:rPr>
        <w:t>. This relationship was statistically significant. Furthermore, Figure 2 demonstrates that the higher levels of receipt of basic dental care in the emergency-only states, relative to the no-coverage states, are likely a consequence of waiver programs in the emergency-only states that provide dental services for some people with I/DD in those states.</w:t>
      </w:r>
    </w:p>
    <w:p w14:paraId="1865FC7F" w14:textId="77777777" w:rsidR="000D4F98" w:rsidRPr="00537483" w:rsidRDefault="000D4F98" w:rsidP="005A585A">
      <w:pPr>
        <w:pStyle w:val="NCDBodyText"/>
        <w:rPr>
          <w:highlight w:val="white"/>
        </w:rPr>
      </w:pPr>
      <w:r>
        <w:t xml:space="preserve">The analysis shows </w:t>
      </w:r>
      <w:r>
        <w:rPr>
          <w:highlight w:val="white"/>
        </w:rPr>
        <w:t xml:space="preserve">a clear trend. </w:t>
      </w:r>
      <w:bookmarkStart w:id="178" w:name="_Hlk93348961"/>
      <w:r>
        <w:rPr>
          <w:highlight w:val="white"/>
        </w:rPr>
        <w:t>The more extensive the dental coverage provided by the state Medicaid program, the greater the likelihood that adults with I/DD would receive preventive dental services paid for by Medicaid.</w:t>
      </w:r>
      <w:bookmarkEnd w:id="178"/>
      <w:r>
        <w:rPr>
          <w:highlight w:val="white"/>
        </w:rPr>
        <w:t xml:space="preserve"> Chapter </w:t>
      </w:r>
      <w:r>
        <w:t xml:space="preserve">5 </w:t>
      </w:r>
      <w:r>
        <w:rPr>
          <w:highlight w:val="white"/>
        </w:rPr>
        <w:t>describes the implications of these results for Medicaid policy reform.</w:t>
      </w:r>
    </w:p>
    <w:p w14:paraId="1B944298" w14:textId="77777777" w:rsidR="000D4F98" w:rsidRPr="00537483" w:rsidRDefault="000D4F98" w:rsidP="005A585A">
      <w:pPr>
        <w:pStyle w:val="NCDBodyText"/>
        <w:rPr>
          <w:highlight w:val="white"/>
        </w:rPr>
      </w:pPr>
      <w:r>
        <w:rPr>
          <w:highlight w:val="white"/>
        </w:rPr>
        <w:t xml:space="preserve">It is important to note, however, that </w:t>
      </w:r>
      <w:bookmarkStart w:id="179" w:name="_Hlk93348991"/>
      <w:r>
        <w:rPr>
          <w:highlight w:val="white"/>
        </w:rPr>
        <w:t>even in states with extensive dental benefits, two-thirds of adults with I/DD and who have Medicaid still do not receive basic dental care, paid for by Medicaid</w:t>
      </w:r>
      <w:bookmarkEnd w:id="179"/>
      <w:r>
        <w:rPr>
          <w:highlight w:val="white"/>
        </w:rPr>
        <w:t>, as shown in Figure 1. This likely reflects the many barriers to dental care faced by people with I/DD, as described in chapter 2.</w:t>
      </w:r>
    </w:p>
    <w:p w14:paraId="3AD45747" w14:textId="77777777" w:rsidR="005A585A" w:rsidRDefault="005A585A">
      <w:pPr>
        <w:spacing w:after="160" w:line="259" w:lineRule="auto"/>
        <w:rPr>
          <w:rFonts w:eastAsia="Arial" w:cs="Arial"/>
          <w:highlight w:val="white"/>
        </w:rPr>
      </w:pPr>
      <w:r>
        <w:rPr>
          <w:rFonts w:eastAsia="Arial" w:cs="Arial"/>
          <w:highlight w:val="white"/>
        </w:rPr>
        <w:br w:type="page"/>
      </w:r>
    </w:p>
    <w:p w14:paraId="18D4F979" w14:textId="5E2B914E" w:rsidR="000D4F98" w:rsidRPr="00537483" w:rsidRDefault="000D4F98" w:rsidP="005A585A">
      <w:pPr>
        <w:pStyle w:val="NCDTableHeader"/>
        <w:rPr>
          <w:rFonts w:eastAsia="Arial"/>
          <w:highlight w:val="white"/>
        </w:rPr>
      </w:pPr>
      <w:r w:rsidRPr="00537483">
        <w:rPr>
          <w:rFonts w:eastAsia="Arial"/>
          <w:highlight w:val="white"/>
        </w:rPr>
        <w:lastRenderedPageBreak/>
        <w:t>Figure 1. Percentage of Adults with I/DD Receiving Basic Dental Care, by State Policy Context, 2018</w:t>
      </w:r>
      <w:r w:rsidRPr="00537483">
        <w:rPr>
          <w:rFonts w:eastAsia="Arial"/>
          <w:highlight w:val="white"/>
          <w:vertAlign w:val="superscript"/>
        </w:rPr>
        <w:endnoteReference w:id="91"/>
      </w:r>
    </w:p>
    <w:p w14:paraId="3D734C15" w14:textId="77777777" w:rsidR="000D4F98" w:rsidRPr="00537483" w:rsidRDefault="000D4F98" w:rsidP="000D4F98">
      <w:pPr>
        <w:spacing w:line="240" w:lineRule="auto"/>
        <w:rPr>
          <w:rFonts w:ascii="Times New Roman" w:eastAsia="Times New Roman" w:hAnsi="Times New Roman"/>
        </w:rPr>
      </w:pPr>
    </w:p>
    <w:p w14:paraId="0B3A9328" w14:textId="77777777" w:rsidR="000D4F98" w:rsidRPr="00537483" w:rsidRDefault="000D4F98" w:rsidP="005A585A">
      <w:pPr>
        <w:spacing w:line="240" w:lineRule="auto"/>
        <w:jc w:val="center"/>
        <w:rPr>
          <w:rFonts w:ascii="Times New Roman" w:eastAsia="Times New Roman" w:hAnsi="Times New Roman"/>
        </w:rPr>
      </w:pPr>
      <w:r w:rsidRPr="00F76D57">
        <w:rPr>
          <w:rFonts w:eastAsia="Times New Roman" w:cs="Calibri"/>
          <w:color w:val="000000"/>
          <w:bdr w:val="none" w:sz="0" w:space="0" w:color="auto" w:frame="1"/>
        </w:rPr>
        <w:fldChar w:fldCharType="begin"/>
      </w:r>
      <w:r w:rsidRPr="00F76D57">
        <w:rPr>
          <w:rFonts w:eastAsia="Times New Roman" w:cs="Calibri"/>
          <w:color w:val="000000"/>
          <w:bdr w:val="none" w:sz="0" w:space="0" w:color="auto" w:frame="1"/>
        </w:rPr>
        <w:instrText xml:space="preserve"> INCLUDEPICTURE "https://lh5.googleusercontent.com/KqM_XC_2gEif_WB6Od3AY04Hy8qle_NY32_MO6QoYkpDIYXcpJtzFcvvLPsUG0Ncg7TIJdWuF9YNQ1XpzCr0KYNPGG258pNS5ah4ILzf4V5qP_eOvmTDAXPeEycZIAqRHR9smQ=s0" \* MERGEFORMATINET </w:instrText>
      </w:r>
      <w:r w:rsidRPr="00F76D57">
        <w:rPr>
          <w:rFonts w:eastAsia="Times New Roman" w:cs="Calibri"/>
          <w:color w:val="000000"/>
          <w:bdr w:val="none" w:sz="0" w:space="0" w:color="auto" w:frame="1"/>
        </w:rPr>
        <w:fldChar w:fldCharType="separate"/>
      </w:r>
      <w:r w:rsidRPr="00F76D57">
        <w:rPr>
          <w:rFonts w:eastAsia="Times New Roman" w:cs="Calibri"/>
          <w:noProof/>
          <w:color w:val="000000"/>
          <w:bdr w:val="none" w:sz="0" w:space="0" w:color="auto" w:frame="1"/>
        </w:rPr>
        <w:drawing>
          <wp:inline distT="0" distB="0" distL="0" distR="0" wp14:anchorId="509218E8" wp14:editId="0FD26350">
            <wp:extent cx="5463923" cy="2857500"/>
            <wp:effectExtent l="0" t="0" r="0" b="0"/>
            <wp:docPr id="5" name="Picture 5" descr="Figure 1 shows the percentage of adults who receive basic dental care by State Medicaid Dental Benefit classifications (No Coverage, Emergency Only, Limited, and Extensive). The greatest percentage of adults receiving basic dental care are living in states with Limited Dental Coverage (36%) followed by Extensive (35%), Emergency-Only (23%) and No Coverage (11%).">
              <a:extLst xmlns:a="http://schemas.openxmlformats.org/drawingml/2006/main">
                <a:ext uri="{C183D7F6-B498-43B3-948B-1728B52AA6E4}">
                  <adec:decorative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Figure 1 shows the percentage of adults who receive basic dental care by State Medicaid Dental Benefit classifications (No Coverage, Emergency Only, Limited, and Extensive). The greatest percentage of adults receiving basic dental care are living in states with Limited Dental Coverage (36%) followed by Extensive (35%), Emergency-Only (23%) and No Coverage (11%).">
                      <a:extLst>
                        <a:ext uri="{C183D7F6-B498-43B3-948B-1728B52AA6E4}">
                          <adec:decorative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dec="http://schemas.microsoft.com/office/drawing/2017/decorative" val="0"/>
                        </a:ext>
                      </a:extLs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66493" cy="2858844"/>
                    </a:xfrm>
                    <a:prstGeom prst="rect">
                      <a:avLst/>
                    </a:prstGeom>
                    <a:noFill/>
                    <a:ln>
                      <a:noFill/>
                    </a:ln>
                  </pic:spPr>
                </pic:pic>
              </a:graphicData>
            </a:graphic>
          </wp:inline>
        </w:drawing>
      </w:r>
      <w:r w:rsidRPr="00F76D57">
        <w:rPr>
          <w:rFonts w:eastAsia="Times New Roman" w:cs="Calibri"/>
          <w:color w:val="000000"/>
          <w:bdr w:val="none" w:sz="0" w:space="0" w:color="auto" w:frame="1"/>
        </w:rPr>
        <w:fldChar w:fldCharType="end"/>
      </w:r>
      <w:bookmarkStart w:id="180" w:name="_heading=h.4i7ojhp" w:colFirst="0" w:colLast="0"/>
      <w:bookmarkEnd w:id="180"/>
    </w:p>
    <w:p w14:paraId="612C0A9E" w14:textId="77777777" w:rsidR="000D4F98" w:rsidRPr="00257D88" w:rsidRDefault="000D4F98" w:rsidP="000D4F98">
      <w:pPr>
        <w:rPr>
          <w:rFonts w:eastAsia="Arial" w:cs="Arial"/>
          <w:i/>
        </w:rPr>
      </w:pPr>
    </w:p>
    <w:p w14:paraId="71A04C3A" w14:textId="77777777" w:rsidR="000D4F98" w:rsidRPr="00537483" w:rsidRDefault="000D4F98" w:rsidP="005A585A">
      <w:pPr>
        <w:pStyle w:val="NCDBodyText"/>
        <w:rPr>
          <w:highlight w:val="white"/>
        </w:rPr>
      </w:pPr>
      <w:r w:rsidRPr="00257D88">
        <w:rPr>
          <w:i/>
        </w:rPr>
        <w:t>1915 Waivers and 1115 Demonstrations and Receipt of Preventive Services</w:t>
      </w:r>
      <w:r>
        <w:rPr>
          <w:highlight w:val="white"/>
        </w:rPr>
        <w:t>. Adults with I/DD who live in states with 1915 waivers or 1115 demonstrations that cover dental care for adults with I/DD, as shown in Table 2, were 47 percent more likely to receive basic dental services (Figure 2) relative to states without waivers. This analysis was limited to the states that either have no coverage or emergency-only coverage, in 2018, because adults in these states do not otherwise have access to Medicaid coverage for basic dental services, except through waivers. Some of the waivers in these states provide extensive coverage for dental services; however, they typically do not cover the entire population of adults with I/DD in the state. This likely explains why waivers are associated with a 47 percent increase in receipt of dental services, compared to the larger increase in receipt of basic dental services that more expansive Medicaid benefits provide (Figure 1).</w:t>
      </w:r>
    </w:p>
    <w:p w14:paraId="2D993E70" w14:textId="77777777" w:rsidR="000D4F98" w:rsidRPr="00537483" w:rsidRDefault="000D4F98" w:rsidP="005A585A">
      <w:pPr>
        <w:pStyle w:val="NCDBodyText"/>
        <w:rPr>
          <w:highlight w:val="white"/>
        </w:rPr>
      </w:pPr>
      <w:r>
        <w:rPr>
          <w:highlight w:val="white"/>
        </w:rPr>
        <w:t xml:space="preserve">Six of the seven states with waivers provide emergency-only dental coverage for the general adult population. Only one of the seven states with waivers provides no dental coverage for the general adult population (see Appendix C for more information about the methodological approach to reviewing and classifying state 1915 waivers and 1115 </w:t>
      </w:r>
      <w:r>
        <w:rPr>
          <w:highlight w:val="white"/>
        </w:rPr>
        <w:lastRenderedPageBreak/>
        <w:t xml:space="preserve">demonstrations). Thus, this analysis suggests that </w:t>
      </w:r>
      <w:bookmarkStart w:id="181" w:name="_Hlk93349065"/>
      <w:r>
        <w:rPr>
          <w:highlight w:val="white"/>
        </w:rPr>
        <w:t>Medicaid waivers for dental services for the I/DD population are associated with the higher receipt of basic dental care among adults with I/DD in states with emergency-only dental coverage (Figure 1), relative to adults in states with no dental coverage.</w:t>
      </w:r>
      <w:bookmarkEnd w:id="181"/>
    </w:p>
    <w:p w14:paraId="6AFD21C8" w14:textId="3CC450B2" w:rsidR="000D4F98" w:rsidRPr="00537483" w:rsidRDefault="000D4F98" w:rsidP="005A585A">
      <w:pPr>
        <w:pStyle w:val="NCDTableHeader"/>
        <w:rPr>
          <w:rFonts w:eastAsia="Arial"/>
          <w:highlight w:val="white"/>
        </w:rPr>
      </w:pPr>
      <w:r w:rsidRPr="00537483">
        <w:rPr>
          <w:rFonts w:eastAsia="Arial"/>
          <w:highlight w:val="white"/>
        </w:rPr>
        <w:t>Figure 2. Percentage of Adults with I/DD Receiving Basic Dental Care in States with No or Emergency-Only Medicaid Dental Care</w:t>
      </w:r>
      <w:r w:rsidRPr="00537483">
        <w:rPr>
          <w:rFonts w:eastAsia="Arial"/>
        </w:rPr>
        <w:t>, by Whether the State Has a Waiver Program</w:t>
      </w:r>
      <w:r w:rsidRPr="00537483">
        <w:rPr>
          <w:rFonts w:eastAsia="Arial"/>
          <w:highlight w:val="white"/>
          <w:vertAlign w:val="superscript"/>
        </w:rPr>
        <w:endnoteReference w:id="92"/>
      </w:r>
    </w:p>
    <w:p w14:paraId="0C05E05C" w14:textId="77777777" w:rsidR="000D4F98" w:rsidRPr="00537483" w:rsidRDefault="000D4F98" w:rsidP="005A585A">
      <w:pPr>
        <w:pStyle w:val="NCDBodyText"/>
        <w:jc w:val="center"/>
        <w:rPr>
          <w:rFonts w:ascii="Times New Roman" w:hAnsi="Times New Roman"/>
        </w:rPr>
      </w:pPr>
      <w:r w:rsidRPr="006055B8">
        <w:rPr>
          <w:bdr w:val="none" w:sz="0" w:space="0" w:color="auto" w:frame="1"/>
        </w:rPr>
        <w:fldChar w:fldCharType="begin"/>
      </w:r>
      <w:r w:rsidRPr="006055B8">
        <w:rPr>
          <w:bdr w:val="none" w:sz="0" w:space="0" w:color="auto" w:frame="1"/>
        </w:rPr>
        <w:instrText xml:space="preserve"> INCLUDEPICTURE "https://lh5.googleusercontent.com/8qJJ117u0yTDuWlWX7guMR0rf9fS384HK-tWf3OyGP_EsBnPv_47QmHCzUssvtagJubdfQ7RA2E5N5ppvaxj5k5fwcjzu4C9KPBk10Ba0vOYSZ5LPxB1RCQjBlGNrUNA-vW5bA=s0" \* MERGEFORMATINET </w:instrText>
      </w:r>
      <w:r w:rsidRPr="006055B8">
        <w:rPr>
          <w:bdr w:val="none" w:sz="0" w:space="0" w:color="auto" w:frame="1"/>
        </w:rPr>
        <w:fldChar w:fldCharType="separate"/>
      </w:r>
      <w:r w:rsidRPr="006055B8">
        <w:rPr>
          <w:noProof/>
          <w:bdr w:val="none" w:sz="0" w:space="0" w:color="auto" w:frame="1"/>
        </w:rPr>
        <w:drawing>
          <wp:inline distT="0" distB="0" distL="0" distR="0" wp14:anchorId="15389E2D" wp14:editId="3818DAF9">
            <wp:extent cx="5609167" cy="3365500"/>
            <wp:effectExtent l="0" t="0" r="4445" b="0"/>
            <wp:docPr id="6" name="Picture 6" descr="For states that have No or Emergency Only dental care, a greater percentage of adults with I/DD (22%) receive basic dental care in states with waivers compared to states without waivers (where 15% of adults with I/DD receive basic dental car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For states that have No or Emergency Only dental care, a greater percentage of adults with I/DD (22%) receive basic dental care in states with waivers compared to states without waivers (where 15% of adults with I/DD receive basic dental care). "/>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2697" cy="3367618"/>
                    </a:xfrm>
                    <a:prstGeom prst="rect">
                      <a:avLst/>
                    </a:prstGeom>
                    <a:noFill/>
                    <a:ln>
                      <a:noFill/>
                    </a:ln>
                  </pic:spPr>
                </pic:pic>
              </a:graphicData>
            </a:graphic>
          </wp:inline>
        </w:drawing>
      </w:r>
      <w:r w:rsidRPr="006055B8">
        <w:rPr>
          <w:bdr w:val="none" w:sz="0" w:space="0" w:color="auto" w:frame="1"/>
        </w:rPr>
        <w:fldChar w:fldCharType="end"/>
      </w:r>
    </w:p>
    <w:p w14:paraId="47394BFD" w14:textId="77777777" w:rsidR="000D4F98" w:rsidRPr="00537483" w:rsidRDefault="000D4F98" w:rsidP="005A585A">
      <w:pPr>
        <w:pStyle w:val="NCDBodyText"/>
        <w:rPr>
          <w:highlight w:val="white"/>
        </w:rPr>
      </w:pPr>
      <w:bookmarkStart w:id="182" w:name="_heading=h.2xcytpi" w:colFirst="0" w:colLast="0"/>
      <w:bookmarkEnd w:id="182"/>
      <w:r w:rsidRPr="00257D88">
        <w:rPr>
          <w:i/>
        </w:rPr>
        <w:t>Reimbursement Rates and Receipt of Dental Care</w:t>
      </w:r>
      <w:r>
        <w:rPr>
          <w:highlight w:val="white"/>
        </w:rPr>
        <w:t>. As described in the Introduction, prior research has shown that increased Medicaid rates led to increases in receipt of dental care among child Medicaid beneficiaries and medical care among the general adult population of Medicaid beneficiaries.</w:t>
      </w:r>
      <w:r>
        <w:rPr>
          <w:rStyle w:val="EndnoteReference"/>
          <w:rFonts w:eastAsia="Arial" w:cs="Arial"/>
          <w:highlight w:val="white"/>
        </w:rPr>
        <w:endnoteReference w:id="93"/>
      </w:r>
      <w:r>
        <w:rPr>
          <w:highlight w:val="white"/>
        </w:rPr>
        <w:t xml:space="preserve"> These studies examined the effects of policies that raised Medicaid rates on changes in receipt of health care among Medicaid beneficiaries.</w:t>
      </w:r>
    </w:p>
    <w:p w14:paraId="7C24FEB3" w14:textId="77777777" w:rsidR="000D4F98" w:rsidRPr="00537483" w:rsidRDefault="000D4F98" w:rsidP="005A585A">
      <w:pPr>
        <w:pStyle w:val="NCDBodyText"/>
        <w:rPr>
          <w:highlight w:val="white"/>
        </w:rPr>
      </w:pPr>
      <w:r>
        <w:rPr>
          <w:highlight w:val="white"/>
        </w:rPr>
        <w:t xml:space="preserve">Because of data limitations, the T-MSIS data could not be used to measure the effects of reimbursement rates on the receipt of dental care among the adult I/DD population. The T-MSIS data does not include payment for services provided by Medicaid MCOs. As mentioned in the Introduction, MCOs are not required to make their reimbursement </w:t>
      </w:r>
      <w:r>
        <w:rPr>
          <w:highlight w:val="white"/>
        </w:rPr>
        <w:lastRenderedPageBreak/>
        <w:t>rates public.</w:t>
      </w:r>
      <w:r>
        <w:rPr>
          <w:rStyle w:val="EndnoteReference"/>
          <w:rFonts w:eastAsia="Arial" w:cs="Arial"/>
          <w:highlight w:val="white"/>
        </w:rPr>
        <w:endnoteReference w:id="94"/>
      </w:r>
      <w:r>
        <w:rPr>
          <w:highlight w:val="white"/>
        </w:rPr>
        <w:t xml:space="preserve"> The MOHPD provides fee schedules for states with Medicaid dental benefits. As described in the Introduction, fee schedules are the maximum payment a Medicaid provider can receive through FFS payment from the state Medicaid agency. The MOHPD also provides, when available, separate fee schedules or increased rates for dental services through waiver programs, for people with I/DD, relative to the general adult population. There is no systematic data source available for these separate fee schedules for waiver programs or the I/DD population. Dental fee schedules for the general adult population are not available for states with no Medicaid adult dental coverage.</w:t>
      </w:r>
    </w:p>
    <w:p w14:paraId="324C1868" w14:textId="05AB2837" w:rsidR="000D4F98" w:rsidRPr="00537483" w:rsidRDefault="000D4F98" w:rsidP="005A585A">
      <w:pPr>
        <w:pStyle w:val="NCDBodyText"/>
        <w:rPr>
          <w:highlight w:val="white"/>
        </w:rPr>
      </w:pPr>
      <w:r w:rsidRPr="00257D88">
        <w:rPr>
          <w:i/>
        </w:rPr>
        <w:t>Receipt of Dental Care in the ED</w:t>
      </w:r>
      <w:r>
        <w:rPr>
          <w:highlight w:val="white"/>
        </w:rPr>
        <w:t xml:space="preserve">. NCD examined the percentage of dental care that was received in the ED by state Medicaid policy environment (Figure 3). The sample was restricted to adults with I/DD who received some dental care in 2018, and </w:t>
      </w:r>
      <w:r w:rsidR="00401D57" w:rsidRPr="00401D57">
        <w:rPr>
          <w:i/>
          <w:iCs/>
        </w:rPr>
        <w:t>receipt of dental care</w:t>
      </w:r>
      <w:r>
        <w:rPr>
          <w:highlight w:val="white"/>
        </w:rPr>
        <w:t xml:space="preserve"> in the ED was defined as care for nontraumatic dental conditions provided in the ED, based on </w:t>
      </w:r>
      <w:r w:rsidR="00401D57" w:rsidRPr="00401D57">
        <w:rPr>
          <w:i/>
          <w:iCs/>
        </w:rPr>
        <w:t>ICD-10</w:t>
      </w:r>
      <w:r>
        <w:rPr>
          <w:highlight w:val="white"/>
        </w:rPr>
        <w:t xml:space="preserve"> codes.</w:t>
      </w:r>
      <w:r>
        <w:rPr>
          <w:highlight w:val="white"/>
          <w:vertAlign w:val="superscript"/>
        </w:rPr>
        <w:endnoteReference w:id="95"/>
      </w:r>
    </w:p>
    <w:p w14:paraId="2C511F88" w14:textId="77777777" w:rsidR="000D4F98" w:rsidRPr="00537483" w:rsidRDefault="000D4F98" w:rsidP="005A585A">
      <w:pPr>
        <w:pStyle w:val="NCDBodyText"/>
        <w:rPr>
          <w:highlight w:val="white"/>
        </w:rPr>
      </w:pPr>
      <w:bookmarkStart w:id="183" w:name="_Hlk93349173"/>
      <w:r>
        <w:rPr>
          <w:highlight w:val="white"/>
        </w:rPr>
        <w:t>NCD found that in states that provide no dental coverage in their Medicaid plans, a significantly higher proportion of dental care was provided in the ED.</w:t>
      </w:r>
      <w:bookmarkEnd w:id="183"/>
      <w:r>
        <w:rPr>
          <w:highlight w:val="white"/>
        </w:rPr>
        <w:t xml:space="preserve"> Thus, although these states provide less dental care overall, more of that dental care takes place in a more costly environment of the ED.</w:t>
      </w:r>
    </w:p>
    <w:p w14:paraId="3596927C" w14:textId="77777777" w:rsidR="00F61DDA" w:rsidRDefault="00F61DDA">
      <w:pPr>
        <w:spacing w:after="160" w:line="259" w:lineRule="auto"/>
        <w:rPr>
          <w:rFonts w:eastAsia="Arial" w:cs="Arial"/>
          <w:b/>
          <w:bCs/>
          <w:szCs w:val="24"/>
          <w:highlight w:val="white"/>
        </w:rPr>
      </w:pPr>
      <w:r>
        <w:rPr>
          <w:rFonts w:eastAsia="Arial"/>
          <w:highlight w:val="white"/>
        </w:rPr>
        <w:br w:type="page"/>
      </w:r>
    </w:p>
    <w:p w14:paraId="529263CE" w14:textId="575654FA" w:rsidR="000D4F98" w:rsidRPr="00537483" w:rsidRDefault="000D4F98" w:rsidP="00F61DDA">
      <w:pPr>
        <w:pStyle w:val="NCDTableHeader"/>
        <w:spacing w:after="200"/>
        <w:rPr>
          <w:rFonts w:eastAsia="Arial"/>
          <w:highlight w:val="white"/>
        </w:rPr>
      </w:pPr>
      <w:r w:rsidRPr="00537483">
        <w:rPr>
          <w:rFonts w:eastAsia="Arial"/>
          <w:highlight w:val="white"/>
        </w:rPr>
        <w:lastRenderedPageBreak/>
        <w:t>Figure 3</w:t>
      </w:r>
      <w:r w:rsidR="00F61DDA">
        <w:rPr>
          <w:rFonts w:eastAsia="Arial"/>
          <w:highlight w:val="white"/>
        </w:rPr>
        <w:t xml:space="preserve">. </w:t>
      </w:r>
      <w:r w:rsidRPr="00537483">
        <w:rPr>
          <w:rFonts w:eastAsia="Arial"/>
          <w:highlight w:val="white"/>
        </w:rPr>
        <w:t xml:space="preserve">Percentage of Adults with I/DD Who Received Dental Services in the </w:t>
      </w:r>
      <w:r w:rsidR="00F61DDA">
        <w:rPr>
          <w:rFonts w:eastAsia="Arial"/>
          <w:highlight w:val="white"/>
        </w:rPr>
        <w:br/>
      </w:r>
      <w:r w:rsidRPr="00537483">
        <w:rPr>
          <w:rFonts w:eastAsia="Arial"/>
          <w:highlight w:val="white"/>
        </w:rPr>
        <w:t>ED, Among Adults with I/DD who Received Dental Services, by State Policy Context, 2018</w:t>
      </w:r>
      <w:r w:rsidRPr="00537483">
        <w:rPr>
          <w:rFonts w:eastAsia="Arial"/>
          <w:highlight w:val="white"/>
          <w:vertAlign w:val="superscript"/>
        </w:rPr>
        <w:endnoteReference w:id="96"/>
      </w:r>
    </w:p>
    <w:p w14:paraId="550BC4A7" w14:textId="6109FDB1" w:rsidR="000D4F98" w:rsidRPr="00537483" w:rsidRDefault="000D4F98" w:rsidP="00F61DDA">
      <w:pPr>
        <w:jc w:val="center"/>
        <w:rPr>
          <w:rFonts w:eastAsia="Arial" w:cs="Arial"/>
          <w:highlight w:val="white"/>
        </w:rPr>
      </w:pPr>
      <w:r w:rsidRPr="00537483">
        <w:rPr>
          <w:bCs/>
          <w:noProof/>
        </w:rPr>
        <w:drawing>
          <wp:inline distT="0" distB="0" distL="0" distR="0" wp14:anchorId="2C9545E5" wp14:editId="75A727F2">
            <wp:extent cx="5778500" cy="2978150"/>
            <wp:effectExtent l="0" t="0" r="12700" b="12700"/>
            <wp:docPr id="487" name="Chart 487" descr="Figure 3 shows the percent of adults with I/DD who received dental services in the Emergency Department (within a sample of adults with I/DD who received some dental care in 2018) by the State Policy Context of No Coverage, Emergency Only, Limited, or Extensive. The greatest percentage of adults with I/DD who received dental care in the ED was found in states classified as No Coverage (28%).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3F842D4F" w14:textId="77777777" w:rsidR="000D4F98" w:rsidRPr="00537483" w:rsidRDefault="000D4F98" w:rsidP="00F61DDA">
      <w:pPr>
        <w:pStyle w:val="NCDBodyText"/>
        <w:spacing w:before="200"/>
        <w:rPr>
          <w:highlight w:val="white"/>
        </w:rPr>
      </w:pPr>
      <w:r w:rsidRPr="00257D88">
        <w:rPr>
          <w:i/>
        </w:rPr>
        <w:t>Potential Cost.</w:t>
      </w:r>
      <w:r>
        <w:rPr>
          <w:highlight w:val="white"/>
        </w:rPr>
        <w:t xml:space="preserve"> In this analysis, NCD first estimated the cost to federal and state governments of expanding Medicaid to include basic dental services for adults with I/DD in states that do not currently do so. NCD then analyzed the expected savings and the ROI to federal and state governments of providing this dental coverage to adults with I/DD.</w:t>
      </w:r>
    </w:p>
    <w:p w14:paraId="4CCB0617" w14:textId="77777777" w:rsidR="000D4F98" w:rsidRPr="00537483" w:rsidRDefault="000D4F98" w:rsidP="00F61DDA">
      <w:pPr>
        <w:pStyle w:val="NCDBodyText"/>
        <w:rPr>
          <w:highlight w:val="white"/>
        </w:rPr>
      </w:pPr>
      <w:r>
        <w:rPr>
          <w:highlight w:val="white"/>
        </w:rPr>
        <w:t>To estimate the costs of providing dental benefits to adults with I/DD living in states that currently provide no or emergency-only dental benefits, NCD multiplied the per person/per year cost of dental care by the estimated increase in the number of adults with I/DD who would access basic dental care, if states changed their Medicaid policy. More specifically, the annual additional costs to states were derived using the following equation:</w:t>
      </w:r>
    </w:p>
    <w:p w14:paraId="71E4E8DD" w14:textId="77777777" w:rsidR="00F61DDA" w:rsidRDefault="00F61DDA">
      <w:pPr>
        <w:spacing w:after="160" w:line="259" w:lineRule="auto"/>
        <w:rPr>
          <w:rFonts w:eastAsia="Calibri" w:cs="Calibri"/>
          <w:color w:val="000000"/>
          <w:szCs w:val="24"/>
          <w:highlight w:val="white"/>
          <w:u w:color="000000"/>
          <w:bdr w:val="nil"/>
        </w:rPr>
      </w:pPr>
      <w:r>
        <w:rPr>
          <w:highlight w:val="white"/>
        </w:rPr>
        <w:br w:type="page"/>
      </w:r>
    </w:p>
    <w:p w14:paraId="23B58AC1" w14:textId="2606E752" w:rsidR="000D4F98" w:rsidRPr="00537483" w:rsidRDefault="000D4F98" w:rsidP="00F61DDA">
      <w:pPr>
        <w:pStyle w:val="NCDBodyText"/>
        <w:rPr>
          <w:highlight w:val="white"/>
        </w:rPr>
      </w:pPr>
      <w:r>
        <w:rPr>
          <w:highlight w:val="white"/>
        </w:rPr>
        <w:lastRenderedPageBreak/>
        <w:t>Annual additional costs to states = Ann est cost/person * [EN - CN] * (1-FMAP)</w:t>
      </w:r>
    </w:p>
    <w:p w14:paraId="0698E542" w14:textId="77777777" w:rsidR="000D4F98" w:rsidRPr="00537483" w:rsidRDefault="000D4F98" w:rsidP="00F61DDA">
      <w:pPr>
        <w:pStyle w:val="NCDBodyText"/>
        <w:rPr>
          <w:highlight w:val="white"/>
        </w:rPr>
      </w:pPr>
      <w:r>
        <w:rPr>
          <w:highlight w:val="white"/>
        </w:rPr>
        <w:t>where</w:t>
      </w:r>
    </w:p>
    <w:p w14:paraId="329FD1F8" w14:textId="59175CD2" w:rsidR="000D4F98" w:rsidRPr="00537483" w:rsidRDefault="00401D57" w:rsidP="00F61DDA">
      <w:pPr>
        <w:pStyle w:val="NCDBodyText"/>
        <w:rPr>
          <w:highlight w:val="white"/>
        </w:rPr>
      </w:pPr>
      <w:r w:rsidRPr="00401D57">
        <w:rPr>
          <w:i/>
          <w:iCs/>
        </w:rPr>
        <w:t>EN</w:t>
      </w:r>
      <w:r w:rsidR="000D4F98">
        <w:rPr>
          <w:highlight w:val="white"/>
        </w:rPr>
        <w:t xml:space="preserve"> is the expected number of adults in a state that would receive basic dental care under a more comprehensive dental plan = [Number of adults with I/DD in a state] * 35 percent</w:t>
      </w:r>
      <w:r w:rsidR="000D4F98">
        <w:rPr>
          <w:highlight w:val="white"/>
          <w:vertAlign w:val="superscript"/>
        </w:rPr>
        <w:endnoteReference w:id="97"/>
      </w:r>
    </w:p>
    <w:p w14:paraId="3846EB64" w14:textId="4112381B" w:rsidR="000D4F98" w:rsidRPr="00537483" w:rsidRDefault="00401D57" w:rsidP="00F61DDA">
      <w:pPr>
        <w:pStyle w:val="NCDBodyText"/>
        <w:rPr>
          <w:rFonts w:eastAsia="Arial" w:cs="Arial"/>
          <w:highlight w:val="white"/>
        </w:rPr>
      </w:pPr>
      <w:r w:rsidRPr="00401D57">
        <w:rPr>
          <w:rFonts w:eastAsia="Arial" w:cs="Arial"/>
          <w:i/>
          <w:iCs/>
        </w:rPr>
        <w:t>CN</w:t>
      </w:r>
      <w:r w:rsidR="000D4F98">
        <w:rPr>
          <w:rFonts w:eastAsia="Arial" w:cs="Arial"/>
          <w:highlight w:val="white"/>
        </w:rPr>
        <w:t xml:space="preserve"> is the current number of adults who receive basic dental care in a state</w:t>
      </w:r>
      <w:r w:rsidR="000D4F98">
        <w:rPr>
          <w:rFonts w:eastAsia="Arial" w:cs="Arial"/>
          <w:highlight w:val="white"/>
          <w:vertAlign w:val="superscript"/>
        </w:rPr>
        <w:endnoteReference w:id="98"/>
      </w:r>
    </w:p>
    <w:p w14:paraId="13C11C12" w14:textId="65CCE028" w:rsidR="000D4F98" w:rsidRPr="00537483" w:rsidRDefault="00401D57" w:rsidP="00F61DDA">
      <w:pPr>
        <w:pStyle w:val="NCDBodyText"/>
        <w:rPr>
          <w:rFonts w:eastAsia="Arial" w:cs="Arial"/>
          <w:highlight w:val="white"/>
        </w:rPr>
      </w:pPr>
      <w:r w:rsidRPr="00401D57">
        <w:rPr>
          <w:rFonts w:eastAsia="Arial" w:cs="Arial"/>
          <w:i/>
          <w:iCs/>
        </w:rPr>
        <w:t>Ann est cost/person</w:t>
      </w:r>
      <w:r w:rsidR="000D4F98">
        <w:rPr>
          <w:rFonts w:eastAsia="Arial" w:cs="Arial"/>
          <w:highlight w:val="white"/>
        </w:rPr>
        <w:t xml:space="preserve"> is the estimated annual cost of providing dental care/per person/per year under a plan that covers basic dental care. This estimate comes from the cost of providing basic dental benefits specifically for adults with developmental disabilities through a recent state waiver program that covers basic dental services.</w:t>
      </w:r>
      <w:r w:rsidR="000D4F98">
        <w:rPr>
          <w:rFonts w:eastAsia="Arial" w:cs="Arial"/>
          <w:highlight w:val="white"/>
          <w:vertAlign w:val="superscript"/>
        </w:rPr>
        <w:endnoteReference w:id="99"/>
      </w:r>
      <w:r w:rsidR="000D4F98">
        <w:rPr>
          <w:rFonts w:eastAsia="Arial" w:cs="Arial"/>
          <w:highlight w:val="white"/>
        </w:rPr>
        <w:t xml:space="preserve"> NCD adjusted this figure for annual inflation and state variation in the cost of providing dental services.</w:t>
      </w:r>
      <w:r w:rsidR="000D4F98">
        <w:rPr>
          <w:rFonts w:eastAsia="Arial" w:cs="Arial"/>
          <w:highlight w:val="white"/>
          <w:vertAlign w:val="superscript"/>
        </w:rPr>
        <w:endnoteReference w:id="100"/>
      </w:r>
    </w:p>
    <w:p w14:paraId="725E8F9D" w14:textId="585BD3B6" w:rsidR="000D4F98" w:rsidRPr="00537483" w:rsidRDefault="00401D57" w:rsidP="00F61DDA">
      <w:pPr>
        <w:pStyle w:val="NCDBodyText"/>
        <w:rPr>
          <w:rFonts w:eastAsia="Arial" w:cs="Arial"/>
          <w:highlight w:val="white"/>
        </w:rPr>
      </w:pPr>
      <w:r w:rsidRPr="00401D57">
        <w:rPr>
          <w:rFonts w:eastAsia="Arial" w:cs="Arial"/>
          <w:i/>
          <w:iCs/>
        </w:rPr>
        <w:t>FMAP</w:t>
      </w:r>
      <w:r w:rsidR="000D4F98">
        <w:rPr>
          <w:rFonts w:eastAsia="Arial" w:cs="Arial"/>
          <w:highlight w:val="white"/>
        </w:rPr>
        <w:t xml:space="preserve"> is the Federal Medical Assistance Percentage, the percentage of Medicaid costs that the Federal Government pays each state; 1-FMAP is the percentage of Medicaid costs paid by the state. These rates are provided in the MOHPD created for this project and vary by state.</w:t>
      </w:r>
    </w:p>
    <w:p w14:paraId="30B87944" w14:textId="6573AFD2" w:rsidR="000D4F98" w:rsidRPr="00537483" w:rsidRDefault="00611E4D" w:rsidP="00F61DDA">
      <w:pPr>
        <w:pStyle w:val="NCDBodyText"/>
        <w:rPr>
          <w:rFonts w:eastAsia="Arial" w:cs="Arial"/>
        </w:rPr>
      </w:pPr>
      <w:bookmarkStart w:id="184" w:name="_heading=h.44sinio" w:colFirst="0" w:colLast="0"/>
      <w:bookmarkEnd w:id="184"/>
      <w:r w:rsidRPr="00611E4D">
        <w:rPr>
          <w:rFonts w:eastAsia="Arial" w:cs="Arial"/>
        </w:rPr>
        <w:t>Table 5 provides an estimate of the expected cost to states of providing extensive dental benefits (a term we use interchangeably with “basic dental coverage”) to adults with I/DD in states that currently provide no or emergency-only dental care.</w:t>
      </w:r>
      <w:r w:rsidR="000D4F98">
        <w:rPr>
          <w:rFonts w:eastAsia="Arial" w:cs="Arial"/>
        </w:rPr>
        <w:t xml:space="preserve"> The total cost is estimated to be $19.6 million. The total cost to states would be $7.3 million. The cost to the Federal Government would be about $12.3 million [Total Cost – State Share of Cost].</w:t>
      </w:r>
    </w:p>
    <w:p w14:paraId="2832125F" w14:textId="77777777" w:rsidR="00F61DDA" w:rsidRDefault="00F61DDA">
      <w:pPr>
        <w:spacing w:after="160" w:line="259" w:lineRule="auto"/>
        <w:rPr>
          <w:rFonts w:eastAsia="Arial" w:cs="Arial"/>
          <w:b/>
          <w:bCs/>
          <w:szCs w:val="24"/>
        </w:rPr>
      </w:pPr>
      <w:r>
        <w:rPr>
          <w:rFonts w:eastAsia="Arial"/>
        </w:rPr>
        <w:br w:type="page"/>
      </w:r>
    </w:p>
    <w:p w14:paraId="5AAE3427" w14:textId="0BDAA007" w:rsidR="000D4F98" w:rsidRPr="00537483" w:rsidRDefault="000D4F98" w:rsidP="00F61DDA">
      <w:pPr>
        <w:pStyle w:val="NCDTableHeader"/>
        <w:spacing w:after="200"/>
        <w:rPr>
          <w:rFonts w:eastAsia="Arial"/>
        </w:rPr>
      </w:pPr>
      <w:r w:rsidRPr="00537483">
        <w:rPr>
          <w:rFonts w:eastAsia="Arial"/>
        </w:rPr>
        <w:lastRenderedPageBreak/>
        <w:t>Table 5</w:t>
      </w:r>
      <w:r w:rsidR="00C26485">
        <w:rPr>
          <w:rFonts w:eastAsia="Arial"/>
        </w:rPr>
        <w:t>:</w:t>
      </w:r>
      <w:r w:rsidRPr="00537483">
        <w:rPr>
          <w:rFonts w:eastAsia="Arial"/>
        </w:rPr>
        <w:t xml:space="preserve"> Estimated Total Cost and States’ Share of Total Cost to Provide Extensive Dental Coverage to Adults with I/DD, in States with Emergency </w:t>
      </w:r>
      <w:r w:rsidR="00F61DDA">
        <w:rPr>
          <w:rFonts w:eastAsia="Arial"/>
        </w:rPr>
        <w:br/>
      </w:r>
      <w:r w:rsidRPr="00537483">
        <w:rPr>
          <w:rFonts w:eastAsia="Arial"/>
        </w:rPr>
        <w:t>or No Coverage</w:t>
      </w:r>
    </w:p>
    <w:tbl>
      <w:tblPr>
        <w:tblStyle w:val="ListTable1LightAccent1"/>
        <w:tblW w:w="83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115" w:type="dxa"/>
          <w:bottom w:w="72" w:type="dxa"/>
          <w:right w:w="115" w:type="dxa"/>
        </w:tblCellMar>
        <w:tblLook w:val="0420" w:firstRow="1" w:lastRow="0" w:firstColumn="0" w:lastColumn="0" w:noHBand="0" w:noVBand="1"/>
        <w:tblDescription w:val="Table 5. Estimated Total Cost and States’ Share of Total Cost to Provide Extensive Dental Coverage to Adults with I/DD, in States with Emergency &#10;or No Coverage&#10;"/>
      </w:tblPr>
      <w:tblGrid>
        <w:gridCol w:w="2790"/>
        <w:gridCol w:w="2790"/>
        <w:gridCol w:w="2790"/>
      </w:tblGrid>
      <w:tr w:rsidR="000D4F98" w14:paraId="5A7F3F68" w14:textId="77777777" w:rsidTr="002442EE">
        <w:trPr>
          <w:cnfStyle w:val="100000000000" w:firstRow="1" w:lastRow="0" w:firstColumn="0" w:lastColumn="0" w:oddVBand="0" w:evenVBand="0" w:oddHBand="0" w:evenHBand="0" w:firstRowFirstColumn="0" w:firstRowLastColumn="0" w:lastRowFirstColumn="0" w:lastRowLastColumn="0"/>
          <w:trHeight w:val="359"/>
          <w:tblHeader/>
          <w:jc w:val="center"/>
        </w:trPr>
        <w:tc>
          <w:tcPr>
            <w:tcW w:w="2790" w:type="dxa"/>
            <w:shd w:val="clear" w:color="auto" w:fill="DBE5F1"/>
          </w:tcPr>
          <w:p w14:paraId="6813B5B3" w14:textId="14A43F81" w:rsidR="000D4F98" w:rsidRPr="00925F70" w:rsidRDefault="00401D57" w:rsidP="004E689B">
            <w:pPr>
              <w:pStyle w:val="NCDTableHeader"/>
              <w:spacing w:before="60" w:after="60" w:line="240" w:lineRule="auto"/>
              <w:rPr>
                <w:b/>
              </w:rPr>
            </w:pPr>
            <w:r w:rsidRPr="00925F70">
              <w:rPr>
                <w:b/>
              </w:rPr>
              <w:t>State</w:t>
            </w:r>
          </w:p>
        </w:tc>
        <w:tc>
          <w:tcPr>
            <w:tcW w:w="2790" w:type="dxa"/>
            <w:shd w:val="clear" w:color="auto" w:fill="DBE5F1"/>
          </w:tcPr>
          <w:p w14:paraId="572E85B1" w14:textId="6D80D53F" w:rsidR="000D4F98" w:rsidRPr="00925F70" w:rsidRDefault="00401D57" w:rsidP="004E689B">
            <w:pPr>
              <w:pStyle w:val="NCDTableHeader"/>
              <w:spacing w:before="60" w:after="60" w:line="240" w:lineRule="auto"/>
              <w:jc w:val="center"/>
              <w:rPr>
                <w:b/>
              </w:rPr>
            </w:pPr>
            <w:r w:rsidRPr="00925F70">
              <w:rPr>
                <w:b/>
              </w:rPr>
              <w:t xml:space="preserve">Total Cost </w:t>
            </w:r>
          </w:p>
        </w:tc>
        <w:tc>
          <w:tcPr>
            <w:tcW w:w="2790" w:type="dxa"/>
            <w:shd w:val="clear" w:color="auto" w:fill="DBE5F1"/>
          </w:tcPr>
          <w:p w14:paraId="2ECBC632" w14:textId="5B9521D3" w:rsidR="000D4F98" w:rsidRPr="00925F70" w:rsidRDefault="00401D57" w:rsidP="004E689B">
            <w:pPr>
              <w:pStyle w:val="NCDTableHeader"/>
              <w:spacing w:before="60" w:after="60" w:line="240" w:lineRule="auto"/>
              <w:jc w:val="center"/>
              <w:rPr>
                <w:b/>
              </w:rPr>
            </w:pPr>
            <w:r w:rsidRPr="00925F70">
              <w:rPr>
                <w:b/>
              </w:rPr>
              <w:t xml:space="preserve">Cost to State </w:t>
            </w:r>
          </w:p>
        </w:tc>
      </w:tr>
      <w:tr w:rsidR="000D4F98" w14:paraId="48BCD40B" w14:textId="77777777" w:rsidTr="00925F70">
        <w:trPr>
          <w:cnfStyle w:val="100000000000" w:firstRow="1" w:lastRow="0" w:firstColumn="0" w:lastColumn="0" w:oddVBand="0" w:evenVBand="0" w:oddHBand="0" w:evenHBand="0" w:firstRowFirstColumn="0" w:firstRowLastColumn="0" w:lastRowFirstColumn="0" w:lastRowLastColumn="0"/>
          <w:trHeight w:val="310"/>
          <w:tblHeader/>
          <w:jc w:val="center"/>
        </w:trPr>
        <w:tc>
          <w:tcPr>
            <w:tcW w:w="2790" w:type="dxa"/>
          </w:tcPr>
          <w:p w14:paraId="5EB0716A" w14:textId="77777777" w:rsidR="000D4F98" w:rsidRPr="002442EE" w:rsidRDefault="000D4F98" w:rsidP="004E689B">
            <w:pPr>
              <w:pStyle w:val="NCDTableText"/>
              <w:spacing w:before="60" w:after="60" w:line="240" w:lineRule="auto"/>
              <w:rPr>
                <w:b w:val="0"/>
              </w:rPr>
            </w:pPr>
            <w:r w:rsidRPr="002442EE">
              <w:rPr>
                <w:b w:val="0"/>
              </w:rPr>
              <w:t>Alabama</w:t>
            </w:r>
          </w:p>
        </w:tc>
        <w:tc>
          <w:tcPr>
            <w:tcW w:w="2790" w:type="dxa"/>
          </w:tcPr>
          <w:p w14:paraId="31FBDA48" w14:textId="77777777" w:rsidR="000D4F98" w:rsidRPr="002442EE" w:rsidRDefault="000D4F98" w:rsidP="004E689B">
            <w:pPr>
              <w:pStyle w:val="NCDTableText"/>
              <w:spacing w:before="60" w:after="60" w:line="240" w:lineRule="auto"/>
              <w:ind w:right="576"/>
              <w:jc w:val="right"/>
              <w:rPr>
                <w:b w:val="0"/>
              </w:rPr>
            </w:pPr>
            <w:r w:rsidRPr="002442EE">
              <w:rPr>
                <w:b w:val="0"/>
              </w:rPr>
              <w:t>$2,290,420</w:t>
            </w:r>
          </w:p>
        </w:tc>
        <w:tc>
          <w:tcPr>
            <w:tcW w:w="2790" w:type="dxa"/>
          </w:tcPr>
          <w:p w14:paraId="25F1CFC7" w14:textId="77777777" w:rsidR="000D4F98" w:rsidRPr="002442EE" w:rsidRDefault="000D4F98" w:rsidP="004E689B">
            <w:pPr>
              <w:pStyle w:val="NCDTableText"/>
              <w:spacing w:before="60" w:after="60" w:line="240" w:lineRule="auto"/>
              <w:ind w:right="576"/>
              <w:jc w:val="right"/>
              <w:rPr>
                <w:b w:val="0"/>
              </w:rPr>
            </w:pPr>
            <w:r w:rsidRPr="002442EE">
              <w:rPr>
                <w:b w:val="0"/>
              </w:rPr>
              <w:t>$628,033</w:t>
            </w:r>
          </w:p>
        </w:tc>
      </w:tr>
      <w:tr w:rsidR="000D4F98" w14:paraId="5090A4D8" w14:textId="77777777" w:rsidTr="002442EE">
        <w:trPr>
          <w:cnfStyle w:val="100000000000" w:firstRow="1" w:lastRow="0" w:firstColumn="0" w:lastColumn="0" w:oddVBand="0" w:evenVBand="0" w:oddHBand="0" w:evenHBand="0" w:firstRowFirstColumn="0" w:firstRowLastColumn="0" w:lastRowFirstColumn="0" w:lastRowLastColumn="0"/>
          <w:trHeight w:val="310"/>
          <w:tblHeader/>
          <w:jc w:val="center"/>
        </w:trPr>
        <w:tc>
          <w:tcPr>
            <w:tcW w:w="2790" w:type="dxa"/>
            <w:shd w:val="clear" w:color="auto" w:fill="DBE5F1"/>
          </w:tcPr>
          <w:p w14:paraId="0F1F802B" w14:textId="77777777" w:rsidR="000D4F98" w:rsidRPr="002442EE" w:rsidRDefault="000D4F98" w:rsidP="004E689B">
            <w:pPr>
              <w:pStyle w:val="NCDTableText"/>
              <w:spacing w:before="60" w:after="60" w:line="240" w:lineRule="auto"/>
              <w:rPr>
                <w:b w:val="0"/>
              </w:rPr>
            </w:pPr>
            <w:r w:rsidRPr="002442EE">
              <w:rPr>
                <w:b w:val="0"/>
              </w:rPr>
              <w:t>Arizona</w:t>
            </w:r>
          </w:p>
        </w:tc>
        <w:tc>
          <w:tcPr>
            <w:tcW w:w="2790" w:type="dxa"/>
            <w:shd w:val="clear" w:color="auto" w:fill="DBE5F1"/>
          </w:tcPr>
          <w:p w14:paraId="4684A0C0" w14:textId="77777777" w:rsidR="000D4F98" w:rsidRPr="002442EE" w:rsidRDefault="000D4F98" w:rsidP="004E689B">
            <w:pPr>
              <w:pStyle w:val="NCDTableText"/>
              <w:spacing w:before="60" w:after="60" w:line="240" w:lineRule="auto"/>
              <w:ind w:right="576"/>
              <w:jc w:val="right"/>
              <w:rPr>
                <w:b w:val="0"/>
              </w:rPr>
            </w:pPr>
            <w:r w:rsidRPr="002442EE">
              <w:rPr>
                <w:b w:val="0"/>
              </w:rPr>
              <w:t>$1,428,287</w:t>
            </w:r>
          </w:p>
        </w:tc>
        <w:tc>
          <w:tcPr>
            <w:tcW w:w="2790" w:type="dxa"/>
            <w:shd w:val="clear" w:color="auto" w:fill="DBE5F1"/>
          </w:tcPr>
          <w:p w14:paraId="6917C941" w14:textId="77777777" w:rsidR="000D4F98" w:rsidRPr="002442EE" w:rsidRDefault="000D4F98" w:rsidP="004E689B">
            <w:pPr>
              <w:pStyle w:val="NCDTableText"/>
              <w:spacing w:before="60" w:after="60" w:line="240" w:lineRule="auto"/>
              <w:ind w:right="576"/>
              <w:jc w:val="right"/>
              <w:rPr>
                <w:b w:val="0"/>
              </w:rPr>
            </w:pPr>
            <w:r w:rsidRPr="002442EE">
              <w:rPr>
                <w:b w:val="0"/>
              </w:rPr>
              <w:t>$428,343</w:t>
            </w:r>
          </w:p>
        </w:tc>
      </w:tr>
      <w:tr w:rsidR="000D4F98" w14:paraId="2434EEBB" w14:textId="77777777" w:rsidTr="00925F70">
        <w:trPr>
          <w:cnfStyle w:val="100000000000" w:firstRow="1" w:lastRow="0" w:firstColumn="0" w:lastColumn="0" w:oddVBand="0" w:evenVBand="0" w:oddHBand="0" w:evenHBand="0" w:firstRowFirstColumn="0" w:firstRowLastColumn="0" w:lastRowFirstColumn="0" w:lastRowLastColumn="0"/>
          <w:trHeight w:val="310"/>
          <w:tblHeader/>
          <w:jc w:val="center"/>
        </w:trPr>
        <w:tc>
          <w:tcPr>
            <w:tcW w:w="2790" w:type="dxa"/>
          </w:tcPr>
          <w:p w14:paraId="5810D154" w14:textId="77777777" w:rsidR="000D4F98" w:rsidRPr="002442EE" w:rsidRDefault="000D4F98" w:rsidP="004E689B">
            <w:pPr>
              <w:pStyle w:val="NCDTableText"/>
              <w:spacing w:before="60" w:after="60" w:line="240" w:lineRule="auto"/>
              <w:rPr>
                <w:b w:val="0"/>
              </w:rPr>
            </w:pPr>
            <w:r w:rsidRPr="002442EE">
              <w:rPr>
                <w:b w:val="0"/>
              </w:rPr>
              <w:t>Florida</w:t>
            </w:r>
          </w:p>
        </w:tc>
        <w:tc>
          <w:tcPr>
            <w:tcW w:w="2790" w:type="dxa"/>
          </w:tcPr>
          <w:p w14:paraId="183B5BB5" w14:textId="77777777" w:rsidR="000D4F98" w:rsidRPr="002442EE" w:rsidRDefault="000D4F98" w:rsidP="004E689B">
            <w:pPr>
              <w:pStyle w:val="NCDTableText"/>
              <w:spacing w:before="60" w:after="60" w:line="240" w:lineRule="auto"/>
              <w:ind w:right="576"/>
              <w:jc w:val="right"/>
              <w:rPr>
                <w:b w:val="0"/>
              </w:rPr>
            </w:pPr>
            <w:r w:rsidRPr="002442EE">
              <w:rPr>
                <w:b w:val="0"/>
              </w:rPr>
              <w:t>$1,632,161</w:t>
            </w:r>
          </w:p>
        </w:tc>
        <w:tc>
          <w:tcPr>
            <w:tcW w:w="2790" w:type="dxa"/>
          </w:tcPr>
          <w:p w14:paraId="383A0094" w14:textId="77777777" w:rsidR="000D4F98" w:rsidRPr="002442EE" w:rsidRDefault="000D4F98" w:rsidP="004E689B">
            <w:pPr>
              <w:pStyle w:val="NCDTableText"/>
              <w:spacing w:before="60" w:after="60" w:line="240" w:lineRule="auto"/>
              <w:ind w:right="576"/>
              <w:jc w:val="right"/>
              <w:rPr>
                <w:b w:val="0"/>
              </w:rPr>
            </w:pPr>
            <w:r w:rsidRPr="002442EE">
              <w:rPr>
                <w:b w:val="0"/>
              </w:rPr>
              <w:t>$620,874</w:t>
            </w:r>
          </w:p>
        </w:tc>
      </w:tr>
      <w:tr w:rsidR="000D4F98" w14:paraId="35F792BC" w14:textId="77777777" w:rsidTr="002442EE">
        <w:trPr>
          <w:cnfStyle w:val="100000000000" w:firstRow="1" w:lastRow="0" w:firstColumn="0" w:lastColumn="0" w:oddVBand="0" w:evenVBand="0" w:oddHBand="0" w:evenHBand="0" w:firstRowFirstColumn="0" w:firstRowLastColumn="0" w:lastRowFirstColumn="0" w:lastRowLastColumn="0"/>
          <w:trHeight w:val="310"/>
          <w:tblHeader/>
          <w:jc w:val="center"/>
        </w:trPr>
        <w:tc>
          <w:tcPr>
            <w:tcW w:w="2790" w:type="dxa"/>
            <w:shd w:val="clear" w:color="auto" w:fill="DBE5F1"/>
          </w:tcPr>
          <w:p w14:paraId="1DB741EB" w14:textId="77777777" w:rsidR="000D4F98" w:rsidRPr="002442EE" w:rsidRDefault="000D4F98" w:rsidP="004E689B">
            <w:pPr>
              <w:pStyle w:val="NCDTableText"/>
              <w:spacing w:before="60" w:after="60" w:line="240" w:lineRule="auto"/>
              <w:rPr>
                <w:b w:val="0"/>
              </w:rPr>
            </w:pPr>
            <w:r w:rsidRPr="002442EE">
              <w:rPr>
                <w:b w:val="0"/>
              </w:rPr>
              <w:t>Georgia</w:t>
            </w:r>
          </w:p>
        </w:tc>
        <w:tc>
          <w:tcPr>
            <w:tcW w:w="2790" w:type="dxa"/>
            <w:shd w:val="clear" w:color="auto" w:fill="DBE5F1"/>
          </w:tcPr>
          <w:p w14:paraId="1A68A0E0" w14:textId="77777777" w:rsidR="000D4F98" w:rsidRPr="002442EE" w:rsidRDefault="000D4F98" w:rsidP="004E689B">
            <w:pPr>
              <w:pStyle w:val="NCDTableText"/>
              <w:spacing w:before="60" w:after="60" w:line="240" w:lineRule="auto"/>
              <w:ind w:right="576"/>
              <w:jc w:val="right"/>
              <w:rPr>
                <w:b w:val="0"/>
              </w:rPr>
            </w:pPr>
            <w:r w:rsidRPr="002442EE">
              <w:rPr>
                <w:b w:val="0"/>
              </w:rPr>
              <w:t>$2,549,957</w:t>
            </w:r>
          </w:p>
        </w:tc>
        <w:tc>
          <w:tcPr>
            <w:tcW w:w="2790" w:type="dxa"/>
            <w:shd w:val="clear" w:color="auto" w:fill="DBE5F1"/>
          </w:tcPr>
          <w:p w14:paraId="3AF0764F" w14:textId="77777777" w:rsidR="000D4F98" w:rsidRPr="002442EE" w:rsidRDefault="000D4F98" w:rsidP="004E689B">
            <w:pPr>
              <w:pStyle w:val="NCDTableText"/>
              <w:spacing w:before="60" w:after="60" w:line="240" w:lineRule="auto"/>
              <w:ind w:right="576"/>
              <w:jc w:val="right"/>
              <w:rPr>
                <w:b w:val="0"/>
              </w:rPr>
            </w:pPr>
            <w:r w:rsidRPr="002442EE">
              <w:rPr>
                <w:b w:val="0"/>
              </w:rPr>
              <w:t>$840,721</w:t>
            </w:r>
          </w:p>
        </w:tc>
      </w:tr>
      <w:tr w:rsidR="000D4F98" w14:paraId="433B2FE5" w14:textId="77777777" w:rsidTr="00925F70">
        <w:trPr>
          <w:cnfStyle w:val="100000000000" w:firstRow="1" w:lastRow="0" w:firstColumn="0" w:lastColumn="0" w:oddVBand="0" w:evenVBand="0" w:oddHBand="0" w:evenHBand="0" w:firstRowFirstColumn="0" w:firstRowLastColumn="0" w:lastRowFirstColumn="0" w:lastRowLastColumn="0"/>
          <w:trHeight w:val="310"/>
          <w:tblHeader/>
          <w:jc w:val="center"/>
        </w:trPr>
        <w:tc>
          <w:tcPr>
            <w:tcW w:w="2790" w:type="dxa"/>
          </w:tcPr>
          <w:p w14:paraId="75C50E8F" w14:textId="77777777" w:rsidR="000D4F98" w:rsidRPr="002442EE" w:rsidRDefault="000D4F98" w:rsidP="004E689B">
            <w:pPr>
              <w:pStyle w:val="NCDTableText"/>
              <w:spacing w:before="60" w:after="60" w:line="240" w:lineRule="auto"/>
              <w:rPr>
                <w:b w:val="0"/>
              </w:rPr>
            </w:pPr>
            <w:r w:rsidRPr="002442EE">
              <w:rPr>
                <w:b w:val="0"/>
              </w:rPr>
              <w:t>Hawaii</w:t>
            </w:r>
          </w:p>
        </w:tc>
        <w:tc>
          <w:tcPr>
            <w:tcW w:w="2790" w:type="dxa"/>
          </w:tcPr>
          <w:p w14:paraId="23CC831B" w14:textId="77777777" w:rsidR="000D4F98" w:rsidRPr="002442EE" w:rsidRDefault="000D4F98" w:rsidP="004E689B">
            <w:pPr>
              <w:pStyle w:val="NCDTableText"/>
              <w:spacing w:before="60" w:after="60" w:line="240" w:lineRule="auto"/>
              <w:ind w:right="576"/>
              <w:jc w:val="right"/>
              <w:rPr>
                <w:b w:val="0"/>
              </w:rPr>
            </w:pPr>
            <w:r w:rsidRPr="002442EE">
              <w:rPr>
                <w:b w:val="0"/>
              </w:rPr>
              <w:t>$579,963</w:t>
            </w:r>
          </w:p>
        </w:tc>
        <w:tc>
          <w:tcPr>
            <w:tcW w:w="2790" w:type="dxa"/>
          </w:tcPr>
          <w:p w14:paraId="77CE5FB9" w14:textId="77777777" w:rsidR="000D4F98" w:rsidRPr="002442EE" w:rsidRDefault="000D4F98" w:rsidP="004E689B">
            <w:pPr>
              <w:pStyle w:val="NCDTableText"/>
              <w:spacing w:before="60" w:after="60" w:line="240" w:lineRule="auto"/>
              <w:ind w:right="576"/>
              <w:jc w:val="right"/>
              <w:rPr>
                <w:b w:val="0"/>
              </w:rPr>
            </w:pPr>
            <w:r w:rsidRPr="002442EE">
              <w:rPr>
                <w:b w:val="0"/>
              </w:rPr>
              <w:t>$272,466</w:t>
            </w:r>
          </w:p>
        </w:tc>
      </w:tr>
      <w:tr w:rsidR="000D4F98" w14:paraId="1FB260CD" w14:textId="77777777" w:rsidTr="002442EE">
        <w:trPr>
          <w:cnfStyle w:val="100000000000" w:firstRow="1" w:lastRow="0" w:firstColumn="0" w:lastColumn="0" w:oddVBand="0" w:evenVBand="0" w:oddHBand="0" w:evenHBand="0" w:firstRowFirstColumn="0" w:firstRowLastColumn="0" w:lastRowFirstColumn="0" w:lastRowLastColumn="0"/>
          <w:trHeight w:val="310"/>
          <w:tblHeader/>
          <w:jc w:val="center"/>
        </w:trPr>
        <w:tc>
          <w:tcPr>
            <w:tcW w:w="2790" w:type="dxa"/>
            <w:shd w:val="clear" w:color="auto" w:fill="DBE5F1"/>
          </w:tcPr>
          <w:p w14:paraId="50A94F6A" w14:textId="77777777" w:rsidR="000D4F98" w:rsidRPr="002442EE" w:rsidRDefault="000D4F98" w:rsidP="004E689B">
            <w:pPr>
              <w:pStyle w:val="NCDTableText"/>
              <w:spacing w:before="60" w:after="60" w:line="240" w:lineRule="auto"/>
              <w:rPr>
                <w:b w:val="0"/>
              </w:rPr>
            </w:pPr>
            <w:r w:rsidRPr="002442EE">
              <w:rPr>
                <w:b w:val="0"/>
              </w:rPr>
              <w:t>Maryland</w:t>
            </w:r>
          </w:p>
        </w:tc>
        <w:tc>
          <w:tcPr>
            <w:tcW w:w="2790" w:type="dxa"/>
            <w:shd w:val="clear" w:color="auto" w:fill="DBE5F1"/>
          </w:tcPr>
          <w:p w14:paraId="0A586C94" w14:textId="77777777" w:rsidR="000D4F98" w:rsidRPr="002442EE" w:rsidRDefault="000D4F98" w:rsidP="004E689B">
            <w:pPr>
              <w:pStyle w:val="NCDTableText"/>
              <w:spacing w:before="60" w:after="60" w:line="240" w:lineRule="auto"/>
              <w:ind w:right="576"/>
              <w:jc w:val="right"/>
              <w:rPr>
                <w:b w:val="0"/>
              </w:rPr>
            </w:pPr>
            <w:r w:rsidRPr="002442EE">
              <w:rPr>
                <w:b w:val="0"/>
              </w:rPr>
              <w:t>$2,574,349</w:t>
            </w:r>
          </w:p>
        </w:tc>
        <w:tc>
          <w:tcPr>
            <w:tcW w:w="2790" w:type="dxa"/>
            <w:shd w:val="clear" w:color="auto" w:fill="DBE5F1"/>
          </w:tcPr>
          <w:p w14:paraId="7D4A1FC9" w14:textId="77777777" w:rsidR="000D4F98" w:rsidRPr="002442EE" w:rsidRDefault="000D4F98" w:rsidP="004E689B">
            <w:pPr>
              <w:pStyle w:val="NCDTableText"/>
              <w:spacing w:before="60" w:after="60" w:line="240" w:lineRule="auto"/>
              <w:ind w:right="576"/>
              <w:jc w:val="right"/>
              <w:rPr>
                <w:b w:val="0"/>
              </w:rPr>
            </w:pPr>
            <w:r w:rsidRPr="002442EE">
              <w:rPr>
                <w:b w:val="0"/>
              </w:rPr>
              <w:t>$1,287,175</w:t>
            </w:r>
          </w:p>
        </w:tc>
      </w:tr>
      <w:tr w:rsidR="000D4F98" w14:paraId="042B723A" w14:textId="77777777" w:rsidTr="00925F70">
        <w:trPr>
          <w:cnfStyle w:val="100000000000" w:firstRow="1" w:lastRow="0" w:firstColumn="0" w:lastColumn="0" w:oddVBand="0" w:evenVBand="0" w:oddHBand="0" w:evenHBand="0" w:firstRowFirstColumn="0" w:firstRowLastColumn="0" w:lastRowFirstColumn="0" w:lastRowLastColumn="0"/>
          <w:trHeight w:val="310"/>
          <w:tblHeader/>
          <w:jc w:val="center"/>
        </w:trPr>
        <w:tc>
          <w:tcPr>
            <w:tcW w:w="2790" w:type="dxa"/>
          </w:tcPr>
          <w:p w14:paraId="193858D7" w14:textId="77777777" w:rsidR="000D4F98" w:rsidRPr="002442EE" w:rsidRDefault="000D4F98" w:rsidP="004E689B">
            <w:pPr>
              <w:pStyle w:val="NCDTableText"/>
              <w:spacing w:before="60" w:after="60" w:line="240" w:lineRule="auto"/>
              <w:rPr>
                <w:b w:val="0"/>
              </w:rPr>
            </w:pPr>
            <w:r w:rsidRPr="002442EE">
              <w:rPr>
                <w:b w:val="0"/>
              </w:rPr>
              <w:t>Nevada</w:t>
            </w:r>
          </w:p>
        </w:tc>
        <w:tc>
          <w:tcPr>
            <w:tcW w:w="2790" w:type="dxa"/>
          </w:tcPr>
          <w:p w14:paraId="21B4E4B5" w14:textId="77777777" w:rsidR="000D4F98" w:rsidRPr="002442EE" w:rsidRDefault="000D4F98" w:rsidP="004E689B">
            <w:pPr>
              <w:pStyle w:val="NCDTableText"/>
              <w:spacing w:before="60" w:after="60" w:line="240" w:lineRule="auto"/>
              <w:ind w:right="576"/>
              <w:jc w:val="right"/>
              <w:rPr>
                <w:b w:val="0"/>
              </w:rPr>
            </w:pPr>
            <w:r w:rsidRPr="002442EE">
              <w:rPr>
                <w:b w:val="0"/>
              </w:rPr>
              <w:t>$616,038</w:t>
            </w:r>
          </w:p>
        </w:tc>
        <w:tc>
          <w:tcPr>
            <w:tcW w:w="2790" w:type="dxa"/>
          </w:tcPr>
          <w:p w14:paraId="33B6BADD" w14:textId="77777777" w:rsidR="000D4F98" w:rsidRPr="002442EE" w:rsidRDefault="000D4F98" w:rsidP="004E689B">
            <w:pPr>
              <w:pStyle w:val="NCDTableText"/>
              <w:spacing w:before="60" w:after="60" w:line="240" w:lineRule="auto"/>
              <w:ind w:right="576"/>
              <w:jc w:val="right"/>
              <w:rPr>
                <w:b w:val="0"/>
              </w:rPr>
            </w:pPr>
            <w:r w:rsidRPr="002442EE">
              <w:rPr>
                <w:b w:val="0"/>
              </w:rPr>
              <w:t>$226,086</w:t>
            </w:r>
          </w:p>
        </w:tc>
      </w:tr>
      <w:tr w:rsidR="000D4F98" w14:paraId="1E06941E" w14:textId="77777777" w:rsidTr="002442EE">
        <w:trPr>
          <w:cnfStyle w:val="100000000000" w:firstRow="1" w:lastRow="0" w:firstColumn="0" w:lastColumn="0" w:oddVBand="0" w:evenVBand="0" w:oddHBand="0" w:evenHBand="0" w:firstRowFirstColumn="0" w:firstRowLastColumn="0" w:lastRowFirstColumn="0" w:lastRowLastColumn="0"/>
          <w:trHeight w:val="310"/>
          <w:tblHeader/>
          <w:jc w:val="center"/>
        </w:trPr>
        <w:tc>
          <w:tcPr>
            <w:tcW w:w="2790" w:type="dxa"/>
            <w:shd w:val="clear" w:color="auto" w:fill="DBE5F1"/>
          </w:tcPr>
          <w:p w14:paraId="11C9C88E" w14:textId="77777777" w:rsidR="000D4F98" w:rsidRPr="002442EE" w:rsidRDefault="000D4F98" w:rsidP="004E689B">
            <w:pPr>
              <w:pStyle w:val="NCDTableText"/>
              <w:spacing w:before="60" w:after="60" w:line="240" w:lineRule="auto"/>
              <w:rPr>
                <w:b w:val="0"/>
              </w:rPr>
            </w:pPr>
            <w:r w:rsidRPr="002442EE">
              <w:rPr>
                <w:b w:val="0"/>
              </w:rPr>
              <w:t>New Hampshire</w:t>
            </w:r>
          </w:p>
        </w:tc>
        <w:tc>
          <w:tcPr>
            <w:tcW w:w="2790" w:type="dxa"/>
            <w:shd w:val="clear" w:color="auto" w:fill="DBE5F1"/>
          </w:tcPr>
          <w:p w14:paraId="051FACE2" w14:textId="77777777" w:rsidR="000D4F98" w:rsidRPr="002442EE" w:rsidRDefault="000D4F98" w:rsidP="004E689B">
            <w:pPr>
              <w:pStyle w:val="NCDTableText"/>
              <w:spacing w:before="60" w:after="60" w:line="240" w:lineRule="auto"/>
              <w:ind w:right="576"/>
              <w:jc w:val="right"/>
              <w:rPr>
                <w:b w:val="0"/>
              </w:rPr>
            </w:pPr>
            <w:r w:rsidRPr="002442EE">
              <w:rPr>
                <w:b w:val="0"/>
              </w:rPr>
              <w:t>$821,700</w:t>
            </w:r>
          </w:p>
        </w:tc>
        <w:tc>
          <w:tcPr>
            <w:tcW w:w="2790" w:type="dxa"/>
            <w:shd w:val="clear" w:color="auto" w:fill="DBE5F1"/>
          </w:tcPr>
          <w:p w14:paraId="2B37FD8B" w14:textId="77777777" w:rsidR="000D4F98" w:rsidRPr="002442EE" w:rsidRDefault="000D4F98" w:rsidP="004E689B">
            <w:pPr>
              <w:pStyle w:val="NCDTableText"/>
              <w:spacing w:before="60" w:after="60" w:line="240" w:lineRule="auto"/>
              <w:ind w:right="576"/>
              <w:jc w:val="right"/>
              <w:rPr>
                <w:b w:val="0"/>
              </w:rPr>
            </w:pPr>
            <w:r w:rsidRPr="002442EE">
              <w:rPr>
                <w:b w:val="0"/>
              </w:rPr>
              <w:t>$410,850</w:t>
            </w:r>
          </w:p>
        </w:tc>
      </w:tr>
      <w:tr w:rsidR="000D4F98" w14:paraId="5355490B" w14:textId="77777777" w:rsidTr="00925F70">
        <w:trPr>
          <w:cnfStyle w:val="100000000000" w:firstRow="1" w:lastRow="0" w:firstColumn="0" w:lastColumn="0" w:oddVBand="0" w:evenVBand="0" w:oddHBand="0" w:evenHBand="0" w:firstRowFirstColumn="0" w:firstRowLastColumn="0" w:lastRowFirstColumn="0" w:lastRowLastColumn="0"/>
          <w:trHeight w:val="310"/>
          <w:tblHeader/>
          <w:jc w:val="center"/>
        </w:trPr>
        <w:tc>
          <w:tcPr>
            <w:tcW w:w="2790" w:type="dxa"/>
          </w:tcPr>
          <w:p w14:paraId="7D6CF579" w14:textId="77777777" w:rsidR="000D4F98" w:rsidRPr="002442EE" w:rsidRDefault="000D4F98" w:rsidP="004E689B">
            <w:pPr>
              <w:pStyle w:val="NCDTableText"/>
              <w:spacing w:before="60" w:after="60" w:line="240" w:lineRule="auto"/>
              <w:rPr>
                <w:b w:val="0"/>
              </w:rPr>
            </w:pPr>
            <w:r w:rsidRPr="002442EE">
              <w:rPr>
                <w:b w:val="0"/>
              </w:rPr>
              <w:t>Oklahoma</w:t>
            </w:r>
          </w:p>
        </w:tc>
        <w:tc>
          <w:tcPr>
            <w:tcW w:w="2790" w:type="dxa"/>
          </w:tcPr>
          <w:p w14:paraId="58121419" w14:textId="77777777" w:rsidR="000D4F98" w:rsidRPr="002442EE" w:rsidRDefault="000D4F98" w:rsidP="004E689B">
            <w:pPr>
              <w:pStyle w:val="NCDTableText"/>
              <w:spacing w:before="60" w:after="60" w:line="240" w:lineRule="auto"/>
              <w:ind w:right="576"/>
              <w:jc w:val="right"/>
              <w:rPr>
                <w:b w:val="0"/>
              </w:rPr>
            </w:pPr>
            <w:r w:rsidRPr="002442EE">
              <w:rPr>
                <w:b w:val="0"/>
              </w:rPr>
              <w:t>$162,916</w:t>
            </w:r>
          </w:p>
        </w:tc>
        <w:tc>
          <w:tcPr>
            <w:tcW w:w="2790" w:type="dxa"/>
          </w:tcPr>
          <w:p w14:paraId="4899E790" w14:textId="77777777" w:rsidR="000D4F98" w:rsidRPr="002442EE" w:rsidRDefault="000D4F98" w:rsidP="004E689B">
            <w:pPr>
              <w:pStyle w:val="NCDTableText"/>
              <w:spacing w:before="60" w:after="60" w:line="240" w:lineRule="auto"/>
              <w:ind w:right="576"/>
              <w:jc w:val="right"/>
              <w:rPr>
                <w:b w:val="0"/>
              </w:rPr>
            </w:pPr>
            <w:r w:rsidRPr="002442EE">
              <w:rPr>
                <w:b w:val="0"/>
              </w:rPr>
              <w:t>$52,150</w:t>
            </w:r>
          </w:p>
        </w:tc>
      </w:tr>
      <w:tr w:rsidR="000D4F98" w14:paraId="4F2BE847" w14:textId="77777777" w:rsidTr="002442EE">
        <w:trPr>
          <w:cnfStyle w:val="100000000000" w:firstRow="1" w:lastRow="0" w:firstColumn="0" w:lastColumn="0" w:oddVBand="0" w:evenVBand="0" w:oddHBand="0" w:evenHBand="0" w:firstRowFirstColumn="0" w:firstRowLastColumn="0" w:lastRowFirstColumn="0" w:lastRowLastColumn="0"/>
          <w:trHeight w:val="310"/>
          <w:tblHeader/>
          <w:jc w:val="center"/>
        </w:trPr>
        <w:tc>
          <w:tcPr>
            <w:tcW w:w="2790" w:type="dxa"/>
            <w:shd w:val="clear" w:color="auto" w:fill="DBE5F1"/>
          </w:tcPr>
          <w:p w14:paraId="09DFFAA6" w14:textId="77777777" w:rsidR="000D4F98" w:rsidRPr="002442EE" w:rsidRDefault="000D4F98" w:rsidP="004E689B">
            <w:pPr>
              <w:pStyle w:val="NCDTableText"/>
              <w:spacing w:before="60" w:after="60" w:line="240" w:lineRule="auto"/>
              <w:rPr>
                <w:b w:val="0"/>
              </w:rPr>
            </w:pPr>
            <w:r w:rsidRPr="002442EE">
              <w:rPr>
                <w:b w:val="0"/>
              </w:rPr>
              <w:t>Tennessee</w:t>
            </w:r>
          </w:p>
        </w:tc>
        <w:tc>
          <w:tcPr>
            <w:tcW w:w="2790" w:type="dxa"/>
            <w:shd w:val="clear" w:color="auto" w:fill="DBE5F1"/>
          </w:tcPr>
          <w:p w14:paraId="709F6900" w14:textId="77777777" w:rsidR="000D4F98" w:rsidRPr="002442EE" w:rsidRDefault="000D4F98" w:rsidP="004E689B">
            <w:pPr>
              <w:pStyle w:val="NCDTableText"/>
              <w:spacing w:before="60" w:after="60" w:line="240" w:lineRule="auto"/>
              <w:ind w:right="576"/>
              <w:jc w:val="right"/>
              <w:rPr>
                <w:b w:val="0"/>
              </w:rPr>
            </w:pPr>
            <w:r w:rsidRPr="002442EE">
              <w:rPr>
                <w:b w:val="0"/>
              </w:rPr>
              <w:t>$1,252,377</w:t>
            </w:r>
          </w:p>
        </w:tc>
        <w:tc>
          <w:tcPr>
            <w:tcW w:w="2790" w:type="dxa"/>
            <w:shd w:val="clear" w:color="auto" w:fill="DBE5F1"/>
          </w:tcPr>
          <w:p w14:paraId="2E8C15C5" w14:textId="77777777" w:rsidR="000D4F98" w:rsidRPr="002442EE" w:rsidRDefault="000D4F98" w:rsidP="004E689B">
            <w:pPr>
              <w:pStyle w:val="NCDTableText"/>
              <w:spacing w:before="60" w:after="60" w:line="240" w:lineRule="auto"/>
              <w:ind w:right="576"/>
              <w:jc w:val="right"/>
              <w:rPr>
                <w:b w:val="0"/>
              </w:rPr>
            </w:pPr>
            <w:r w:rsidRPr="002442EE">
              <w:rPr>
                <w:b w:val="0"/>
              </w:rPr>
              <w:t>$424,556</w:t>
            </w:r>
          </w:p>
        </w:tc>
      </w:tr>
      <w:tr w:rsidR="000D4F98" w14:paraId="221B96CA" w14:textId="77777777" w:rsidTr="00925F70">
        <w:trPr>
          <w:cnfStyle w:val="100000000000" w:firstRow="1" w:lastRow="0" w:firstColumn="0" w:lastColumn="0" w:oddVBand="0" w:evenVBand="0" w:oddHBand="0" w:evenHBand="0" w:firstRowFirstColumn="0" w:firstRowLastColumn="0" w:lastRowFirstColumn="0" w:lastRowLastColumn="0"/>
          <w:trHeight w:val="310"/>
          <w:tblHeader/>
          <w:jc w:val="center"/>
        </w:trPr>
        <w:tc>
          <w:tcPr>
            <w:tcW w:w="2790" w:type="dxa"/>
          </w:tcPr>
          <w:p w14:paraId="627AD118" w14:textId="77777777" w:rsidR="000D4F98" w:rsidRPr="002442EE" w:rsidRDefault="000D4F98" w:rsidP="004E689B">
            <w:pPr>
              <w:pStyle w:val="NCDTableText"/>
              <w:spacing w:before="60" w:after="60" w:line="240" w:lineRule="auto"/>
              <w:rPr>
                <w:b w:val="0"/>
              </w:rPr>
            </w:pPr>
            <w:r w:rsidRPr="002442EE">
              <w:rPr>
                <w:b w:val="0"/>
              </w:rPr>
              <w:t>Texas</w:t>
            </w:r>
          </w:p>
        </w:tc>
        <w:tc>
          <w:tcPr>
            <w:tcW w:w="2790" w:type="dxa"/>
          </w:tcPr>
          <w:p w14:paraId="1CB475BD" w14:textId="77777777" w:rsidR="000D4F98" w:rsidRPr="002442EE" w:rsidRDefault="000D4F98" w:rsidP="004E689B">
            <w:pPr>
              <w:pStyle w:val="NCDTableText"/>
              <w:spacing w:before="60" w:after="60" w:line="240" w:lineRule="auto"/>
              <w:ind w:right="576"/>
              <w:jc w:val="right"/>
              <w:rPr>
                <w:b w:val="0"/>
              </w:rPr>
            </w:pPr>
            <w:r w:rsidRPr="002442EE">
              <w:rPr>
                <w:b w:val="0"/>
              </w:rPr>
              <w:t>$4,716,186</w:t>
            </w:r>
          </w:p>
        </w:tc>
        <w:tc>
          <w:tcPr>
            <w:tcW w:w="2790" w:type="dxa"/>
          </w:tcPr>
          <w:p w14:paraId="52159C57" w14:textId="77777777" w:rsidR="000D4F98" w:rsidRPr="002442EE" w:rsidRDefault="000D4F98" w:rsidP="004E689B">
            <w:pPr>
              <w:pStyle w:val="NCDTableText"/>
              <w:spacing w:before="60" w:after="60" w:line="240" w:lineRule="auto"/>
              <w:ind w:right="576"/>
              <w:jc w:val="right"/>
              <w:rPr>
                <w:b w:val="0"/>
              </w:rPr>
            </w:pPr>
            <w:r w:rsidRPr="002442EE">
              <w:rPr>
                <w:b w:val="0"/>
              </w:rPr>
              <w:t>$1,801,111</w:t>
            </w:r>
          </w:p>
        </w:tc>
      </w:tr>
      <w:tr w:rsidR="000D4F98" w14:paraId="705DBAED" w14:textId="77777777" w:rsidTr="002442EE">
        <w:trPr>
          <w:cnfStyle w:val="100000000000" w:firstRow="1" w:lastRow="0" w:firstColumn="0" w:lastColumn="0" w:oddVBand="0" w:evenVBand="0" w:oddHBand="0" w:evenHBand="0" w:firstRowFirstColumn="0" w:firstRowLastColumn="0" w:lastRowFirstColumn="0" w:lastRowLastColumn="0"/>
          <w:trHeight w:val="310"/>
          <w:tblHeader/>
          <w:jc w:val="center"/>
        </w:trPr>
        <w:tc>
          <w:tcPr>
            <w:tcW w:w="2790" w:type="dxa"/>
            <w:tcBorders>
              <w:bottom w:val="single" w:sz="4" w:space="0" w:color="auto"/>
            </w:tcBorders>
            <w:shd w:val="clear" w:color="auto" w:fill="DBE5F1"/>
          </w:tcPr>
          <w:p w14:paraId="17748D6A" w14:textId="77777777" w:rsidR="000D4F98" w:rsidRPr="002442EE" w:rsidRDefault="000D4F98" w:rsidP="004E689B">
            <w:pPr>
              <w:pStyle w:val="NCDTableText"/>
              <w:spacing w:before="60" w:after="60" w:line="240" w:lineRule="auto"/>
              <w:rPr>
                <w:b w:val="0"/>
              </w:rPr>
            </w:pPr>
            <w:r w:rsidRPr="002442EE">
              <w:rPr>
                <w:b w:val="0"/>
              </w:rPr>
              <w:t>Utah</w:t>
            </w:r>
          </w:p>
        </w:tc>
        <w:tc>
          <w:tcPr>
            <w:tcW w:w="2790" w:type="dxa"/>
            <w:tcBorders>
              <w:bottom w:val="single" w:sz="4" w:space="0" w:color="auto"/>
            </w:tcBorders>
            <w:shd w:val="clear" w:color="auto" w:fill="DBE5F1"/>
          </w:tcPr>
          <w:p w14:paraId="6D61E0AA" w14:textId="77777777" w:rsidR="000D4F98" w:rsidRPr="002442EE" w:rsidRDefault="000D4F98" w:rsidP="004E689B">
            <w:pPr>
              <w:pStyle w:val="NCDTableText"/>
              <w:spacing w:before="60" w:after="60" w:line="240" w:lineRule="auto"/>
              <w:ind w:right="576"/>
              <w:jc w:val="right"/>
              <w:rPr>
                <w:b w:val="0"/>
              </w:rPr>
            </w:pPr>
            <w:r w:rsidRPr="002442EE">
              <w:rPr>
                <w:b w:val="0"/>
              </w:rPr>
              <w:t>$969,234</w:t>
            </w:r>
          </w:p>
        </w:tc>
        <w:tc>
          <w:tcPr>
            <w:tcW w:w="2790" w:type="dxa"/>
            <w:tcBorders>
              <w:bottom w:val="single" w:sz="4" w:space="0" w:color="auto"/>
            </w:tcBorders>
            <w:shd w:val="clear" w:color="auto" w:fill="DBE5F1"/>
          </w:tcPr>
          <w:p w14:paraId="5EF4CCB2" w14:textId="77777777" w:rsidR="000D4F98" w:rsidRPr="002442EE" w:rsidRDefault="000D4F98" w:rsidP="004E689B">
            <w:pPr>
              <w:pStyle w:val="NCDTableText"/>
              <w:spacing w:before="60" w:after="60" w:line="240" w:lineRule="auto"/>
              <w:ind w:right="576"/>
              <w:jc w:val="right"/>
              <w:rPr>
                <w:b w:val="0"/>
              </w:rPr>
            </w:pPr>
            <w:r w:rsidRPr="002442EE">
              <w:rPr>
                <w:b w:val="0"/>
              </w:rPr>
              <w:t>$314,807</w:t>
            </w:r>
          </w:p>
        </w:tc>
      </w:tr>
      <w:tr w:rsidR="000D4F98" w14:paraId="229A234F" w14:textId="77777777" w:rsidTr="002442EE">
        <w:trPr>
          <w:cnfStyle w:val="100000000000" w:firstRow="1" w:lastRow="0" w:firstColumn="0" w:lastColumn="0" w:oddVBand="0" w:evenVBand="0" w:oddHBand="0" w:evenHBand="0" w:firstRowFirstColumn="0" w:firstRowLastColumn="0" w:lastRowFirstColumn="0" w:lastRowLastColumn="0"/>
          <w:trHeight w:val="290"/>
          <w:tblHeader/>
          <w:jc w:val="center"/>
        </w:trPr>
        <w:tc>
          <w:tcPr>
            <w:tcW w:w="2790" w:type="dxa"/>
            <w:tcBorders>
              <w:bottom w:val="single" w:sz="4" w:space="0" w:color="auto"/>
            </w:tcBorders>
          </w:tcPr>
          <w:p w14:paraId="56D91660" w14:textId="44A96DBC" w:rsidR="000D4F98" w:rsidRPr="002442EE" w:rsidRDefault="00401D57" w:rsidP="004E689B">
            <w:pPr>
              <w:pStyle w:val="NCDTableText"/>
              <w:spacing w:before="60" w:after="60" w:line="240" w:lineRule="auto"/>
            </w:pPr>
            <w:r w:rsidRPr="002442EE">
              <w:t>Total</w:t>
            </w:r>
          </w:p>
        </w:tc>
        <w:tc>
          <w:tcPr>
            <w:tcW w:w="2790" w:type="dxa"/>
            <w:tcBorders>
              <w:bottom w:val="single" w:sz="4" w:space="0" w:color="auto"/>
            </w:tcBorders>
          </w:tcPr>
          <w:p w14:paraId="613C3983" w14:textId="6BAA6711" w:rsidR="000D4F98" w:rsidRPr="002442EE" w:rsidRDefault="000D4F98" w:rsidP="004E689B">
            <w:pPr>
              <w:pStyle w:val="NCDTableText"/>
              <w:spacing w:before="60" w:after="60" w:line="240" w:lineRule="auto"/>
              <w:ind w:right="576"/>
              <w:jc w:val="right"/>
            </w:pPr>
            <w:r w:rsidRPr="002442EE">
              <w:t>$19,593,588</w:t>
            </w:r>
          </w:p>
        </w:tc>
        <w:tc>
          <w:tcPr>
            <w:tcW w:w="2790" w:type="dxa"/>
            <w:tcBorders>
              <w:bottom w:val="single" w:sz="4" w:space="0" w:color="auto"/>
            </w:tcBorders>
          </w:tcPr>
          <w:p w14:paraId="5E775238" w14:textId="563DAC1F" w:rsidR="000D4F98" w:rsidRPr="002442EE" w:rsidRDefault="000D4F98" w:rsidP="004E689B">
            <w:pPr>
              <w:pStyle w:val="NCDTableText"/>
              <w:spacing w:before="60" w:after="60" w:line="240" w:lineRule="auto"/>
              <w:ind w:right="576"/>
              <w:jc w:val="right"/>
            </w:pPr>
            <w:r w:rsidRPr="002442EE">
              <w:t>$7,307,172</w:t>
            </w:r>
          </w:p>
        </w:tc>
      </w:tr>
    </w:tbl>
    <w:p w14:paraId="763A85EB" w14:textId="77777777" w:rsidR="000D4F98" w:rsidRPr="00537483" w:rsidRDefault="000D4F98" w:rsidP="00F61DDA">
      <w:pPr>
        <w:pStyle w:val="NCDBodyText"/>
        <w:spacing w:before="200"/>
        <w:rPr>
          <w:highlight w:val="white"/>
        </w:rPr>
      </w:pPr>
      <w:r w:rsidRPr="00257D88">
        <w:rPr>
          <w:i/>
        </w:rPr>
        <w:t>Potential Cost Reduction.</w:t>
      </w:r>
      <w:r>
        <w:rPr>
          <w:highlight w:val="white"/>
        </w:rPr>
        <w:t xml:space="preserve"> Receiving preventive dental care can lead to cost reductions through reduced use of the ED, and resulting hospital admittance, for nontraumatic dental injuries. </w:t>
      </w:r>
      <w:r>
        <w:t xml:space="preserve">Improved oral health is also associated with reductions in chronic conditions and lower costs of treating chronic conditions. </w:t>
      </w:r>
      <w:bookmarkStart w:id="185" w:name="_Hlk93349405"/>
      <w:r>
        <w:t>The Centers for Disease Control and Prevention’s 2019 umbrella review,</w:t>
      </w:r>
      <w:r>
        <w:rPr>
          <w:rStyle w:val="EndnoteReference"/>
          <w:rFonts w:eastAsia="Arial" w:cs="Arial"/>
        </w:rPr>
        <w:endnoteReference w:id="101"/>
      </w:r>
      <w:r>
        <w:t xml:space="preserve"> which is a comprehensive assessment of rigorous scientific studies,</w:t>
      </w:r>
      <w:r>
        <w:rPr>
          <w:vertAlign w:val="superscript"/>
        </w:rPr>
        <w:endnoteReference w:id="102"/>
      </w:r>
      <w:r>
        <w:t xml:space="preserve"> identified diabetes, cardiovascular disease, cerebrovascular disease, chronic obstructive pulmonary disorder (COPD), dementia, psoriasis, and lung cancer as health conditions most closely associated with preventable oral health conditions</w:t>
      </w:r>
      <w:r>
        <w:rPr>
          <w:highlight w:val="white"/>
        </w:rPr>
        <w:t>.</w:t>
      </w:r>
      <w:bookmarkEnd w:id="185"/>
      <w:r>
        <w:rPr>
          <w:highlight w:val="white"/>
        </w:rPr>
        <w:t xml:space="preserve"> Furthermore, an analysis by the National Association </w:t>
      </w:r>
      <w:r>
        <w:rPr>
          <w:highlight w:val="white"/>
        </w:rPr>
        <w:lastRenderedPageBreak/>
        <w:t>of Dental Plans (NADP) indicates that medical costs for Medicaid beneficiaries who have access to dental benefits were lower for ten chronic conditions (coronary heart disease, diabetes, high blood pressure, heart attack, stroke, angina, other heart disease, cancer, high cholesterol, and asthma).</w:t>
      </w:r>
      <w:r>
        <w:rPr>
          <w:highlight w:val="white"/>
          <w:vertAlign w:val="superscript"/>
        </w:rPr>
        <w:endnoteReference w:id="103"/>
      </w:r>
    </w:p>
    <w:p w14:paraId="3E3071A5" w14:textId="77777777" w:rsidR="000D4F98" w:rsidRPr="00537483" w:rsidRDefault="000D4F98" w:rsidP="00F61DDA">
      <w:pPr>
        <w:pStyle w:val="NCDBodyText"/>
        <w:rPr>
          <w:highlight w:val="white"/>
        </w:rPr>
      </w:pPr>
      <w:r>
        <w:rPr>
          <w:highlight w:val="white"/>
        </w:rPr>
        <w:t>NCD estimate the cost reductions based on avoidance of ED and hospital use and reductions in treatment costs for people with these chronic conditions as follows:</w:t>
      </w:r>
    </w:p>
    <w:p w14:paraId="6384A8B9" w14:textId="77777777" w:rsidR="000D4F98" w:rsidRPr="00537483" w:rsidRDefault="000D4F98" w:rsidP="00F61DDA">
      <w:pPr>
        <w:pStyle w:val="NCDBodyText"/>
        <w:rPr>
          <w:highlight w:val="white"/>
        </w:rPr>
      </w:pPr>
      <w:r>
        <w:rPr>
          <w:highlight w:val="white"/>
        </w:rPr>
        <w:t>Annual cost reductions for states = Ann est cost/person * est. percent of people to experience event/chronic condition * [EN – CN] * (1-FMAP)</w:t>
      </w:r>
    </w:p>
    <w:p w14:paraId="73499C9E" w14:textId="77777777" w:rsidR="000D4F98" w:rsidRPr="00537483" w:rsidRDefault="000D4F98" w:rsidP="00F61DDA">
      <w:pPr>
        <w:pStyle w:val="NCDBodyText"/>
        <w:rPr>
          <w:highlight w:val="white"/>
        </w:rPr>
      </w:pPr>
      <w:r>
        <w:rPr>
          <w:highlight w:val="white"/>
        </w:rPr>
        <w:t xml:space="preserve">The number of adults with I/DD who experience the chronic conditions by state was derived from analysis of T-MSIS data, where possible, </w:t>
      </w:r>
      <w:r>
        <w:t>and from national estimates, otherwise.</w:t>
      </w:r>
      <w:r>
        <w:rPr>
          <w:vertAlign w:val="superscript"/>
        </w:rPr>
        <w:endnoteReference w:id="104"/>
      </w:r>
      <w:r>
        <w:t xml:space="preserve"> </w:t>
      </w:r>
      <w:r>
        <w:rPr>
          <w:highlight w:val="white"/>
        </w:rPr>
        <w:t>The estimated percentage of people who avoided hospital admission for nontraumatic dental care was obtained from an analysis completed by the Health Policy Institute, based on Texas Medicaid data.</w:t>
      </w:r>
      <w:r>
        <w:rPr>
          <w:highlight w:val="white"/>
          <w:vertAlign w:val="superscript"/>
        </w:rPr>
        <w:endnoteReference w:id="105"/>
      </w:r>
      <w:r>
        <w:rPr>
          <w:highlight w:val="white"/>
        </w:rPr>
        <w:t xml:space="preserve"> The estimated percentage of people who would avoid an ED visit for a nontraumatic dental issue was obtained through analysis of T-MSIS data.</w:t>
      </w:r>
      <w:r>
        <w:rPr>
          <w:highlight w:val="white"/>
          <w:vertAlign w:val="superscript"/>
        </w:rPr>
        <w:endnoteReference w:id="106"/>
      </w:r>
      <w:r>
        <w:rPr>
          <w:highlight w:val="white"/>
        </w:rPr>
        <w:t xml:space="preserve"> And the reduced costs of treatment for chronic conditions were derived from estimates produced by the NADP, using data from the Medical Expenditure Panel Survey (MEPS).</w:t>
      </w:r>
      <w:r>
        <w:rPr>
          <w:highlight w:val="white"/>
          <w:vertAlign w:val="superscript"/>
        </w:rPr>
        <w:endnoteReference w:id="107"/>
      </w:r>
      <w:r>
        <w:rPr>
          <w:highlight w:val="white"/>
        </w:rPr>
        <w:t xml:space="preserve"> These figures were adjusted for inflation.</w:t>
      </w:r>
    </w:p>
    <w:p w14:paraId="6A0A4A50" w14:textId="77777777" w:rsidR="000D4F98" w:rsidRPr="00537483" w:rsidRDefault="000D4F98" w:rsidP="00F61DDA">
      <w:pPr>
        <w:pStyle w:val="NCDBodyText"/>
        <w:rPr>
          <w:highlight w:val="white"/>
        </w:rPr>
      </w:pPr>
      <w:r>
        <w:rPr>
          <w:highlight w:val="white"/>
        </w:rPr>
        <w:t>The analysis demonstrated that the total cost reduction of implementing a dental benefit is $27.3 million. The cost reduction to states is a combined $10.2 million. The savings to the Federal Government is an estimated $17.1 million. These estimates are likely conservative because, for many of the estimates of the frequency of chronic conditions, NCD drew from the NADP’s MEPS analysis for the general adult population. People with disabilities tend to experience higher levels of chronic conditions than do people without disabilities.</w:t>
      </w:r>
    </w:p>
    <w:p w14:paraId="6544F7AF" w14:textId="77777777" w:rsidR="00F61DDA" w:rsidRDefault="00F61DDA">
      <w:pPr>
        <w:spacing w:after="160" w:line="259" w:lineRule="auto"/>
        <w:rPr>
          <w:rFonts w:eastAsia="Arial" w:cs="Arial"/>
        </w:rPr>
      </w:pPr>
      <w:bookmarkStart w:id="186" w:name="_heading=h.1ci93xb" w:colFirst="0" w:colLast="0"/>
      <w:bookmarkEnd w:id="186"/>
      <w:r>
        <w:rPr>
          <w:rFonts w:eastAsia="Arial" w:cs="Arial"/>
        </w:rPr>
        <w:br w:type="page"/>
      </w:r>
    </w:p>
    <w:p w14:paraId="37E816F7" w14:textId="111768B3" w:rsidR="000D4F98" w:rsidRPr="00537483" w:rsidRDefault="000D4F98" w:rsidP="00F61DDA">
      <w:pPr>
        <w:pStyle w:val="NCDTableHeader"/>
        <w:spacing w:after="200"/>
        <w:rPr>
          <w:rFonts w:eastAsia="Arial"/>
        </w:rPr>
      </w:pPr>
      <w:r w:rsidRPr="00537483">
        <w:rPr>
          <w:rFonts w:eastAsia="Arial"/>
        </w:rPr>
        <w:lastRenderedPageBreak/>
        <w:t>Table 6</w:t>
      </w:r>
      <w:r w:rsidR="00C26485">
        <w:rPr>
          <w:rFonts w:eastAsia="Arial"/>
        </w:rPr>
        <w:t>:</w:t>
      </w:r>
      <w:r w:rsidRPr="00537483">
        <w:rPr>
          <w:rFonts w:eastAsia="Arial"/>
        </w:rPr>
        <w:t xml:space="preserve"> Estimated Total Cost Reductions and States’ Share of Total Savings Resulting from Providing Basic Dental Coverage to Adults with I/DD, in States with Emergency-Only or No Coverage</w:t>
      </w:r>
    </w:p>
    <w:tbl>
      <w:tblPr>
        <w:tblStyle w:val="ListTable1LightAccent1"/>
        <w:tblW w:w="72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115" w:type="dxa"/>
          <w:bottom w:w="72" w:type="dxa"/>
          <w:right w:w="115" w:type="dxa"/>
        </w:tblCellMar>
        <w:tblLook w:val="0400" w:firstRow="0" w:lastRow="0" w:firstColumn="0" w:lastColumn="0" w:noHBand="0" w:noVBand="1"/>
        <w:tblDescription w:val="Table 6. Estimated Total Cost Reductions and States’ Share of Total Savings Resulting from Providing Basic Dental Coverage to Adults with I/DD, in States with Emergency-Only or No Coverage"/>
      </w:tblPr>
      <w:tblGrid>
        <w:gridCol w:w="2430"/>
        <w:gridCol w:w="2430"/>
        <w:gridCol w:w="2430"/>
      </w:tblGrid>
      <w:tr w:rsidR="000D4F98" w14:paraId="68820BAE" w14:textId="77777777" w:rsidTr="00925F70">
        <w:trPr>
          <w:trHeight w:val="324"/>
          <w:tblHeader/>
          <w:jc w:val="center"/>
        </w:trPr>
        <w:tc>
          <w:tcPr>
            <w:tcW w:w="0" w:type="dxa"/>
            <w:vAlign w:val="center"/>
          </w:tcPr>
          <w:p w14:paraId="5DC5CC22" w14:textId="77777777" w:rsidR="000D4F98" w:rsidRPr="000B4ED4" w:rsidRDefault="000D4F98" w:rsidP="004E689B">
            <w:pPr>
              <w:pStyle w:val="NCDTableHeader"/>
              <w:spacing w:before="60" w:after="60" w:line="240" w:lineRule="auto"/>
            </w:pPr>
            <w:r w:rsidRPr="000B4ED4">
              <w:t>State</w:t>
            </w:r>
          </w:p>
        </w:tc>
        <w:tc>
          <w:tcPr>
            <w:tcW w:w="0" w:type="dxa"/>
            <w:vAlign w:val="center"/>
          </w:tcPr>
          <w:p w14:paraId="08351C5B" w14:textId="248312E1" w:rsidR="000D4F98" w:rsidRPr="000B4ED4" w:rsidRDefault="00401D57" w:rsidP="004E689B">
            <w:pPr>
              <w:pStyle w:val="NCDTableHeader"/>
              <w:spacing w:before="60" w:after="60" w:line="240" w:lineRule="auto"/>
              <w:rPr>
                <w:color w:val="000000"/>
              </w:rPr>
            </w:pPr>
            <w:r w:rsidRPr="00401D57">
              <w:rPr>
                <w:color w:val="000000"/>
              </w:rPr>
              <w:t>Total Cost Savings</w:t>
            </w:r>
          </w:p>
        </w:tc>
        <w:tc>
          <w:tcPr>
            <w:tcW w:w="0" w:type="dxa"/>
            <w:vAlign w:val="center"/>
          </w:tcPr>
          <w:p w14:paraId="788D8707" w14:textId="3E1B6A52" w:rsidR="000D4F98" w:rsidRPr="000B4ED4" w:rsidRDefault="00401D57" w:rsidP="004E689B">
            <w:pPr>
              <w:pStyle w:val="NCDTableHeader"/>
              <w:spacing w:before="60" w:after="60" w:line="240" w:lineRule="auto"/>
              <w:rPr>
                <w:color w:val="000000"/>
              </w:rPr>
            </w:pPr>
            <w:r w:rsidRPr="00401D57">
              <w:rPr>
                <w:color w:val="000000"/>
              </w:rPr>
              <w:t>Cost Savings to State</w:t>
            </w:r>
          </w:p>
        </w:tc>
      </w:tr>
      <w:tr w:rsidR="000D4F98" w14:paraId="5E501839" w14:textId="77777777" w:rsidTr="004E689B">
        <w:trPr>
          <w:cnfStyle w:val="000000100000" w:firstRow="0" w:lastRow="0" w:firstColumn="0" w:lastColumn="0" w:oddVBand="0" w:evenVBand="0" w:oddHBand="1" w:evenHBand="0" w:firstRowFirstColumn="0" w:firstRowLastColumn="0" w:lastRowFirstColumn="0" w:lastRowLastColumn="0"/>
          <w:trHeight w:val="310"/>
          <w:jc w:val="center"/>
        </w:trPr>
        <w:tc>
          <w:tcPr>
            <w:tcW w:w="0" w:type="dxa"/>
          </w:tcPr>
          <w:p w14:paraId="600700E1" w14:textId="77777777" w:rsidR="000D4F98" w:rsidRPr="000B4ED4" w:rsidRDefault="000D4F98" w:rsidP="004E689B">
            <w:pPr>
              <w:pStyle w:val="NCDTableText"/>
              <w:spacing w:before="60" w:after="60" w:line="240" w:lineRule="auto"/>
              <w:rPr>
                <w:rFonts w:eastAsia="Arial"/>
                <w:color w:val="000000"/>
              </w:rPr>
            </w:pPr>
            <w:r w:rsidRPr="000B4ED4">
              <w:rPr>
                <w:rFonts w:eastAsia="Arial"/>
                <w:color w:val="000000"/>
              </w:rPr>
              <w:t>Alabama</w:t>
            </w:r>
          </w:p>
        </w:tc>
        <w:tc>
          <w:tcPr>
            <w:tcW w:w="0" w:type="dxa"/>
          </w:tcPr>
          <w:p w14:paraId="07B99C72" w14:textId="77777777" w:rsidR="000D4F98" w:rsidRPr="000B4ED4" w:rsidRDefault="000D4F98" w:rsidP="004E689B">
            <w:pPr>
              <w:pStyle w:val="NCDTableText"/>
              <w:spacing w:before="60" w:after="60" w:line="240" w:lineRule="auto"/>
              <w:ind w:right="432"/>
              <w:jc w:val="right"/>
              <w:rPr>
                <w:color w:val="000000"/>
              </w:rPr>
            </w:pPr>
            <w:r w:rsidRPr="000B4ED4">
              <w:rPr>
                <w:color w:val="000000"/>
              </w:rPr>
              <w:t xml:space="preserve">$3,475,205 </w:t>
            </w:r>
          </w:p>
        </w:tc>
        <w:tc>
          <w:tcPr>
            <w:tcW w:w="0" w:type="dxa"/>
          </w:tcPr>
          <w:p w14:paraId="76B379AF" w14:textId="77777777" w:rsidR="000D4F98" w:rsidRPr="000B4ED4" w:rsidRDefault="000D4F98" w:rsidP="004E689B">
            <w:pPr>
              <w:pStyle w:val="NCDTableText"/>
              <w:spacing w:before="60" w:after="60" w:line="240" w:lineRule="auto"/>
              <w:ind w:right="432"/>
              <w:jc w:val="right"/>
              <w:rPr>
                <w:color w:val="000000"/>
              </w:rPr>
            </w:pPr>
            <w:r w:rsidRPr="000B4ED4">
              <w:rPr>
                <w:color w:val="000000"/>
              </w:rPr>
              <w:t xml:space="preserve">$952,901 </w:t>
            </w:r>
          </w:p>
        </w:tc>
      </w:tr>
      <w:tr w:rsidR="000D4F98" w14:paraId="7BDF5617" w14:textId="77777777" w:rsidTr="004E689B">
        <w:trPr>
          <w:trHeight w:val="310"/>
          <w:jc w:val="center"/>
        </w:trPr>
        <w:tc>
          <w:tcPr>
            <w:tcW w:w="0" w:type="dxa"/>
          </w:tcPr>
          <w:p w14:paraId="41BE20E4" w14:textId="77777777" w:rsidR="000D4F98" w:rsidRPr="000B4ED4" w:rsidRDefault="000D4F98" w:rsidP="004E689B">
            <w:pPr>
              <w:pStyle w:val="NCDTableText"/>
              <w:spacing w:before="60" w:after="60" w:line="240" w:lineRule="auto"/>
              <w:rPr>
                <w:rFonts w:eastAsia="Arial"/>
                <w:color w:val="000000"/>
              </w:rPr>
            </w:pPr>
            <w:r w:rsidRPr="000B4ED4">
              <w:rPr>
                <w:rFonts w:eastAsia="Arial"/>
                <w:color w:val="000000"/>
              </w:rPr>
              <w:t>Arizona</w:t>
            </w:r>
          </w:p>
        </w:tc>
        <w:tc>
          <w:tcPr>
            <w:tcW w:w="0" w:type="dxa"/>
          </w:tcPr>
          <w:p w14:paraId="3600B108" w14:textId="77777777" w:rsidR="000D4F98" w:rsidRPr="000B4ED4" w:rsidRDefault="000D4F98" w:rsidP="004E689B">
            <w:pPr>
              <w:pStyle w:val="NCDTableText"/>
              <w:spacing w:before="60" w:after="60" w:line="240" w:lineRule="auto"/>
              <w:ind w:right="432"/>
              <w:jc w:val="right"/>
              <w:rPr>
                <w:color w:val="000000"/>
              </w:rPr>
            </w:pPr>
            <w:r w:rsidRPr="000B4ED4">
              <w:rPr>
                <w:color w:val="000000"/>
              </w:rPr>
              <w:t xml:space="preserve">$1,619,792 </w:t>
            </w:r>
          </w:p>
        </w:tc>
        <w:tc>
          <w:tcPr>
            <w:tcW w:w="0" w:type="dxa"/>
          </w:tcPr>
          <w:p w14:paraId="53945074" w14:textId="77777777" w:rsidR="000D4F98" w:rsidRPr="000B4ED4" w:rsidRDefault="000D4F98" w:rsidP="004E689B">
            <w:pPr>
              <w:pStyle w:val="NCDTableText"/>
              <w:spacing w:before="60" w:after="60" w:line="240" w:lineRule="auto"/>
              <w:ind w:right="432"/>
              <w:jc w:val="right"/>
              <w:rPr>
                <w:color w:val="000000"/>
              </w:rPr>
            </w:pPr>
            <w:r w:rsidRPr="000B4ED4">
              <w:rPr>
                <w:color w:val="000000"/>
              </w:rPr>
              <w:t xml:space="preserve">$485,776 </w:t>
            </w:r>
          </w:p>
        </w:tc>
      </w:tr>
      <w:tr w:rsidR="000D4F98" w14:paraId="0B2B5053" w14:textId="77777777" w:rsidTr="004E689B">
        <w:trPr>
          <w:cnfStyle w:val="000000100000" w:firstRow="0" w:lastRow="0" w:firstColumn="0" w:lastColumn="0" w:oddVBand="0" w:evenVBand="0" w:oddHBand="1" w:evenHBand="0" w:firstRowFirstColumn="0" w:firstRowLastColumn="0" w:lastRowFirstColumn="0" w:lastRowLastColumn="0"/>
          <w:trHeight w:val="310"/>
          <w:jc w:val="center"/>
        </w:trPr>
        <w:tc>
          <w:tcPr>
            <w:tcW w:w="0" w:type="dxa"/>
          </w:tcPr>
          <w:p w14:paraId="41F6BC66" w14:textId="77777777" w:rsidR="000D4F98" w:rsidRPr="000B4ED4" w:rsidRDefault="000D4F98" w:rsidP="004E689B">
            <w:pPr>
              <w:pStyle w:val="NCDTableText"/>
              <w:spacing w:before="60" w:after="60" w:line="240" w:lineRule="auto"/>
              <w:rPr>
                <w:rFonts w:eastAsia="Arial"/>
                <w:color w:val="000000"/>
              </w:rPr>
            </w:pPr>
            <w:r w:rsidRPr="000B4ED4">
              <w:rPr>
                <w:rFonts w:eastAsia="Arial"/>
                <w:color w:val="000000"/>
              </w:rPr>
              <w:t>Florida</w:t>
            </w:r>
          </w:p>
        </w:tc>
        <w:tc>
          <w:tcPr>
            <w:tcW w:w="0" w:type="dxa"/>
          </w:tcPr>
          <w:p w14:paraId="31A65B44" w14:textId="77777777" w:rsidR="000D4F98" w:rsidRPr="000B4ED4" w:rsidRDefault="000D4F98" w:rsidP="004E689B">
            <w:pPr>
              <w:pStyle w:val="NCDTableText"/>
              <w:spacing w:before="60" w:after="60" w:line="240" w:lineRule="auto"/>
              <w:ind w:right="432"/>
              <w:jc w:val="right"/>
              <w:rPr>
                <w:color w:val="000000"/>
              </w:rPr>
            </w:pPr>
            <w:r w:rsidRPr="000B4ED4">
              <w:rPr>
                <w:color w:val="000000"/>
              </w:rPr>
              <w:t xml:space="preserve">$2,130,424 </w:t>
            </w:r>
          </w:p>
        </w:tc>
        <w:tc>
          <w:tcPr>
            <w:tcW w:w="0" w:type="dxa"/>
          </w:tcPr>
          <w:p w14:paraId="5607FABF" w14:textId="77777777" w:rsidR="000D4F98" w:rsidRPr="000B4ED4" w:rsidRDefault="000D4F98" w:rsidP="004E689B">
            <w:pPr>
              <w:pStyle w:val="NCDTableText"/>
              <w:spacing w:before="60" w:after="60" w:line="240" w:lineRule="auto"/>
              <w:ind w:right="432"/>
              <w:jc w:val="right"/>
              <w:rPr>
                <w:color w:val="000000"/>
              </w:rPr>
            </w:pPr>
            <w:r w:rsidRPr="000B4ED4">
              <w:rPr>
                <w:color w:val="000000"/>
              </w:rPr>
              <w:t xml:space="preserve">$810,413 </w:t>
            </w:r>
          </w:p>
        </w:tc>
      </w:tr>
      <w:tr w:rsidR="000D4F98" w14:paraId="60EA4424" w14:textId="77777777" w:rsidTr="004E689B">
        <w:trPr>
          <w:trHeight w:val="310"/>
          <w:jc w:val="center"/>
        </w:trPr>
        <w:tc>
          <w:tcPr>
            <w:tcW w:w="0" w:type="dxa"/>
          </w:tcPr>
          <w:p w14:paraId="17B538F3" w14:textId="77777777" w:rsidR="000D4F98" w:rsidRPr="000B4ED4" w:rsidRDefault="000D4F98" w:rsidP="004E689B">
            <w:pPr>
              <w:pStyle w:val="NCDTableText"/>
              <w:spacing w:before="60" w:after="60" w:line="240" w:lineRule="auto"/>
              <w:rPr>
                <w:rFonts w:eastAsia="Arial"/>
                <w:color w:val="000000"/>
              </w:rPr>
            </w:pPr>
            <w:r w:rsidRPr="000B4ED4">
              <w:rPr>
                <w:rFonts w:eastAsia="Arial"/>
                <w:color w:val="000000"/>
              </w:rPr>
              <w:t>Georgia</w:t>
            </w:r>
          </w:p>
        </w:tc>
        <w:tc>
          <w:tcPr>
            <w:tcW w:w="0" w:type="dxa"/>
          </w:tcPr>
          <w:p w14:paraId="1E568FFB" w14:textId="77777777" w:rsidR="000D4F98" w:rsidRPr="000B4ED4" w:rsidRDefault="000D4F98" w:rsidP="004E689B">
            <w:pPr>
              <w:pStyle w:val="NCDTableText"/>
              <w:spacing w:before="60" w:after="60" w:line="240" w:lineRule="auto"/>
              <w:ind w:right="432"/>
              <w:jc w:val="right"/>
              <w:rPr>
                <w:color w:val="000000"/>
              </w:rPr>
            </w:pPr>
            <w:r w:rsidRPr="000B4ED4">
              <w:rPr>
                <w:color w:val="000000"/>
              </w:rPr>
              <w:t xml:space="preserve">$3,735,944 </w:t>
            </w:r>
          </w:p>
        </w:tc>
        <w:tc>
          <w:tcPr>
            <w:tcW w:w="0" w:type="dxa"/>
          </w:tcPr>
          <w:p w14:paraId="79DE5185" w14:textId="77777777" w:rsidR="000D4F98" w:rsidRPr="000B4ED4" w:rsidRDefault="000D4F98" w:rsidP="004E689B">
            <w:pPr>
              <w:pStyle w:val="NCDTableText"/>
              <w:spacing w:before="60" w:after="60" w:line="240" w:lineRule="auto"/>
              <w:ind w:right="432"/>
              <w:jc w:val="right"/>
              <w:rPr>
                <w:color w:val="000000"/>
              </w:rPr>
            </w:pPr>
            <w:r w:rsidRPr="000B4ED4">
              <w:rPr>
                <w:color w:val="000000"/>
              </w:rPr>
              <w:t xml:space="preserve">$1,231,741 </w:t>
            </w:r>
          </w:p>
        </w:tc>
      </w:tr>
      <w:tr w:rsidR="000D4F98" w14:paraId="24E15E6F" w14:textId="77777777" w:rsidTr="004E689B">
        <w:trPr>
          <w:cnfStyle w:val="000000100000" w:firstRow="0" w:lastRow="0" w:firstColumn="0" w:lastColumn="0" w:oddVBand="0" w:evenVBand="0" w:oddHBand="1" w:evenHBand="0" w:firstRowFirstColumn="0" w:firstRowLastColumn="0" w:lastRowFirstColumn="0" w:lastRowLastColumn="0"/>
          <w:trHeight w:val="310"/>
          <w:jc w:val="center"/>
        </w:trPr>
        <w:tc>
          <w:tcPr>
            <w:tcW w:w="0" w:type="dxa"/>
          </w:tcPr>
          <w:p w14:paraId="1644F76A" w14:textId="77777777" w:rsidR="000D4F98" w:rsidRPr="000B4ED4" w:rsidRDefault="000D4F98" w:rsidP="004E689B">
            <w:pPr>
              <w:pStyle w:val="NCDTableText"/>
              <w:spacing w:before="60" w:after="60" w:line="240" w:lineRule="auto"/>
              <w:rPr>
                <w:rFonts w:eastAsia="Arial"/>
                <w:color w:val="000000"/>
              </w:rPr>
            </w:pPr>
            <w:r w:rsidRPr="000B4ED4">
              <w:rPr>
                <w:rFonts w:eastAsia="Arial"/>
                <w:color w:val="000000"/>
              </w:rPr>
              <w:t>Hawaii</w:t>
            </w:r>
          </w:p>
        </w:tc>
        <w:tc>
          <w:tcPr>
            <w:tcW w:w="0" w:type="dxa"/>
          </w:tcPr>
          <w:p w14:paraId="6ED46B48" w14:textId="77777777" w:rsidR="000D4F98" w:rsidRPr="000B4ED4" w:rsidRDefault="000D4F98" w:rsidP="004E689B">
            <w:pPr>
              <w:pStyle w:val="NCDTableText"/>
              <w:spacing w:before="60" w:after="60" w:line="240" w:lineRule="auto"/>
              <w:ind w:right="432"/>
              <w:jc w:val="right"/>
              <w:rPr>
                <w:color w:val="000000"/>
              </w:rPr>
            </w:pPr>
            <w:r w:rsidRPr="000B4ED4">
              <w:rPr>
                <w:color w:val="000000"/>
              </w:rPr>
              <w:t xml:space="preserve">$649,142 </w:t>
            </w:r>
          </w:p>
        </w:tc>
        <w:tc>
          <w:tcPr>
            <w:tcW w:w="0" w:type="dxa"/>
          </w:tcPr>
          <w:p w14:paraId="662497D3" w14:textId="77777777" w:rsidR="000D4F98" w:rsidRPr="000B4ED4" w:rsidRDefault="000D4F98" w:rsidP="004E689B">
            <w:pPr>
              <w:pStyle w:val="NCDTableText"/>
              <w:spacing w:before="60" w:after="60" w:line="240" w:lineRule="auto"/>
              <w:ind w:right="432"/>
              <w:jc w:val="right"/>
              <w:rPr>
                <w:color w:val="000000"/>
              </w:rPr>
            </w:pPr>
            <w:r w:rsidRPr="000B4ED4">
              <w:rPr>
                <w:color w:val="000000"/>
              </w:rPr>
              <w:t xml:space="preserve">$304,967 </w:t>
            </w:r>
          </w:p>
        </w:tc>
      </w:tr>
      <w:tr w:rsidR="000D4F98" w14:paraId="2B5EDE50" w14:textId="77777777" w:rsidTr="004E689B">
        <w:trPr>
          <w:trHeight w:val="310"/>
          <w:jc w:val="center"/>
        </w:trPr>
        <w:tc>
          <w:tcPr>
            <w:tcW w:w="0" w:type="dxa"/>
          </w:tcPr>
          <w:p w14:paraId="74F08790" w14:textId="77777777" w:rsidR="000D4F98" w:rsidRPr="000B4ED4" w:rsidRDefault="000D4F98" w:rsidP="004E689B">
            <w:pPr>
              <w:pStyle w:val="NCDTableText"/>
              <w:spacing w:before="60" w:after="60" w:line="240" w:lineRule="auto"/>
              <w:rPr>
                <w:rFonts w:eastAsia="Arial"/>
                <w:color w:val="000000"/>
              </w:rPr>
            </w:pPr>
            <w:r w:rsidRPr="000B4ED4">
              <w:rPr>
                <w:rFonts w:eastAsia="Arial"/>
                <w:color w:val="000000"/>
              </w:rPr>
              <w:t>Maryland</w:t>
            </w:r>
          </w:p>
        </w:tc>
        <w:tc>
          <w:tcPr>
            <w:tcW w:w="0" w:type="dxa"/>
          </w:tcPr>
          <w:p w14:paraId="4A8D84D7" w14:textId="77777777" w:rsidR="000D4F98" w:rsidRPr="000B4ED4" w:rsidRDefault="000D4F98" w:rsidP="004E689B">
            <w:pPr>
              <w:pStyle w:val="NCDTableText"/>
              <w:spacing w:before="60" w:after="60" w:line="240" w:lineRule="auto"/>
              <w:ind w:right="432"/>
              <w:jc w:val="right"/>
              <w:rPr>
                <w:color w:val="000000"/>
              </w:rPr>
            </w:pPr>
            <w:r w:rsidRPr="000B4ED4">
              <w:rPr>
                <w:color w:val="000000"/>
              </w:rPr>
              <w:t xml:space="preserve">$4,233,956 </w:t>
            </w:r>
          </w:p>
        </w:tc>
        <w:tc>
          <w:tcPr>
            <w:tcW w:w="0" w:type="dxa"/>
          </w:tcPr>
          <w:p w14:paraId="322E0ABE" w14:textId="77777777" w:rsidR="000D4F98" w:rsidRPr="000B4ED4" w:rsidRDefault="000D4F98" w:rsidP="004E689B">
            <w:pPr>
              <w:pStyle w:val="NCDTableText"/>
              <w:spacing w:before="60" w:after="60" w:line="240" w:lineRule="auto"/>
              <w:ind w:right="432"/>
              <w:jc w:val="right"/>
              <w:rPr>
                <w:color w:val="000000"/>
              </w:rPr>
            </w:pPr>
            <w:r w:rsidRPr="000B4ED4">
              <w:rPr>
                <w:color w:val="000000"/>
              </w:rPr>
              <w:t xml:space="preserve">$2,116,978 </w:t>
            </w:r>
          </w:p>
        </w:tc>
      </w:tr>
      <w:tr w:rsidR="000D4F98" w14:paraId="3461E80F" w14:textId="77777777" w:rsidTr="004E689B">
        <w:trPr>
          <w:cnfStyle w:val="000000100000" w:firstRow="0" w:lastRow="0" w:firstColumn="0" w:lastColumn="0" w:oddVBand="0" w:evenVBand="0" w:oddHBand="1" w:evenHBand="0" w:firstRowFirstColumn="0" w:firstRowLastColumn="0" w:lastRowFirstColumn="0" w:lastRowLastColumn="0"/>
          <w:trHeight w:val="310"/>
          <w:jc w:val="center"/>
        </w:trPr>
        <w:tc>
          <w:tcPr>
            <w:tcW w:w="0" w:type="dxa"/>
          </w:tcPr>
          <w:p w14:paraId="71835AE2" w14:textId="77777777" w:rsidR="000D4F98" w:rsidRPr="000B4ED4" w:rsidRDefault="000D4F98" w:rsidP="004E689B">
            <w:pPr>
              <w:pStyle w:val="NCDTableText"/>
              <w:spacing w:before="60" w:after="60" w:line="240" w:lineRule="auto"/>
              <w:rPr>
                <w:rFonts w:eastAsia="Arial"/>
                <w:color w:val="000000"/>
              </w:rPr>
            </w:pPr>
            <w:r w:rsidRPr="000B4ED4">
              <w:rPr>
                <w:rFonts w:eastAsia="Arial"/>
                <w:color w:val="000000"/>
              </w:rPr>
              <w:t>Nevada</w:t>
            </w:r>
          </w:p>
        </w:tc>
        <w:tc>
          <w:tcPr>
            <w:tcW w:w="0" w:type="dxa"/>
          </w:tcPr>
          <w:p w14:paraId="5742764D" w14:textId="77777777" w:rsidR="000D4F98" w:rsidRPr="000B4ED4" w:rsidRDefault="000D4F98" w:rsidP="004E689B">
            <w:pPr>
              <w:pStyle w:val="NCDTableText"/>
              <w:spacing w:before="60" w:after="60" w:line="240" w:lineRule="auto"/>
              <w:ind w:right="432"/>
              <w:jc w:val="right"/>
              <w:rPr>
                <w:color w:val="000000"/>
              </w:rPr>
            </w:pPr>
            <w:r w:rsidRPr="000B4ED4">
              <w:rPr>
                <w:color w:val="000000"/>
              </w:rPr>
              <w:t xml:space="preserve">$700,984 </w:t>
            </w:r>
          </w:p>
        </w:tc>
        <w:tc>
          <w:tcPr>
            <w:tcW w:w="0" w:type="dxa"/>
          </w:tcPr>
          <w:p w14:paraId="2BC15EE3" w14:textId="77777777" w:rsidR="000D4F98" w:rsidRPr="000B4ED4" w:rsidRDefault="000D4F98" w:rsidP="004E689B">
            <w:pPr>
              <w:pStyle w:val="NCDTableText"/>
              <w:spacing w:before="60" w:after="60" w:line="240" w:lineRule="auto"/>
              <w:ind w:right="432"/>
              <w:jc w:val="right"/>
              <w:rPr>
                <w:color w:val="000000"/>
              </w:rPr>
            </w:pPr>
            <w:r w:rsidRPr="000B4ED4">
              <w:rPr>
                <w:color w:val="000000"/>
              </w:rPr>
              <w:t xml:space="preserve">$350,492 </w:t>
            </w:r>
          </w:p>
        </w:tc>
      </w:tr>
      <w:tr w:rsidR="000D4F98" w14:paraId="11F80A45" w14:textId="77777777" w:rsidTr="004E689B">
        <w:trPr>
          <w:trHeight w:val="310"/>
          <w:jc w:val="center"/>
        </w:trPr>
        <w:tc>
          <w:tcPr>
            <w:tcW w:w="0" w:type="dxa"/>
          </w:tcPr>
          <w:p w14:paraId="2B1046C4" w14:textId="77777777" w:rsidR="000D4F98" w:rsidRPr="000B4ED4" w:rsidRDefault="000D4F98" w:rsidP="004E689B">
            <w:pPr>
              <w:pStyle w:val="NCDTableText"/>
              <w:spacing w:before="60" w:after="60" w:line="240" w:lineRule="auto"/>
              <w:rPr>
                <w:rFonts w:eastAsia="Arial"/>
                <w:color w:val="000000"/>
              </w:rPr>
            </w:pPr>
            <w:r w:rsidRPr="000B4ED4">
              <w:rPr>
                <w:rFonts w:eastAsia="Arial"/>
                <w:color w:val="000000"/>
              </w:rPr>
              <w:t>New Hampshire</w:t>
            </w:r>
          </w:p>
        </w:tc>
        <w:tc>
          <w:tcPr>
            <w:tcW w:w="0" w:type="dxa"/>
          </w:tcPr>
          <w:p w14:paraId="2A779356" w14:textId="77777777" w:rsidR="000D4F98" w:rsidRPr="000B4ED4" w:rsidRDefault="000D4F98" w:rsidP="004E689B">
            <w:pPr>
              <w:pStyle w:val="NCDTableText"/>
              <w:spacing w:before="60" w:after="60" w:line="240" w:lineRule="auto"/>
              <w:ind w:right="432"/>
              <w:jc w:val="right"/>
              <w:rPr>
                <w:color w:val="000000"/>
              </w:rPr>
            </w:pPr>
            <w:r w:rsidRPr="000B4ED4">
              <w:rPr>
                <w:color w:val="000000"/>
              </w:rPr>
              <w:t xml:space="preserve">$770,919 </w:t>
            </w:r>
          </w:p>
        </w:tc>
        <w:tc>
          <w:tcPr>
            <w:tcW w:w="0" w:type="dxa"/>
          </w:tcPr>
          <w:p w14:paraId="485C24AE" w14:textId="77777777" w:rsidR="000D4F98" w:rsidRPr="000B4ED4" w:rsidRDefault="000D4F98" w:rsidP="004E689B">
            <w:pPr>
              <w:pStyle w:val="NCDTableText"/>
              <w:spacing w:before="60" w:after="60" w:line="240" w:lineRule="auto"/>
              <w:ind w:right="432"/>
              <w:jc w:val="right"/>
              <w:rPr>
                <w:color w:val="000000"/>
              </w:rPr>
            </w:pPr>
            <w:r w:rsidRPr="000B4ED4">
              <w:rPr>
                <w:color w:val="000000"/>
              </w:rPr>
              <w:t xml:space="preserve">$282,927 </w:t>
            </w:r>
          </w:p>
        </w:tc>
      </w:tr>
      <w:tr w:rsidR="000D4F98" w14:paraId="23A0DFB3" w14:textId="77777777" w:rsidTr="004E689B">
        <w:trPr>
          <w:cnfStyle w:val="000000100000" w:firstRow="0" w:lastRow="0" w:firstColumn="0" w:lastColumn="0" w:oddVBand="0" w:evenVBand="0" w:oddHBand="1" w:evenHBand="0" w:firstRowFirstColumn="0" w:firstRowLastColumn="0" w:lastRowFirstColumn="0" w:lastRowLastColumn="0"/>
          <w:trHeight w:val="310"/>
          <w:jc w:val="center"/>
        </w:trPr>
        <w:tc>
          <w:tcPr>
            <w:tcW w:w="0" w:type="dxa"/>
          </w:tcPr>
          <w:p w14:paraId="73AEB17C" w14:textId="77777777" w:rsidR="000D4F98" w:rsidRPr="000B4ED4" w:rsidRDefault="000D4F98" w:rsidP="004E689B">
            <w:pPr>
              <w:pStyle w:val="NCDTableText"/>
              <w:spacing w:before="60" w:after="60" w:line="240" w:lineRule="auto"/>
              <w:rPr>
                <w:rFonts w:eastAsia="Arial"/>
                <w:color w:val="000000"/>
              </w:rPr>
            </w:pPr>
            <w:r w:rsidRPr="000B4ED4">
              <w:rPr>
                <w:rFonts w:eastAsia="Arial"/>
                <w:color w:val="000000"/>
              </w:rPr>
              <w:t>Oklahoma</w:t>
            </w:r>
          </w:p>
        </w:tc>
        <w:tc>
          <w:tcPr>
            <w:tcW w:w="0" w:type="dxa"/>
          </w:tcPr>
          <w:p w14:paraId="0FDBD9A3" w14:textId="77777777" w:rsidR="000D4F98" w:rsidRPr="000B4ED4" w:rsidRDefault="000D4F98" w:rsidP="004E689B">
            <w:pPr>
              <w:pStyle w:val="NCDTableText"/>
              <w:spacing w:before="60" w:after="60" w:line="240" w:lineRule="auto"/>
              <w:ind w:right="432"/>
              <w:jc w:val="right"/>
              <w:rPr>
                <w:color w:val="000000"/>
              </w:rPr>
            </w:pPr>
            <w:r w:rsidRPr="000B4ED4">
              <w:rPr>
                <w:color w:val="000000"/>
              </w:rPr>
              <w:t xml:space="preserve">$210,330 </w:t>
            </w:r>
          </w:p>
        </w:tc>
        <w:tc>
          <w:tcPr>
            <w:tcW w:w="0" w:type="dxa"/>
          </w:tcPr>
          <w:p w14:paraId="0038F1CC" w14:textId="77777777" w:rsidR="000D4F98" w:rsidRPr="000B4ED4" w:rsidRDefault="000D4F98" w:rsidP="004E689B">
            <w:pPr>
              <w:pStyle w:val="NCDTableText"/>
              <w:spacing w:before="60" w:after="60" w:line="240" w:lineRule="auto"/>
              <w:ind w:right="432"/>
              <w:jc w:val="right"/>
              <w:rPr>
                <w:color w:val="000000"/>
              </w:rPr>
            </w:pPr>
            <w:r w:rsidRPr="000B4ED4">
              <w:rPr>
                <w:color w:val="000000"/>
              </w:rPr>
              <w:t xml:space="preserve">$67,327 </w:t>
            </w:r>
          </w:p>
        </w:tc>
      </w:tr>
      <w:tr w:rsidR="000D4F98" w14:paraId="55DD39D0" w14:textId="77777777" w:rsidTr="004E689B">
        <w:trPr>
          <w:trHeight w:val="310"/>
          <w:jc w:val="center"/>
        </w:trPr>
        <w:tc>
          <w:tcPr>
            <w:tcW w:w="0" w:type="dxa"/>
          </w:tcPr>
          <w:p w14:paraId="6DB29F88" w14:textId="77777777" w:rsidR="000D4F98" w:rsidRPr="000B4ED4" w:rsidRDefault="000D4F98" w:rsidP="004E689B">
            <w:pPr>
              <w:pStyle w:val="NCDTableText"/>
              <w:spacing w:before="60" w:after="60" w:line="240" w:lineRule="auto"/>
              <w:rPr>
                <w:rFonts w:eastAsia="Arial"/>
                <w:color w:val="000000"/>
              </w:rPr>
            </w:pPr>
            <w:r w:rsidRPr="000B4ED4">
              <w:rPr>
                <w:rFonts w:eastAsia="Arial"/>
                <w:color w:val="000000"/>
              </w:rPr>
              <w:t>Tennessee</w:t>
            </w:r>
          </w:p>
        </w:tc>
        <w:tc>
          <w:tcPr>
            <w:tcW w:w="0" w:type="dxa"/>
          </w:tcPr>
          <w:p w14:paraId="789F13E5" w14:textId="77777777" w:rsidR="000D4F98" w:rsidRPr="000B4ED4" w:rsidRDefault="000D4F98" w:rsidP="004E689B">
            <w:pPr>
              <w:pStyle w:val="NCDTableText"/>
              <w:spacing w:before="60" w:after="60" w:line="240" w:lineRule="auto"/>
              <w:ind w:right="432"/>
              <w:jc w:val="right"/>
              <w:rPr>
                <w:color w:val="000000"/>
              </w:rPr>
            </w:pPr>
            <w:r w:rsidRPr="000B4ED4">
              <w:rPr>
                <w:color w:val="000000"/>
              </w:rPr>
              <w:t xml:space="preserve">$1,626,656 </w:t>
            </w:r>
          </w:p>
        </w:tc>
        <w:tc>
          <w:tcPr>
            <w:tcW w:w="0" w:type="dxa"/>
          </w:tcPr>
          <w:p w14:paraId="09CB4330" w14:textId="77777777" w:rsidR="000D4F98" w:rsidRPr="000B4ED4" w:rsidRDefault="000D4F98" w:rsidP="004E689B">
            <w:pPr>
              <w:pStyle w:val="NCDTableText"/>
              <w:spacing w:before="60" w:after="60" w:line="240" w:lineRule="auto"/>
              <w:ind w:right="432"/>
              <w:jc w:val="right"/>
              <w:rPr>
                <w:color w:val="000000"/>
              </w:rPr>
            </w:pPr>
            <w:r w:rsidRPr="000B4ED4">
              <w:rPr>
                <w:color w:val="000000"/>
              </w:rPr>
              <w:t xml:space="preserve">$551,436 </w:t>
            </w:r>
          </w:p>
        </w:tc>
      </w:tr>
      <w:tr w:rsidR="000D4F98" w14:paraId="65B5D067" w14:textId="77777777" w:rsidTr="004E689B">
        <w:trPr>
          <w:cnfStyle w:val="000000100000" w:firstRow="0" w:lastRow="0" w:firstColumn="0" w:lastColumn="0" w:oddVBand="0" w:evenVBand="0" w:oddHBand="1" w:evenHBand="0" w:firstRowFirstColumn="0" w:firstRowLastColumn="0" w:lastRowFirstColumn="0" w:lastRowLastColumn="0"/>
          <w:trHeight w:val="310"/>
          <w:jc w:val="center"/>
        </w:trPr>
        <w:tc>
          <w:tcPr>
            <w:tcW w:w="0" w:type="dxa"/>
          </w:tcPr>
          <w:p w14:paraId="22FFD54E" w14:textId="77777777" w:rsidR="000D4F98" w:rsidRPr="000B4ED4" w:rsidRDefault="000D4F98" w:rsidP="004E689B">
            <w:pPr>
              <w:pStyle w:val="NCDTableText"/>
              <w:spacing w:before="60" w:after="60" w:line="240" w:lineRule="auto"/>
              <w:rPr>
                <w:rFonts w:eastAsia="Arial"/>
                <w:color w:val="000000"/>
              </w:rPr>
            </w:pPr>
            <w:r w:rsidRPr="000B4ED4">
              <w:rPr>
                <w:rFonts w:eastAsia="Arial"/>
                <w:color w:val="000000"/>
              </w:rPr>
              <w:t>Texas</w:t>
            </w:r>
          </w:p>
        </w:tc>
        <w:tc>
          <w:tcPr>
            <w:tcW w:w="0" w:type="dxa"/>
          </w:tcPr>
          <w:p w14:paraId="4BA6C4A9" w14:textId="77777777" w:rsidR="000D4F98" w:rsidRPr="000B4ED4" w:rsidRDefault="000D4F98" w:rsidP="004E689B">
            <w:pPr>
              <w:pStyle w:val="NCDTableText"/>
              <w:spacing w:before="60" w:after="60" w:line="240" w:lineRule="auto"/>
              <w:ind w:right="432"/>
              <w:jc w:val="right"/>
              <w:rPr>
                <w:color w:val="000000"/>
              </w:rPr>
            </w:pPr>
            <w:r w:rsidRPr="000B4ED4">
              <w:rPr>
                <w:color w:val="000000"/>
              </w:rPr>
              <w:t xml:space="preserve">$6,511,649 </w:t>
            </w:r>
          </w:p>
        </w:tc>
        <w:tc>
          <w:tcPr>
            <w:tcW w:w="0" w:type="dxa"/>
          </w:tcPr>
          <w:p w14:paraId="57D3717E" w14:textId="77777777" w:rsidR="000D4F98" w:rsidRPr="000B4ED4" w:rsidRDefault="000D4F98" w:rsidP="004E689B">
            <w:pPr>
              <w:pStyle w:val="NCDTableText"/>
              <w:spacing w:before="60" w:after="60" w:line="240" w:lineRule="auto"/>
              <w:ind w:right="432"/>
              <w:jc w:val="right"/>
              <w:rPr>
                <w:color w:val="000000"/>
              </w:rPr>
            </w:pPr>
            <w:r w:rsidRPr="000B4ED4">
              <w:rPr>
                <w:color w:val="000000"/>
              </w:rPr>
              <w:t xml:space="preserve">$2,486,799 </w:t>
            </w:r>
          </w:p>
        </w:tc>
      </w:tr>
      <w:tr w:rsidR="000D4F98" w14:paraId="18EBC040" w14:textId="77777777" w:rsidTr="004E689B">
        <w:trPr>
          <w:trHeight w:val="370"/>
          <w:jc w:val="center"/>
        </w:trPr>
        <w:tc>
          <w:tcPr>
            <w:tcW w:w="0" w:type="dxa"/>
          </w:tcPr>
          <w:p w14:paraId="0B08F343" w14:textId="77777777" w:rsidR="000D4F98" w:rsidRPr="000B4ED4" w:rsidRDefault="000D4F98" w:rsidP="004E689B">
            <w:pPr>
              <w:pStyle w:val="NCDTableText"/>
              <w:spacing w:before="60" w:after="60" w:line="240" w:lineRule="auto"/>
              <w:rPr>
                <w:rFonts w:eastAsia="Arial"/>
                <w:color w:val="000000"/>
              </w:rPr>
            </w:pPr>
            <w:r w:rsidRPr="000B4ED4">
              <w:rPr>
                <w:rFonts w:eastAsia="Arial"/>
                <w:color w:val="000000"/>
              </w:rPr>
              <w:t>Utah</w:t>
            </w:r>
          </w:p>
        </w:tc>
        <w:tc>
          <w:tcPr>
            <w:tcW w:w="0" w:type="dxa"/>
          </w:tcPr>
          <w:p w14:paraId="7168FDC5" w14:textId="77777777" w:rsidR="000D4F98" w:rsidRPr="000B4ED4" w:rsidRDefault="000D4F98" w:rsidP="004E689B">
            <w:pPr>
              <w:pStyle w:val="NCDTableText"/>
              <w:spacing w:before="60" w:after="60" w:line="240" w:lineRule="auto"/>
              <w:ind w:right="432"/>
              <w:jc w:val="right"/>
              <w:rPr>
                <w:color w:val="000000"/>
              </w:rPr>
            </w:pPr>
            <w:r w:rsidRPr="000B4ED4">
              <w:rPr>
                <w:color w:val="000000"/>
              </w:rPr>
              <w:t xml:space="preserve">$1,615,682 </w:t>
            </w:r>
          </w:p>
        </w:tc>
        <w:tc>
          <w:tcPr>
            <w:tcW w:w="0" w:type="dxa"/>
          </w:tcPr>
          <w:p w14:paraId="63DC63C1" w14:textId="77777777" w:rsidR="000D4F98" w:rsidRPr="000B4ED4" w:rsidRDefault="000D4F98" w:rsidP="004E689B">
            <w:pPr>
              <w:pStyle w:val="NCDTableText"/>
              <w:spacing w:before="60" w:after="60" w:line="240" w:lineRule="auto"/>
              <w:ind w:right="432"/>
              <w:jc w:val="right"/>
              <w:rPr>
                <w:color w:val="000000"/>
              </w:rPr>
            </w:pPr>
            <w:r w:rsidRPr="000B4ED4">
              <w:rPr>
                <w:color w:val="000000"/>
              </w:rPr>
              <w:t xml:space="preserve">$524,773 </w:t>
            </w:r>
          </w:p>
        </w:tc>
      </w:tr>
      <w:tr w:rsidR="000D4F98" w14:paraId="6DF4C222" w14:textId="77777777" w:rsidTr="004E689B">
        <w:trPr>
          <w:cnfStyle w:val="000000100000" w:firstRow="0" w:lastRow="0" w:firstColumn="0" w:lastColumn="0" w:oddVBand="0" w:evenVBand="0" w:oddHBand="1" w:evenHBand="0" w:firstRowFirstColumn="0" w:firstRowLastColumn="0" w:lastRowFirstColumn="0" w:lastRowLastColumn="0"/>
          <w:trHeight w:val="400"/>
          <w:jc w:val="center"/>
        </w:trPr>
        <w:tc>
          <w:tcPr>
            <w:tcW w:w="0" w:type="dxa"/>
          </w:tcPr>
          <w:p w14:paraId="273B28A0" w14:textId="771898D9" w:rsidR="000D4F98" w:rsidRPr="000B4ED4" w:rsidRDefault="00401D57" w:rsidP="004E689B">
            <w:pPr>
              <w:pStyle w:val="NCDTableText"/>
              <w:spacing w:before="60" w:after="60" w:line="240" w:lineRule="auto"/>
              <w:rPr>
                <w:rFonts w:eastAsia="Arial"/>
                <w:b/>
                <w:color w:val="000000"/>
              </w:rPr>
            </w:pPr>
            <w:r w:rsidRPr="00401D57">
              <w:rPr>
                <w:rFonts w:eastAsia="Arial"/>
                <w:b/>
                <w:color w:val="000000"/>
              </w:rPr>
              <w:t>Total</w:t>
            </w:r>
          </w:p>
        </w:tc>
        <w:tc>
          <w:tcPr>
            <w:tcW w:w="0" w:type="dxa"/>
          </w:tcPr>
          <w:p w14:paraId="23923FA5" w14:textId="77777777" w:rsidR="000D4F98" w:rsidRPr="000B4ED4" w:rsidRDefault="000D4F98" w:rsidP="004E689B">
            <w:pPr>
              <w:pStyle w:val="NCDTableText"/>
              <w:spacing w:before="60" w:after="60" w:line="240" w:lineRule="auto"/>
              <w:ind w:right="432"/>
              <w:jc w:val="right"/>
              <w:rPr>
                <w:color w:val="000000"/>
              </w:rPr>
            </w:pPr>
            <w:r w:rsidRPr="000B4ED4">
              <w:rPr>
                <w:color w:val="000000"/>
              </w:rPr>
              <w:t xml:space="preserve">$27,280,683 </w:t>
            </w:r>
          </w:p>
        </w:tc>
        <w:tc>
          <w:tcPr>
            <w:tcW w:w="0" w:type="dxa"/>
          </w:tcPr>
          <w:p w14:paraId="3CA0554A" w14:textId="77777777" w:rsidR="000D4F98" w:rsidRPr="000B4ED4" w:rsidRDefault="000D4F98" w:rsidP="004E689B">
            <w:pPr>
              <w:pStyle w:val="NCDTableText"/>
              <w:spacing w:before="60" w:after="60" w:line="240" w:lineRule="auto"/>
              <w:ind w:right="432"/>
              <w:jc w:val="right"/>
              <w:rPr>
                <w:color w:val="000000"/>
              </w:rPr>
            </w:pPr>
            <w:r w:rsidRPr="000B4ED4">
              <w:rPr>
                <w:color w:val="000000"/>
              </w:rPr>
              <w:t xml:space="preserve">$10,166,530 </w:t>
            </w:r>
          </w:p>
        </w:tc>
      </w:tr>
    </w:tbl>
    <w:p w14:paraId="66B3C2DE" w14:textId="77777777" w:rsidR="000D4F98" w:rsidRPr="00537483" w:rsidRDefault="000D4F98" w:rsidP="00F61DDA">
      <w:pPr>
        <w:pStyle w:val="NCDBodyText"/>
        <w:spacing w:before="200"/>
      </w:pPr>
      <w:r w:rsidRPr="00257D88">
        <w:rPr>
          <w:i/>
        </w:rPr>
        <w:t>Return on Investment</w:t>
      </w:r>
      <w:r>
        <w:t xml:space="preserve">. To calculate the ROI, NCD subtracted the cost of providing dental coverage from the savings that would result from providing dental coverage (Table 7). The estimates demonstrate that the total ROI would be $7.7 million. States’ share of the ROI would be close to $3 million. States’ ROIs vary substantially. For example, Oklahoma would have an ROI of about $15,000, while Maryland would have an ROI of about $830,000. In only Nevada would the cost of implementing a dental benefit exceed savings by a minimal amount. Nevada is estimated to spend only an </w:t>
      </w:r>
      <w:r>
        <w:lastRenderedPageBreak/>
        <w:t>additional $60,000 from implementing a Medicaid dental benefit for adults with I/DD, in exchange for having the preventive dental care of its adult citizens with I/DD covered.</w:t>
      </w:r>
    </w:p>
    <w:p w14:paraId="6E85F8FB" w14:textId="1FB6D17D" w:rsidR="000D4F98" w:rsidRPr="00537483" w:rsidRDefault="000D4F98" w:rsidP="00F61DDA">
      <w:pPr>
        <w:pStyle w:val="NCDTableHeader"/>
        <w:spacing w:after="200"/>
        <w:rPr>
          <w:rFonts w:eastAsia="Arial"/>
        </w:rPr>
      </w:pPr>
      <w:r w:rsidRPr="00537483">
        <w:rPr>
          <w:rFonts w:eastAsia="Arial"/>
        </w:rPr>
        <w:t>Table 7</w:t>
      </w:r>
      <w:r w:rsidR="00C26485">
        <w:rPr>
          <w:rFonts w:eastAsia="Arial"/>
        </w:rPr>
        <w:t>:</w:t>
      </w:r>
      <w:r w:rsidRPr="00537483">
        <w:rPr>
          <w:rFonts w:eastAsia="Arial"/>
        </w:rPr>
        <w:t xml:space="preserve"> Total Return on Investment and Return on Investment by State of Providing Basic Dental Coverage in States that Currently Have No or Emergency-Only Medicaid Dental Coverage for Adults with I/DD</w:t>
      </w:r>
    </w:p>
    <w:tbl>
      <w:tblPr>
        <w:tblStyle w:val="ListTable1LightAccent1"/>
        <w:tblW w:w="92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115" w:type="dxa"/>
          <w:bottom w:w="72" w:type="dxa"/>
          <w:right w:w="115" w:type="dxa"/>
        </w:tblCellMar>
        <w:tblLook w:val="0400" w:firstRow="0" w:lastRow="0" w:firstColumn="0" w:lastColumn="0" w:noHBand="0" w:noVBand="1"/>
        <w:tblDescription w:val="Table 7. Total Return on Investment and Return on Investment by State of Providing Basic Dental Coverage in States that Currently Have No or Emergency-Only Medicaid Dental Coverage for Adults with I/DD"/>
      </w:tblPr>
      <w:tblGrid>
        <w:gridCol w:w="3090"/>
        <w:gridCol w:w="3090"/>
        <w:gridCol w:w="3090"/>
      </w:tblGrid>
      <w:tr w:rsidR="000D4F98" w14:paraId="4442794F" w14:textId="77777777" w:rsidTr="0005401E">
        <w:trPr>
          <w:trHeight w:val="288"/>
          <w:tblHeader/>
          <w:jc w:val="center"/>
        </w:trPr>
        <w:tc>
          <w:tcPr>
            <w:tcW w:w="3090" w:type="dxa"/>
          </w:tcPr>
          <w:p w14:paraId="3362B330" w14:textId="6F5DE51E" w:rsidR="000D4F98" w:rsidRPr="000B4ED4" w:rsidRDefault="00401D57" w:rsidP="004E689B">
            <w:pPr>
              <w:pStyle w:val="NCDTableHeader"/>
              <w:spacing w:before="60" w:after="60" w:line="240" w:lineRule="auto"/>
              <w:rPr>
                <w:rFonts w:eastAsia="Arial"/>
              </w:rPr>
            </w:pPr>
            <w:r w:rsidRPr="00401D57">
              <w:rPr>
                <w:rFonts w:eastAsia="Arial"/>
              </w:rPr>
              <w:t>State</w:t>
            </w:r>
          </w:p>
        </w:tc>
        <w:tc>
          <w:tcPr>
            <w:tcW w:w="3090" w:type="dxa"/>
            <w:vAlign w:val="bottom"/>
          </w:tcPr>
          <w:p w14:paraId="6C80F893" w14:textId="1E4F2860" w:rsidR="000D4F98" w:rsidRPr="00537483" w:rsidRDefault="00401D57" w:rsidP="004E689B">
            <w:pPr>
              <w:pStyle w:val="NCDTableHeader"/>
              <w:spacing w:before="60" w:after="60" w:line="240" w:lineRule="auto"/>
              <w:jc w:val="center"/>
              <w:rPr>
                <w:rFonts w:eastAsia="Arial"/>
                <w:color w:val="000000"/>
              </w:rPr>
            </w:pPr>
            <w:r w:rsidRPr="00401D57">
              <w:rPr>
                <w:rFonts w:eastAsia="Arial"/>
                <w:color w:val="000000"/>
              </w:rPr>
              <w:t>Total Return on Investment</w:t>
            </w:r>
          </w:p>
          <w:p w14:paraId="2ACD0BD3" w14:textId="48B29A87" w:rsidR="000D4F98" w:rsidRPr="000B4ED4" w:rsidRDefault="00401D57" w:rsidP="004E689B">
            <w:pPr>
              <w:pStyle w:val="NCDTableHeader"/>
              <w:spacing w:before="60" w:after="60" w:line="240" w:lineRule="auto"/>
              <w:jc w:val="center"/>
              <w:rPr>
                <w:rFonts w:eastAsia="Arial"/>
                <w:color w:val="000000"/>
              </w:rPr>
            </w:pPr>
            <w:r w:rsidRPr="00401D57">
              <w:rPr>
                <w:rFonts w:eastAsia="Arial"/>
                <w:color w:val="000000"/>
              </w:rPr>
              <w:t>(Cost – Cost Reduction)</w:t>
            </w:r>
          </w:p>
        </w:tc>
        <w:tc>
          <w:tcPr>
            <w:tcW w:w="3090" w:type="dxa"/>
            <w:vAlign w:val="bottom"/>
          </w:tcPr>
          <w:p w14:paraId="174B7133" w14:textId="321508CD" w:rsidR="000D4F98" w:rsidRPr="000B4ED4" w:rsidRDefault="00401D57" w:rsidP="004E689B">
            <w:pPr>
              <w:pStyle w:val="NCDTableHeader"/>
              <w:spacing w:before="60" w:after="60" w:line="240" w:lineRule="auto"/>
              <w:jc w:val="center"/>
              <w:rPr>
                <w:rFonts w:eastAsia="Arial"/>
                <w:color w:val="000000"/>
              </w:rPr>
            </w:pPr>
            <w:r w:rsidRPr="00401D57">
              <w:rPr>
                <w:rFonts w:eastAsia="Arial"/>
                <w:color w:val="000000"/>
              </w:rPr>
              <w:t>Share of ROI for States</w:t>
            </w:r>
          </w:p>
        </w:tc>
      </w:tr>
      <w:tr w:rsidR="000D4F98" w14:paraId="4E102883" w14:textId="77777777" w:rsidTr="0005401E">
        <w:trPr>
          <w:cnfStyle w:val="000000100000" w:firstRow="0" w:lastRow="0" w:firstColumn="0" w:lastColumn="0" w:oddVBand="0" w:evenVBand="0" w:oddHBand="1" w:evenHBand="0" w:firstRowFirstColumn="0" w:firstRowLastColumn="0" w:lastRowFirstColumn="0" w:lastRowLastColumn="0"/>
          <w:trHeight w:val="288"/>
          <w:jc w:val="center"/>
          <w:hidden/>
        </w:trPr>
        <w:tc>
          <w:tcPr>
            <w:tcW w:w="3090" w:type="dxa"/>
          </w:tcPr>
          <w:p w14:paraId="4534A5FD" w14:textId="291A511D" w:rsidR="000D4F98" w:rsidRPr="00925F70" w:rsidRDefault="000D4F98" w:rsidP="004E689B">
            <w:pPr>
              <w:pStyle w:val="NCDTableText"/>
              <w:spacing w:before="60" w:after="60" w:line="240" w:lineRule="auto"/>
              <w:rPr>
                <w:rFonts w:eastAsia="Arial"/>
                <w:vanish/>
              </w:rPr>
            </w:pPr>
          </w:p>
        </w:tc>
        <w:tc>
          <w:tcPr>
            <w:tcW w:w="3090" w:type="dxa"/>
          </w:tcPr>
          <w:p w14:paraId="0FD0B008" w14:textId="1F4002EE" w:rsidR="000D4F98" w:rsidRPr="000B4ED4" w:rsidRDefault="000D4F98" w:rsidP="004E689B">
            <w:pPr>
              <w:pStyle w:val="NCDTableText"/>
              <w:spacing w:before="60" w:after="60" w:line="240" w:lineRule="auto"/>
              <w:ind w:right="720"/>
              <w:rPr>
                <w:rFonts w:eastAsia="Arial"/>
                <w:b/>
                <w:color w:val="000000"/>
              </w:rPr>
            </w:pPr>
          </w:p>
        </w:tc>
        <w:tc>
          <w:tcPr>
            <w:tcW w:w="3090" w:type="dxa"/>
          </w:tcPr>
          <w:p w14:paraId="53FDE392" w14:textId="77777777" w:rsidR="000D4F98" w:rsidRPr="000B4ED4" w:rsidRDefault="000D4F98" w:rsidP="004E689B">
            <w:pPr>
              <w:pStyle w:val="NCDTableText"/>
              <w:spacing w:before="60" w:after="60" w:line="240" w:lineRule="auto"/>
              <w:ind w:right="720"/>
              <w:rPr>
                <w:rFonts w:eastAsia="Arial"/>
                <w:b/>
                <w:color w:val="000000"/>
              </w:rPr>
            </w:pPr>
          </w:p>
        </w:tc>
      </w:tr>
      <w:tr w:rsidR="000D4F98" w14:paraId="67B56543" w14:textId="77777777" w:rsidTr="0005401E">
        <w:trPr>
          <w:trHeight w:val="310"/>
          <w:jc w:val="center"/>
        </w:trPr>
        <w:tc>
          <w:tcPr>
            <w:tcW w:w="3090" w:type="dxa"/>
          </w:tcPr>
          <w:p w14:paraId="5CEF0693" w14:textId="77777777" w:rsidR="000D4F98" w:rsidRPr="000B4ED4" w:rsidRDefault="000D4F98" w:rsidP="004E689B">
            <w:pPr>
              <w:pStyle w:val="NCDTableText"/>
              <w:spacing w:before="60" w:after="60" w:line="240" w:lineRule="auto"/>
              <w:rPr>
                <w:rFonts w:eastAsia="Arial"/>
              </w:rPr>
            </w:pPr>
            <w:r w:rsidRPr="000B4ED4">
              <w:rPr>
                <w:rFonts w:eastAsia="Arial"/>
              </w:rPr>
              <w:t>Alabama</w:t>
            </w:r>
          </w:p>
        </w:tc>
        <w:tc>
          <w:tcPr>
            <w:tcW w:w="3090" w:type="dxa"/>
          </w:tcPr>
          <w:p w14:paraId="58DC1F33" w14:textId="77777777" w:rsidR="000D4F98" w:rsidRPr="000B4ED4" w:rsidRDefault="000D4F98" w:rsidP="004E689B">
            <w:pPr>
              <w:pStyle w:val="NCDTableText"/>
              <w:spacing w:before="60" w:after="60" w:line="240" w:lineRule="auto"/>
              <w:ind w:right="720"/>
              <w:jc w:val="right"/>
              <w:rPr>
                <w:rFonts w:eastAsia="Arial"/>
              </w:rPr>
            </w:pPr>
            <w:r w:rsidRPr="000B4ED4">
              <w:rPr>
                <w:rFonts w:eastAsia="Arial"/>
              </w:rPr>
              <w:t xml:space="preserve">$1,184,785 </w:t>
            </w:r>
          </w:p>
        </w:tc>
        <w:tc>
          <w:tcPr>
            <w:tcW w:w="3090" w:type="dxa"/>
          </w:tcPr>
          <w:p w14:paraId="0FA5D3A7" w14:textId="77777777" w:rsidR="000D4F98" w:rsidRPr="000B4ED4" w:rsidRDefault="000D4F98" w:rsidP="004E689B">
            <w:pPr>
              <w:pStyle w:val="NCDTableText"/>
              <w:spacing w:before="60" w:after="60" w:line="240" w:lineRule="auto"/>
              <w:ind w:right="720"/>
              <w:jc w:val="right"/>
              <w:rPr>
                <w:rFonts w:eastAsia="Arial"/>
              </w:rPr>
            </w:pPr>
            <w:r w:rsidRPr="000B4ED4">
              <w:t>$324,868</w:t>
            </w:r>
          </w:p>
        </w:tc>
      </w:tr>
      <w:tr w:rsidR="000D4F98" w14:paraId="612CC633" w14:textId="77777777" w:rsidTr="0005401E">
        <w:trPr>
          <w:cnfStyle w:val="000000100000" w:firstRow="0" w:lastRow="0" w:firstColumn="0" w:lastColumn="0" w:oddVBand="0" w:evenVBand="0" w:oddHBand="1" w:evenHBand="0" w:firstRowFirstColumn="0" w:firstRowLastColumn="0" w:lastRowFirstColumn="0" w:lastRowLastColumn="0"/>
          <w:trHeight w:val="310"/>
          <w:jc w:val="center"/>
        </w:trPr>
        <w:tc>
          <w:tcPr>
            <w:tcW w:w="3090" w:type="dxa"/>
          </w:tcPr>
          <w:p w14:paraId="34FAB300" w14:textId="77777777" w:rsidR="000D4F98" w:rsidRPr="000B4ED4" w:rsidRDefault="000D4F98" w:rsidP="004E689B">
            <w:pPr>
              <w:pStyle w:val="NCDTableText"/>
              <w:spacing w:before="60" w:after="60" w:line="240" w:lineRule="auto"/>
              <w:rPr>
                <w:rFonts w:eastAsia="Arial"/>
              </w:rPr>
            </w:pPr>
            <w:r w:rsidRPr="000B4ED4">
              <w:rPr>
                <w:rFonts w:eastAsia="Arial"/>
              </w:rPr>
              <w:t>Arizona</w:t>
            </w:r>
          </w:p>
        </w:tc>
        <w:tc>
          <w:tcPr>
            <w:tcW w:w="3090" w:type="dxa"/>
          </w:tcPr>
          <w:p w14:paraId="10B1E3EA" w14:textId="77777777" w:rsidR="000D4F98" w:rsidRPr="000B4ED4" w:rsidRDefault="000D4F98" w:rsidP="004E689B">
            <w:pPr>
              <w:pStyle w:val="NCDTableText"/>
              <w:spacing w:before="60" w:after="60" w:line="240" w:lineRule="auto"/>
              <w:ind w:right="720"/>
              <w:jc w:val="right"/>
              <w:rPr>
                <w:rFonts w:eastAsia="Arial"/>
              </w:rPr>
            </w:pPr>
            <w:r w:rsidRPr="000B4ED4">
              <w:rPr>
                <w:rFonts w:eastAsia="Arial"/>
              </w:rPr>
              <w:t xml:space="preserve">$191,505 </w:t>
            </w:r>
          </w:p>
        </w:tc>
        <w:tc>
          <w:tcPr>
            <w:tcW w:w="3090" w:type="dxa"/>
          </w:tcPr>
          <w:p w14:paraId="1381447A" w14:textId="77777777" w:rsidR="000D4F98" w:rsidRPr="000B4ED4" w:rsidRDefault="000D4F98" w:rsidP="004E689B">
            <w:pPr>
              <w:pStyle w:val="NCDTableText"/>
              <w:spacing w:before="60" w:after="60" w:line="240" w:lineRule="auto"/>
              <w:ind w:right="720"/>
              <w:jc w:val="right"/>
              <w:rPr>
                <w:rFonts w:eastAsia="Arial"/>
              </w:rPr>
            </w:pPr>
            <w:r w:rsidRPr="000B4ED4">
              <w:t>$57,432</w:t>
            </w:r>
          </w:p>
        </w:tc>
      </w:tr>
      <w:tr w:rsidR="000D4F98" w14:paraId="2DE67393" w14:textId="77777777" w:rsidTr="0005401E">
        <w:trPr>
          <w:trHeight w:val="310"/>
          <w:jc w:val="center"/>
        </w:trPr>
        <w:tc>
          <w:tcPr>
            <w:tcW w:w="3090" w:type="dxa"/>
          </w:tcPr>
          <w:p w14:paraId="0DBC701E" w14:textId="77777777" w:rsidR="000D4F98" w:rsidRPr="000B4ED4" w:rsidRDefault="000D4F98" w:rsidP="004E689B">
            <w:pPr>
              <w:pStyle w:val="NCDTableText"/>
              <w:spacing w:before="60" w:after="60" w:line="240" w:lineRule="auto"/>
              <w:rPr>
                <w:rFonts w:eastAsia="Arial"/>
              </w:rPr>
            </w:pPr>
            <w:r w:rsidRPr="000B4ED4">
              <w:rPr>
                <w:rFonts w:eastAsia="Arial"/>
              </w:rPr>
              <w:t>Florida</w:t>
            </w:r>
          </w:p>
        </w:tc>
        <w:tc>
          <w:tcPr>
            <w:tcW w:w="3090" w:type="dxa"/>
          </w:tcPr>
          <w:p w14:paraId="1125DD5B" w14:textId="77777777" w:rsidR="000D4F98" w:rsidRPr="000B4ED4" w:rsidRDefault="000D4F98" w:rsidP="004E689B">
            <w:pPr>
              <w:pStyle w:val="NCDTableText"/>
              <w:spacing w:before="60" w:after="60" w:line="240" w:lineRule="auto"/>
              <w:ind w:right="720"/>
              <w:jc w:val="right"/>
              <w:rPr>
                <w:rFonts w:eastAsia="Arial"/>
              </w:rPr>
            </w:pPr>
            <w:r w:rsidRPr="000B4ED4">
              <w:rPr>
                <w:rFonts w:eastAsia="Arial"/>
              </w:rPr>
              <w:t xml:space="preserve">$498,263 </w:t>
            </w:r>
          </w:p>
        </w:tc>
        <w:tc>
          <w:tcPr>
            <w:tcW w:w="3090" w:type="dxa"/>
          </w:tcPr>
          <w:p w14:paraId="74A9B735" w14:textId="77777777" w:rsidR="000D4F98" w:rsidRPr="000B4ED4" w:rsidRDefault="000D4F98" w:rsidP="004E689B">
            <w:pPr>
              <w:pStyle w:val="NCDTableText"/>
              <w:spacing w:before="60" w:after="60" w:line="240" w:lineRule="auto"/>
              <w:ind w:right="720"/>
              <w:jc w:val="right"/>
              <w:rPr>
                <w:rFonts w:eastAsia="Arial"/>
              </w:rPr>
            </w:pPr>
            <w:r w:rsidRPr="000B4ED4">
              <w:t>$189,539</w:t>
            </w:r>
          </w:p>
        </w:tc>
      </w:tr>
      <w:tr w:rsidR="000D4F98" w14:paraId="05E5D947" w14:textId="77777777" w:rsidTr="0005401E">
        <w:trPr>
          <w:cnfStyle w:val="000000100000" w:firstRow="0" w:lastRow="0" w:firstColumn="0" w:lastColumn="0" w:oddVBand="0" w:evenVBand="0" w:oddHBand="1" w:evenHBand="0" w:firstRowFirstColumn="0" w:firstRowLastColumn="0" w:lastRowFirstColumn="0" w:lastRowLastColumn="0"/>
          <w:trHeight w:val="310"/>
          <w:jc w:val="center"/>
        </w:trPr>
        <w:tc>
          <w:tcPr>
            <w:tcW w:w="3090" w:type="dxa"/>
          </w:tcPr>
          <w:p w14:paraId="7CECA9E3" w14:textId="77777777" w:rsidR="000D4F98" w:rsidRPr="000B4ED4" w:rsidRDefault="000D4F98" w:rsidP="004E689B">
            <w:pPr>
              <w:pStyle w:val="NCDTableText"/>
              <w:spacing w:before="60" w:after="60" w:line="240" w:lineRule="auto"/>
              <w:rPr>
                <w:rFonts w:eastAsia="Arial"/>
              </w:rPr>
            </w:pPr>
            <w:r w:rsidRPr="000B4ED4">
              <w:rPr>
                <w:rFonts w:eastAsia="Arial"/>
              </w:rPr>
              <w:t>Georgia</w:t>
            </w:r>
          </w:p>
        </w:tc>
        <w:tc>
          <w:tcPr>
            <w:tcW w:w="3090" w:type="dxa"/>
          </w:tcPr>
          <w:p w14:paraId="1E3E615A" w14:textId="77777777" w:rsidR="000D4F98" w:rsidRPr="000B4ED4" w:rsidRDefault="000D4F98" w:rsidP="004E689B">
            <w:pPr>
              <w:pStyle w:val="NCDTableText"/>
              <w:spacing w:before="60" w:after="60" w:line="240" w:lineRule="auto"/>
              <w:ind w:right="720"/>
              <w:jc w:val="right"/>
              <w:rPr>
                <w:rFonts w:eastAsia="Arial"/>
              </w:rPr>
            </w:pPr>
            <w:r w:rsidRPr="000B4ED4">
              <w:rPr>
                <w:rFonts w:eastAsia="Arial"/>
              </w:rPr>
              <w:t xml:space="preserve">$1,185,988 </w:t>
            </w:r>
          </w:p>
        </w:tc>
        <w:tc>
          <w:tcPr>
            <w:tcW w:w="3090" w:type="dxa"/>
          </w:tcPr>
          <w:p w14:paraId="5A298526" w14:textId="77777777" w:rsidR="000D4F98" w:rsidRPr="000B4ED4" w:rsidRDefault="000D4F98" w:rsidP="004E689B">
            <w:pPr>
              <w:pStyle w:val="NCDTableText"/>
              <w:spacing w:before="60" w:after="60" w:line="240" w:lineRule="auto"/>
              <w:ind w:right="720"/>
              <w:jc w:val="right"/>
              <w:rPr>
                <w:rFonts w:eastAsia="Arial"/>
              </w:rPr>
            </w:pPr>
            <w:r w:rsidRPr="000B4ED4">
              <w:t>$391,020</w:t>
            </w:r>
          </w:p>
        </w:tc>
      </w:tr>
      <w:tr w:rsidR="000D4F98" w14:paraId="219DF8CD" w14:textId="77777777" w:rsidTr="0005401E">
        <w:trPr>
          <w:trHeight w:val="310"/>
          <w:jc w:val="center"/>
        </w:trPr>
        <w:tc>
          <w:tcPr>
            <w:tcW w:w="3090" w:type="dxa"/>
          </w:tcPr>
          <w:p w14:paraId="5DCD1D6E" w14:textId="77777777" w:rsidR="000D4F98" w:rsidRPr="000B4ED4" w:rsidRDefault="000D4F98" w:rsidP="004E689B">
            <w:pPr>
              <w:pStyle w:val="NCDTableText"/>
              <w:spacing w:before="60" w:after="60" w:line="240" w:lineRule="auto"/>
              <w:rPr>
                <w:rFonts w:eastAsia="Arial"/>
              </w:rPr>
            </w:pPr>
            <w:r w:rsidRPr="000B4ED4">
              <w:rPr>
                <w:rFonts w:eastAsia="Arial"/>
              </w:rPr>
              <w:t>Hawaii</w:t>
            </w:r>
          </w:p>
        </w:tc>
        <w:tc>
          <w:tcPr>
            <w:tcW w:w="3090" w:type="dxa"/>
          </w:tcPr>
          <w:p w14:paraId="20EEFE59" w14:textId="77777777" w:rsidR="000D4F98" w:rsidRPr="000B4ED4" w:rsidRDefault="000D4F98" w:rsidP="004E689B">
            <w:pPr>
              <w:pStyle w:val="NCDTableText"/>
              <w:spacing w:before="60" w:after="60" w:line="240" w:lineRule="auto"/>
              <w:ind w:right="720"/>
              <w:jc w:val="right"/>
              <w:rPr>
                <w:rFonts w:eastAsia="Arial"/>
              </w:rPr>
            </w:pPr>
            <w:r w:rsidRPr="000B4ED4">
              <w:rPr>
                <w:rFonts w:eastAsia="Arial"/>
              </w:rPr>
              <w:t xml:space="preserve">$69,180 </w:t>
            </w:r>
          </w:p>
        </w:tc>
        <w:tc>
          <w:tcPr>
            <w:tcW w:w="3090" w:type="dxa"/>
          </w:tcPr>
          <w:p w14:paraId="0BA059B4" w14:textId="77777777" w:rsidR="000D4F98" w:rsidRPr="000B4ED4" w:rsidRDefault="000D4F98" w:rsidP="004E689B">
            <w:pPr>
              <w:pStyle w:val="NCDTableText"/>
              <w:spacing w:before="60" w:after="60" w:line="240" w:lineRule="auto"/>
              <w:ind w:right="720"/>
              <w:jc w:val="right"/>
              <w:rPr>
                <w:rFonts w:eastAsia="Arial"/>
              </w:rPr>
            </w:pPr>
            <w:r w:rsidRPr="000B4ED4">
              <w:t>$32,501</w:t>
            </w:r>
          </w:p>
        </w:tc>
      </w:tr>
      <w:tr w:rsidR="000D4F98" w14:paraId="7DCE5B5D" w14:textId="77777777" w:rsidTr="0005401E">
        <w:trPr>
          <w:cnfStyle w:val="000000100000" w:firstRow="0" w:lastRow="0" w:firstColumn="0" w:lastColumn="0" w:oddVBand="0" w:evenVBand="0" w:oddHBand="1" w:evenHBand="0" w:firstRowFirstColumn="0" w:firstRowLastColumn="0" w:lastRowFirstColumn="0" w:lastRowLastColumn="0"/>
          <w:trHeight w:val="310"/>
          <w:jc w:val="center"/>
        </w:trPr>
        <w:tc>
          <w:tcPr>
            <w:tcW w:w="3090" w:type="dxa"/>
          </w:tcPr>
          <w:p w14:paraId="445EA2F8" w14:textId="77777777" w:rsidR="000D4F98" w:rsidRPr="000B4ED4" w:rsidRDefault="000D4F98" w:rsidP="004E689B">
            <w:pPr>
              <w:pStyle w:val="NCDTableText"/>
              <w:spacing w:before="60" w:after="60" w:line="240" w:lineRule="auto"/>
              <w:rPr>
                <w:rFonts w:eastAsia="Arial"/>
              </w:rPr>
            </w:pPr>
            <w:r w:rsidRPr="000B4ED4">
              <w:rPr>
                <w:rFonts w:eastAsia="Arial"/>
              </w:rPr>
              <w:t>Maryland</w:t>
            </w:r>
          </w:p>
        </w:tc>
        <w:tc>
          <w:tcPr>
            <w:tcW w:w="3090" w:type="dxa"/>
          </w:tcPr>
          <w:p w14:paraId="7D9EDD68" w14:textId="77777777" w:rsidR="000D4F98" w:rsidRPr="000B4ED4" w:rsidRDefault="000D4F98" w:rsidP="004E689B">
            <w:pPr>
              <w:pStyle w:val="NCDTableText"/>
              <w:spacing w:before="60" w:after="60" w:line="240" w:lineRule="auto"/>
              <w:ind w:right="720"/>
              <w:jc w:val="right"/>
              <w:rPr>
                <w:rFonts w:eastAsia="Arial"/>
              </w:rPr>
            </w:pPr>
            <w:r w:rsidRPr="000B4ED4">
              <w:rPr>
                <w:rFonts w:eastAsia="Arial"/>
              </w:rPr>
              <w:t xml:space="preserve">$1,659,606 </w:t>
            </w:r>
          </w:p>
        </w:tc>
        <w:tc>
          <w:tcPr>
            <w:tcW w:w="3090" w:type="dxa"/>
          </w:tcPr>
          <w:p w14:paraId="52A0CC67" w14:textId="77777777" w:rsidR="000D4F98" w:rsidRPr="000B4ED4" w:rsidRDefault="000D4F98" w:rsidP="004E689B">
            <w:pPr>
              <w:pStyle w:val="NCDTableText"/>
              <w:spacing w:before="60" w:after="60" w:line="240" w:lineRule="auto"/>
              <w:ind w:right="720"/>
              <w:jc w:val="right"/>
              <w:rPr>
                <w:rFonts w:eastAsia="Arial"/>
              </w:rPr>
            </w:pPr>
            <w:r w:rsidRPr="000B4ED4">
              <w:t>$829,803</w:t>
            </w:r>
          </w:p>
        </w:tc>
      </w:tr>
      <w:tr w:rsidR="000D4F98" w14:paraId="6EE65AD1" w14:textId="77777777" w:rsidTr="0005401E">
        <w:trPr>
          <w:trHeight w:val="310"/>
          <w:jc w:val="center"/>
        </w:trPr>
        <w:tc>
          <w:tcPr>
            <w:tcW w:w="3090" w:type="dxa"/>
          </w:tcPr>
          <w:p w14:paraId="7093F7B7" w14:textId="77777777" w:rsidR="000D4F98" w:rsidRPr="00F54928" w:rsidRDefault="000D4F98" w:rsidP="004E689B">
            <w:pPr>
              <w:pStyle w:val="NCDTableText"/>
              <w:spacing w:before="60" w:after="60" w:line="240" w:lineRule="auto"/>
              <w:rPr>
                <w:rFonts w:eastAsia="Arial"/>
              </w:rPr>
            </w:pPr>
            <w:r w:rsidRPr="00F54928">
              <w:rPr>
                <w:rFonts w:eastAsia="Arial"/>
              </w:rPr>
              <w:t>Nevada</w:t>
            </w:r>
          </w:p>
        </w:tc>
        <w:tc>
          <w:tcPr>
            <w:tcW w:w="3090" w:type="dxa"/>
          </w:tcPr>
          <w:p w14:paraId="77932E20" w14:textId="77777777" w:rsidR="000D4F98" w:rsidRPr="00F54928" w:rsidRDefault="000D4F98" w:rsidP="004E689B">
            <w:pPr>
              <w:pStyle w:val="NCDTableText"/>
              <w:spacing w:before="60" w:after="60" w:line="240" w:lineRule="auto"/>
              <w:ind w:right="648"/>
              <w:jc w:val="right"/>
              <w:rPr>
                <w:rFonts w:eastAsia="Arial"/>
              </w:rPr>
            </w:pPr>
            <w:r w:rsidRPr="00F54928">
              <w:rPr>
                <w:rFonts w:eastAsia="Arial"/>
              </w:rPr>
              <w:t>($120,716)</w:t>
            </w:r>
          </w:p>
        </w:tc>
        <w:tc>
          <w:tcPr>
            <w:tcW w:w="3090" w:type="dxa"/>
          </w:tcPr>
          <w:p w14:paraId="645D6B32" w14:textId="77777777" w:rsidR="000D4F98" w:rsidRPr="00F54928" w:rsidRDefault="000D4F98" w:rsidP="004E689B">
            <w:pPr>
              <w:pStyle w:val="NCDTableText"/>
              <w:spacing w:before="60" w:after="60" w:line="240" w:lineRule="auto"/>
              <w:ind w:right="648"/>
              <w:jc w:val="right"/>
              <w:rPr>
                <w:rFonts w:eastAsia="Arial"/>
              </w:rPr>
            </w:pPr>
            <w:r w:rsidRPr="00F54928">
              <w:t>($60,358)</w:t>
            </w:r>
          </w:p>
        </w:tc>
      </w:tr>
      <w:tr w:rsidR="000D4F98" w14:paraId="235ABFE5" w14:textId="77777777" w:rsidTr="0005401E">
        <w:trPr>
          <w:cnfStyle w:val="000000100000" w:firstRow="0" w:lastRow="0" w:firstColumn="0" w:lastColumn="0" w:oddVBand="0" w:evenVBand="0" w:oddHBand="1" w:evenHBand="0" w:firstRowFirstColumn="0" w:firstRowLastColumn="0" w:lastRowFirstColumn="0" w:lastRowLastColumn="0"/>
          <w:trHeight w:val="310"/>
          <w:jc w:val="center"/>
        </w:trPr>
        <w:tc>
          <w:tcPr>
            <w:tcW w:w="3090" w:type="dxa"/>
          </w:tcPr>
          <w:p w14:paraId="1636F538" w14:textId="77777777" w:rsidR="000D4F98" w:rsidRPr="000B4ED4" w:rsidRDefault="000D4F98" w:rsidP="004E689B">
            <w:pPr>
              <w:pStyle w:val="NCDTableText"/>
              <w:spacing w:before="60" w:after="60" w:line="240" w:lineRule="auto"/>
              <w:rPr>
                <w:rFonts w:eastAsia="Arial"/>
              </w:rPr>
            </w:pPr>
            <w:r w:rsidRPr="000B4ED4">
              <w:rPr>
                <w:rFonts w:eastAsia="Arial"/>
              </w:rPr>
              <w:t>New Hampshire</w:t>
            </w:r>
          </w:p>
        </w:tc>
        <w:tc>
          <w:tcPr>
            <w:tcW w:w="3090" w:type="dxa"/>
          </w:tcPr>
          <w:p w14:paraId="556A3165" w14:textId="77777777" w:rsidR="000D4F98" w:rsidRPr="000B4ED4" w:rsidRDefault="000D4F98" w:rsidP="004E689B">
            <w:pPr>
              <w:pStyle w:val="NCDTableText"/>
              <w:spacing w:before="60" w:after="60" w:line="240" w:lineRule="auto"/>
              <w:ind w:right="720"/>
              <w:jc w:val="right"/>
              <w:rPr>
                <w:rFonts w:eastAsia="Arial"/>
              </w:rPr>
            </w:pPr>
            <w:r w:rsidRPr="000B4ED4">
              <w:rPr>
                <w:rFonts w:eastAsia="Arial"/>
              </w:rPr>
              <w:t xml:space="preserve">$154,881 </w:t>
            </w:r>
          </w:p>
        </w:tc>
        <w:tc>
          <w:tcPr>
            <w:tcW w:w="3090" w:type="dxa"/>
          </w:tcPr>
          <w:p w14:paraId="65F5D78A" w14:textId="77777777" w:rsidR="000D4F98" w:rsidRPr="000B4ED4" w:rsidRDefault="000D4F98" w:rsidP="004E689B">
            <w:pPr>
              <w:pStyle w:val="NCDTableText"/>
              <w:spacing w:before="60" w:after="60" w:line="240" w:lineRule="auto"/>
              <w:ind w:right="720"/>
              <w:jc w:val="right"/>
              <w:rPr>
                <w:rFonts w:eastAsia="Arial"/>
              </w:rPr>
            </w:pPr>
            <w:r w:rsidRPr="000B4ED4">
              <w:t>$56,841</w:t>
            </w:r>
          </w:p>
        </w:tc>
      </w:tr>
      <w:tr w:rsidR="000D4F98" w14:paraId="270D274A" w14:textId="77777777" w:rsidTr="0005401E">
        <w:trPr>
          <w:trHeight w:val="310"/>
          <w:jc w:val="center"/>
        </w:trPr>
        <w:tc>
          <w:tcPr>
            <w:tcW w:w="3090" w:type="dxa"/>
          </w:tcPr>
          <w:p w14:paraId="6B808A35" w14:textId="77777777" w:rsidR="000D4F98" w:rsidRPr="000B4ED4" w:rsidRDefault="000D4F98" w:rsidP="004E689B">
            <w:pPr>
              <w:pStyle w:val="NCDTableText"/>
              <w:spacing w:before="60" w:after="60" w:line="240" w:lineRule="auto"/>
              <w:rPr>
                <w:rFonts w:eastAsia="Arial"/>
              </w:rPr>
            </w:pPr>
            <w:r w:rsidRPr="000B4ED4">
              <w:rPr>
                <w:rFonts w:eastAsia="Arial"/>
              </w:rPr>
              <w:t>Oklahoma</w:t>
            </w:r>
          </w:p>
        </w:tc>
        <w:tc>
          <w:tcPr>
            <w:tcW w:w="3090" w:type="dxa"/>
          </w:tcPr>
          <w:p w14:paraId="3D43012D" w14:textId="77777777" w:rsidR="000D4F98" w:rsidRPr="000B4ED4" w:rsidRDefault="000D4F98" w:rsidP="004E689B">
            <w:pPr>
              <w:pStyle w:val="NCDTableText"/>
              <w:spacing w:before="60" w:after="60" w:line="240" w:lineRule="auto"/>
              <w:ind w:right="720"/>
              <w:jc w:val="right"/>
              <w:rPr>
                <w:rFonts w:eastAsia="Arial"/>
              </w:rPr>
            </w:pPr>
            <w:r w:rsidRPr="000B4ED4">
              <w:rPr>
                <w:rFonts w:eastAsia="Arial"/>
              </w:rPr>
              <w:t xml:space="preserve">$47,414 </w:t>
            </w:r>
          </w:p>
        </w:tc>
        <w:tc>
          <w:tcPr>
            <w:tcW w:w="3090" w:type="dxa"/>
          </w:tcPr>
          <w:p w14:paraId="4E90E0CE" w14:textId="77777777" w:rsidR="000D4F98" w:rsidRPr="000B4ED4" w:rsidRDefault="000D4F98" w:rsidP="004E689B">
            <w:pPr>
              <w:pStyle w:val="NCDTableText"/>
              <w:spacing w:before="60" w:after="60" w:line="240" w:lineRule="auto"/>
              <w:ind w:right="720"/>
              <w:jc w:val="right"/>
              <w:rPr>
                <w:rFonts w:eastAsia="Arial"/>
              </w:rPr>
            </w:pPr>
            <w:r w:rsidRPr="000B4ED4">
              <w:t>$15,177</w:t>
            </w:r>
          </w:p>
        </w:tc>
      </w:tr>
      <w:tr w:rsidR="000D4F98" w14:paraId="77971BF6" w14:textId="77777777" w:rsidTr="0005401E">
        <w:trPr>
          <w:cnfStyle w:val="000000100000" w:firstRow="0" w:lastRow="0" w:firstColumn="0" w:lastColumn="0" w:oddVBand="0" w:evenVBand="0" w:oddHBand="1" w:evenHBand="0" w:firstRowFirstColumn="0" w:firstRowLastColumn="0" w:lastRowFirstColumn="0" w:lastRowLastColumn="0"/>
          <w:trHeight w:val="310"/>
          <w:jc w:val="center"/>
        </w:trPr>
        <w:tc>
          <w:tcPr>
            <w:tcW w:w="3090" w:type="dxa"/>
          </w:tcPr>
          <w:p w14:paraId="3EA8FD4D" w14:textId="77777777" w:rsidR="000D4F98" w:rsidRPr="000B4ED4" w:rsidRDefault="000D4F98" w:rsidP="004E689B">
            <w:pPr>
              <w:pStyle w:val="NCDTableText"/>
              <w:spacing w:before="60" w:after="60" w:line="240" w:lineRule="auto"/>
              <w:rPr>
                <w:rFonts w:eastAsia="Arial"/>
              </w:rPr>
            </w:pPr>
            <w:r w:rsidRPr="000B4ED4">
              <w:rPr>
                <w:rFonts w:eastAsia="Arial"/>
              </w:rPr>
              <w:t>Tennessee</w:t>
            </w:r>
          </w:p>
        </w:tc>
        <w:tc>
          <w:tcPr>
            <w:tcW w:w="3090" w:type="dxa"/>
          </w:tcPr>
          <w:p w14:paraId="740A4E62" w14:textId="77777777" w:rsidR="000D4F98" w:rsidRPr="000B4ED4" w:rsidRDefault="000D4F98" w:rsidP="004E689B">
            <w:pPr>
              <w:pStyle w:val="NCDTableText"/>
              <w:spacing w:before="60" w:after="60" w:line="240" w:lineRule="auto"/>
              <w:ind w:right="720"/>
              <w:jc w:val="right"/>
              <w:rPr>
                <w:rFonts w:eastAsia="Arial"/>
              </w:rPr>
            </w:pPr>
            <w:r w:rsidRPr="000B4ED4">
              <w:rPr>
                <w:rFonts w:eastAsia="Arial"/>
              </w:rPr>
              <w:t xml:space="preserve">$374,279 </w:t>
            </w:r>
          </w:p>
        </w:tc>
        <w:tc>
          <w:tcPr>
            <w:tcW w:w="3090" w:type="dxa"/>
          </w:tcPr>
          <w:p w14:paraId="4A6DF685" w14:textId="77777777" w:rsidR="000D4F98" w:rsidRPr="000B4ED4" w:rsidRDefault="000D4F98" w:rsidP="004E689B">
            <w:pPr>
              <w:pStyle w:val="NCDTableText"/>
              <w:spacing w:before="60" w:after="60" w:line="240" w:lineRule="auto"/>
              <w:ind w:right="720"/>
              <w:jc w:val="right"/>
              <w:rPr>
                <w:rFonts w:eastAsia="Arial"/>
              </w:rPr>
            </w:pPr>
            <w:r w:rsidRPr="000B4ED4">
              <w:t>$126,881</w:t>
            </w:r>
          </w:p>
        </w:tc>
      </w:tr>
      <w:tr w:rsidR="000D4F98" w14:paraId="26A5031E" w14:textId="77777777" w:rsidTr="0005401E">
        <w:trPr>
          <w:trHeight w:val="310"/>
          <w:jc w:val="center"/>
        </w:trPr>
        <w:tc>
          <w:tcPr>
            <w:tcW w:w="3090" w:type="dxa"/>
          </w:tcPr>
          <w:p w14:paraId="7B18AFCA" w14:textId="77777777" w:rsidR="000D4F98" w:rsidRPr="000B4ED4" w:rsidRDefault="000D4F98" w:rsidP="004E689B">
            <w:pPr>
              <w:pStyle w:val="NCDTableText"/>
              <w:spacing w:before="60" w:after="60" w:line="240" w:lineRule="auto"/>
              <w:rPr>
                <w:rFonts w:eastAsia="Arial"/>
              </w:rPr>
            </w:pPr>
            <w:r w:rsidRPr="000B4ED4">
              <w:rPr>
                <w:rFonts w:eastAsia="Arial"/>
              </w:rPr>
              <w:t>Texas</w:t>
            </w:r>
          </w:p>
        </w:tc>
        <w:tc>
          <w:tcPr>
            <w:tcW w:w="3090" w:type="dxa"/>
          </w:tcPr>
          <w:p w14:paraId="7D1CC926" w14:textId="77777777" w:rsidR="000D4F98" w:rsidRPr="000B4ED4" w:rsidRDefault="000D4F98" w:rsidP="004E689B">
            <w:pPr>
              <w:pStyle w:val="NCDTableText"/>
              <w:spacing w:before="60" w:after="60" w:line="240" w:lineRule="auto"/>
              <w:ind w:right="720"/>
              <w:jc w:val="right"/>
              <w:rPr>
                <w:rFonts w:eastAsia="Arial"/>
              </w:rPr>
            </w:pPr>
            <w:r w:rsidRPr="000B4ED4">
              <w:rPr>
                <w:rFonts w:eastAsia="Arial"/>
              </w:rPr>
              <w:t xml:space="preserve">$1,795,463 </w:t>
            </w:r>
          </w:p>
        </w:tc>
        <w:tc>
          <w:tcPr>
            <w:tcW w:w="3090" w:type="dxa"/>
          </w:tcPr>
          <w:p w14:paraId="545D9EE1" w14:textId="77777777" w:rsidR="000D4F98" w:rsidRPr="000B4ED4" w:rsidRDefault="000D4F98" w:rsidP="004E689B">
            <w:pPr>
              <w:pStyle w:val="NCDTableText"/>
              <w:spacing w:before="60" w:after="60" w:line="240" w:lineRule="auto"/>
              <w:ind w:right="720"/>
              <w:jc w:val="right"/>
              <w:rPr>
                <w:rFonts w:eastAsia="Arial"/>
              </w:rPr>
            </w:pPr>
            <w:r w:rsidRPr="000B4ED4">
              <w:t>$685,687</w:t>
            </w:r>
          </w:p>
        </w:tc>
      </w:tr>
      <w:tr w:rsidR="000D4F98" w14:paraId="25E0895A" w14:textId="77777777" w:rsidTr="0005401E">
        <w:trPr>
          <w:cnfStyle w:val="000000100000" w:firstRow="0" w:lastRow="0" w:firstColumn="0" w:lastColumn="0" w:oddVBand="0" w:evenVBand="0" w:oddHBand="1" w:evenHBand="0" w:firstRowFirstColumn="0" w:firstRowLastColumn="0" w:lastRowFirstColumn="0" w:lastRowLastColumn="0"/>
          <w:trHeight w:val="370"/>
          <w:jc w:val="center"/>
        </w:trPr>
        <w:tc>
          <w:tcPr>
            <w:tcW w:w="3090" w:type="dxa"/>
          </w:tcPr>
          <w:p w14:paraId="23756686" w14:textId="77777777" w:rsidR="000D4F98" w:rsidRPr="000B4ED4" w:rsidRDefault="000D4F98" w:rsidP="004E689B">
            <w:pPr>
              <w:pStyle w:val="NCDTableText"/>
              <w:spacing w:before="60" w:after="60" w:line="240" w:lineRule="auto"/>
              <w:rPr>
                <w:rFonts w:eastAsia="Arial"/>
              </w:rPr>
            </w:pPr>
            <w:r w:rsidRPr="000B4ED4">
              <w:rPr>
                <w:rFonts w:eastAsia="Arial"/>
              </w:rPr>
              <w:t>Utah</w:t>
            </w:r>
          </w:p>
        </w:tc>
        <w:tc>
          <w:tcPr>
            <w:tcW w:w="3090" w:type="dxa"/>
          </w:tcPr>
          <w:p w14:paraId="69EAE73D" w14:textId="77777777" w:rsidR="000D4F98" w:rsidRPr="000B4ED4" w:rsidRDefault="000D4F98" w:rsidP="004E689B">
            <w:pPr>
              <w:pStyle w:val="NCDTableText"/>
              <w:spacing w:before="60" w:after="60" w:line="240" w:lineRule="auto"/>
              <w:ind w:right="720"/>
              <w:jc w:val="right"/>
              <w:rPr>
                <w:rFonts w:eastAsia="Arial"/>
              </w:rPr>
            </w:pPr>
            <w:r w:rsidRPr="000B4ED4">
              <w:rPr>
                <w:rFonts w:eastAsia="Arial"/>
              </w:rPr>
              <w:t xml:space="preserve">$646,448 </w:t>
            </w:r>
          </w:p>
        </w:tc>
        <w:tc>
          <w:tcPr>
            <w:tcW w:w="3090" w:type="dxa"/>
          </w:tcPr>
          <w:p w14:paraId="73B5F0B7" w14:textId="77777777" w:rsidR="000D4F98" w:rsidRPr="000B4ED4" w:rsidRDefault="000D4F98" w:rsidP="004E689B">
            <w:pPr>
              <w:pStyle w:val="NCDTableText"/>
              <w:spacing w:before="60" w:after="60" w:line="240" w:lineRule="auto"/>
              <w:ind w:right="720"/>
              <w:jc w:val="right"/>
              <w:rPr>
                <w:rFonts w:eastAsia="Arial"/>
              </w:rPr>
            </w:pPr>
            <w:r w:rsidRPr="000B4ED4">
              <w:t>$209,966</w:t>
            </w:r>
          </w:p>
        </w:tc>
      </w:tr>
      <w:tr w:rsidR="000D4F98" w14:paraId="1651E593" w14:textId="77777777" w:rsidTr="0005401E">
        <w:trPr>
          <w:trHeight w:val="400"/>
          <w:jc w:val="center"/>
        </w:trPr>
        <w:tc>
          <w:tcPr>
            <w:tcW w:w="3090" w:type="dxa"/>
          </w:tcPr>
          <w:p w14:paraId="320218B0" w14:textId="3E49E297" w:rsidR="000D4F98" w:rsidRPr="000B4ED4" w:rsidRDefault="00401D57" w:rsidP="004E689B">
            <w:pPr>
              <w:pStyle w:val="NCDTableText"/>
              <w:spacing w:before="60" w:after="60" w:line="240" w:lineRule="auto"/>
              <w:rPr>
                <w:rFonts w:eastAsia="Arial"/>
                <w:b/>
              </w:rPr>
            </w:pPr>
            <w:r w:rsidRPr="00401D57">
              <w:rPr>
                <w:rFonts w:eastAsia="Arial"/>
                <w:b/>
              </w:rPr>
              <w:t>Total</w:t>
            </w:r>
          </w:p>
        </w:tc>
        <w:tc>
          <w:tcPr>
            <w:tcW w:w="3090" w:type="dxa"/>
          </w:tcPr>
          <w:p w14:paraId="1579ED5C" w14:textId="77777777" w:rsidR="000D4F98" w:rsidRPr="000B4ED4" w:rsidRDefault="000D4F98" w:rsidP="004E689B">
            <w:pPr>
              <w:pStyle w:val="NCDTableText"/>
              <w:spacing w:before="60" w:after="60" w:line="240" w:lineRule="auto"/>
              <w:ind w:right="720"/>
              <w:jc w:val="right"/>
              <w:rPr>
                <w:rFonts w:eastAsia="Arial"/>
                <w:b/>
              </w:rPr>
            </w:pPr>
            <w:r w:rsidRPr="000B4ED4">
              <w:t xml:space="preserve">$7,687,095 </w:t>
            </w:r>
          </w:p>
        </w:tc>
        <w:tc>
          <w:tcPr>
            <w:tcW w:w="3090" w:type="dxa"/>
          </w:tcPr>
          <w:p w14:paraId="01939899" w14:textId="77777777" w:rsidR="000D4F98" w:rsidRPr="000B4ED4" w:rsidRDefault="000D4F98" w:rsidP="004E689B">
            <w:pPr>
              <w:pStyle w:val="NCDTableText"/>
              <w:spacing w:before="60" w:after="60" w:line="240" w:lineRule="auto"/>
              <w:ind w:right="720"/>
              <w:jc w:val="right"/>
              <w:rPr>
                <w:rFonts w:eastAsia="Arial"/>
                <w:b/>
              </w:rPr>
            </w:pPr>
            <w:r w:rsidRPr="000B4ED4">
              <w:t xml:space="preserve">$2,859,358 </w:t>
            </w:r>
          </w:p>
        </w:tc>
      </w:tr>
    </w:tbl>
    <w:p w14:paraId="76782BE4" w14:textId="77777777" w:rsidR="000D4F98" w:rsidRPr="00537483" w:rsidRDefault="000D4F98" w:rsidP="00F61DDA">
      <w:pPr>
        <w:pStyle w:val="NCDBodyText"/>
        <w:spacing w:before="200"/>
      </w:pPr>
      <w:r w:rsidRPr="00257D88">
        <w:rPr>
          <w:i/>
        </w:rPr>
        <w:t>Unmeasured Return on Investment</w:t>
      </w:r>
      <w:r>
        <w:t xml:space="preserve">. It is important to note that the conversations with key informants and stakeholders encouraged an expansion of the definition of </w:t>
      </w:r>
      <w:r w:rsidRPr="00827852">
        <w:t>ROI.</w:t>
      </w:r>
      <w:r>
        <w:t xml:space="preserve"> Outcomes that are not easily quantifiable should also be considered an ROI. For </w:t>
      </w:r>
      <w:r>
        <w:lastRenderedPageBreak/>
        <w:t>example, improved oral health would decrease chronic pain, improve quality of life, and increase self-confidence to socialize and seek employment.</w:t>
      </w:r>
    </w:p>
    <w:p w14:paraId="4B01F9CB" w14:textId="77777777" w:rsidR="000D4F98" w:rsidRPr="00537483" w:rsidRDefault="000D4F98" w:rsidP="00F61DDA">
      <w:pPr>
        <w:pStyle w:val="NCDBodyText"/>
      </w:pPr>
      <w:r w:rsidRPr="00257D88">
        <w:rPr>
          <w:i/>
        </w:rPr>
        <w:t>Summary of T-MSIS Analysis Results</w:t>
      </w:r>
      <w:r>
        <w:t>. In summary, the key findings from the T-MSIS analysis include the following: (1) covering basic dental care in Medicaid will likely lead to significantly greater receipt of dental care among adults with I/DD; (2) Medicaid waivers that cover basic dental care for adults with I/DD are also likely to increase receipt of basic dental care, but not to the same extent as providing a general adult Medicaid dental benefit; and (3) even with dental coverage in Medicaid, approximately two-thirds of adults with I/DD who receive Medicaid did not receive basic dental care, paid for by Medicaid. This suggests significant barriers to dental care beyond states’ Medicaid coverage that must be addressed.</w:t>
      </w:r>
    </w:p>
    <w:p w14:paraId="25D8BD49" w14:textId="77777777" w:rsidR="000D4F98" w:rsidRPr="00537483" w:rsidRDefault="000D4F98" w:rsidP="00F61DDA">
      <w:pPr>
        <w:pStyle w:val="NCDBodyText"/>
      </w:pPr>
      <w:r>
        <w:t xml:space="preserve">Furthermore and vitally, regarding the cost, savings, and ROI for providing basic dental coverage, (1) </w:t>
      </w:r>
      <w:bookmarkStart w:id="187" w:name="_Hlk93351308"/>
      <w:r>
        <w:t>the ROI of providing basic Medicaid dental coverage for adults with I/DD for federal and state governments is estimated to total $7.7 million, and states’ share of that is estimated to be close to $3 million</w:t>
      </w:r>
      <w:bookmarkEnd w:id="187"/>
      <w:r>
        <w:t>; (2) the twelve states that currently do not provide extensive dental coverage would likely spend between $52,000 (in Oklahoma) and $1.8 million (in Texas) to provide such coverage to the adult I/DD population; and (3) eleven of the twelve states that do not currently provide coverage of basic dental services in Medicaid would likely recoup all of these costs through the reduced cost of treating people with chronic conditions and reductions in ED use and hospital stays for nontraumatic dental care.</w:t>
      </w:r>
    </w:p>
    <w:p w14:paraId="06E25983" w14:textId="77777777" w:rsidR="000D4F98" w:rsidRPr="00537483" w:rsidRDefault="000D4F98" w:rsidP="00F61DDA">
      <w:pPr>
        <w:pStyle w:val="NCDBodyText"/>
      </w:pPr>
      <w:r>
        <w:t>It is important to note that the cost to quality of life of not having access to basic dental care is not counted in this ROI model. Basic dental care is essential for better life quality, and adults with I/DD are entitled to equitable supports to have a high quality of life.</w:t>
      </w:r>
    </w:p>
    <w:p w14:paraId="5E81DBF3" w14:textId="77777777" w:rsidR="00F61DDA" w:rsidRDefault="00F61DDA">
      <w:pPr>
        <w:spacing w:after="160" w:line="259" w:lineRule="auto"/>
        <w:rPr>
          <w:rFonts w:cs="Arial"/>
          <w:b/>
          <w:sz w:val="36"/>
          <w:szCs w:val="32"/>
        </w:rPr>
      </w:pPr>
      <w:bookmarkStart w:id="188" w:name="_heading=h.yb646vnwgkb5" w:colFirst="0" w:colLast="0"/>
      <w:bookmarkStart w:id="189" w:name="_Toc83304273"/>
      <w:bookmarkStart w:id="190" w:name="_Toc92354774"/>
      <w:bookmarkEnd w:id="188"/>
      <w:r>
        <w:br w:type="page"/>
      </w:r>
    </w:p>
    <w:p w14:paraId="55B54671" w14:textId="75761CD9" w:rsidR="000D4F98" w:rsidRPr="00537483" w:rsidRDefault="000D4F98" w:rsidP="00F61DDA">
      <w:pPr>
        <w:pStyle w:val="Heading1"/>
      </w:pPr>
      <w:bookmarkStart w:id="191" w:name="_Toc95237045"/>
      <w:r>
        <w:lastRenderedPageBreak/>
        <w:t xml:space="preserve">Chapter </w:t>
      </w:r>
      <w:r w:rsidR="00416497">
        <w:t>5</w:t>
      </w:r>
      <w:r>
        <w:t>: Opportunities and Recommendations for Change Within Medicaid</w:t>
      </w:r>
      <w:bookmarkEnd w:id="189"/>
      <w:bookmarkEnd w:id="190"/>
      <w:bookmarkEnd w:id="191"/>
    </w:p>
    <w:p w14:paraId="358016F1" w14:textId="77777777" w:rsidR="000D4F98" w:rsidRPr="00537483" w:rsidRDefault="000D4F98" w:rsidP="00F61DDA">
      <w:pPr>
        <w:pStyle w:val="NCDBodyText"/>
      </w:pPr>
      <w:r>
        <w:t>This section presents findings from the KII, stakeholder group, and DD questionnaire responses about the best use of Medicaid funding to reduce preventable oral health issues; recent state changes in Medicaid oral health policy, including pilot, promising, and unique initiatives; and promising practices of state DD agencies regarding oral health care for the adults they serve. NCD also assesses the extent to which the expert, stakeholder, and state administrator opinions align with the quantitative data analysis.</w:t>
      </w:r>
    </w:p>
    <w:p w14:paraId="3D954109" w14:textId="5BF6858B" w:rsidR="000D4F98" w:rsidRPr="00537483" w:rsidRDefault="000D4F98" w:rsidP="00F61DDA">
      <w:pPr>
        <w:pStyle w:val="Heading2"/>
        <w:rPr>
          <w:rFonts w:eastAsia="Arial"/>
        </w:rPr>
      </w:pPr>
      <w:bookmarkStart w:id="192" w:name="_Toc95237046"/>
      <w:r w:rsidRPr="00537483">
        <w:rPr>
          <w:rFonts w:eastAsia="Arial"/>
        </w:rPr>
        <w:t>Opportunities in Medicaid</w:t>
      </w:r>
      <w:bookmarkEnd w:id="192"/>
    </w:p>
    <w:p w14:paraId="21ECB895" w14:textId="77777777" w:rsidR="000D4F98" w:rsidRPr="00537483" w:rsidRDefault="000D4F98" w:rsidP="00F61DDA">
      <w:pPr>
        <w:pStyle w:val="NCDBodyText"/>
      </w:pPr>
      <w:r w:rsidRPr="00257D88">
        <w:rPr>
          <w:i/>
        </w:rPr>
        <w:t>Providing Comprehensive Coverage of Dental Services in Medicaid.</w:t>
      </w:r>
      <w:r>
        <w:t xml:space="preserve"> </w:t>
      </w:r>
      <w:r>
        <w:rPr>
          <w:highlight w:val="white"/>
        </w:rPr>
        <w:t xml:space="preserve">About one in four adults with I/DD who rely on Medicaid live in states that do not cover basic dental services in their Medicaid programs (Table 4). </w:t>
      </w:r>
      <w:r>
        <w:t xml:space="preserve">Key informants and stakeholders identified the lack of comprehensive dental benefits in all states as a major barrier to accessing dental care for adults with I/DD. Similarly, </w:t>
      </w:r>
      <w:r w:rsidRPr="00937478">
        <w:t>T-MSIS analysis showed a strong and clear association between states’ Medicaid policy</w:t>
      </w:r>
      <w:r>
        <w:t xml:space="preserve"> and the likelihood that an adult would receive basic dental care. Adults with I/DD living in states with coverage of dental care for the general adult population were substantially more likely to receive basic dental services, relative to adults with I/DD living in states with no dental care (Figure 1).</w:t>
      </w:r>
    </w:p>
    <w:p w14:paraId="5CEEBD30" w14:textId="226037AC" w:rsidR="000D4F98" w:rsidRPr="00537483" w:rsidRDefault="00401D57" w:rsidP="00F61DDA">
      <w:pPr>
        <w:pStyle w:val="NCDBodyText"/>
      </w:pPr>
      <w:r w:rsidRPr="00401D57">
        <w:rPr>
          <w:i/>
        </w:rPr>
        <w:t>Federal Legislation</w:t>
      </w:r>
      <w:r w:rsidR="000D4F98">
        <w:t>. Comprehensive dental care could be mandated through legislation at the federal level for the adult Medicaid population, as was done for Medicaid-enrolled children in 1967 through the Medicaid EPSDT amendments, enacted as part of amendments to the Social Security Act.</w:t>
      </w:r>
      <w:r w:rsidR="000D4F98">
        <w:rPr>
          <w:rStyle w:val="EndnoteReference"/>
          <w:rFonts w:eastAsia="Arial" w:cs="Arial"/>
        </w:rPr>
        <w:endnoteReference w:id="108"/>
      </w:r>
      <w:r w:rsidR="000D4F98">
        <w:t xml:space="preserve"> Federal legislation would ensure that adult Medicaid beneficiaries with I/DD have ongoing access to dental coverage, regardless of whether states prioritize dental benefits for the general adult population in Medicaid in the future.</w:t>
      </w:r>
    </w:p>
    <w:p w14:paraId="4DDCCC7A" w14:textId="5D03580E" w:rsidR="000D4F98" w:rsidRPr="00537483" w:rsidRDefault="00401D57" w:rsidP="00F61DDA">
      <w:pPr>
        <w:pStyle w:val="NCDBodyText"/>
        <w:rPr>
          <w:sz w:val="22"/>
        </w:rPr>
      </w:pPr>
      <w:r w:rsidRPr="00401D57">
        <w:rPr>
          <w:i/>
        </w:rPr>
        <w:t>State Policy Change</w:t>
      </w:r>
      <w:r w:rsidR="000D4F98">
        <w:t xml:space="preserve">. Alternatively, the twelve states that do not currently require basic dental care could do so at the state level. Louisiana provides an example of a potential state pathway to coverage of dental services. Governor John Bel Edwards signed </w:t>
      </w:r>
      <w:r w:rsidR="000D4F98">
        <w:lastRenderedPageBreak/>
        <w:t>House Bill 172 into law, which extends comprehensive coverage of dental care for adults twenty-one years or older with I/DD who are enrolled in any Medicaid waiver program starting August 1, 2021. The coverage includes diagnostic, preventive, restorative, endodontic, periodontal, orthodontic, and prosthodontic services, oral and maxillofacial surgery, and emergency care.</w:t>
      </w:r>
      <w:r w:rsidR="000D4F98">
        <w:rPr>
          <w:vertAlign w:val="superscript"/>
        </w:rPr>
        <w:endnoteReference w:id="109"/>
      </w:r>
      <w:r w:rsidR="000D4F98">
        <w:t xml:space="preserve"> Other states can follow this pathway by granting waiver enrollees with I/DD dental coverage through their state legislatures.</w:t>
      </w:r>
    </w:p>
    <w:p w14:paraId="2A9D4FB2" w14:textId="07BFD835" w:rsidR="000D4F98" w:rsidRPr="00537483" w:rsidRDefault="00401D57" w:rsidP="00F61DDA">
      <w:pPr>
        <w:pStyle w:val="NCDBodyText"/>
      </w:pPr>
      <w:r w:rsidRPr="00401D57">
        <w:rPr>
          <w:i/>
        </w:rPr>
        <w:t>State Waivers to Provide Dental Benefits.</w:t>
      </w:r>
      <w:r w:rsidR="000D4F98">
        <w:t xml:space="preserve"> States have the option to provide dental benefits through 1915(c), 1115 demonstrations, and 1915(i) waivers. The MOHPD shows the states that have implemented 1915(c) </w:t>
      </w:r>
      <w:bookmarkStart w:id="193" w:name="_Hlk92358177"/>
      <w:r w:rsidR="000D4F98">
        <w:t>home- and community-based services (HCBS</w:t>
      </w:r>
      <w:bookmarkEnd w:id="193"/>
      <w:r w:rsidR="000D4F98">
        <w:t>) waivers and 1115 demonstrations to expand oral health benefits for the I/DD population. Additionally, twelve states and Washington, DC, have implemented 1915(i) state plan HCBS waivers to offer HCBS through the Medicaid state plan instead of through a waiver program. The 1915(i) waivers can target HCBS benefits to certain populations, increase financial eligibility for 1915(i) programs, establish a new Medicaid eligibility group for people eligible for state plan HCBS, and define the HCBS included in the benefit.</w:t>
      </w:r>
      <w:r w:rsidR="000D4F98">
        <w:rPr>
          <w:rStyle w:val="EndnoteReference"/>
          <w:rFonts w:eastAsia="Arial" w:cs="Arial"/>
        </w:rPr>
        <w:endnoteReference w:id="110"/>
      </w:r>
      <w:r w:rsidR="000D4F98">
        <w:rPr>
          <w:vertAlign w:val="superscript"/>
        </w:rPr>
        <w:t>,</w:t>
      </w:r>
      <w:r w:rsidR="000D4F98">
        <w:rPr>
          <w:rStyle w:val="EndnoteReference"/>
          <w:rFonts w:eastAsia="Arial" w:cs="Arial"/>
        </w:rPr>
        <w:endnoteReference w:id="111"/>
      </w:r>
      <w:r w:rsidR="000D4F98">
        <w:t xml:space="preserve"> These waiver options offer an opportunity for Medicaid innovation and enhanced services for oral health for all or subsets of Medicaid enrollees. States can add dental services to existing 1915(c) or 1915(i) waivers or implement new waivers to provide increased coverage for oral health and expand services to specific populations, such as people with I/DD. The T-MSIS analysis demonstrated that waivers increase access to basic dental care in states without Medicaid dental coverage.</w:t>
      </w:r>
    </w:p>
    <w:p w14:paraId="70071E4D" w14:textId="77777777" w:rsidR="000D4F98" w:rsidRPr="00537483" w:rsidRDefault="000D4F98" w:rsidP="00F61DDA">
      <w:pPr>
        <w:pStyle w:val="NCDBodyText"/>
        <w:rPr>
          <w:sz w:val="22"/>
        </w:rPr>
      </w:pPr>
      <w:r>
        <w:t>Texas provides an example of such waiver programs. Texas has several 1915(c) waiver programs and a 1115 demonstration program that offer enhanced dental benefits to adults with I/DD. A state-mandated dental study to evaluate these Medicaid waiver programs found that the dental benefits offered by the Community Living Assistance Services and Supports (CLASS) waiver were most cost effective in reducing nontraumatic dental condition (NTDC) ED visits. Compared to three other Texas Medicaid waiver programs, people receiving CLASS services had lower ED utilization, while maintaining relatively low dental costs.</w:t>
      </w:r>
      <w:r>
        <w:rPr>
          <w:vertAlign w:val="superscript"/>
        </w:rPr>
        <w:endnoteReference w:id="112"/>
      </w:r>
      <w:r>
        <w:t xml:space="preserve"> The state used these findings to inform which benefits should be offered in a state-mandated pilot program. Other states could </w:t>
      </w:r>
      <w:r>
        <w:lastRenderedPageBreak/>
        <w:t xml:space="preserve">use the Texas pilot as a model for extending dental benefits in their own states. </w:t>
      </w:r>
      <w:bookmarkStart w:id="194" w:name="_Hlk93351600"/>
      <w:r>
        <w:t>A unique aspect of the state-mandated pilot program is it targets individuals with similar functional needs, rather than limiting it to people with a particular diagnosis.</w:t>
      </w:r>
      <w:bookmarkEnd w:id="194"/>
      <w:r>
        <w:rPr>
          <w:vertAlign w:val="superscript"/>
        </w:rPr>
        <w:endnoteReference w:id="113"/>
      </w:r>
    </w:p>
    <w:p w14:paraId="2F5BC9ED" w14:textId="155ED49E" w:rsidR="000D4F98" w:rsidRPr="00537483" w:rsidRDefault="00401D57" w:rsidP="00F61DDA">
      <w:pPr>
        <w:pStyle w:val="NCDBodyText"/>
      </w:pPr>
      <w:r w:rsidRPr="00401D57">
        <w:rPr>
          <w:i/>
        </w:rPr>
        <w:t>Flexibility.</w:t>
      </w:r>
      <w:r w:rsidR="000D4F98">
        <w:t xml:space="preserve"> Owing to the wide range of functional and health needs within even a single I/DD diagnosis, like autism spectrum disorder, it is important for state and federal Medicaid policies to remain flexible and tailored to meet functional, rather than diagnosis-based, needs. Different patients, depending on type and/or severity of I/DD, may need different covered services or different frequency of services. This type of flexibility can be incorporated into Medicaid coverage. For example, eligibility for some Texas waiver programs, described earlier, is based on functional capacity, not the individual’s diagnosis.</w:t>
      </w:r>
      <w:r w:rsidR="000D4F98">
        <w:rPr>
          <w:vertAlign w:val="superscript"/>
        </w:rPr>
        <w:endnoteReference w:id="114"/>
      </w:r>
      <w:r w:rsidR="000D4F98">
        <w:t xml:space="preserve"> While there are specific eligibility requirements to qualify for services under 1915(c) waivers, states have flexibility within these requirements, including in designating target populations and covered services.</w:t>
      </w:r>
    </w:p>
    <w:p w14:paraId="0F322EF6" w14:textId="27C8E16F" w:rsidR="000D4F98" w:rsidRPr="00537483" w:rsidRDefault="00401D57" w:rsidP="00F61DDA">
      <w:pPr>
        <w:pStyle w:val="NCDBodyText"/>
      </w:pPr>
      <w:r w:rsidRPr="00401D57">
        <w:rPr>
          <w:i/>
        </w:rPr>
        <w:t xml:space="preserve">Incentives. </w:t>
      </w:r>
      <w:r w:rsidR="000D4F98">
        <w:t>Key informants also noted the importance of ensuring there are incentives for expanding care to certain populations, such as people with I/DD. One such structure that could be implemented on the federal level would be to increase the FMAP for states that expand oral health care to adults with I/DD. The FMAP is the percentage of state Medicaid expenditures the Federal Government contributes to the state.</w:t>
      </w:r>
      <w:r w:rsidR="000D4F98">
        <w:rPr>
          <w:vertAlign w:val="superscript"/>
        </w:rPr>
        <w:endnoteReference w:id="115"/>
      </w:r>
      <w:r w:rsidR="000D4F98">
        <w:t xml:space="preserve"> The Patient Protection and Affordable Care Act (ACA) created a recent precedent for such incentives, the Balancing Incentive Program, which increased the FMAP to states that made structural changes to increase long-term care services in HCBS.</w:t>
      </w:r>
      <w:r w:rsidR="000D4F98">
        <w:rPr>
          <w:vertAlign w:val="superscript"/>
        </w:rPr>
        <w:endnoteReference w:id="116"/>
      </w:r>
      <w:r w:rsidR="000D4F98">
        <w:t xml:space="preserve"> This mechanism could potentially be used to encourage increased training for oral health providers in treating patients with special needs.</w:t>
      </w:r>
    </w:p>
    <w:p w14:paraId="277CB504" w14:textId="31E6A87D" w:rsidR="000D4F98" w:rsidRPr="00537483" w:rsidRDefault="000D4F98" w:rsidP="00F61DDA">
      <w:pPr>
        <w:pStyle w:val="NCDBodyText"/>
      </w:pPr>
      <w:r w:rsidRPr="00257D88">
        <w:rPr>
          <w:i/>
        </w:rPr>
        <w:t>Expanding Medicaid-Covered Dental Services in States with Dental Benefits</w:t>
      </w:r>
      <w:r>
        <w:t xml:space="preserve">. States that currently cover dental services in their Medicaid plans could expand reimbursement for certain dental codes to better serve adults with I/DD. Specific services that dental providers noted should be covered in Medicaid for adults with I/DD included (1) SDF application; (2) teledentistry; (3) house calls; and (4) desensitization and other behavior management techniques (e.g., use of a weighted blanket). The CDT codes developed by the American Dental Association that are used to bill insurers, including Medicaid, </w:t>
      </w:r>
      <w:r>
        <w:lastRenderedPageBreak/>
        <w:t xml:space="preserve">already contain codes related to these services, for which some states already reimburse providers. NCD’s review of the most recently available Medicaid dental fee schedules for each state (fee schedules are from 2020 and 2021) found that twenty-five states reimburse for SDF application for adults (D1354-Interim Caries Medicament-Silver Diamine Fluoride Application—Arizona, Colorado, Connecticut, Delaware, Hawaii, Illinois, Iowa, Kentucky, Massachusetts, Michigan, Minnesota, Montana, Nebraska, Nevada, New Jersey, North Carolina, North Dakota, Ohio, Oklahoma, Oregon, South Dakota, Vermont, Virginia, Washington, Wisconsin), while far fewer states, just ten, reimburse for teledentistry (D9995 and/or D9996—Colorado, Massachusetts, Missouri, Montana, New Jersey, New Mexico, North Carolina, Oregon, Virginia, Washington). Twenty-four state Medicaid fee schedules contain fees above $0 for D9410, the house/extended care facility call code (home visit), in their Medicaid fee schedules, but states have different restrictions on how providers can use this code. </w:t>
      </w:r>
      <w:r w:rsidR="00401D57" w:rsidRPr="00401D57">
        <w:rPr>
          <w:i/>
          <w:iCs/>
        </w:rPr>
        <w:t>D9410</w:t>
      </w:r>
      <w:r>
        <w:t>. Some states, like Rhode Island, only allow providers to bill this code once per facility visit, regardless of the number of patients seen, while other states, such as Washington and California, are allowed to bill this code once per patient. The behavior management codes D9920 and D9997 are sometimes used by providers to bill for desensitization and other behavior management techniques. Thirteen states reimburse providers for behavior management (D9920-behavior management, by report) in their fee schedules for adults (Arizona, Connecticut, Massachusetts, Minnesota, Montana, New Jersey, New York, Oregon, Pennsylvania, Rhode Island, South Dakota, Vermont, Washington), and three states reimburse for dental case management—patients with special health care needs, D9997 (Connecticut, Missouri, Oregon).</w:t>
      </w:r>
      <w:r>
        <w:rPr>
          <w:vertAlign w:val="superscript"/>
        </w:rPr>
        <w:endnoteReference w:id="117"/>
      </w:r>
    </w:p>
    <w:p w14:paraId="0A9AFE4D" w14:textId="77777777" w:rsidR="000D4F98" w:rsidRPr="00537483" w:rsidRDefault="000D4F98" w:rsidP="000D4F98">
      <w:pPr>
        <w:rPr>
          <w:rFonts w:eastAsia="Arial" w:cs="Arial"/>
        </w:rPr>
      </w:pPr>
      <w:r w:rsidRPr="00257D88">
        <w:rPr>
          <w:rFonts w:eastAsia="Arial" w:cs="Arial"/>
          <w:i/>
        </w:rPr>
        <w:t>Expanding Technical Assistance for Provision of Dental Services</w:t>
      </w:r>
      <w:r>
        <w:rPr>
          <w:rFonts w:eastAsia="Arial" w:cs="Arial"/>
        </w:rPr>
        <w:t>. CMS could include guidance on providing care to adults with I/DD through technical assistance mechanisms, including hosting webinar series and learning collaboratives, supporting data reporting, and engaging in intensive one-on-one work with targeted states, including the development of waivers (see later in this chapter).</w:t>
      </w:r>
      <w:r>
        <w:rPr>
          <w:rFonts w:eastAsia="Arial" w:cs="Arial"/>
          <w:vertAlign w:val="superscript"/>
        </w:rPr>
        <w:endnoteReference w:id="118"/>
      </w:r>
      <w:r>
        <w:rPr>
          <w:rFonts w:eastAsia="Arial" w:cs="Arial"/>
        </w:rPr>
        <w:t xml:space="preserve"> CMS already has technical assistance mechanisms in place. In 2010, CMS launched the Oral Health Initiative to work with states to improve Medicaid-enrolled children’s use of preventive dental care.</w:t>
      </w:r>
    </w:p>
    <w:p w14:paraId="51BB4739" w14:textId="46B89C68" w:rsidR="000D4F98" w:rsidRPr="00537483" w:rsidRDefault="000D4F98" w:rsidP="00F61DDA">
      <w:pPr>
        <w:pStyle w:val="NCDBodyText"/>
      </w:pPr>
      <w:r w:rsidRPr="00257D88">
        <w:rPr>
          <w:i/>
        </w:rPr>
        <w:lastRenderedPageBreak/>
        <w:t>Increasing Reimbursement for Dental Providers</w:t>
      </w:r>
      <w:r>
        <w:t>.</w:t>
      </w:r>
      <w:r w:rsidR="00401D57" w:rsidRPr="00401D57">
        <w:rPr>
          <w:i/>
        </w:rPr>
        <w:t xml:space="preserve"> </w:t>
      </w:r>
      <w:r>
        <w:t>Medicaid reimbursement emerged as a key barrier to accessing oral health care from KIIs, stakeholders, and DD questionnaires. Some states have been advocating for better reimbursement to providers for the general adult Medicaid population, such as Michigan, where there has been no fee increase for decades.</w:t>
      </w:r>
      <w:r>
        <w:rPr>
          <w:vertAlign w:val="superscript"/>
        </w:rPr>
        <w:endnoteReference w:id="119"/>
      </w:r>
      <w:r>
        <w:t xml:space="preserve"> Conversations revealed approaches that both states and the Federal Government could take to improve reimbursement in Medicaid to overcome barriers to access.</w:t>
      </w:r>
    </w:p>
    <w:p w14:paraId="058B72AD" w14:textId="77777777" w:rsidR="000D4F98" w:rsidRPr="00537483" w:rsidRDefault="000D4F98" w:rsidP="00F61DDA">
      <w:pPr>
        <w:pStyle w:val="NCDBodyText"/>
      </w:pPr>
      <w:r>
        <w:t>At the state level, mechanisms that could raise reimbursement rates include the following:</w:t>
      </w:r>
    </w:p>
    <w:p w14:paraId="0EE12B54" w14:textId="2041DEED" w:rsidR="000D4F98" w:rsidRPr="00537483" w:rsidRDefault="00401D57" w:rsidP="00F61DDA">
      <w:pPr>
        <w:pStyle w:val="NCDBodyText"/>
      </w:pPr>
      <w:r w:rsidRPr="00401D57">
        <w:rPr>
          <w:i/>
        </w:rPr>
        <w:t>Higher Reimbursement for Dental Care Provided to I/DD Patients.</w:t>
      </w:r>
      <w:r w:rsidR="000D4F98" w:rsidRPr="000B4ED4">
        <w:t xml:space="preserve"> </w:t>
      </w:r>
      <w:r w:rsidR="000D4F98">
        <w:t>States have the option, through 1915 waiver and 1115 demonstration programs, to set reimbursement rates for dental care provided to people with I/DD that are higher than the general adult population. For example, Colorado offers higher reimbursement rates in their dental fee schedule for HCBS-DD waiver participants (e.g., $73.99 for a comprehensive oral evaluation versus $37.72 for the general adult population). Similarly, Washington, DC, has a waiver program with higher fee-for-service reimbursement rates for treating patients with I/DD, relative to the general adult population. The literature review undertaken for this report found no evaluations of the impact of higher reimbursement rates on receipt of services in these states for this population.</w:t>
      </w:r>
    </w:p>
    <w:p w14:paraId="36041B76" w14:textId="5C4F8FFC" w:rsidR="000D4F98" w:rsidRPr="00537483" w:rsidRDefault="00401D57" w:rsidP="00F61DDA">
      <w:pPr>
        <w:pStyle w:val="NCDBodyText"/>
      </w:pPr>
      <w:r w:rsidRPr="00401D57">
        <w:rPr>
          <w:i/>
        </w:rPr>
        <w:t>Reimbursement Linked to Training.</w:t>
      </w:r>
      <w:r w:rsidR="000D4F98">
        <w:t xml:space="preserve"> </w:t>
      </w:r>
      <w:bookmarkStart w:id="195" w:name="_Hlk93351948"/>
      <w:r w:rsidR="000D4F98">
        <w:t xml:space="preserve">New Mexico provides added reimbursement to dentists who receive training and certification for treatment of people with I/DD. </w:t>
      </w:r>
      <w:bookmarkEnd w:id="195"/>
      <w:r w:rsidR="000D4F98">
        <w:t>Similarly, AmeriHealth Caritas, a Medicaid MCO operating in the Philadelphia, Pennsylvania, area, has a separate reimbursement structure for dentists who receive additional training to treat people with I/DD within their Inclusive Dental Plan for treatment of patients with special needs; this incorporates and acknowledges the increased amount of time providers often must spend with a patient with I/DD.</w:t>
      </w:r>
      <w:r w:rsidR="000D4F98">
        <w:rPr>
          <w:vertAlign w:val="superscript"/>
        </w:rPr>
        <w:endnoteReference w:id="120"/>
      </w:r>
    </w:p>
    <w:p w14:paraId="13584F46" w14:textId="25DA1650" w:rsidR="000D4F98" w:rsidRPr="00537483" w:rsidRDefault="00401D57" w:rsidP="00F61DDA">
      <w:pPr>
        <w:pStyle w:val="NCDBodyText"/>
      </w:pPr>
      <w:r w:rsidRPr="00401D57">
        <w:rPr>
          <w:i/>
        </w:rPr>
        <w:t xml:space="preserve">Federal Legislative Mechanisms for Increasing Reimbursement. </w:t>
      </w:r>
      <w:r w:rsidR="000D4F98">
        <w:t xml:space="preserve">At the federal level, a potential mechanism for raising reimbursement rates may be to include adults with I/DD in the medically underserved category. The Healthcare Extension and Accessibility for </w:t>
      </w:r>
      <w:r w:rsidR="000D4F98">
        <w:lastRenderedPageBreak/>
        <w:t>Developmentally Disabled and Underserved Populations (HEADs UP) Act would amend the Public Health Act to include those with I/DD as a “Special Medically Underserved Population” (SMUP). If passed, this would increase Medicaid reimbursement rates for providers.</w:t>
      </w:r>
      <w:r w:rsidR="000D4F98">
        <w:rPr>
          <w:vertAlign w:val="superscript"/>
        </w:rPr>
        <w:endnoteReference w:id="121"/>
      </w:r>
      <w:r w:rsidR="000D4F98">
        <w:t xml:space="preserve"> This bill has been introduced in two previous Congresses and at the time of the writing of this report has been reintroduced in the 117</w:t>
      </w:r>
      <w:r w:rsidR="000D4F98" w:rsidRPr="00D06F4B">
        <w:t>th</w:t>
      </w:r>
      <w:r w:rsidR="000D4F98">
        <w:t xml:space="preserve"> Congress (H.R. 6075).</w:t>
      </w:r>
    </w:p>
    <w:p w14:paraId="396A75AD" w14:textId="5ED9414A" w:rsidR="000D4F98" w:rsidRPr="00537483" w:rsidRDefault="00401D57" w:rsidP="00F61DDA">
      <w:pPr>
        <w:pStyle w:val="NCDBodyText"/>
      </w:pPr>
      <w:r w:rsidRPr="00401D57">
        <w:rPr>
          <w:i/>
        </w:rPr>
        <w:t>Increased Transparency in Reimbursement Rates</w:t>
      </w:r>
      <w:r w:rsidR="000D4F98">
        <w:t>. To demonstrate the impact of raising reimbursement rates on access to dental care and the potential best mechanisms for raising reimbursement rates, more transparency about provider reimbursement is needed. Key informants and stakeholders described multiple challenges to measuring and comparing Medicaid reimbursement rates across states, in large part because more states are opting to use MCOs to deliver Medicaid services. Without better publicly available data on actual reimbursement rates for providers, it is difficult to assess the optimal reimbursement rates to expand the Medicaid provider networks and increase access to dental care, while containing costs.</w:t>
      </w:r>
    </w:p>
    <w:p w14:paraId="2F9853A1" w14:textId="676890DE" w:rsidR="000D4F98" w:rsidRPr="00537483" w:rsidRDefault="000D4F98" w:rsidP="00F61DDA">
      <w:pPr>
        <w:pStyle w:val="Heading2"/>
        <w:rPr>
          <w:rFonts w:eastAsia="Arial"/>
        </w:rPr>
      </w:pPr>
      <w:bookmarkStart w:id="196" w:name="_Toc95237047"/>
      <w:r w:rsidRPr="00537483">
        <w:rPr>
          <w:rFonts w:eastAsia="Arial"/>
        </w:rPr>
        <w:t>Medicaid-funded Initiatives to Expand Access to Services</w:t>
      </w:r>
      <w:bookmarkEnd w:id="196"/>
    </w:p>
    <w:p w14:paraId="01CD2587" w14:textId="77777777" w:rsidR="000D4F98" w:rsidRPr="00537483" w:rsidRDefault="000D4F98" w:rsidP="00F61DDA">
      <w:pPr>
        <w:pStyle w:val="NCDBodyText"/>
      </w:pPr>
      <w:r>
        <w:t>KIIs and summit attendees highlighted several promising practices worthy of further exploration, which are funded partially or fully through state Medicaid programs.</w:t>
      </w:r>
    </w:p>
    <w:p w14:paraId="5291E5B5" w14:textId="74EAACBA" w:rsidR="000D4F98" w:rsidRPr="00537483" w:rsidRDefault="00401D57" w:rsidP="00F61DDA">
      <w:pPr>
        <w:pStyle w:val="NCDBodyText"/>
        <w:rPr>
          <w:sz w:val="22"/>
        </w:rPr>
      </w:pPr>
      <w:r w:rsidRPr="00401D57">
        <w:rPr>
          <w:i/>
        </w:rPr>
        <w:t xml:space="preserve">Multidisciplinary Health Center. </w:t>
      </w:r>
      <w:r w:rsidR="000D4F98">
        <w:t>Kentucky created the Lee Specialty Clinic, a statewide multidisciplinary health center that specializes in providing medical and dental care to people with I/DD. The health center is staffed by highly trained doctors and dentists, who solely treat people with I/DD. Their extensive experience treating people with I/DD, and their knowledge of behavioral modification and desensitization techniques, allows them to substantially reduce the need to use general anesthesia in the operating room to provide preventive dental services, thereby reducing overall costs. Many of their patients receive Medicaid coverage, which partially funds the center, in addition to other funds that come from the state. To date, efforts to expand this model to other states have been unsuccessful due to lack of state funding.</w:t>
      </w:r>
    </w:p>
    <w:p w14:paraId="4C56E53C" w14:textId="7305D7AA" w:rsidR="000D4F98" w:rsidRPr="00537483" w:rsidRDefault="00401D57" w:rsidP="00F61DDA">
      <w:pPr>
        <w:pStyle w:val="NCDBodyText"/>
      </w:pPr>
      <w:r w:rsidRPr="00401D57">
        <w:rPr>
          <w:i/>
        </w:rPr>
        <w:t xml:space="preserve">Pilot Programs. </w:t>
      </w:r>
      <w:r w:rsidR="000D4F98">
        <w:t xml:space="preserve">There are several states that have granted expanded oral health benefits for other select populations without disabilities. Knowledge gained from </w:t>
      </w:r>
      <w:r w:rsidR="000D4F98">
        <w:lastRenderedPageBreak/>
        <w:t>evaluations of these pilot projects could guide expanded dental coverage for adults with I/DD. For example, Washington State’s Oral Health Connections Pilot Project aims to test the effect of enhanced oral health services, for diabetic or pregnant Medicaid clients ages twenty-one to sixty-four years in three counties, on health outcomes and cost of care. New York’s Medicaid program is exploring an SDF training program for caregivers of children. Such approaches could be expanded to include adults with disabilities. Similar small-scale experimental programs could be employed for adults with I/DD in states with less funding.</w:t>
      </w:r>
    </w:p>
    <w:p w14:paraId="25A1C059" w14:textId="5F3A4902" w:rsidR="000D4F98" w:rsidRPr="00537483" w:rsidRDefault="00401D57" w:rsidP="00F61DDA">
      <w:pPr>
        <w:pStyle w:val="NCDBodyText"/>
      </w:pPr>
      <w:r w:rsidRPr="00401D57">
        <w:rPr>
          <w:i/>
        </w:rPr>
        <w:t>Accessible Services</w:t>
      </w:r>
      <w:r w:rsidR="000D4F98">
        <w:t>. The delivery of dental programs must be examined as well as the benefit itself. Pilot programs and all programs that expand coverage to adults should consider how people will be able to physically access care in the design of their projects. For example, California implemented a pilot program to provide additional treatment for people with higher risk of getting cavities. While this increased the covered services for patients with high caries risk, it required patients to come in person for up to four to five different visits for each product recommended to them under this pilot (e.g., fluoride varnish). They had to travel to a dental institution or dental school where the services were offered. As a result of the language in the pilot program guidelines, the process of receiving care was burdensome owing to the number of times patients were required to travel for services.</w:t>
      </w:r>
      <w:r w:rsidR="000D4F98">
        <w:rPr>
          <w:vertAlign w:val="superscript"/>
        </w:rPr>
        <w:endnoteReference w:id="122"/>
      </w:r>
      <w:r w:rsidR="000D4F98">
        <w:t xml:space="preserve"> An example of a pilot program to increase access was implemented in partnership between New Hampshire’s Division of Public Health Services, the state’s Medicaid agency, and the Women, Infants, and Children (WIC) program. The </w:t>
      </w:r>
      <w:r w:rsidRPr="00401D57">
        <w:rPr>
          <w:i/>
        </w:rPr>
        <w:t>Pay for Prevention</w:t>
      </w:r>
      <w:r w:rsidR="000D4F98">
        <w:t xml:space="preserve"> program offers preventive dental services for children and pregnant women at WIC offices.</w:t>
      </w:r>
      <w:r w:rsidR="000D4F98">
        <w:rPr>
          <w:vertAlign w:val="superscript"/>
        </w:rPr>
        <w:endnoteReference w:id="123"/>
      </w:r>
      <w:r w:rsidR="000D4F98">
        <w:t xml:space="preserve"> The program provided comprehensive preventive oral health services, including dental sealants, fluoride varnish, and oral health education delivered via public health hygienists and dental assistants. The program also provided referrals to select, local, Medicaid enrolled dental providers. Of 857 pregnant women served by the program, 37 percent were referred to a dentist for urgent needs, and 75 percent received sealants, potentially avoiding more painful and costly dental issues. Improving access to oral health care by bringing oral health care directly to potential beneficiaries through state agency partnerships or mobile clinics could be replicated for the I/DD population. For example, </w:t>
      </w:r>
      <w:bookmarkStart w:id="197" w:name="_Hlk93352262"/>
      <w:r w:rsidR="000D4F98">
        <w:t xml:space="preserve">Missouri and New Jersey have </w:t>
      </w:r>
      <w:r w:rsidR="000D4F98">
        <w:lastRenderedPageBreak/>
        <w:t xml:space="preserve">implemented mobile dental clinics, which can overcome transportation barriers </w:t>
      </w:r>
      <w:bookmarkEnd w:id="197"/>
      <w:r w:rsidR="000D4F98">
        <w:t>to dental care faced by adults with I/DD, especially those living in rural areas or with limited transportation options.</w:t>
      </w:r>
      <w:r w:rsidR="000D4F98">
        <w:rPr>
          <w:vertAlign w:val="superscript"/>
        </w:rPr>
        <w:endnoteReference w:id="124"/>
      </w:r>
      <w:r w:rsidR="000D4F98">
        <w:rPr>
          <w:vertAlign w:val="superscript"/>
        </w:rPr>
        <w:t>,</w:t>
      </w:r>
      <w:r w:rsidR="000D4F98">
        <w:rPr>
          <w:vertAlign w:val="superscript"/>
        </w:rPr>
        <w:endnoteReference w:id="125"/>
      </w:r>
    </w:p>
    <w:p w14:paraId="0D541B36" w14:textId="4E1358A4" w:rsidR="000D4F98" w:rsidRPr="00537483" w:rsidRDefault="00401D57" w:rsidP="00F61DDA">
      <w:pPr>
        <w:pStyle w:val="NCDBodyText"/>
        <w:rPr>
          <w:sz w:val="22"/>
        </w:rPr>
      </w:pPr>
      <w:r w:rsidRPr="00401D57">
        <w:rPr>
          <w:i/>
        </w:rPr>
        <w:t xml:space="preserve">Expanding Medicaid Provider Network Experienced in Treating Adults with I/DD Through Enhanced Training. </w:t>
      </w:r>
      <w:r w:rsidR="000D4F98">
        <w:t>There are also models for training Medicaid dental providers to work with the disability population, potentially expanding the provider network capable of treating adults with I/DD and increasing access. AmeriHealth Caritas’s Inclusive Dental Plan, a plan of the previously mentioned Medicaid MCO in Pennsylvania, also partners with dental schools to train oral health providers in supporting the oral health needs of patients with disabilities.</w:t>
      </w:r>
      <w:r w:rsidR="000D4F98">
        <w:rPr>
          <w:vertAlign w:val="superscript"/>
        </w:rPr>
        <w:endnoteReference w:id="126"/>
      </w:r>
      <w:r w:rsidR="000D4F98">
        <w:t xml:space="preserve"> The specialized continuing education extends beyond the training dental students receive in dental school under the revised Commission on Dental Accreditation (CODA) standards.</w:t>
      </w:r>
    </w:p>
    <w:p w14:paraId="3D508A07" w14:textId="328C3CD9" w:rsidR="000D4F98" w:rsidRPr="00537483" w:rsidRDefault="00401D57" w:rsidP="00F61DDA">
      <w:pPr>
        <w:pStyle w:val="NCDBodyText"/>
      </w:pPr>
      <w:r w:rsidRPr="00401D57">
        <w:rPr>
          <w:i/>
        </w:rPr>
        <w:t>Ensuring Coordination Between DD Agencies and Medicaid.</w:t>
      </w:r>
      <w:r w:rsidR="000D4F98">
        <w:t xml:space="preserve"> Coordination between DD agencies and Medicaid MCOs will likely better facilitate utilization of managed care by adult Medicaid beneficiaries with I/DD. As described earlier in the report, more states are moving toward managed care delivery systems for Medicaid administration. Thus, it will be important to ensure that MCOs are familiar with the I/DD population and their needs.</w:t>
      </w:r>
    </w:p>
    <w:p w14:paraId="0DE37ADD" w14:textId="77777777" w:rsidR="000D4F98" w:rsidRPr="00537483" w:rsidRDefault="000D4F98" w:rsidP="00F61DDA">
      <w:pPr>
        <w:pStyle w:val="NCDBodyText"/>
      </w:pPr>
      <w:r>
        <w:t>DD agencies can provide key support to MCOs in serving their beneficiaries with special needs. For example, in New Jersey, adults with I/DD have an assigned case manager to help them navigate DD services and other community-based services. In addition, Medicaid MCOs may assign that same person a different care manager to assist with insurance issues and access to medical and dental services. Coordination between these two points of contact facilitates access to dental care. Accessing dental care for adults with I/DD requires not only the insurance coverage provided by the MCOs but also transportation and involvement of group home staff, services typically provided by DD contractors, requiring coordination between DD contractors and Medicaid providers.</w:t>
      </w:r>
    </w:p>
    <w:p w14:paraId="29F159F1" w14:textId="77777777" w:rsidR="000D4F98" w:rsidRPr="00537483" w:rsidRDefault="000D4F98" w:rsidP="00F61DDA">
      <w:pPr>
        <w:pStyle w:val="NCDBodyText"/>
      </w:pPr>
      <w:r>
        <w:t xml:space="preserve">The DD agency survey undertaken for this project provided examples of how some states pursue close coordination with MCOs. For example, the Delaware DD agency </w:t>
      </w:r>
      <w:r>
        <w:lastRenderedPageBreak/>
        <w:t>has established points of contact within the MCOs to improve coordination. The Connecticut DD agency reports being in frequent communication with the Connecticut Dental Health Partnership MCO, which manages oral health benefits. In Pennsylvania, DD agency staff have developed relationships with dental providers who specialize in providing dental care for people with I/DD. In Louisiana, representatives from the DD agency and Medicaid MCOs participate in a dental task force with I/DD advocates in the state.</w:t>
      </w:r>
    </w:p>
    <w:p w14:paraId="3FB02475" w14:textId="77777777" w:rsidR="000D4F98" w:rsidRPr="00537483" w:rsidRDefault="000D4F98" w:rsidP="00F61DDA">
      <w:pPr>
        <w:pStyle w:val="NCDBodyText"/>
      </w:pPr>
      <w:r>
        <w:t>DD agencies take a range of approaches to coordinating oral health services with their states’ Medicaid programs, according to the survey responses. Some states have regularly scheduled meetings or ad hoc meetings to coordinate benefits with the state’s Medicaid agency, sometimes facilitated by the agencies being housed in the same department. Two agencies (Louisiana and Washington, DC) noted they have a memorandum of understanding (MOU) or a memorandum of agreement (MOA) with the lead Medicaid agency. In Washington, DC, the agencies coordinate weekly (if not daily) through the MOA and MOU to provide waiver services to the I/DD population. Similarly, both agencies in Washington state coordinate to resolve oral health care issues.</w:t>
      </w:r>
    </w:p>
    <w:p w14:paraId="5CEF3DE7" w14:textId="304D12F4" w:rsidR="000D4F98" w:rsidRPr="00537483" w:rsidRDefault="00401D57" w:rsidP="00F61DDA">
      <w:pPr>
        <w:pStyle w:val="NCDBodyText"/>
        <w:rPr>
          <w:sz w:val="22"/>
        </w:rPr>
      </w:pPr>
      <w:r w:rsidRPr="00401D57">
        <w:rPr>
          <w:i/>
        </w:rPr>
        <w:t xml:space="preserve">Incorporating Patient Feedback. </w:t>
      </w:r>
      <w:r w:rsidR="000D4F98">
        <w:t>States may also institute processes for incorporating feedback on their programs from adults with I/DD and their families. The DD survey revealed that some states have no formal process for receiving input about the patient experience. Most states, however, mentioned receiving patient feedback through one of the following means: surveys, care coordinators, advocacy organizations, public commission or council meetings, and an advisory body. Additional practices included a complaint hub in Florida that handled complaints from patients and public forums held by the Ohio DD agency and the Ohio Department of Medicaid.</w:t>
      </w:r>
    </w:p>
    <w:p w14:paraId="2B2A1021" w14:textId="77777777" w:rsidR="00F61DDA" w:rsidRDefault="00F61DDA">
      <w:pPr>
        <w:spacing w:after="160" w:line="259" w:lineRule="auto"/>
        <w:rPr>
          <w:rFonts w:cs="Arial"/>
          <w:b/>
          <w:sz w:val="36"/>
          <w:szCs w:val="32"/>
        </w:rPr>
      </w:pPr>
      <w:bookmarkStart w:id="198" w:name="_Toc83304274"/>
      <w:bookmarkStart w:id="199" w:name="_Toc92354775"/>
      <w:r>
        <w:br w:type="page"/>
      </w:r>
    </w:p>
    <w:p w14:paraId="74AD7BEE" w14:textId="77777777" w:rsidR="00F61DDA" w:rsidRDefault="00F61DDA">
      <w:pPr>
        <w:spacing w:after="160" w:line="259" w:lineRule="auto"/>
        <w:rPr>
          <w:rFonts w:cs="Arial"/>
          <w:b/>
          <w:sz w:val="36"/>
          <w:szCs w:val="32"/>
        </w:rPr>
      </w:pPr>
      <w:r>
        <w:lastRenderedPageBreak/>
        <w:br w:type="page"/>
      </w:r>
    </w:p>
    <w:p w14:paraId="6E307832" w14:textId="01A4D3C3" w:rsidR="000D4F98" w:rsidRPr="00537483" w:rsidRDefault="000D4F98" w:rsidP="00F61DDA">
      <w:pPr>
        <w:pStyle w:val="Heading1"/>
      </w:pPr>
      <w:bookmarkStart w:id="200" w:name="_Toc95237048"/>
      <w:r>
        <w:lastRenderedPageBreak/>
        <w:t xml:space="preserve">Chapter </w:t>
      </w:r>
      <w:r w:rsidR="00416497">
        <w:t>6</w:t>
      </w:r>
      <w:r>
        <w:t>: Opportunities Outside of Medicaid</w:t>
      </w:r>
      <w:bookmarkEnd w:id="198"/>
      <w:bookmarkEnd w:id="199"/>
      <w:bookmarkEnd w:id="200"/>
    </w:p>
    <w:p w14:paraId="547FFC5E" w14:textId="77777777" w:rsidR="000D4F98" w:rsidRPr="00537483" w:rsidRDefault="000D4F98" w:rsidP="00F61DDA">
      <w:pPr>
        <w:pStyle w:val="NCDBodyText"/>
      </w:pPr>
      <w:r>
        <w:t>Beyond the Medicaid program, other actors are working to expand access to oral health care for people with special needs. For example, legislation was introduced in the 117th Congress to include dental benefits in Medicare, including the Medicare Dental, Vision, and Hearing Act of 2021 (H.R. 4311) that would add a dental benefit to Medicare Part B.</w:t>
      </w:r>
      <w:r>
        <w:rPr>
          <w:vertAlign w:val="superscript"/>
        </w:rPr>
        <w:endnoteReference w:id="127"/>
      </w:r>
      <w:r>
        <w:t xml:space="preserve"> If this or similar legislation were passed, enacted, and funded, adults with I/DD across the United States who are eligible for Medicare would receive dental benefits coverage.</w:t>
      </w:r>
    </w:p>
    <w:p w14:paraId="4B99FA9E" w14:textId="77777777" w:rsidR="000D4F98" w:rsidRPr="00537483" w:rsidRDefault="000D4F98" w:rsidP="00F61DDA">
      <w:pPr>
        <w:pStyle w:val="NCDBodyText"/>
      </w:pPr>
      <w:r>
        <w:t xml:space="preserve">Other smaller-scale initiatives should be assessed to determine whether they would be cost effective for Medicaid. For example, </w:t>
      </w:r>
      <w:bookmarkStart w:id="201" w:name="_Hlk93352823"/>
      <w:r>
        <w:t>a pilot program implemented in the Virginia VA Community Living Center required nursing staff to brush the teeth of residents once a day. This program resulted in reducing the incidence of pneumonia by approximately 90 percent and an estimated savings of $9.4 million over three years</w:t>
      </w:r>
      <w:bookmarkEnd w:id="201"/>
      <w:r>
        <w:t>, as of July 2019.</w:t>
      </w:r>
      <w:r>
        <w:rPr>
          <w:vertAlign w:val="superscript"/>
        </w:rPr>
        <w:endnoteReference w:id="128"/>
      </w:r>
    </w:p>
    <w:p w14:paraId="74A27665" w14:textId="77777777" w:rsidR="000D4F98" w:rsidRPr="00537483" w:rsidRDefault="000D4F98" w:rsidP="00F61DDA">
      <w:pPr>
        <w:pStyle w:val="NCDBodyText"/>
      </w:pPr>
      <w:r>
        <w:t xml:space="preserve">Community dental centers, housed at universities and teaching hospitals, provide dental students opportunities to serve a wide range of patients, including those with disabilities and I/DD. </w:t>
      </w:r>
      <w:r>
        <w:rPr>
          <w:highlight w:val="white"/>
        </w:rPr>
        <w:t>Examples of this model are the Community Dental Center at Harvard that uses students as dental providers and assistants, and clinics at Temple University, Rutgers, and NYU.</w:t>
      </w:r>
      <w:r>
        <w:rPr>
          <w:highlight w:val="white"/>
          <w:vertAlign w:val="superscript"/>
        </w:rPr>
        <w:endnoteReference w:id="129"/>
      </w:r>
      <w:r>
        <w:rPr>
          <w:highlight w:val="white"/>
          <w:vertAlign w:val="superscript"/>
        </w:rPr>
        <w:t>,</w:t>
      </w:r>
      <w:r>
        <w:rPr>
          <w:highlight w:val="white"/>
          <w:vertAlign w:val="superscript"/>
        </w:rPr>
        <w:endnoteReference w:id="130"/>
      </w:r>
      <w:r>
        <w:rPr>
          <w:highlight w:val="white"/>
          <w:vertAlign w:val="superscript"/>
        </w:rPr>
        <w:t>,</w:t>
      </w:r>
      <w:r>
        <w:rPr>
          <w:highlight w:val="white"/>
          <w:vertAlign w:val="superscript"/>
        </w:rPr>
        <w:endnoteReference w:id="131"/>
      </w:r>
      <w:r>
        <w:rPr>
          <w:highlight w:val="white"/>
          <w:vertAlign w:val="superscript"/>
        </w:rPr>
        <w:t>,</w:t>
      </w:r>
      <w:r>
        <w:rPr>
          <w:highlight w:val="white"/>
          <w:vertAlign w:val="superscript"/>
        </w:rPr>
        <w:endnoteReference w:id="132"/>
      </w:r>
      <w:r>
        <w:t xml:space="preserve"> Dental schools in Washington, Arizona, and New York offer fellowships and residencies for providers interested in serving patients with special needs. State and local boards can also require board-certified dentists to take continuing dental education courses on treatment of patients with special needs.</w:t>
      </w:r>
    </w:p>
    <w:p w14:paraId="303721E8" w14:textId="77777777" w:rsidR="000D4F98" w:rsidRPr="00537483" w:rsidRDefault="000D4F98" w:rsidP="00F61DDA">
      <w:pPr>
        <w:pStyle w:val="NCDBodyText"/>
      </w:pPr>
      <w:r>
        <w:t>Some promising practices aim to increase coordination between medical and dental providers. For example, the Arc of Mercer County in New Jersey currently runs a medical center offering medical, behavioral, and podiatry care to people with I/DD and soon will be offering dental care, all under one roof.</w:t>
      </w:r>
      <w:r>
        <w:rPr>
          <w:vertAlign w:val="superscript"/>
        </w:rPr>
        <w:endnoteReference w:id="133"/>
      </w:r>
    </w:p>
    <w:p w14:paraId="36811396" w14:textId="77777777" w:rsidR="000D4F98" w:rsidRPr="00537483" w:rsidRDefault="000D4F98" w:rsidP="00F61DDA">
      <w:pPr>
        <w:pStyle w:val="NCDBodyText"/>
      </w:pPr>
      <w:r>
        <w:t xml:space="preserve">The University of Buffalo has been exploring the creation of a dentist and occupational therapist program. The program would aim to incorporate dental hygiene into training for </w:t>
      </w:r>
      <w:r>
        <w:lastRenderedPageBreak/>
        <w:t>occupational therapists to help patients with daily oral hygiene maintenance and educating dentists on how to handle their patients.</w:t>
      </w:r>
      <w:r>
        <w:rPr>
          <w:vertAlign w:val="superscript"/>
        </w:rPr>
        <w:endnoteReference w:id="134"/>
      </w:r>
    </w:p>
    <w:p w14:paraId="783EE3A0" w14:textId="77777777" w:rsidR="000D4F98" w:rsidRPr="00537483" w:rsidRDefault="000D4F98" w:rsidP="00F61DDA">
      <w:pPr>
        <w:pStyle w:val="NCDBodyText"/>
      </w:pPr>
      <w:r>
        <w:t>Beyond these promising practices, summit attendees and key informants provided other insights into improving access to oral health care for adults with I/DD.</w:t>
      </w:r>
    </w:p>
    <w:p w14:paraId="28D212BB" w14:textId="0AA1C8E6" w:rsidR="000D4F98" w:rsidRPr="00537483" w:rsidRDefault="00401D57" w:rsidP="00F61DDA">
      <w:pPr>
        <w:pStyle w:val="NCDBodyText"/>
      </w:pPr>
      <w:r w:rsidRPr="00401D57">
        <w:rPr>
          <w:i/>
        </w:rPr>
        <w:t xml:space="preserve">Patient-Centered Care. </w:t>
      </w:r>
      <w:r w:rsidR="000D4F98">
        <w:t>Interviewees described patient-centered care that includes asking patients about their goals for care, as an approach that improves care. Relatedly, one stakeholder noted the importance of promoting sensory accommodations (i.e., light dimmers, softer colors, weighted blankets) as an accommodation covered under the Americans with Disabilities Act, along with more obvious accommodations for people with physical disabilities like chair lifts and wider doorways.</w:t>
      </w:r>
    </w:p>
    <w:p w14:paraId="1C0A0619" w14:textId="2683FF55" w:rsidR="000D4F98" w:rsidRPr="00537483" w:rsidRDefault="00401D57" w:rsidP="00F61DDA">
      <w:pPr>
        <w:pStyle w:val="NCDBodyText"/>
      </w:pPr>
      <w:r w:rsidRPr="00401D57">
        <w:rPr>
          <w:i/>
        </w:rPr>
        <w:t>Training Caregivers on Oral Hygiene</w:t>
      </w:r>
      <w:r w:rsidR="000D4F98">
        <w:t xml:space="preserve">. Interviewees also noted the importance of training direct support professionals (DSPs) and others of the home health aide workforce about oral hygiene. Often this workforce is responsible for daily hygiene activities for many people with disabilities, including maintenance of oral health. New Jersey provides an example of implementing this approach. </w:t>
      </w:r>
      <w:bookmarkStart w:id="202" w:name="_Hlk93352972"/>
      <w:r w:rsidR="000D4F98">
        <w:t xml:space="preserve">In 2021, the New Jersey chapter of the American Academy of Pediatrics began working with the developmental disabilities agency to include oral health information in DSPs’ training </w:t>
      </w:r>
      <w:bookmarkEnd w:id="202"/>
      <w:r w:rsidR="000D4F98">
        <w:t>as part of the Improving Oral Health across the Lifespan Program.</w:t>
      </w:r>
      <w:r w:rsidR="000D4F98">
        <w:rPr>
          <w:vertAlign w:val="superscript"/>
        </w:rPr>
        <w:endnoteReference w:id="135"/>
      </w:r>
    </w:p>
    <w:p w14:paraId="44B086FE" w14:textId="5A4A5E40" w:rsidR="000D4F98" w:rsidRPr="00537483" w:rsidRDefault="000D4F98" w:rsidP="00F61DDA">
      <w:pPr>
        <w:pStyle w:val="Heading2"/>
        <w:rPr>
          <w:rFonts w:eastAsia="Arial"/>
        </w:rPr>
      </w:pPr>
      <w:bookmarkStart w:id="203" w:name="_Toc95237049"/>
      <w:r w:rsidRPr="00537483">
        <w:rPr>
          <w:rFonts w:eastAsia="Arial"/>
        </w:rPr>
        <w:t>Areas for Future Research</w:t>
      </w:r>
      <w:bookmarkEnd w:id="203"/>
    </w:p>
    <w:p w14:paraId="43379C62" w14:textId="77777777" w:rsidR="000D4F98" w:rsidRPr="00537483" w:rsidRDefault="000D4F98" w:rsidP="00F61DDA">
      <w:pPr>
        <w:pStyle w:val="NCDBodyText"/>
      </w:pPr>
      <w:r>
        <w:t>NCD’s research has highlighted key gaps in overall research and data that should be addressed to ensure that Medicaid policy and programs best address the oral health disparity experienced by adults with I/DD in a cost-effective manner.</w:t>
      </w:r>
    </w:p>
    <w:p w14:paraId="4418F869" w14:textId="753B6296" w:rsidR="000D4F98" w:rsidRPr="00537483" w:rsidRDefault="00401D57" w:rsidP="00F61DDA">
      <w:pPr>
        <w:pStyle w:val="NCDBodyText"/>
      </w:pPr>
      <w:r w:rsidRPr="00401D57">
        <w:rPr>
          <w:i/>
        </w:rPr>
        <w:t>Data on Reimbursement Rates</w:t>
      </w:r>
      <w:r w:rsidR="000D4F98">
        <w:t xml:space="preserve">. Reimbursement levels provided by managed care organizations to health care providers are not publicly available, making it virtually impossible for researchers to gather accurate data about actual reimbursement rates. As described earlier, prior research on the impact of reimbursement rates on receipt of health care has compared receipt of health care before and after policy changes that directed Medicaid agencies to increase reimbursement rates, rather than examining </w:t>
      </w:r>
      <w:r w:rsidR="000D4F98">
        <w:lastRenderedPageBreak/>
        <w:t>reimbursement rates directly. This data could be used to pinpoint the optimal reimbursement rates that both ensure adequate Medicaid participation among health care providers and are cost effective.</w:t>
      </w:r>
    </w:p>
    <w:p w14:paraId="0CFEB7BA" w14:textId="1C7D956B" w:rsidR="000D4F98" w:rsidRPr="00537483" w:rsidRDefault="00401D57" w:rsidP="00F61DDA">
      <w:pPr>
        <w:pStyle w:val="NCDBodyText"/>
      </w:pPr>
      <w:r w:rsidRPr="00401D57">
        <w:rPr>
          <w:i/>
        </w:rPr>
        <w:t xml:space="preserve">Ongoing Evaluation of Pilot Programs. </w:t>
      </w:r>
      <w:r w:rsidR="000D4F98">
        <w:t>As noted earlier, innovative and promising publicly funded state and local pilot programs should be evaluated for effectiveness and cost-effectiveness to inform Medicaid policy and payment structures.</w:t>
      </w:r>
    </w:p>
    <w:p w14:paraId="4B03F985" w14:textId="7D388B21" w:rsidR="000D4F98" w:rsidRPr="00537483" w:rsidRDefault="00401D57" w:rsidP="00F61DDA">
      <w:pPr>
        <w:pStyle w:val="NCDBodyText"/>
      </w:pPr>
      <w:r w:rsidRPr="00401D57">
        <w:rPr>
          <w:i/>
        </w:rPr>
        <w:t xml:space="preserve">Effects of Specific Benefits. </w:t>
      </w:r>
      <w:r w:rsidR="000D4F98">
        <w:t>Future studies should examine the specific benefits within waiver programs that are most associated with cost-effective outcomes. Most evaluations of waiver programs examine packages of benefits. To the extent possible, disentangling the impact of specific elements of these programs would improve knowledge about effective interventions to improve oral health outcomes for adults with I/DD.</w:t>
      </w:r>
    </w:p>
    <w:p w14:paraId="6F6E1B66" w14:textId="4F2D23F4" w:rsidR="000D4F98" w:rsidRPr="00537483" w:rsidRDefault="00401D57" w:rsidP="00F61DDA">
      <w:pPr>
        <w:pStyle w:val="NCDBodyText"/>
      </w:pPr>
      <w:r w:rsidRPr="00401D57">
        <w:rPr>
          <w:i/>
        </w:rPr>
        <w:t>Medicaid Policy for the General Adult Population</w:t>
      </w:r>
      <w:r w:rsidR="000D4F98">
        <w:t>. It is vital that there is ongoing research to examine the impact on adults with I/DD of new or proposed Medicaid policies targeted at the general adult population. For example, a University of Michigan study examined the potential impact of the state’s 1115 waiver work requirements. The study found that 94 percent of Medicaid beneficiaries who were unable to work had chronic physical or mental health conditions, and nearly 50 percent had impaired mental functions that did not allow them to work.</w:t>
      </w:r>
      <w:r w:rsidR="000D4F98">
        <w:rPr>
          <w:vertAlign w:val="superscript"/>
        </w:rPr>
        <w:endnoteReference w:id="136"/>
      </w:r>
      <w:r w:rsidR="000D4F98">
        <w:t xml:space="preserve"> A federal court in 2020 struck down work requirements in state Medicaid 1115 waivers as unlawful, in part owing to their restrictions on access to care.</w:t>
      </w:r>
      <w:r w:rsidR="000D4F98">
        <w:rPr>
          <w:vertAlign w:val="superscript"/>
        </w:rPr>
        <w:endnoteReference w:id="137"/>
      </w:r>
    </w:p>
    <w:p w14:paraId="6E1E1136" w14:textId="343C9B7C" w:rsidR="000D4F98" w:rsidRPr="00537483" w:rsidRDefault="00401D57" w:rsidP="00F61DDA">
      <w:pPr>
        <w:pStyle w:val="NCDBodyText"/>
      </w:pPr>
      <w:r w:rsidRPr="00401D57">
        <w:rPr>
          <w:i/>
        </w:rPr>
        <w:t>Dental Treatment in the Operating Room</w:t>
      </w:r>
      <w:r w:rsidR="000D4F98">
        <w:t xml:space="preserve">. As described in chapter 2 some adults with I/DD receive oral health treatment in the OR because they require general anesthesia to tolerate the treatment. Adults with I/DD who receive routine dental care in the OR often are among the most vulnerable of adults with I/DD. Many are nonverbal and unable to articulate experiences of oral pain. There are many drawbacks to providing basic or routine dental treatment in the OR, including the dangers of general anesthesia, the expense, the difficulty of coordinating this type of care, and the typically long wait times for OR care. There is very little research available on the rates of receipt of dental care </w:t>
      </w:r>
      <w:r w:rsidR="000D4F98">
        <w:lastRenderedPageBreak/>
        <w:t>in the OR, the average wait time for routine dental care, the trends in availability of ORs for dental care, effective dental practices to treat these patients outside the OR, and the cost-effectiveness of investing in training of dental providers to reduce the need for OR care. As described in chapter 5, highly trained dental providers may be able to reduce the need for OR care. More research is needed about the best approaches to addressing the dental needs of adults with the most serious forms of I/DD.</w:t>
      </w:r>
    </w:p>
    <w:p w14:paraId="1636EC53" w14:textId="77777777" w:rsidR="00F61DDA" w:rsidRDefault="00F61DDA">
      <w:pPr>
        <w:spacing w:after="160" w:line="259" w:lineRule="auto"/>
        <w:rPr>
          <w:rFonts w:cs="Arial"/>
          <w:b/>
          <w:sz w:val="36"/>
          <w:szCs w:val="32"/>
        </w:rPr>
      </w:pPr>
      <w:bookmarkStart w:id="204" w:name="_Toc83304275"/>
      <w:bookmarkStart w:id="205" w:name="_Toc92354776"/>
      <w:r>
        <w:br w:type="page"/>
      </w:r>
    </w:p>
    <w:p w14:paraId="4E611B97" w14:textId="395BEA43" w:rsidR="000D4F98" w:rsidRPr="00537483" w:rsidRDefault="000D4F98" w:rsidP="00F61DDA">
      <w:pPr>
        <w:pStyle w:val="Heading1"/>
      </w:pPr>
      <w:bookmarkStart w:id="206" w:name="_Toc95237050"/>
      <w:r>
        <w:lastRenderedPageBreak/>
        <w:t>Conclusions</w:t>
      </w:r>
      <w:bookmarkEnd w:id="204"/>
      <w:bookmarkEnd w:id="205"/>
      <w:bookmarkEnd w:id="206"/>
    </w:p>
    <w:p w14:paraId="302B9273" w14:textId="77777777" w:rsidR="000D4F98" w:rsidRPr="00537483" w:rsidRDefault="000D4F98" w:rsidP="00F61DDA">
      <w:pPr>
        <w:pStyle w:val="NCDBodyText"/>
      </w:pPr>
      <w:r>
        <w:t>This report used a mixed-methods approach to address the overarching research question: should CMS require state Medicaid agencies to implement Medicaid reimbursement and payment policies that promote access to dental care for adults with I/DD, and could that ultimately be a cost-effective option over the long term? Because Medicaid adult dental benefits vary widely by state, and there is a dearth of research on how the Medicaid program should be structured to best address oral health disparities for adults with I/DD, NCD assessed multiple aspects of the Medicaid program, at the state and federal levels.</w:t>
      </w:r>
    </w:p>
    <w:p w14:paraId="5469C203" w14:textId="77777777" w:rsidR="000D4F98" w:rsidRPr="00537483" w:rsidRDefault="000D4F98" w:rsidP="00F61DDA">
      <w:pPr>
        <w:pStyle w:val="NCDBodyText"/>
      </w:pPr>
      <w:r>
        <w:t>The research examined the relationship between state Medicaid dental benefits and receipt of basic dental care among adults with I/DD and the estimated cost and potential savings of implementing basic dental Medicaid benefits in states that do not currently do so. Further, NCD examined the role of coordination between DD agencies and Medicaid agencies for improving access to dental care and promising Medicaid-funded state strategies and privately funded local strategies for expanding dental care for adults with I/DD.</w:t>
      </w:r>
    </w:p>
    <w:p w14:paraId="048FE79B" w14:textId="77777777" w:rsidR="000D4F98" w:rsidRPr="00537483" w:rsidRDefault="000D4F98" w:rsidP="00F61DDA">
      <w:pPr>
        <w:pStyle w:val="NCDBodyText"/>
      </w:pPr>
      <w:r w:rsidRPr="00257D88">
        <w:rPr>
          <w:i/>
        </w:rPr>
        <w:t>Key Findings</w:t>
      </w:r>
      <w:r w:rsidRPr="00D06F4B">
        <w:t xml:space="preserve"> </w:t>
      </w:r>
      <w:r>
        <w:t>from the research presented in this report follow.</w:t>
      </w:r>
    </w:p>
    <w:p w14:paraId="1FB4E4A0" w14:textId="77777777" w:rsidR="000D4F98" w:rsidRPr="00537483" w:rsidRDefault="000D4F98" w:rsidP="00F61DDA">
      <w:pPr>
        <w:pStyle w:val="NCDBodyText"/>
      </w:pPr>
      <w:r>
        <w:t>The total estimated cost of providing extensive dental benefits to adults with I/DD in the twelve states that do not currently provide dental benefits would be about $19.6 million annually, with the Federal Government responsible for approximately $12.3 million of that cost. However, total cost reductions from implementing a dental benefit, through reductions in emergency department use and hospital admissions and in the cost of treating chronic diseases exacerbated by poor oral health, would be $27.3 million. In total, introducing a dental benefit would lead to an estimated $7.7 million return on investment.</w:t>
      </w:r>
    </w:p>
    <w:p w14:paraId="79B39441" w14:textId="77777777" w:rsidR="000D4F98" w:rsidRPr="00537483" w:rsidRDefault="000D4F98" w:rsidP="00F61DDA">
      <w:pPr>
        <w:pStyle w:val="NCDBodyText"/>
      </w:pPr>
      <w:r>
        <w:t xml:space="preserve">Adults with I/DD are substantially more likely to receive basic dental care if they live in states with Medicaid dental benefits for adults, relative to adults with I/DD that live in states without these benefits. In the twelve states that do not provide Medicaid dental </w:t>
      </w:r>
      <w:r>
        <w:lastRenderedPageBreak/>
        <w:t>benefits to adults, seven have Medicaid waivers that expand dental benefits for adults with I/DD. Adult Medicaid beneficiaries with I/DD in these waiver states were 50 percent more likely to receive basic dental care, compared to adult Medicaid beneficiaries with I/DD in states without waivers.</w:t>
      </w:r>
    </w:p>
    <w:p w14:paraId="794B8269" w14:textId="77777777" w:rsidR="000D4F98" w:rsidRPr="00537483" w:rsidRDefault="000D4F98" w:rsidP="00F61DDA">
      <w:pPr>
        <w:pStyle w:val="NCDBodyText"/>
      </w:pPr>
      <w:bookmarkStart w:id="207" w:name="_Hlk93353165"/>
      <w:r>
        <w:t>Even in states with extensive dental benefits, only one-third of adult Medicaid beneficiaries with I/DD received basic dental care, paid for by Medicaid, in a year.</w:t>
      </w:r>
      <w:bookmarkEnd w:id="207"/>
      <w:r>
        <w:t xml:space="preserve"> Many barriers to receiving dental care for adults with I/DD remain. Among these barriers is the lack of dental providers who participate in Medicaid. Medicaid reimbursement rates are significantly lower than reimbursement rates provided by private insurers. Although data is unavailable to thoroughly assess the impact of raising reimbursement rates on the participation of dental care providers providing treatment to patients with I/DD in Medicaid, prior research indicates that policies that increased Medicaid reimbursement rates increased access to medical care for Medicaid beneficiaries.</w:t>
      </w:r>
    </w:p>
    <w:p w14:paraId="43BF2807" w14:textId="77777777" w:rsidR="00F61DDA" w:rsidRDefault="00F61DDA">
      <w:pPr>
        <w:spacing w:after="160" w:line="259" w:lineRule="auto"/>
        <w:rPr>
          <w:rFonts w:cs="Arial"/>
          <w:b/>
          <w:sz w:val="36"/>
          <w:szCs w:val="32"/>
        </w:rPr>
      </w:pPr>
      <w:bookmarkStart w:id="208" w:name="_Toc92354777"/>
      <w:r>
        <w:br w:type="page"/>
      </w:r>
    </w:p>
    <w:p w14:paraId="60D6FFA3" w14:textId="5414F9C7" w:rsidR="000D4F98" w:rsidRPr="00537483" w:rsidRDefault="000D4F98" w:rsidP="00F61DDA">
      <w:pPr>
        <w:pStyle w:val="Heading1"/>
      </w:pPr>
      <w:bookmarkStart w:id="209" w:name="_Toc95237051"/>
      <w:r w:rsidRPr="006D5695">
        <w:lastRenderedPageBreak/>
        <w:t>Key Recommendations</w:t>
      </w:r>
      <w:bookmarkEnd w:id="208"/>
      <w:bookmarkEnd w:id="209"/>
    </w:p>
    <w:p w14:paraId="0CC5C960" w14:textId="77777777" w:rsidR="00DC14B6" w:rsidRPr="00DC14B6" w:rsidRDefault="00DC14B6" w:rsidP="00DC14B6">
      <w:pPr>
        <w:pStyle w:val="NCDBodyText"/>
      </w:pPr>
      <w:r w:rsidRPr="00DC14B6">
        <w:t>Based on the research presented in this report, the key recommendations are as follows: </w:t>
      </w:r>
    </w:p>
    <w:p w14:paraId="1ACB1D87" w14:textId="1CD9B51C" w:rsidR="00DC14B6" w:rsidRPr="00DC14B6" w:rsidRDefault="00DC14B6" w:rsidP="002C3BAC">
      <w:pPr>
        <w:pStyle w:val="Heading2"/>
      </w:pPr>
      <w:bookmarkStart w:id="210" w:name="_Toc95237052"/>
      <w:r w:rsidRPr="00DC14B6">
        <w:t>Congress:</w:t>
      </w:r>
      <w:bookmarkEnd w:id="210"/>
    </w:p>
    <w:p w14:paraId="7D38799D" w14:textId="77777777" w:rsidR="00DC14B6" w:rsidRPr="00DC14B6" w:rsidRDefault="00DC14B6" w:rsidP="00140293">
      <w:pPr>
        <w:pStyle w:val="NCDBulletsLevel1"/>
      </w:pPr>
      <w:r w:rsidRPr="00DC14B6">
        <w:t>NCD recommends that Congress pass legislation that would require state Medicaid programs to provide extensive adult dental benefits for people with I/DD or create financial incentives for states to do so. States should have flexibility in implementing dental benefits to ensure they address the needs of their I/DD population. Evaluations of existing state programs should inform the design and implementation of these benefits. </w:t>
      </w:r>
    </w:p>
    <w:p w14:paraId="7A9E775D" w14:textId="77777777" w:rsidR="00DC14B6" w:rsidRPr="00140293" w:rsidRDefault="00DC14B6" w:rsidP="002C3BAC">
      <w:pPr>
        <w:pStyle w:val="Heading2"/>
      </w:pPr>
      <w:bookmarkStart w:id="211" w:name="_Toc95237053"/>
      <w:r w:rsidRPr="00140293">
        <w:t>States:</w:t>
      </w:r>
      <w:bookmarkEnd w:id="211"/>
    </w:p>
    <w:p w14:paraId="2C562A3D" w14:textId="77777777" w:rsidR="00DC14B6" w:rsidRPr="00DC14B6" w:rsidRDefault="00DC14B6" w:rsidP="00140293">
      <w:pPr>
        <w:pStyle w:val="NCDBulletsLevel1"/>
      </w:pPr>
      <w:r w:rsidRPr="00DC14B6">
        <w:t>As we acknowledge that federal legislation can require a lengthy process for passage, NCD also recommends that states should add dental benefits for adults with I/DD to existing or new 1915(c) and 1915(i) waivers or 1115 demonstrations. States can refer to waivers in other states that extend dental coverage to adults with I/DD as a starting point or template to design their own programs. States should consider available data about and evaluations of these waiver programs to prioritize the types of dental services and target populations to include in their own waivers. States can use available data as guidance to maximize access to key, cost-effective dental services while balancing available funding. </w:t>
      </w:r>
    </w:p>
    <w:p w14:paraId="009F3EF4" w14:textId="77777777" w:rsidR="00DC14B6" w:rsidRPr="00DC14B6" w:rsidRDefault="00DC14B6" w:rsidP="00140293">
      <w:pPr>
        <w:pStyle w:val="NCDBulletsLevel1"/>
      </w:pPr>
      <w:r w:rsidRPr="00DC14B6">
        <w:t>States should create greater transparency concerning managed care reimbursement rates. The lack of dental providers who participate in Medicaid remains a barrier to receipt of dental care. There is a lack of publicly available data about Medicaid Managed Care Organization reimbursement rates for dental care providers and creating policies that incentivize dental providers to participate requires an analysis of current rates.</w:t>
      </w:r>
    </w:p>
    <w:p w14:paraId="783ED37B" w14:textId="77777777" w:rsidR="00DC14B6" w:rsidRPr="00DC14B6" w:rsidRDefault="00DC14B6" w:rsidP="00140293">
      <w:pPr>
        <w:pStyle w:val="NCDBulletsLevel1"/>
      </w:pPr>
      <w:r w:rsidRPr="00DC14B6">
        <w:lastRenderedPageBreak/>
        <w:t>States should fund additional programs that would improve oral healthcare for people with I/DD. Other barriers to oral health care must be addressed and could be funded through the Medicaid program, including expanding the dental workforce whose members have expertise in treating adults with I/DD through continuing education programs, implementing programs that improve daily oral care provided by caregivers, and improving education and support for good oral hygiene for adults with I/DD. Additionally, states must address transportation barriers. States should coordinate services between DD agencies and Medicaid providers.</w:t>
      </w:r>
    </w:p>
    <w:p w14:paraId="551D2439" w14:textId="6BD2884A" w:rsidR="00DC14B6" w:rsidRPr="00140293" w:rsidRDefault="00DC14B6" w:rsidP="002C3BAC">
      <w:pPr>
        <w:pStyle w:val="Heading2"/>
      </w:pPr>
      <w:r w:rsidRPr="00140293">
        <w:t> </w:t>
      </w:r>
      <w:bookmarkStart w:id="212" w:name="_Toc95237054"/>
      <w:r w:rsidRPr="00140293">
        <w:t>U.S. Department of Health and Human Services</w:t>
      </w:r>
      <w:bookmarkEnd w:id="212"/>
    </w:p>
    <w:p w14:paraId="5A0393BE" w14:textId="77777777" w:rsidR="00DC14B6" w:rsidRPr="00DC14B6" w:rsidRDefault="00DC14B6" w:rsidP="00140293">
      <w:pPr>
        <w:pStyle w:val="NCDBulletsLevel1"/>
      </w:pPr>
      <w:r w:rsidRPr="00DC14B6">
        <w:t>The U.S. Department of Health and Human Services, through the Administration on Community Living, should conduct additional research to offer policy insights and recommendations that would reduce the need for the receipt of dental care in the OR and to improve access to the OR for people with I/DD. Many adults with serious I/DD receive basic dental care under general anesthesia in hospital ORs. Providing basic dental care in the OR is expensive. Further, adults with I/DD typically face long waiting lists to receive such care, owing to the shortage of available OR space for these procedures. More research is needed to pinpoint clear policy recommendations that would reduce the need for the receipt of dental care in the OR and to improve access to the OR for these vulnerable adults who face serious challenges.</w:t>
      </w:r>
    </w:p>
    <w:p w14:paraId="5647D596" w14:textId="77777777" w:rsidR="00DC14B6" w:rsidRDefault="00DC14B6" w:rsidP="00DC14B6"/>
    <w:p w14:paraId="7F10EA6A" w14:textId="649D9764" w:rsidR="000D4F98" w:rsidRPr="00537483" w:rsidRDefault="000D4F98" w:rsidP="00F61DDA">
      <w:pPr>
        <w:pStyle w:val="NCDBodyText"/>
      </w:pPr>
    </w:p>
    <w:p w14:paraId="7B81EC54" w14:textId="590B9739" w:rsidR="00032A7A" w:rsidRPr="00537483" w:rsidRDefault="00F61DDA" w:rsidP="00032A7A">
      <w:pPr>
        <w:pStyle w:val="Heading1"/>
      </w:pPr>
      <w:bookmarkStart w:id="213" w:name="_heading=h.9hzh50722c4s" w:colFirst="0" w:colLast="0"/>
      <w:bookmarkStart w:id="214" w:name="_Toc92354778"/>
      <w:bookmarkStart w:id="215" w:name="_Toc83304276"/>
      <w:bookmarkEnd w:id="213"/>
      <w:r>
        <w:br w:type="page"/>
      </w:r>
      <w:bookmarkStart w:id="216" w:name="_Toc95237055"/>
      <w:r w:rsidR="00032A7A">
        <w:lastRenderedPageBreak/>
        <w:t>Appendi</w:t>
      </w:r>
      <w:r w:rsidR="001E5C6B">
        <w:t>c</w:t>
      </w:r>
      <w:r w:rsidR="00032A7A">
        <w:t>es</w:t>
      </w:r>
      <w:bookmarkEnd w:id="216"/>
    </w:p>
    <w:p w14:paraId="748F8E0B" w14:textId="4A3D3526" w:rsidR="00032A7A" w:rsidRPr="00032A7A" w:rsidRDefault="00032A7A" w:rsidP="00032A7A">
      <w:pPr>
        <w:pStyle w:val="NCDLetteredLevel1"/>
        <w:numPr>
          <w:ilvl w:val="0"/>
          <w:numId w:val="22"/>
        </w:numPr>
        <w:ind w:left="360"/>
        <w:rPr>
          <w:b/>
        </w:rPr>
      </w:pPr>
      <w:r w:rsidRPr="00032A7A">
        <w:rPr>
          <w:b/>
        </w:rPr>
        <w:t>Agenda and Attendee List for Virtual Stakeholder Meeting</w:t>
      </w:r>
    </w:p>
    <w:p w14:paraId="4249207A" w14:textId="292CE107" w:rsidR="00032A7A" w:rsidRPr="00032A7A" w:rsidRDefault="00032A7A" w:rsidP="00032A7A">
      <w:pPr>
        <w:pStyle w:val="NCDLetteredLevel1"/>
        <w:numPr>
          <w:ilvl w:val="0"/>
          <w:numId w:val="22"/>
        </w:numPr>
        <w:ind w:left="360"/>
        <w:rPr>
          <w:b/>
        </w:rPr>
      </w:pPr>
      <w:r w:rsidRPr="00032A7A">
        <w:rPr>
          <w:b/>
        </w:rPr>
        <w:t>Questionnaire to State Directors of Developmental Disabilities Agencies</w:t>
      </w:r>
    </w:p>
    <w:p w14:paraId="0A6FB221" w14:textId="39C18470" w:rsidR="00032A7A" w:rsidRPr="00032A7A" w:rsidRDefault="00032A7A" w:rsidP="00032A7A">
      <w:pPr>
        <w:pStyle w:val="NCDLetteredLevel1"/>
        <w:numPr>
          <w:ilvl w:val="0"/>
          <w:numId w:val="22"/>
        </w:numPr>
        <w:ind w:left="360"/>
        <w:rPr>
          <w:b/>
        </w:rPr>
      </w:pPr>
      <w:r w:rsidRPr="00032A7A">
        <w:rPr>
          <w:b/>
        </w:rPr>
        <w:t>Details About the Fifty-State and DC Medicaid Oral Health Policy Database</w:t>
      </w:r>
    </w:p>
    <w:p w14:paraId="7A114C3D" w14:textId="2B3E3E5F" w:rsidR="00032A7A" w:rsidRPr="00032A7A" w:rsidRDefault="00032A7A" w:rsidP="00032A7A">
      <w:pPr>
        <w:pStyle w:val="NCDLetteredLevel1"/>
        <w:numPr>
          <w:ilvl w:val="0"/>
          <w:numId w:val="22"/>
        </w:numPr>
        <w:ind w:left="360"/>
        <w:rPr>
          <w:b/>
        </w:rPr>
      </w:pPr>
      <w:r w:rsidRPr="00032A7A">
        <w:rPr>
          <w:b/>
          <w:i/>
          <w:iCs/>
        </w:rPr>
        <w:t>ICD-10</w:t>
      </w:r>
      <w:r w:rsidRPr="00032A7A">
        <w:rPr>
          <w:b/>
        </w:rPr>
        <w:t xml:space="preserve"> Diagnosis Codes for Autism Spectrum Disorder, Intellectual Disability and Related Conditions, Cerebral Palsy, and Other Developmental Delays</w:t>
      </w:r>
    </w:p>
    <w:p w14:paraId="04A6BF78" w14:textId="0D0259FB" w:rsidR="00032A7A" w:rsidRPr="00032A7A" w:rsidRDefault="00032A7A" w:rsidP="00032A7A">
      <w:pPr>
        <w:pStyle w:val="NCDLetteredLevel1"/>
        <w:numPr>
          <w:ilvl w:val="0"/>
          <w:numId w:val="22"/>
        </w:numPr>
        <w:ind w:left="360"/>
        <w:rPr>
          <w:b/>
        </w:rPr>
      </w:pPr>
      <w:r w:rsidRPr="00032A7A">
        <w:rPr>
          <w:b/>
        </w:rPr>
        <w:t>Details About T-MSIS Sample</w:t>
      </w:r>
    </w:p>
    <w:p w14:paraId="0C0C0316" w14:textId="2E4298C6" w:rsidR="00032A7A" w:rsidRPr="00032A7A" w:rsidRDefault="00032A7A" w:rsidP="00032A7A">
      <w:pPr>
        <w:pStyle w:val="NCDLetteredLevel1"/>
        <w:numPr>
          <w:ilvl w:val="0"/>
          <w:numId w:val="22"/>
        </w:numPr>
        <w:ind w:left="360"/>
        <w:rPr>
          <w:b/>
        </w:rPr>
      </w:pPr>
      <w:r w:rsidRPr="00032A7A">
        <w:rPr>
          <w:b/>
        </w:rPr>
        <w:t>Developmental Disabilities Agency Leader Questionnaire Responses About Barriers to Oral Health</w:t>
      </w:r>
    </w:p>
    <w:p w14:paraId="2607B883" w14:textId="04E97F68" w:rsidR="00032A7A" w:rsidRDefault="00032A7A">
      <w:pPr>
        <w:spacing w:after="160" w:line="259" w:lineRule="auto"/>
      </w:pPr>
      <w:r>
        <w:br w:type="page"/>
      </w:r>
    </w:p>
    <w:bookmarkEnd w:id="214"/>
    <w:bookmarkEnd w:id="215"/>
    <w:p w14:paraId="50DCE2A6" w14:textId="77777777" w:rsidR="00A22E23" w:rsidRDefault="00A22E23">
      <w:pPr>
        <w:spacing w:after="160" w:line="259" w:lineRule="auto"/>
        <w:rPr>
          <w:rFonts w:eastAsia="Arial"/>
          <w:sz w:val="22"/>
          <w:lang w:val="en"/>
        </w:rPr>
      </w:pPr>
      <w:r>
        <w:rPr>
          <w:rFonts w:eastAsia="Arial"/>
          <w:b/>
          <w:sz w:val="22"/>
          <w:lang w:val="en"/>
        </w:rPr>
        <w:lastRenderedPageBreak/>
        <w:br w:type="page"/>
      </w:r>
    </w:p>
    <w:bookmarkStart w:id="217" w:name="_Toc95237056" w:displacedByCustomXml="next"/>
    <w:sdt>
      <w:sdtPr>
        <w:rPr>
          <w:rFonts w:eastAsia="Arial" w:cstheme="minorBidi"/>
          <w:b w:val="0"/>
          <w:sz w:val="22"/>
          <w:szCs w:val="22"/>
          <w:lang w:val="en"/>
        </w:rPr>
        <w:id w:val="-758752109"/>
        <w:docPartObj>
          <w:docPartGallery w:val="Table of Contents"/>
          <w:docPartUnique/>
        </w:docPartObj>
      </w:sdtPr>
      <w:sdtEndPr>
        <w:rPr>
          <w:rFonts w:eastAsiaTheme="minorHAnsi"/>
          <w:bCs/>
          <w:noProof/>
          <w:sz w:val="24"/>
          <w:lang w:val="en-US"/>
        </w:rPr>
      </w:sdtEndPr>
      <w:sdtContent>
        <w:p w14:paraId="4DC1D31E" w14:textId="51D71311" w:rsidR="000D4F98" w:rsidRPr="00537483" w:rsidRDefault="000D4F98" w:rsidP="00FA3E09">
          <w:pPr>
            <w:pStyle w:val="Heading1"/>
          </w:pPr>
          <w:r>
            <w:t>Appendi</w:t>
          </w:r>
          <w:r w:rsidR="00810B7E">
            <w:t>c</w:t>
          </w:r>
          <w:r>
            <w:t>es: Contents</w:t>
          </w:r>
          <w:bookmarkEnd w:id="217"/>
          <w:r>
            <w:t xml:space="preserve"> </w:t>
          </w:r>
        </w:p>
        <w:p w14:paraId="1FCCF88C" w14:textId="77777777" w:rsidR="000D4F98" w:rsidRPr="00FA3E09" w:rsidRDefault="000D4F98" w:rsidP="00FA3E09">
          <w:pPr>
            <w:pStyle w:val="TOC1"/>
            <w:rPr>
              <w:rFonts w:eastAsiaTheme="minorEastAsia"/>
            </w:rPr>
          </w:pPr>
          <w:r>
            <w:rPr>
              <w:rFonts w:cs="Mangal"/>
              <w:noProof w:val="0"/>
              <w:szCs w:val="20"/>
            </w:rPr>
            <w:fldChar w:fldCharType="begin"/>
          </w:r>
          <w:r>
            <w:instrText xml:space="preserve"> TOC \o "1-3" \h \z \u </w:instrText>
          </w:r>
          <w:r>
            <w:rPr>
              <w:rFonts w:cs="Mangal"/>
              <w:noProof w:val="0"/>
              <w:szCs w:val="20"/>
            </w:rPr>
            <w:fldChar w:fldCharType="separate"/>
          </w:r>
          <w:hyperlink w:anchor="_Toc83650944" w:history="1">
            <w:r w:rsidRPr="00FA3E09">
              <w:rPr>
                <w:rStyle w:val="Hyperlink"/>
                <w:rFonts w:eastAsiaTheme="majorEastAsia"/>
                <w:color w:val="auto"/>
                <w:u w:val="none"/>
              </w:rPr>
              <w:t>Appendix A: Agenda and Attendee List for Virtual Stakeholder Meeting</w:t>
            </w:r>
            <w:r w:rsidRPr="00FA3E09">
              <w:rPr>
                <w:webHidden/>
              </w:rPr>
              <w:tab/>
            </w:r>
            <w:r w:rsidRPr="00FA3E09">
              <w:rPr>
                <w:webHidden/>
              </w:rPr>
              <w:fldChar w:fldCharType="begin"/>
            </w:r>
            <w:r w:rsidRPr="00FA3E09">
              <w:rPr>
                <w:webHidden/>
              </w:rPr>
              <w:instrText xml:space="preserve"> PAGEREF _Toc83650944 \h </w:instrText>
            </w:r>
            <w:r w:rsidRPr="00FA3E09">
              <w:rPr>
                <w:webHidden/>
              </w:rPr>
            </w:r>
            <w:r w:rsidRPr="00FA3E09">
              <w:rPr>
                <w:webHidden/>
              </w:rPr>
              <w:fldChar w:fldCharType="separate"/>
            </w:r>
            <w:r w:rsidR="00C05AC9">
              <w:rPr>
                <w:webHidden/>
              </w:rPr>
              <w:t>79</w:t>
            </w:r>
            <w:r w:rsidRPr="00FA3E09">
              <w:rPr>
                <w:webHidden/>
              </w:rPr>
              <w:fldChar w:fldCharType="end"/>
            </w:r>
          </w:hyperlink>
        </w:p>
        <w:p w14:paraId="1567D3C0" w14:textId="25F356BB" w:rsidR="000D4F98" w:rsidRPr="00FA3E09" w:rsidRDefault="00A514FF" w:rsidP="00FA3E09">
          <w:pPr>
            <w:pStyle w:val="TOC1"/>
            <w:rPr>
              <w:rFonts w:eastAsiaTheme="minorEastAsia"/>
            </w:rPr>
          </w:pPr>
          <w:hyperlink w:anchor="_Toc83650945" w:history="1">
            <w:r w:rsidR="000D4F98" w:rsidRPr="00FA3E09">
              <w:rPr>
                <w:rStyle w:val="Hyperlink"/>
                <w:rFonts w:eastAsiaTheme="majorEastAsia"/>
                <w:color w:val="auto"/>
                <w:u w:val="none"/>
              </w:rPr>
              <w:t xml:space="preserve">Appendix B: Questionnaire to State Directors of Developmental </w:t>
            </w:r>
            <w:r w:rsidR="00A22E23">
              <w:rPr>
                <w:rStyle w:val="Hyperlink"/>
                <w:rFonts w:eastAsiaTheme="majorEastAsia"/>
                <w:color w:val="auto"/>
                <w:u w:val="none"/>
              </w:rPr>
              <w:br/>
            </w:r>
            <w:r w:rsidR="000D4F98" w:rsidRPr="00FA3E09">
              <w:rPr>
                <w:rStyle w:val="Hyperlink"/>
                <w:rFonts w:eastAsiaTheme="majorEastAsia"/>
                <w:color w:val="auto"/>
                <w:u w:val="none"/>
              </w:rPr>
              <w:t>Disabilities Agencies</w:t>
            </w:r>
            <w:r w:rsidR="000D4F98" w:rsidRPr="00FA3E09">
              <w:rPr>
                <w:webHidden/>
              </w:rPr>
              <w:tab/>
            </w:r>
            <w:r w:rsidR="000D4F98" w:rsidRPr="00FA3E09">
              <w:rPr>
                <w:webHidden/>
              </w:rPr>
              <w:fldChar w:fldCharType="begin"/>
            </w:r>
            <w:r w:rsidR="000D4F98" w:rsidRPr="00FA3E09">
              <w:rPr>
                <w:webHidden/>
              </w:rPr>
              <w:instrText xml:space="preserve"> PAGEREF _Toc83650945 \h </w:instrText>
            </w:r>
            <w:r w:rsidR="000D4F98" w:rsidRPr="00FA3E09">
              <w:rPr>
                <w:webHidden/>
              </w:rPr>
            </w:r>
            <w:r w:rsidR="000D4F98" w:rsidRPr="00FA3E09">
              <w:rPr>
                <w:webHidden/>
              </w:rPr>
              <w:fldChar w:fldCharType="separate"/>
            </w:r>
            <w:r w:rsidR="00C05AC9">
              <w:rPr>
                <w:webHidden/>
              </w:rPr>
              <w:t>85</w:t>
            </w:r>
            <w:r w:rsidR="000D4F98" w:rsidRPr="00FA3E09">
              <w:rPr>
                <w:webHidden/>
              </w:rPr>
              <w:fldChar w:fldCharType="end"/>
            </w:r>
          </w:hyperlink>
        </w:p>
        <w:p w14:paraId="4B332BC4" w14:textId="0DB9C4F8" w:rsidR="000D4F98" w:rsidRPr="00FA3E09" w:rsidRDefault="00A514FF" w:rsidP="00FA3E09">
          <w:pPr>
            <w:pStyle w:val="TOC1"/>
            <w:rPr>
              <w:rFonts w:eastAsiaTheme="minorEastAsia"/>
            </w:rPr>
          </w:pPr>
          <w:hyperlink w:anchor="_Toc83650946" w:history="1">
            <w:r w:rsidR="000D4F98" w:rsidRPr="00FA3E09">
              <w:rPr>
                <w:rStyle w:val="Hyperlink"/>
                <w:rFonts w:eastAsiaTheme="majorEastAsia"/>
                <w:color w:val="auto"/>
                <w:u w:val="none"/>
              </w:rPr>
              <w:t xml:space="preserve">Appendix C: Details About the Fifty-State and DC Medicaid Oral Health </w:t>
            </w:r>
            <w:r w:rsidR="00A22E23">
              <w:rPr>
                <w:rStyle w:val="Hyperlink"/>
                <w:rFonts w:eastAsiaTheme="majorEastAsia"/>
                <w:color w:val="auto"/>
                <w:u w:val="none"/>
              </w:rPr>
              <w:br/>
            </w:r>
            <w:r w:rsidR="000D4F98" w:rsidRPr="00FA3E09">
              <w:rPr>
                <w:rStyle w:val="Hyperlink"/>
                <w:rFonts w:eastAsiaTheme="majorEastAsia"/>
                <w:color w:val="auto"/>
                <w:u w:val="none"/>
              </w:rPr>
              <w:t>Policy Database</w:t>
            </w:r>
            <w:r w:rsidR="000D4F98" w:rsidRPr="00FA3E09">
              <w:rPr>
                <w:webHidden/>
              </w:rPr>
              <w:tab/>
            </w:r>
            <w:r w:rsidR="000D4F98" w:rsidRPr="00FA3E09">
              <w:rPr>
                <w:webHidden/>
              </w:rPr>
              <w:fldChar w:fldCharType="begin"/>
            </w:r>
            <w:r w:rsidR="000D4F98" w:rsidRPr="00FA3E09">
              <w:rPr>
                <w:webHidden/>
              </w:rPr>
              <w:instrText xml:space="preserve"> PAGEREF _Toc83650946 \h </w:instrText>
            </w:r>
            <w:r w:rsidR="000D4F98" w:rsidRPr="00FA3E09">
              <w:rPr>
                <w:webHidden/>
              </w:rPr>
            </w:r>
            <w:r w:rsidR="000D4F98" w:rsidRPr="00FA3E09">
              <w:rPr>
                <w:webHidden/>
              </w:rPr>
              <w:fldChar w:fldCharType="separate"/>
            </w:r>
            <w:r w:rsidR="00C05AC9">
              <w:rPr>
                <w:webHidden/>
              </w:rPr>
              <w:t>91</w:t>
            </w:r>
            <w:r w:rsidR="000D4F98" w:rsidRPr="00FA3E09">
              <w:rPr>
                <w:webHidden/>
              </w:rPr>
              <w:fldChar w:fldCharType="end"/>
            </w:r>
          </w:hyperlink>
        </w:p>
        <w:p w14:paraId="0522CED4" w14:textId="77777777" w:rsidR="000D4F98" w:rsidRPr="00A22E23" w:rsidRDefault="00A514FF" w:rsidP="00A22E23">
          <w:pPr>
            <w:pStyle w:val="TOC2"/>
            <w:spacing w:before="240"/>
            <w:rPr>
              <w:rFonts w:ascii="Arial" w:eastAsiaTheme="minorEastAsia" w:hAnsi="Arial" w:cs="Arial"/>
              <w:noProof/>
            </w:rPr>
          </w:pPr>
          <w:hyperlink w:anchor="_Toc83650947" w:history="1">
            <w:r w:rsidR="000D4F98" w:rsidRPr="00A22E23">
              <w:rPr>
                <w:rStyle w:val="Hyperlink"/>
                <w:rFonts w:ascii="Arial" w:eastAsiaTheme="majorEastAsia" w:hAnsi="Arial" w:cs="Arial"/>
                <w:noProof/>
                <w:color w:val="auto"/>
                <w:u w:val="none"/>
              </w:rPr>
              <w:t>General Medicaid Characteristics</w:t>
            </w:r>
            <w:r w:rsidR="000D4F98" w:rsidRPr="00A22E23">
              <w:rPr>
                <w:rFonts w:ascii="Arial" w:hAnsi="Arial" w:cs="Arial"/>
                <w:noProof/>
                <w:webHidden/>
              </w:rPr>
              <w:tab/>
            </w:r>
            <w:r w:rsidR="000D4F98" w:rsidRPr="00A22E23">
              <w:rPr>
                <w:rFonts w:ascii="Arial" w:hAnsi="Arial" w:cs="Arial"/>
                <w:noProof/>
                <w:webHidden/>
              </w:rPr>
              <w:fldChar w:fldCharType="begin"/>
            </w:r>
            <w:r w:rsidR="000D4F98" w:rsidRPr="00A22E23">
              <w:rPr>
                <w:rFonts w:ascii="Arial" w:hAnsi="Arial" w:cs="Arial"/>
                <w:noProof/>
                <w:webHidden/>
              </w:rPr>
              <w:instrText xml:space="preserve"> PAGEREF _Toc83650947 \h </w:instrText>
            </w:r>
            <w:r w:rsidR="000D4F98" w:rsidRPr="00A22E23">
              <w:rPr>
                <w:rFonts w:ascii="Arial" w:hAnsi="Arial" w:cs="Arial"/>
                <w:noProof/>
                <w:webHidden/>
              </w:rPr>
            </w:r>
            <w:r w:rsidR="000D4F98" w:rsidRPr="00A22E23">
              <w:rPr>
                <w:rFonts w:ascii="Arial" w:hAnsi="Arial" w:cs="Arial"/>
                <w:noProof/>
                <w:webHidden/>
              </w:rPr>
              <w:fldChar w:fldCharType="separate"/>
            </w:r>
            <w:r w:rsidR="00C05AC9">
              <w:rPr>
                <w:rFonts w:ascii="Arial" w:hAnsi="Arial" w:cs="Arial"/>
                <w:noProof/>
                <w:webHidden/>
              </w:rPr>
              <w:t>92</w:t>
            </w:r>
            <w:r w:rsidR="000D4F98" w:rsidRPr="00A22E23">
              <w:rPr>
                <w:rFonts w:ascii="Arial" w:hAnsi="Arial" w:cs="Arial"/>
                <w:noProof/>
                <w:webHidden/>
              </w:rPr>
              <w:fldChar w:fldCharType="end"/>
            </w:r>
          </w:hyperlink>
        </w:p>
        <w:p w14:paraId="23655F94" w14:textId="77777777" w:rsidR="000D4F98" w:rsidRPr="00A22E23" w:rsidRDefault="00A514FF" w:rsidP="00A22E23">
          <w:pPr>
            <w:pStyle w:val="TOC2"/>
            <w:rPr>
              <w:rFonts w:ascii="Arial" w:eastAsiaTheme="minorEastAsia" w:hAnsi="Arial" w:cs="Arial"/>
              <w:noProof/>
            </w:rPr>
          </w:pPr>
          <w:hyperlink w:anchor="_Toc83650948" w:history="1">
            <w:r w:rsidR="000D4F98" w:rsidRPr="00A22E23">
              <w:rPr>
                <w:rStyle w:val="Hyperlink"/>
                <w:rFonts w:ascii="Arial" w:eastAsiaTheme="majorEastAsia" w:hAnsi="Arial" w:cs="Arial"/>
                <w:noProof/>
                <w:color w:val="auto"/>
                <w:u w:val="none"/>
              </w:rPr>
              <w:t>Waivers</w:t>
            </w:r>
            <w:r w:rsidR="000D4F98" w:rsidRPr="00A22E23">
              <w:rPr>
                <w:rFonts w:ascii="Arial" w:hAnsi="Arial" w:cs="Arial"/>
                <w:noProof/>
                <w:webHidden/>
              </w:rPr>
              <w:tab/>
            </w:r>
            <w:r w:rsidR="000D4F98" w:rsidRPr="00A22E23">
              <w:rPr>
                <w:rFonts w:ascii="Arial" w:hAnsi="Arial" w:cs="Arial"/>
                <w:noProof/>
                <w:webHidden/>
              </w:rPr>
              <w:fldChar w:fldCharType="begin"/>
            </w:r>
            <w:r w:rsidR="000D4F98" w:rsidRPr="00A22E23">
              <w:rPr>
                <w:rFonts w:ascii="Arial" w:hAnsi="Arial" w:cs="Arial"/>
                <w:noProof/>
                <w:webHidden/>
              </w:rPr>
              <w:instrText xml:space="preserve"> PAGEREF _Toc83650948 \h </w:instrText>
            </w:r>
            <w:r w:rsidR="000D4F98" w:rsidRPr="00A22E23">
              <w:rPr>
                <w:rFonts w:ascii="Arial" w:hAnsi="Arial" w:cs="Arial"/>
                <w:noProof/>
                <w:webHidden/>
              </w:rPr>
            </w:r>
            <w:r w:rsidR="000D4F98" w:rsidRPr="00A22E23">
              <w:rPr>
                <w:rFonts w:ascii="Arial" w:hAnsi="Arial" w:cs="Arial"/>
                <w:noProof/>
                <w:webHidden/>
              </w:rPr>
              <w:fldChar w:fldCharType="separate"/>
            </w:r>
            <w:r w:rsidR="00C05AC9">
              <w:rPr>
                <w:rFonts w:ascii="Arial" w:hAnsi="Arial" w:cs="Arial"/>
                <w:noProof/>
                <w:webHidden/>
              </w:rPr>
              <w:t>98</w:t>
            </w:r>
            <w:r w:rsidR="000D4F98" w:rsidRPr="00A22E23">
              <w:rPr>
                <w:rFonts w:ascii="Arial" w:hAnsi="Arial" w:cs="Arial"/>
                <w:noProof/>
                <w:webHidden/>
              </w:rPr>
              <w:fldChar w:fldCharType="end"/>
            </w:r>
          </w:hyperlink>
        </w:p>
        <w:p w14:paraId="03106BF7" w14:textId="77777777" w:rsidR="000D4F98" w:rsidRPr="00A22E23" w:rsidRDefault="00A514FF" w:rsidP="00A22E23">
          <w:pPr>
            <w:pStyle w:val="TOC2"/>
            <w:rPr>
              <w:rFonts w:ascii="Arial" w:eastAsiaTheme="minorEastAsia" w:hAnsi="Arial" w:cs="Arial"/>
              <w:noProof/>
            </w:rPr>
          </w:pPr>
          <w:hyperlink w:anchor="_Toc83650949" w:history="1">
            <w:r w:rsidR="000D4F98" w:rsidRPr="00A22E23">
              <w:rPr>
                <w:rStyle w:val="Hyperlink"/>
                <w:rFonts w:ascii="Arial" w:eastAsiaTheme="majorEastAsia" w:hAnsi="Arial" w:cs="Arial"/>
                <w:noProof/>
                <w:color w:val="auto"/>
                <w:u w:val="none"/>
              </w:rPr>
              <w:t>Medicaid Fee-for-Service Fee Schedules</w:t>
            </w:r>
            <w:r w:rsidR="000D4F98" w:rsidRPr="00A22E23">
              <w:rPr>
                <w:rFonts w:ascii="Arial" w:hAnsi="Arial" w:cs="Arial"/>
                <w:noProof/>
                <w:webHidden/>
              </w:rPr>
              <w:tab/>
            </w:r>
            <w:r w:rsidR="000D4F98" w:rsidRPr="00A22E23">
              <w:rPr>
                <w:rFonts w:ascii="Arial" w:hAnsi="Arial" w:cs="Arial"/>
                <w:noProof/>
                <w:webHidden/>
              </w:rPr>
              <w:fldChar w:fldCharType="begin"/>
            </w:r>
            <w:r w:rsidR="000D4F98" w:rsidRPr="00A22E23">
              <w:rPr>
                <w:rFonts w:ascii="Arial" w:hAnsi="Arial" w:cs="Arial"/>
                <w:noProof/>
                <w:webHidden/>
              </w:rPr>
              <w:instrText xml:space="preserve"> PAGEREF _Toc83650949 \h </w:instrText>
            </w:r>
            <w:r w:rsidR="000D4F98" w:rsidRPr="00A22E23">
              <w:rPr>
                <w:rFonts w:ascii="Arial" w:hAnsi="Arial" w:cs="Arial"/>
                <w:noProof/>
                <w:webHidden/>
              </w:rPr>
            </w:r>
            <w:r w:rsidR="000D4F98" w:rsidRPr="00A22E23">
              <w:rPr>
                <w:rFonts w:ascii="Arial" w:hAnsi="Arial" w:cs="Arial"/>
                <w:noProof/>
                <w:webHidden/>
              </w:rPr>
              <w:fldChar w:fldCharType="separate"/>
            </w:r>
            <w:r w:rsidR="00C05AC9">
              <w:rPr>
                <w:rFonts w:ascii="Arial" w:hAnsi="Arial" w:cs="Arial"/>
                <w:noProof/>
                <w:webHidden/>
              </w:rPr>
              <w:t>101</w:t>
            </w:r>
            <w:r w:rsidR="000D4F98" w:rsidRPr="00A22E23">
              <w:rPr>
                <w:rFonts w:ascii="Arial" w:hAnsi="Arial" w:cs="Arial"/>
                <w:noProof/>
                <w:webHidden/>
              </w:rPr>
              <w:fldChar w:fldCharType="end"/>
            </w:r>
          </w:hyperlink>
        </w:p>
        <w:p w14:paraId="280A82E0" w14:textId="77777777" w:rsidR="000D4F98" w:rsidRPr="00A22E23" w:rsidRDefault="00A514FF" w:rsidP="00A22E23">
          <w:pPr>
            <w:pStyle w:val="TOC2"/>
            <w:rPr>
              <w:rFonts w:ascii="Arial" w:eastAsiaTheme="minorEastAsia" w:hAnsi="Arial" w:cs="Arial"/>
              <w:noProof/>
            </w:rPr>
          </w:pPr>
          <w:hyperlink w:anchor="_Toc83650950" w:history="1">
            <w:r w:rsidR="000D4F98" w:rsidRPr="00A22E23">
              <w:rPr>
                <w:rStyle w:val="Hyperlink"/>
                <w:rFonts w:ascii="Arial" w:eastAsiaTheme="majorEastAsia" w:hAnsi="Arial" w:cs="Arial"/>
                <w:noProof/>
                <w:color w:val="auto"/>
                <w:u w:val="none"/>
              </w:rPr>
              <w:t>Medicaid Fee Schedule and Frequency Sources</w:t>
            </w:r>
            <w:r w:rsidR="000D4F98" w:rsidRPr="00A22E23">
              <w:rPr>
                <w:rFonts w:ascii="Arial" w:hAnsi="Arial" w:cs="Arial"/>
                <w:noProof/>
                <w:webHidden/>
              </w:rPr>
              <w:tab/>
            </w:r>
            <w:r w:rsidR="000D4F98" w:rsidRPr="00A22E23">
              <w:rPr>
                <w:rFonts w:ascii="Arial" w:hAnsi="Arial" w:cs="Arial"/>
                <w:noProof/>
                <w:webHidden/>
              </w:rPr>
              <w:fldChar w:fldCharType="begin"/>
            </w:r>
            <w:r w:rsidR="000D4F98" w:rsidRPr="00A22E23">
              <w:rPr>
                <w:rFonts w:ascii="Arial" w:hAnsi="Arial" w:cs="Arial"/>
                <w:noProof/>
                <w:webHidden/>
              </w:rPr>
              <w:instrText xml:space="preserve"> PAGEREF _Toc83650950 \h </w:instrText>
            </w:r>
            <w:r w:rsidR="000D4F98" w:rsidRPr="00A22E23">
              <w:rPr>
                <w:rFonts w:ascii="Arial" w:hAnsi="Arial" w:cs="Arial"/>
                <w:noProof/>
                <w:webHidden/>
              </w:rPr>
            </w:r>
            <w:r w:rsidR="000D4F98" w:rsidRPr="00A22E23">
              <w:rPr>
                <w:rFonts w:ascii="Arial" w:hAnsi="Arial" w:cs="Arial"/>
                <w:noProof/>
                <w:webHidden/>
              </w:rPr>
              <w:fldChar w:fldCharType="separate"/>
            </w:r>
            <w:r w:rsidR="00C05AC9">
              <w:rPr>
                <w:rFonts w:ascii="Arial" w:hAnsi="Arial" w:cs="Arial"/>
                <w:noProof/>
                <w:webHidden/>
              </w:rPr>
              <w:t>102</w:t>
            </w:r>
            <w:r w:rsidR="000D4F98" w:rsidRPr="00A22E23">
              <w:rPr>
                <w:rFonts w:ascii="Arial" w:hAnsi="Arial" w:cs="Arial"/>
                <w:noProof/>
                <w:webHidden/>
              </w:rPr>
              <w:fldChar w:fldCharType="end"/>
            </w:r>
          </w:hyperlink>
        </w:p>
        <w:p w14:paraId="364BA24C" w14:textId="77777777" w:rsidR="000D4F98" w:rsidRPr="00A22E23" w:rsidRDefault="00A514FF" w:rsidP="00A22E23">
          <w:pPr>
            <w:pStyle w:val="TOC2"/>
            <w:rPr>
              <w:rFonts w:ascii="Arial" w:eastAsiaTheme="minorEastAsia" w:hAnsi="Arial" w:cs="Arial"/>
              <w:noProof/>
            </w:rPr>
          </w:pPr>
          <w:hyperlink w:anchor="_Toc83650951" w:history="1">
            <w:r w:rsidR="000D4F98" w:rsidRPr="00A22E23">
              <w:rPr>
                <w:rStyle w:val="Hyperlink"/>
                <w:rFonts w:ascii="Arial" w:eastAsiaTheme="majorEastAsia" w:hAnsi="Arial" w:cs="Arial"/>
                <w:noProof/>
                <w:color w:val="auto"/>
                <w:u w:val="none"/>
              </w:rPr>
              <w:t>CDT Code Descriptors</w:t>
            </w:r>
            <w:r w:rsidR="000D4F98" w:rsidRPr="00A22E23">
              <w:rPr>
                <w:rFonts w:ascii="Arial" w:hAnsi="Arial" w:cs="Arial"/>
                <w:noProof/>
                <w:webHidden/>
              </w:rPr>
              <w:tab/>
            </w:r>
            <w:r w:rsidR="000D4F98" w:rsidRPr="00A22E23">
              <w:rPr>
                <w:rFonts w:ascii="Arial" w:hAnsi="Arial" w:cs="Arial"/>
                <w:noProof/>
                <w:webHidden/>
              </w:rPr>
              <w:fldChar w:fldCharType="begin"/>
            </w:r>
            <w:r w:rsidR="000D4F98" w:rsidRPr="00A22E23">
              <w:rPr>
                <w:rFonts w:ascii="Arial" w:hAnsi="Arial" w:cs="Arial"/>
                <w:noProof/>
                <w:webHidden/>
              </w:rPr>
              <w:instrText xml:space="preserve"> PAGEREF _Toc83650951 \h </w:instrText>
            </w:r>
            <w:r w:rsidR="000D4F98" w:rsidRPr="00A22E23">
              <w:rPr>
                <w:rFonts w:ascii="Arial" w:hAnsi="Arial" w:cs="Arial"/>
                <w:noProof/>
                <w:webHidden/>
              </w:rPr>
            </w:r>
            <w:r w:rsidR="000D4F98" w:rsidRPr="00A22E23">
              <w:rPr>
                <w:rFonts w:ascii="Arial" w:hAnsi="Arial" w:cs="Arial"/>
                <w:noProof/>
                <w:webHidden/>
              </w:rPr>
              <w:fldChar w:fldCharType="separate"/>
            </w:r>
            <w:r w:rsidR="00C05AC9">
              <w:rPr>
                <w:rFonts w:ascii="Arial" w:hAnsi="Arial" w:cs="Arial"/>
                <w:noProof/>
                <w:webHidden/>
              </w:rPr>
              <w:t>103</w:t>
            </w:r>
            <w:r w:rsidR="000D4F98" w:rsidRPr="00A22E23">
              <w:rPr>
                <w:rFonts w:ascii="Arial" w:hAnsi="Arial" w:cs="Arial"/>
                <w:noProof/>
                <w:webHidden/>
              </w:rPr>
              <w:fldChar w:fldCharType="end"/>
            </w:r>
          </w:hyperlink>
        </w:p>
        <w:p w14:paraId="0E9DFCB4" w14:textId="6021B51A" w:rsidR="000D4F98" w:rsidRPr="00FA3E09" w:rsidRDefault="00A514FF" w:rsidP="00FA3E09">
          <w:pPr>
            <w:pStyle w:val="TOC1"/>
            <w:rPr>
              <w:rFonts w:eastAsiaTheme="minorEastAsia"/>
            </w:rPr>
          </w:pPr>
          <w:hyperlink w:anchor="_Toc83650952" w:history="1">
            <w:r w:rsidR="000D4F98" w:rsidRPr="00FA3E09">
              <w:rPr>
                <w:rStyle w:val="Hyperlink"/>
                <w:rFonts w:eastAsiaTheme="majorEastAsia"/>
                <w:color w:val="auto"/>
                <w:u w:val="none"/>
              </w:rPr>
              <w:t xml:space="preserve">Appendix D: </w:t>
            </w:r>
            <w:r w:rsidR="00401D57" w:rsidRPr="00401D57">
              <w:rPr>
                <w:rStyle w:val="Hyperlink"/>
                <w:rFonts w:eastAsiaTheme="majorEastAsia"/>
                <w:i/>
                <w:color w:val="auto"/>
                <w:u w:val="none"/>
              </w:rPr>
              <w:t>ICD-10</w:t>
            </w:r>
            <w:r w:rsidR="000D4F98" w:rsidRPr="00FA3E09">
              <w:rPr>
                <w:rStyle w:val="Hyperlink"/>
                <w:rFonts w:eastAsiaTheme="majorEastAsia"/>
                <w:color w:val="auto"/>
                <w:u w:val="none"/>
              </w:rPr>
              <w:t xml:space="preserve"> Diagnosis Codes for Autism Spectrum Disorder,</w:t>
            </w:r>
            <w:r w:rsidR="00A22E23">
              <w:rPr>
                <w:rStyle w:val="Hyperlink"/>
                <w:rFonts w:eastAsiaTheme="majorEastAsia"/>
                <w:color w:val="auto"/>
                <w:u w:val="none"/>
              </w:rPr>
              <w:br/>
            </w:r>
            <w:r w:rsidR="000D4F98" w:rsidRPr="00FA3E09">
              <w:rPr>
                <w:rStyle w:val="Hyperlink"/>
                <w:rFonts w:eastAsiaTheme="majorEastAsia"/>
                <w:color w:val="auto"/>
                <w:u w:val="none"/>
              </w:rPr>
              <w:t>Intellectual Disability and Related Conditions, Cerebral Palsy, and Other Developmental Delays</w:t>
            </w:r>
            <w:r w:rsidR="000D4F98" w:rsidRPr="00FA3E09">
              <w:rPr>
                <w:webHidden/>
              </w:rPr>
              <w:tab/>
            </w:r>
            <w:r w:rsidR="000D4F98" w:rsidRPr="00FA3E09">
              <w:rPr>
                <w:webHidden/>
              </w:rPr>
              <w:fldChar w:fldCharType="begin"/>
            </w:r>
            <w:r w:rsidR="000D4F98" w:rsidRPr="00FA3E09">
              <w:rPr>
                <w:webHidden/>
              </w:rPr>
              <w:instrText xml:space="preserve"> PAGEREF _Toc83650952 \h </w:instrText>
            </w:r>
            <w:r w:rsidR="000D4F98" w:rsidRPr="00FA3E09">
              <w:rPr>
                <w:webHidden/>
              </w:rPr>
            </w:r>
            <w:r w:rsidR="000D4F98" w:rsidRPr="00FA3E09">
              <w:rPr>
                <w:webHidden/>
              </w:rPr>
              <w:fldChar w:fldCharType="separate"/>
            </w:r>
            <w:r w:rsidR="00C05AC9">
              <w:rPr>
                <w:webHidden/>
              </w:rPr>
              <w:t>104</w:t>
            </w:r>
            <w:r w:rsidR="000D4F98" w:rsidRPr="00FA3E09">
              <w:rPr>
                <w:webHidden/>
              </w:rPr>
              <w:fldChar w:fldCharType="end"/>
            </w:r>
          </w:hyperlink>
        </w:p>
        <w:p w14:paraId="5DF4369E" w14:textId="77777777" w:rsidR="000D4F98" w:rsidRPr="00FA3E09" w:rsidRDefault="00A514FF" w:rsidP="00FA3E09">
          <w:pPr>
            <w:pStyle w:val="TOC1"/>
            <w:rPr>
              <w:rFonts w:eastAsiaTheme="minorEastAsia"/>
            </w:rPr>
          </w:pPr>
          <w:hyperlink w:anchor="_Toc83650953" w:history="1">
            <w:r w:rsidR="000D4F98" w:rsidRPr="00FA3E09">
              <w:rPr>
                <w:rStyle w:val="Hyperlink"/>
                <w:rFonts w:eastAsiaTheme="majorEastAsia"/>
                <w:color w:val="auto"/>
                <w:u w:val="none"/>
              </w:rPr>
              <w:t>Appendix E: Details About T-MSIS Sample</w:t>
            </w:r>
            <w:r w:rsidR="000D4F98" w:rsidRPr="00FA3E09">
              <w:rPr>
                <w:webHidden/>
              </w:rPr>
              <w:tab/>
            </w:r>
            <w:r w:rsidR="000D4F98" w:rsidRPr="00FA3E09">
              <w:rPr>
                <w:webHidden/>
              </w:rPr>
              <w:fldChar w:fldCharType="begin"/>
            </w:r>
            <w:r w:rsidR="000D4F98" w:rsidRPr="00FA3E09">
              <w:rPr>
                <w:webHidden/>
              </w:rPr>
              <w:instrText xml:space="preserve"> PAGEREF _Toc83650953 \h </w:instrText>
            </w:r>
            <w:r w:rsidR="000D4F98" w:rsidRPr="00FA3E09">
              <w:rPr>
                <w:webHidden/>
              </w:rPr>
            </w:r>
            <w:r w:rsidR="000D4F98" w:rsidRPr="00FA3E09">
              <w:rPr>
                <w:webHidden/>
              </w:rPr>
              <w:fldChar w:fldCharType="separate"/>
            </w:r>
            <w:r w:rsidR="00C05AC9">
              <w:rPr>
                <w:webHidden/>
              </w:rPr>
              <w:t>109</w:t>
            </w:r>
            <w:r w:rsidR="000D4F98" w:rsidRPr="00FA3E09">
              <w:rPr>
                <w:webHidden/>
              </w:rPr>
              <w:fldChar w:fldCharType="end"/>
            </w:r>
          </w:hyperlink>
        </w:p>
        <w:p w14:paraId="7CE03232" w14:textId="7B812EF5" w:rsidR="000D4F98" w:rsidRPr="00FA3E09" w:rsidRDefault="00A514FF" w:rsidP="00FA3E09">
          <w:pPr>
            <w:pStyle w:val="TOC1"/>
            <w:rPr>
              <w:rFonts w:eastAsiaTheme="minorEastAsia"/>
            </w:rPr>
          </w:pPr>
          <w:hyperlink w:anchor="_Toc83650954" w:history="1">
            <w:r w:rsidR="000D4F98" w:rsidRPr="00FA3E09">
              <w:rPr>
                <w:rStyle w:val="Hyperlink"/>
                <w:rFonts w:eastAsiaTheme="majorEastAsia"/>
                <w:color w:val="auto"/>
                <w:u w:val="none"/>
              </w:rPr>
              <w:t xml:space="preserve">Appendix F: Developmental Disabilities Agency Leader Questionnaire </w:t>
            </w:r>
            <w:r w:rsidR="00A22E23">
              <w:rPr>
                <w:rStyle w:val="Hyperlink"/>
                <w:rFonts w:eastAsiaTheme="majorEastAsia"/>
                <w:color w:val="auto"/>
                <w:u w:val="none"/>
              </w:rPr>
              <w:br/>
            </w:r>
            <w:r w:rsidR="000D4F98" w:rsidRPr="00FA3E09">
              <w:rPr>
                <w:rStyle w:val="Hyperlink"/>
                <w:rFonts w:eastAsiaTheme="majorEastAsia"/>
                <w:color w:val="auto"/>
                <w:u w:val="none"/>
              </w:rPr>
              <w:t>Responses About Barriers to Oral Health</w:t>
            </w:r>
            <w:r w:rsidR="000D4F98" w:rsidRPr="00FA3E09">
              <w:rPr>
                <w:webHidden/>
              </w:rPr>
              <w:tab/>
            </w:r>
            <w:r w:rsidR="000D4F98" w:rsidRPr="00FA3E09">
              <w:rPr>
                <w:webHidden/>
              </w:rPr>
              <w:fldChar w:fldCharType="begin"/>
            </w:r>
            <w:r w:rsidR="000D4F98" w:rsidRPr="00FA3E09">
              <w:rPr>
                <w:webHidden/>
              </w:rPr>
              <w:instrText xml:space="preserve"> PAGEREF _Toc83650954 \h </w:instrText>
            </w:r>
            <w:r w:rsidR="000D4F98" w:rsidRPr="00FA3E09">
              <w:rPr>
                <w:webHidden/>
              </w:rPr>
            </w:r>
            <w:r w:rsidR="000D4F98" w:rsidRPr="00FA3E09">
              <w:rPr>
                <w:webHidden/>
              </w:rPr>
              <w:fldChar w:fldCharType="separate"/>
            </w:r>
            <w:r w:rsidR="00C05AC9">
              <w:rPr>
                <w:webHidden/>
              </w:rPr>
              <w:t>113</w:t>
            </w:r>
            <w:r w:rsidR="000D4F98" w:rsidRPr="00FA3E09">
              <w:rPr>
                <w:webHidden/>
              </w:rPr>
              <w:fldChar w:fldCharType="end"/>
            </w:r>
          </w:hyperlink>
        </w:p>
        <w:p w14:paraId="3FF2B075" w14:textId="77777777" w:rsidR="000D4F98" w:rsidRPr="00537483" w:rsidRDefault="000D4F98" w:rsidP="000D4F98">
          <w:r>
            <w:rPr>
              <w:b/>
              <w:bCs/>
              <w:noProof/>
            </w:rPr>
            <w:fldChar w:fldCharType="end"/>
          </w:r>
        </w:p>
      </w:sdtContent>
    </w:sdt>
    <w:p w14:paraId="5C6861ED" w14:textId="77777777" w:rsidR="000D4F98" w:rsidRPr="00537483" w:rsidRDefault="000D4F98" w:rsidP="000D4F98">
      <w:pPr>
        <w:pStyle w:val="Heading1"/>
        <w:spacing w:line="240" w:lineRule="auto"/>
        <w:rPr>
          <w:b w:val="0"/>
        </w:rPr>
      </w:pPr>
    </w:p>
    <w:p w14:paraId="4F9E3E64" w14:textId="77777777" w:rsidR="00FA3E09" w:rsidRDefault="00FA3E09">
      <w:pPr>
        <w:spacing w:after="160" w:line="259" w:lineRule="auto"/>
        <w:rPr>
          <w:rFonts w:cs="Arial"/>
          <w:b/>
          <w:sz w:val="36"/>
          <w:szCs w:val="32"/>
        </w:rPr>
      </w:pPr>
      <w:bookmarkStart w:id="218" w:name="_Toc83650944"/>
      <w:r>
        <w:br w:type="page"/>
      </w:r>
    </w:p>
    <w:p w14:paraId="304BE009" w14:textId="77777777" w:rsidR="00FA3E09" w:rsidRDefault="00FA3E09">
      <w:pPr>
        <w:spacing w:after="160" w:line="259" w:lineRule="auto"/>
        <w:rPr>
          <w:rFonts w:cs="Arial"/>
          <w:b/>
          <w:sz w:val="36"/>
          <w:szCs w:val="32"/>
        </w:rPr>
      </w:pPr>
      <w:r>
        <w:lastRenderedPageBreak/>
        <w:br w:type="page"/>
      </w:r>
    </w:p>
    <w:p w14:paraId="2B81B0BE" w14:textId="69DE78BB" w:rsidR="000D4F98" w:rsidRPr="00537483" w:rsidRDefault="000D4F98" w:rsidP="00FA3E09">
      <w:pPr>
        <w:pStyle w:val="Heading1"/>
      </w:pPr>
      <w:bookmarkStart w:id="219" w:name="_Toc95237057"/>
      <w:r>
        <w:lastRenderedPageBreak/>
        <w:t xml:space="preserve">Appendix A: Agenda and Attendee </w:t>
      </w:r>
      <w:r w:rsidR="00FA3E09">
        <w:br/>
      </w:r>
      <w:r>
        <w:t>List for Virtual Stakeholder Meeting</w:t>
      </w:r>
      <w:bookmarkEnd w:id="218"/>
      <w:bookmarkEnd w:id="219"/>
    </w:p>
    <w:p w14:paraId="244FED4B" w14:textId="42F480DD" w:rsidR="000D4F98" w:rsidRPr="00537483" w:rsidRDefault="00401D57" w:rsidP="00A839D4">
      <w:pPr>
        <w:pStyle w:val="NCDBodyText"/>
        <w:spacing w:line="240" w:lineRule="auto"/>
        <w:jc w:val="center"/>
      </w:pPr>
      <w:r w:rsidRPr="00401D57">
        <w:rPr>
          <w:b/>
        </w:rPr>
        <w:t>Making Sufficient Oral Health Care for People with I/DD a Cost-Effective Reality: Examining the Medicaid Reimbursement Rate</w:t>
      </w:r>
    </w:p>
    <w:p w14:paraId="294F2D04" w14:textId="67073CC7" w:rsidR="000D4F98" w:rsidRPr="00537483" w:rsidRDefault="00401D57" w:rsidP="00A839D4">
      <w:pPr>
        <w:pStyle w:val="NCDBodyText"/>
        <w:spacing w:line="240" w:lineRule="auto"/>
        <w:jc w:val="center"/>
      </w:pPr>
      <w:r w:rsidRPr="00401D57">
        <w:rPr>
          <w:b/>
        </w:rPr>
        <w:t xml:space="preserve">Tuesday, November 17, 2020 | 10:00 AM–12:30 p.m. EST </w:t>
      </w:r>
    </w:p>
    <w:p w14:paraId="5D7EB2F7" w14:textId="004B00A8" w:rsidR="000D4F98" w:rsidRPr="00537483" w:rsidRDefault="00401D57" w:rsidP="00A839D4">
      <w:pPr>
        <w:pStyle w:val="NCDBodyText"/>
        <w:spacing w:line="240" w:lineRule="auto"/>
        <w:jc w:val="center"/>
      </w:pPr>
      <w:r w:rsidRPr="00401D57">
        <w:rPr>
          <w:b/>
        </w:rPr>
        <w:t>National Center for Children in Poverty, Bank Street Graduate School of Education</w:t>
      </w:r>
    </w:p>
    <w:p w14:paraId="60A496A1" w14:textId="1375FE9A" w:rsidR="000D4F98" w:rsidRPr="00537483" w:rsidRDefault="00401D57" w:rsidP="00A839D4">
      <w:pPr>
        <w:pStyle w:val="NCDBodyText"/>
        <w:spacing w:line="240" w:lineRule="auto"/>
        <w:jc w:val="center"/>
      </w:pPr>
      <w:r w:rsidRPr="00401D57">
        <w:rPr>
          <w:b/>
        </w:rPr>
        <w:t>Health Policy Institute, American Dental Association</w:t>
      </w:r>
    </w:p>
    <w:p w14:paraId="253383B8" w14:textId="02C63928" w:rsidR="000D4F98" w:rsidRPr="00537483" w:rsidRDefault="00401D57" w:rsidP="00A839D4">
      <w:pPr>
        <w:pStyle w:val="NCDBodyText"/>
        <w:spacing w:line="240" w:lineRule="auto"/>
        <w:jc w:val="center"/>
      </w:pPr>
      <w:r w:rsidRPr="00401D57">
        <w:rPr>
          <w:b/>
        </w:rPr>
        <w:t>Funded by the National Council on Disability</w:t>
      </w:r>
    </w:p>
    <w:p w14:paraId="6F8EEA35" w14:textId="3C531F97" w:rsidR="000D4F98" w:rsidRPr="00537483" w:rsidRDefault="00401D57" w:rsidP="00A839D4">
      <w:pPr>
        <w:pStyle w:val="NCDBodyText"/>
        <w:spacing w:line="240" w:lineRule="auto"/>
      </w:pPr>
      <w:r w:rsidRPr="00401D57">
        <w:rPr>
          <w:b/>
        </w:rPr>
        <w:t>Agenda</w:t>
      </w:r>
    </w:p>
    <w:p w14:paraId="58BBD40F" w14:textId="7B8A0ED6" w:rsidR="000D4F98" w:rsidRPr="00537483" w:rsidRDefault="00401D57" w:rsidP="00A839D4">
      <w:pPr>
        <w:pStyle w:val="NCDBodyText"/>
        <w:spacing w:line="240" w:lineRule="auto"/>
      </w:pPr>
      <w:r w:rsidRPr="00401D57">
        <w:rPr>
          <w:i/>
        </w:rPr>
        <w:t>*Times in Eastern</w:t>
      </w:r>
    </w:p>
    <w:p w14:paraId="01E3C02B" w14:textId="1208BE89" w:rsidR="0030620D" w:rsidRDefault="000D4F98" w:rsidP="00A839D4">
      <w:pPr>
        <w:pStyle w:val="NCDAppendixNumberedLevel1"/>
      </w:pPr>
      <w:r w:rsidRPr="005D588C">
        <w:t>National Council on Disability introduction to study goals and background</w:t>
      </w:r>
      <w:r w:rsidR="00401D57" w:rsidRPr="00401D57">
        <w:rPr>
          <w:i/>
        </w:rPr>
        <w:t xml:space="preserve"> (10:00–10:10 a.m.)*</w:t>
      </w:r>
    </w:p>
    <w:p w14:paraId="2A8D50D1" w14:textId="4DCCDBEF" w:rsidR="0030620D" w:rsidRDefault="000D4F98" w:rsidP="00A839D4">
      <w:pPr>
        <w:pStyle w:val="NCDAppendixNumberedLevel1"/>
      </w:pPr>
      <w:r w:rsidRPr="005D588C">
        <w:t>Introduction to the study team</w:t>
      </w:r>
      <w:r w:rsidR="00401D57" w:rsidRPr="00401D57">
        <w:rPr>
          <w:i/>
        </w:rPr>
        <w:t xml:space="preserve"> (10:10–10:15 a.m.)</w:t>
      </w:r>
    </w:p>
    <w:p w14:paraId="50CF5E07" w14:textId="67382D94" w:rsidR="000D4F98" w:rsidRPr="00537483" w:rsidRDefault="000D4F98" w:rsidP="00A839D4">
      <w:pPr>
        <w:pStyle w:val="NCDAppendixNumberedLevel1"/>
      </w:pPr>
      <w:r w:rsidRPr="005D588C">
        <w:t xml:space="preserve">Presentation of our study methods </w:t>
      </w:r>
      <w:r w:rsidR="00401D57" w:rsidRPr="00401D57">
        <w:rPr>
          <w:i/>
        </w:rPr>
        <w:t>(10:15–10:30 a.m.)</w:t>
      </w:r>
    </w:p>
    <w:p w14:paraId="3E571A18" w14:textId="77777777" w:rsidR="000D4F98" w:rsidRPr="00537483" w:rsidRDefault="000D4F98" w:rsidP="00A839D4">
      <w:pPr>
        <w:pStyle w:val="NCDAppendixNumberedLevel3"/>
        <w:ind w:left="936"/>
      </w:pPr>
      <w:r w:rsidRPr="005D588C">
        <w:t>Research questions</w:t>
      </w:r>
    </w:p>
    <w:p w14:paraId="2E90E59C" w14:textId="77777777" w:rsidR="000D4F98" w:rsidRPr="00537483" w:rsidRDefault="000D4F98" w:rsidP="00A839D4">
      <w:pPr>
        <w:pStyle w:val="NCDAppendixNumberedLevel3"/>
        <w:ind w:left="936"/>
      </w:pPr>
      <w:r w:rsidRPr="005D588C">
        <w:t>Methods</w:t>
      </w:r>
    </w:p>
    <w:p w14:paraId="72D2BFF2" w14:textId="77777777" w:rsidR="0030620D" w:rsidRDefault="000D4F98" w:rsidP="00A839D4">
      <w:pPr>
        <w:pStyle w:val="NCDAppendixNumberedLevel3"/>
        <w:ind w:left="936"/>
      </w:pPr>
      <w:r w:rsidRPr="005D588C">
        <w:t xml:space="preserve">Timeline </w:t>
      </w:r>
    </w:p>
    <w:p w14:paraId="359ACD3C" w14:textId="1DAAC321" w:rsidR="000D4F98" w:rsidRPr="00537483" w:rsidRDefault="000D4F98" w:rsidP="00A839D4">
      <w:pPr>
        <w:pStyle w:val="NCDAppendixNumberedLevel1"/>
      </w:pPr>
      <w:r w:rsidRPr="005D588C">
        <w:t>First round of breakout discussions (</w:t>
      </w:r>
      <w:r w:rsidR="00401D57" w:rsidRPr="00401D57">
        <w:rPr>
          <w:i/>
        </w:rPr>
        <w:t>10:30–11:00 a.m.)</w:t>
      </w:r>
    </w:p>
    <w:p w14:paraId="0EC0379D" w14:textId="77777777" w:rsidR="000D4F98" w:rsidRPr="00537483" w:rsidRDefault="000D4F98" w:rsidP="00A839D4">
      <w:pPr>
        <w:pStyle w:val="NCDAppendixNumberedLevel2"/>
      </w:pPr>
      <w:r w:rsidRPr="005D588C">
        <w:t xml:space="preserve">Introductions within breakouts </w:t>
      </w:r>
    </w:p>
    <w:p w14:paraId="7F223A14" w14:textId="77777777" w:rsidR="000D4F98" w:rsidRPr="00537483" w:rsidRDefault="000D4F98" w:rsidP="00A839D4">
      <w:pPr>
        <w:pStyle w:val="NCDAppendixNumberedLevel2"/>
      </w:pPr>
      <w:r w:rsidRPr="005D588C">
        <w:t xml:space="preserve">Obtaining feedback on key aspects of the study </w:t>
      </w:r>
    </w:p>
    <w:p w14:paraId="5F1B0C5F" w14:textId="77777777" w:rsidR="000D4F98" w:rsidRPr="00537483" w:rsidRDefault="000D4F98" w:rsidP="00A839D4">
      <w:pPr>
        <w:pStyle w:val="NCDAppendixNumberedLevel3"/>
      </w:pPr>
      <w:r w:rsidRPr="005D588C">
        <w:t>Innovative state Medicaid policies and Medicaid policy dimensions</w:t>
      </w:r>
    </w:p>
    <w:p w14:paraId="2BB68323" w14:textId="77777777" w:rsidR="000D4F98" w:rsidRPr="00537483" w:rsidRDefault="000D4F98" w:rsidP="00A839D4">
      <w:pPr>
        <w:pStyle w:val="NCDAppendixNumberedLevel3"/>
      </w:pPr>
      <w:r w:rsidRPr="005D588C">
        <w:t>Medicaid claims data methodology and analysis advice</w:t>
      </w:r>
    </w:p>
    <w:p w14:paraId="13D19B67" w14:textId="77777777" w:rsidR="000D4F98" w:rsidRPr="00537483" w:rsidRDefault="000D4F98" w:rsidP="00A839D4">
      <w:pPr>
        <w:pStyle w:val="NCDAppendixNumberedLevel3"/>
      </w:pPr>
      <w:r w:rsidRPr="005D588C">
        <w:t>Coordination of state DDD and Medicaid agencies and innovative oral health care practices in DDD agencies</w:t>
      </w:r>
    </w:p>
    <w:p w14:paraId="0967D439" w14:textId="77777777" w:rsidR="0030620D" w:rsidRDefault="000D4F98" w:rsidP="00A839D4">
      <w:pPr>
        <w:pStyle w:val="NCDAppendixNumberedLevel3"/>
      </w:pPr>
      <w:r w:rsidRPr="005D588C">
        <w:t>Comments on study goals and research questions and other important considerations for oral health care access for the I</w:t>
      </w:r>
      <w:r>
        <w:t>/</w:t>
      </w:r>
      <w:r w:rsidRPr="005D588C">
        <w:t>DD population</w:t>
      </w:r>
    </w:p>
    <w:p w14:paraId="4C9ED28D" w14:textId="6CAA2A08" w:rsidR="0030620D" w:rsidRDefault="000D4F98" w:rsidP="00A839D4">
      <w:pPr>
        <w:pStyle w:val="NCDAppendixNumberedLevel1"/>
      </w:pPr>
      <w:r w:rsidRPr="005D588C">
        <w:t xml:space="preserve">Transition to second round of breakout rooms </w:t>
      </w:r>
      <w:r w:rsidR="00401D57" w:rsidRPr="00401D57">
        <w:rPr>
          <w:i/>
        </w:rPr>
        <w:t>(11:00–11:05 a.m.)</w:t>
      </w:r>
    </w:p>
    <w:p w14:paraId="007775A3" w14:textId="7F988AFB" w:rsidR="000D4F98" w:rsidRPr="00537483" w:rsidRDefault="000D4F98" w:rsidP="00A839D4">
      <w:pPr>
        <w:pStyle w:val="NCDAppendixNumberedLevel1"/>
      </w:pPr>
      <w:r w:rsidRPr="005D588C">
        <w:lastRenderedPageBreak/>
        <w:t xml:space="preserve">Second round of breakout discussions </w:t>
      </w:r>
      <w:r w:rsidR="00401D57" w:rsidRPr="00401D57">
        <w:rPr>
          <w:i/>
        </w:rPr>
        <w:t>(11:05–11:30 a.m.)</w:t>
      </w:r>
    </w:p>
    <w:p w14:paraId="01E8A391" w14:textId="77777777" w:rsidR="000D4F98" w:rsidRPr="00537483" w:rsidRDefault="000D4F98" w:rsidP="00A839D4">
      <w:pPr>
        <w:pStyle w:val="NCDAppendixNumberedLevel2"/>
      </w:pPr>
      <w:r w:rsidRPr="005D588C">
        <w:t>Introductions within breakouts</w:t>
      </w:r>
    </w:p>
    <w:p w14:paraId="54D7B1BD" w14:textId="77777777" w:rsidR="000D4F98" w:rsidRPr="00537483" w:rsidRDefault="000D4F98" w:rsidP="00A839D4">
      <w:pPr>
        <w:pStyle w:val="NCDAppendixNumberedLevel2"/>
      </w:pPr>
      <w:r w:rsidRPr="005D588C">
        <w:t xml:space="preserve">Obtaining feedback on key aspects of the study </w:t>
      </w:r>
    </w:p>
    <w:p w14:paraId="71CA909C" w14:textId="77777777" w:rsidR="000D4F98" w:rsidRPr="00537483" w:rsidRDefault="000D4F98" w:rsidP="00A839D4">
      <w:pPr>
        <w:numPr>
          <w:ilvl w:val="2"/>
          <w:numId w:val="6"/>
        </w:numPr>
        <w:spacing w:after="200" w:line="240" w:lineRule="auto"/>
        <w:ind w:left="1296"/>
      </w:pPr>
      <w:r w:rsidRPr="005D588C">
        <w:t>Innovative state Medicaid policies and Medicaid policy dimensions (1 of 2)</w:t>
      </w:r>
    </w:p>
    <w:p w14:paraId="031AA650" w14:textId="77777777" w:rsidR="000D4F98" w:rsidRPr="00537483" w:rsidRDefault="000D4F98" w:rsidP="00A839D4">
      <w:pPr>
        <w:numPr>
          <w:ilvl w:val="2"/>
          <w:numId w:val="6"/>
        </w:numPr>
        <w:spacing w:after="200" w:line="240" w:lineRule="auto"/>
        <w:ind w:left="1296"/>
      </w:pPr>
      <w:r w:rsidRPr="000B3CAD">
        <w:t>Innovative state Medicaid policies and Medicaid policy dimensions (2 of 2)</w:t>
      </w:r>
    </w:p>
    <w:p w14:paraId="306B0548" w14:textId="77777777" w:rsidR="000D4F98" w:rsidRPr="00537483" w:rsidRDefault="000D4F98" w:rsidP="00A839D4">
      <w:pPr>
        <w:numPr>
          <w:ilvl w:val="2"/>
          <w:numId w:val="6"/>
        </w:numPr>
        <w:spacing w:after="200" w:line="240" w:lineRule="auto"/>
        <w:ind w:left="1296"/>
      </w:pPr>
      <w:r w:rsidRPr="005D588C">
        <w:t>Coordination of state DDD and Medicaid agencies and innovative oral health care practices in DDD agencies</w:t>
      </w:r>
    </w:p>
    <w:p w14:paraId="19E4C2CC" w14:textId="77777777" w:rsidR="0030620D" w:rsidRDefault="000D4F98" w:rsidP="00A839D4">
      <w:pPr>
        <w:numPr>
          <w:ilvl w:val="2"/>
          <w:numId w:val="6"/>
        </w:numPr>
        <w:spacing w:after="200" w:line="240" w:lineRule="auto"/>
        <w:ind w:left="1296"/>
      </w:pPr>
      <w:r w:rsidRPr="005D588C">
        <w:t>Comments on study goals and research questions and other important considerations for oral health care access for the I</w:t>
      </w:r>
      <w:r>
        <w:t>/</w:t>
      </w:r>
      <w:r w:rsidRPr="005D588C">
        <w:t>DD population</w:t>
      </w:r>
    </w:p>
    <w:p w14:paraId="5D70DDD5" w14:textId="202FAA66" w:rsidR="0030620D" w:rsidRDefault="000D4F98" w:rsidP="00A839D4">
      <w:pPr>
        <w:pStyle w:val="NCDAppendixNumberedLevel1"/>
      </w:pPr>
      <w:r w:rsidRPr="005D588C">
        <w:t xml:space="preserve">Report out to the group </w:t>
      </w:r>
      <w:r w:rsidR="00401D57" w:rsidRPr="00401D57">
        <w:rPr>
          <w:i/>
        </w:rPr>
        <w:t>(11:30 a.m.–12:00 p.m.)</w:t>
      </w:r>
    </w:p>
    <w:p w14:paraId="379AA698" w14:textId="642E130E" w:rsidR="000D4F98" w:rsidRPr="00537483" w:rsidRDefault="000D4F98" w:rsidP="00A839D4">
      <w:pPr>
        <w:pStyle w:val="NCDAppendixNumberedLevel1"/>
      </w:pPr>
      <w:r w:rsidRPr="005D588C">
        <w:t xml:space="preserve">Next steps </w:t>
      </w:r>
      <w:r w:rsidR="00401D57" w:rsidRPr="00401D57">
        <w:rPr>
          <w:i/>
        </w:rPr>
        <w:t>(12:00–12:15 p.m.)</w:t>
      </w:r>
    </w:p>
    <w:p w14:paraId="6C68AC15" w14:textId="3FAAEAF4" w:rsidR="000D4F98" w:rsidRPr="00537483" w:rsidRDefault="00401D57" w:rsidP="0030620D">
      <w:pPr>
        <w:pStyle w:val="NCDBodyText"/>
        <w:spacing w:line="240" w:lineRule="auto"/>
        <w:jc w:val="center"/>
      </w:pPr>
      <w:r w:rsidRPr="00401D57">
        <w:rPr>
          <w:b/>
        </w:rPr>
        <w:t>Attendees</w:t>
      </w:r>
    </w:p>
    <w:tbl>
      <w:tblPr>
        <w:tblW w:w="9360" w:type="dxa"/>
        <w:jc w:val="center"/>
        <w:tblLayout w:type="fixed"/>
        <w:tblLook w:val="0400" w:firstRow="0" w:lastRow="0" w:firstColumn="0" w:lastColumn="0" w:noHBand="0" w:noVBand="1"/>
        <w:tblCaption w:val="Table of attendees "/>
        <w:tblDescription w:val="This table has three columns displaying the names, titles, and organizational affiliations of the key stakeholders who attended the virtual stakeholder convening in November of 2020. "/>
      </w:tblPr>
      <w:tblGrid>
        <w:gridCol w:w="2105"/>
        <w:gridCol w:w="2674"/>
        <w:gridCol w:w="4581"/>
      </w:tblGrid>
      <w:tr w:rsidR="000D4F98" w:rsidRPr="005D588C" w14:paraId="1ED2A0FC" w14:textId="77777777" w:rsidTr="00C37C0E">
        <w:trPr>
          <w:trHeight w:val="315"/>
          <w:tblHeader/>
          <w:jc w:val="center"/>
        </w:trPr>
        <w:tc>
          <w:tcPr>
            <w:tcW w:w="2105" w:type="dxa"/>
            <w:tcBorders>
              <w:top w:val="single" w:sz="4" w:space="0" w:color="000000"/>
              <w:left w:val="single" w:sz="4" w:space="0" w:color="000000"/>
              <w:bottom w:val="single" w:sz="4" w:space="0" w:color="000000"/>
              <w:right w:val="single" w:sz="4" w:space="0" w:color="000000"/>
            </w:tcBorders>
            <w:shd w:val="clear" w:color="auto" w:fill="9CC3E5"/>
            <w:vAlign w:val="center"/>
          </w:tcPr>
          <w:p w14:paraId="09FED03E" w14:textId="53091068" w:rsidR="000D4F98" w:rsidRPr="005D588C" w:rsidRDefault="000D4F98" w:rsidP="00C37C0E">
            <w:pPr>
              <w:pStyle w:val="NCDTableHeader"/>
              <w:spacing w:before="60" w:after="60"/>
            </w:pPr>
            <w:r w:rsidRPr="00537483">
              <w:t>Name</w:t>
            </w:r>
          </w:p>
        </w:tc>
        <w:tc>
          <w:tcPr>
            <w:tcW w:w="2674" w:type="dxa"/>
            <w:tcBorders>
              <w:top w:val="single" w:sz="4" w:space="0" w:color="000000"/>
              <w:left w:val="nil"/>
              <w:bottom w:val="single" w:sz="4" w:space="0" w:color="000000"/>
              <w:right w:val="single" w:sz="4" w:space="0" w:color="000000"/>
            </w:tcBorders>
            <w:shd w:val="clear" w:color="auto" w:fill="9CC3E5"/>
            <w:vAlign w:val="center"/>
          </w:tcPr>
          <w:p w14:paraId="0F878DED" w14:textId="40639717" w:rsidR="000D4F98" w:rsidRPr="005D588C" w:rsidRDefault="000D4F98" w:rsidP="00C37C0E">
            <w:pPr>
              <w:pStyle w:val="NCDTableHeader"/>
              <w:spacing w:before="60" w:after="60"/>
              <w:jc w:val="center"/>
            </w:pPr>
            <w:r w:rsidRPr="00537483">
              <w:t>Title</w:t>
            </w:r>
          </w:p>
        </w:tc>
        <w:tc>
          <w:tcPr>
            <w:tcW w:w="4581" w:type="dxa"/>
            <w:tcBorders>
              <w:top w:val="single" w:sz="4" w:space="0" w:color="000000"/>
              <w:left w:val="nil"/>
              <w:bottom w:val="single" w:sz="4" w:space="0" w:color="000000"/>
              <w:right w:val="single" w:sz="4" w:space="0" w:color="000000"/>
            </w:tcBorders>
            <w:shd w:val="clear" w:color="auto" w:fill="9CC3E5"/>
            <w:vAlign w:val="center"/>
          </w:tcPr>
          <w:p w14:paraId="5E5C87CD" w14:textId="36ED920F" w:rsidR="000D4F98" w:rsidRPr="005D588C" w:rsidRDefault="000D4F98" w:rsidP="00C37C0E">
            <w:pPr>
              <w:pStyle w:val="NCDTableHeader"/>
              <w:spacing w:before="60" w:after="60"/>
              <w:jc w:val="center"/>
            </w:pPr>
            <w:r w:rsidRPr="00537483">
              <w:t>Organization</w:t>
            </w:r>
          </w:p>
        </w:tc>
      </w:tr>
      <w:tr w:rsidR="000D4F98" w:rsidRPr="005D588C" w14:paraId="1E5B2618" w14:textId="77777777" w:rsidTr="00C37C0E">
        <w:trPr>
          <w:trHeight w:val="315"/>
          <w:jc w:val="center"/>
        </w:trPr>
        <w:tc>
          <w:tcPr>
            <w:tcW w:w="2105" w:type="dxa"/>
            <w:tcBorders>
              <w:top w:val="nil"/>
              <w:left w:val="single" w:sz="4" w:space="0" w:color="000000"/>
              <w:bottom w:val="single" w:sz="4" w:space="0" w:color="000000"/>
              <w:right w:val="single" w:sz="4" w:space="0" w:color="000000"/>
            </w:tcBorders>
            <w:shd w:val="clear" w:color="auto" w:fill="auto"/>
            <w:vAlign w:val="center"/>
          </w:tcPr>
          <w:p w14:paraId="1176B167" w14:textId="77777777" w:rsidR="000D4F98" w:rsidRPr="005D588C" w:rsidRDefault="000D4F98" w:rsidP="00C37C0E">
            <w:pPr>
              <w:pStyle w:val="NCDTableText"/>
              <w:spacing w:before="60" w:after="60"/>
            </w:pPr>
            <w:r w:rsidRPr="005D588C">
              <w:t>Steve Beetstra</w:t>
            </w:r>
          </w:p>
        </w:tc>
        <w:tc>
          <w:tcPr>
            <w:tcW w:w="2674" w:type="dxa"/>
            <w:tcBorders>
              <w:top w:val="nil"/>
              <w:left w:val="nil"/>
              <w:bottom w:val="single" w:sz="4" w:space="0" w:color="000000"/>
              <w:right w:val="single" w:sz="4" w:space="0" w:color="000000"/>
            </w:tcBorders>
            <w:shd w:val="clear" w:color="auto" w:fill="auto"/>
            <w:vAlign w:val="center"/>
          </w:tcPr>
          <w:p w14:paraId="11806555" w14:textId="77777777" w:rsidR="000D4F98" w:rsidRPr="005D588C" w:rsidRDefault="000D4F98" w:rsidP="00C37C0E">
            <w:pPr>
              <w:pStyle w:val="NCDTableText"/>
              <w:spacing w:before="60" w:after="60"/>
            </w:pPr>
            <w:r w:rsidRPr="005D588C">
              <w:t>President</w:t>
            </w:r>
          </w:p>
        </w:tc>
        <w:tc>
          <w:tcPr>
            <w:tcW w:w="4581" w:type="dxa"/>
            <w:tcBorders>
              <w:top w:val="nil"/>
              <w:left w:val="nil"/>
              <w:bottom w:val="single" w:sz="4" w:space="0" w:color="000000"/>
              <w:right w:val="single" w:sz="4" w:space="0" w:color="000000"/>
            </w:tcBorders>
            <w:shd w:val="clear" w:color="auto" w:fill="auto"/>
            <w:vAlign w:val="center"/>
          </w:tcPr>
          <w:p w14:paraId="05BC281A" w14:textId="77777777" w:rsidR="000D4F98" w:rsidRPr="005D588C" w:rsidRDefault="000D4F98" w:rsidP="00C37C0E">
            <w:pPr>
              <w:pStyle w:val="NCDTableText"/>
              <w:spacing w:before="60" w:after="60"/>
            </w:pPr>
            <w:r w:rsidRPr="005D588C">
              <w:t>Special Care Dentistry Association (SCDA)</w:t>
            </w:r>
          </w:p>
        </w:tc>
      </w:tr>
      <w:tr w:rsidR="000D4F98" w:rsidRPr="005D588C" w14:paraId="0FD32FD5" w14:textId="77777777" w:rsidTr="00C37C0E">
        <w:trPr>
          <w:trHeight w:val="315"/>
          <w:jc w:val="center"/>
        </w:trPr>
        <w:tc>
          <w:tcPr>
            <w:tcW w:w="2105" w:type="dxa"/>
            <w:tcBorders>
              <w:top w:val="nil"/>
              <w:left w:val="single" w:sz="4" w:space="0" w:color="000000"/>
              <w:bottom w:val="single" w:sz="4" w:space="0" w:color="000000"/>
              <w:right w:val="single" w:sz="4" w:space="0" w:color="000000"/>
            </w:tcBorders>
            <w:shd w:val="clear" w:color="auto" w:fill="auto"/>
            <w:vAlign w:val="center"/>
          </w:tcPr>
          <w:p w14:paraId="29D1267C" w14:textId="77777777" w:rsidR="000D4F98" w:rsidRPr="005D588C" w:rsidRDefault="000D4F98" w:rsidP="00C37C0E">
            <w:pPr>
              <w:pStyle w:val="NCDTableText"/>
              <w:spacing w:before="60" w:after="60"/>
            </w:pPr>
            <w:r w:rsidRPr="005D588C">
              <w:t>Alixe Bonardi</w:t>
            </w:r>
          </w:p>
        </w:tc>
        <w:tc>
          <w:tcPr>
            <w:tcW w:w="2674" w:type="dxa"/>
            <w:tcBorders>
              <w:top w:val="nil"/>
              <w:left w:val="nil"/>
              <w:bottom w:val="single" w:sz="4" w:space="0" w:color="000000"/>
              <w:right w:val="single" w:sz="4" w:space="0" w:color="000000"/>
            </w:tcBorders>
            <w:shd w:val="clear" w:color="auto" w:fill="auto"/>
            <w:vAlign w:val="center"/>
          </w:tcPr>
          <w:p w14:paraId="57BE2CA0" w14:textId="77777777" w:rsidR="000D4F98" w:rsidRPr="005D588C" w:rsidRDefault="000D4F98" w:rsidP="00C37C0E">
            <w:pPr>
              <w:pStyle w:val="NCDTableText"/>
              <w:spacing w:before="60" w:after="60"/>
            </w:pPr>
            <w:r w:rsidRPr="005D588C">
              <w:t>Senior Policy Specialist</w:t>
            </w:r>
          </w:p>
        </w:tc>
        <w:tc>
          <w:tcPr>
            <w:tcW w:w="4581" w:type="dxa"/>
            <w:tcBorders>
              <w:top w:val="nil"/>
              <w:left w:val="nil"/>
              <w:bottom w:val="single" w:sz="4" w:space="0" w:color="000000"/>
              <w:right w:val="single" w:sz="4" w:space="0" w:color="000000"/>
            </w:tcBorders>
            <w:shd w:val="clear" w:color="auto" w:fill="auto"/>
            <w:vAlign w:val="center"/>
          </w:tcPr>
          <w:p w14:paraId="35C2DE34" w14:textId="77777777" w:rsidR="000D4F98" w:rsidRPr="005D588C" w:rsidRDefault="000D4F98" w:rsidP="00C37C0E">
            <w:pPr>
              <w:pStyle w:val="NCDTableText"/>
              <w:spacing w:before="60" w:after="60"/>
            </w:pPr>
            <w:r w:rsidRPr="005D588C">
              <w:t>Human Services Research Institute</w:t>
            </w:r>
          </w:p>
        </w:tc>
      </w:tr>
      <w:tr w:rsidR="000D4F98" w:rsidRPr="005D588C" w14:paraId="003788E7" w14:textId="77777777" w:rsidTr="00C37C0E">
        <w:trPr>
          <w:trHeight w:val="315"/>
          <w:jc w:val="center"/>
        </w:trPr>
        <w:tc>
          <w:tcPr>
            <w:tcW w:w="2105" w:type="dxa"/>
            <w:tcBorders>
              <w:top w:val="nil"/>
              <w:left w:val="single" w:sz="4" w:space="0" w:color="000000"/>
              <w:bottom w:val="single" w:sz="4" w:space="0" w:color="000000"/>
              <w:right w:val="single" w:sz="4" w:space="0" w:color="000000"/>
            </w:tcBorders>
            <w:shd w:val="clear" w:color="auto" w:fill="auto"/>
            <w:vAlign w:val="center"/>
          </w:tcPr>
          <w:p w14:paraId="33DEC809" w14:textId="77777777" w:rsidR="000D4F98" w:rsidRPr="005D588C" w:rsidRDefault="000D4F98" w:rsidP="00C37C0E">
            <w:pPr>
              <w:pStyle w:val="NCDTableText"/>
              <w:spacing w:before="60" w:after="60"/>
            </w:pPr>
            <w:r w:rsidRPr="005D588C">
              <w:t>Melissa Burroughs</w:t>
            </w:r>
          </w:p>
        </w:tc>
        <w:tc>
          <w:tcPr>
            <w:tcW w:w="2674" w:type="dxa"/>
            <w:tcBorders>
              <w:top w:val="nil"/>
              <w:left w:val="nil"/>
              <w:bottom w:val="single" w:sz="4" w:space="0" w:color="000000"/>
              <w:right w:val="single" w:sz="4" w:space="0" w:color="000000"/>
            </w:tcBorders>
            <w:shd w:val="clear" w:color="auto" w:fill="auto"/>
            <w:vAlign w:val="center"/>
          </w:tcPr>
          <w:p w14:paraId="04ACC9F4" w14:textId="77777777" w:rsidR="000D4F98" w:rsidRPr="005D588C" w:rsidRDefault="000D4F98" w:rsidP="00C37C0E">
            <w:pPr>
              <w:pStyle w:val="NCDTableText"/>
              <w:spacing w:before="60" w:after="60"/>
            </w:pPr>
            <w:r w:rsidRPr="005D588C">
              <w:t>Senior Oral Health Campaign Manager</w:t>
            </w:r>
          </w:p>
        </w:tc>
        <w:tc>
          <w:tcPr>
            <w:tcW w:w="4581" w:type="dxa"/>
            <w:tcBorders>
              <w:top w:val="nil"/>
              <w:left w:val="nil"/>
              <w:bottom w:val="single" w:sz="4" w:space="0" w:color="000000"/>
              <w:right w:val="single" w:sz="4" w:space="0" w:color="000000"/>
            </w:tcBorders>
            <w:shd w:val="clear" w:color="auto" w:fill="auto"/>
            <w:vAlign w:val="center"/>
          </w:tcPr>
          <w:p w14:paraId="73CC5075" w14:textId="77777777" w:rsidR="000D4F98" w:rsidRPr="005D588C" w:rsidRDefault="000D4F98" w:rsidP="00C37C0E">
            <w:pPr>
              <w:pStyle w:val="NCDTableText"/>
              <w:spacing w:before="60" w:after="60"/>
            </w:pPr>
            <w:r w:rsidRPr="005D588C">
              <w:t>Families USA</w:t>
            </w:r>
          </w:p>
        </w:tc>
      </w:tr>
      <w:tr w:rsidR="000D4F98" w:rsidRPr="005D588C" w14:paraId="20DF31C8" w14:textId="77777777" w:rsidTr="00C37C0E">
        <w:trPr>
          <w:trHeight w:val="315"/>
          <w:jc w:val="center"/>
        </w:trPr>
        <w:tc>
          <w:tcPr>
            <w:tcW w:w="2105" w:type="dxa"/>
            <w:tcBorders>
              <w:top w:val="nil"/>
              <w:left w:val="single" w:sz="4" w:space="0" w:color="000000"/>
              <w:bottom w:val="single" w:sz="4" w:space="0" w:color="000000"/>
              <w:right w:val="single" w:sz="4" w:space="0" w:color="000000"/>
            </w:tcBorders>
            <w:shd w:val="clear" w:color="auto" w:fill="auto"/>
            <w:vAlign w:val="center"/>
          </w:tcPr>
          <w:p w14:paraId="6D8BA4B6" w14:textId="77777777" w:rsidR="000D4F98" w:rsidRPr="005D588C" w:rsidRDefault="000D4F98" w:rsidP="00C37C0E">
            <w:pPr>
              <w:pStyle w:val="NCDTableText"/>
              <w:spacing w:before="60" w:after="60"/>
            </w:pPr>
            <w:r w:rsidRPr="005D588C">
              <w:t>Natalia Chalmers</w:t>
            </w:r>
          </w:p>
        </w:tc>
        <w:tc>
          <w:tcPr>
            <w:tcW w:w="2674" w:type="dxa"/>
            <w:tcBorders>
              <w:top w:val="nil"/>
              <w:left w:val="nil"/>
              <w:bottom w:val="single" w:sz="4" w:space="0" w:color="000000"/>
              <w:right w:val="single" w:sz="4" w:space="0" w:color="000000"/>
            </w:tcBorders>
            <w:shd w:val="clear" w:color="auto" w:fill="auto"/>
            <w:vAlign w:val="center"/>
          </w:tcPr>
          <w:p w14:paraId="213ACD10" w14:textId="77777777" w:rsidR="000D4F98" w:rsidRPr="005D588C" w:rsidRDefault="000D4F98" w:rsidP="00C37C0E">
            <w:pPr>
              <w:pStyle w:val="NCDTableText"/>
              <w:spacing w:before="60" w:after="60"/>
            </w:pPr>
            <w:r w:rsidRPr="005D588C">
              <w:t>Chief Dental Officer</w:t>
            </w:r>
          </w:p>
        </w:tc>
        <w:tc>
          <w:tcPr>
            <w:tcW w:w="4581" w:type="dxa"/>
            <w:tcBorders>
              <w:top w:val="nil"/>
              <w:left w:val="nil"/>
              <w:bottom w:val="single" w:sz="4" w:space="0" w:color="000000"/>
              <w:right w:val="single" w:sz="4" w:space="0" w:color="000000"/>
            </w:tcBorders>
            <w:shd w:val="clear" w:color="auto" w:fill="auto"/>
            <w:vAlign w:val="center"/>
          </w:tcPr>
          <w:p w14:paraId="67D992BC" w14:textId="77777777" w:rsidR="000D4F98" w:rsidRPr="005D588C" w:rsidRDefault="000D4F98" w:rsidP="00C37C0E">
            <w:pPr>
              <w:pStyle w:val="NCDTableText"/>
              <w:spacing w:before="60" w:after="60"/>
            </w:pPr>
            <w:r w:rsidRPr="005D588C">
              <w:t>Centers for Medicare &amp; Medicaid Services</w:t>
            </w:r>
          </w:p>
        </w:tc>
      </w:tr>
      <w:tr w:rsidR="000D4F98" w:rsidRPr="005D588C" w14:paraId="33E84D07" w14:textId="77777777" w:rsidTr="00C37C0E">
        <w:trPr>
          <w:trHeight w:val="315"/>
          <w:jc w:val="center"/>
        </w:trPr>
        <w:tc>
          <w:tcPr>
            <w:tcW w:w="2105" w:type="dxa"/>
            <w:tcBorders>
              <w:top w:val="nil"/>
              <w:left w:val="single" w:sz="4" w:space="0" w:color="000000"/>
              <w:bottom w:val="single" w:sz="4" w:space="0" w:color="000000"/>
              <w:right w:val="single" w:sz="4" w:space="0" w:color="000000"/>
            </w:tcBorders>
            <w:shd w:val="clear" w:color="auto" w:fill="auto"/>
            <w:vAlign w:val="center"/>
          </w:tcPr>
          <w:p w14:paraId="2D858652" w14:textId="77777777" w:rsidR="000D4F98" w:rsidRPr="005D588C" w:rsidRDefault="000D4F98" w:rsidP="00C37C0E">
            <w:pPr>
              <w:pStyle w:val="NCDTableText"/>
              <w:spacing w:before="60" w:after="60"/>
            </w:pPr>
            <w:r w:rsidRPr="005D588C">
              <w:t>Stacey Chazin</w:t>
            </w:r>
          </w:p>
        </w:tc>
        <w:tc>
          <w:tcPr>
            <w:tcW w:w="2674" w:type="dxa"/>
            <w:tcBorders>
              <w:top w:val="nil"/>
              <w:left w:val="nil"/>
              <w:bottom w:val="single" w:sz="4" w:space="0" w:color="000000"/>
              <w:right w:val="single" w:sz="4" w:space="0" w:color="000000"/>
            </w:tcBorders>
            <w:shd w:val="clear" w:color="auto" w:fill="auto"/>
            <w:vAlign w:val="center"/>
          </w:tcPr>
          <w:p w14:paraId="767EC842" w14:textId="77777777" w:rsidR="000D4F98" w:rsidRPr="005D588C" w:rsidRDefault="000D4F98" w:rsidP="00C37C0E">
            <w:pPr>
              <w:pStyle w:val="NCDTableText"/>
              <w:spacing w:before="60" w:after="60"/>
            </w:pPr>
            <w:r w:rsidRPr="005D588C">
              <w:t>Director of Capacity Building and Technical Assistance</w:t>
            </w:r>
          </w:p>
        </w:tc>
        <w:tc>
          <w:tcPr>
            <w:tcW w:w="4581" w:type="dxa"/>
            <w:tcBorders>
              <w:top w:val="nil"/>
              <w:left w:val="nil"/>
              <w:bottom w:val="single" w:sz="4" w:space="0" w:color="000000"/>
              <w:right w:val="single" w:sz="4" w:space="0" w:color="000000"/>
            </w:tcBorders>
            <w:shd w:val="clear" w:color="auto" w:fill="auto"/>
            <w:vAlign w:val="center"/>
          </w:tcPr>
          <w:p w14:paraId="78D58F53" w14:textId="77777777" w:rsidR="000D4F98" w:rsidRPr="005D588C" w:rsidRDefault="000D4F98" w:rsidP="00C37C0E">
            <w:pPr>
              <w:pStyle w:val="NCDTableText"/>
              <w:spacing w:before="60" w:after="60"/>
            </w:pPr>
            <w:r w:rsidRPr="005D588C">
              <w:t>Oral Health Progress and Equity Network (OPEN)</w:t>
            </w:r>
          </w:p>
        </w:tc>
      </w:tr>
      <w:tr w:rsidR="000D4F98" w:rsidRPr="005D588C" w14:paraId="76E7B97F" w14:textId="77777777" w:rsidTr="00C37C0E">
        <w:trPr>
          <w:trHeight w:val="315"/>
          <w:jc w:val="center"/>
        </w:trPr>
        <w:tc>
          <w:tcPr>
            <w:tcW w:w="2105" w:type="dxa"/>
            <w:tcBorders>
              <w:top w:val="nil"/>
              <w:left w:val="single" w:sz="4" w:space="0" w:color="000000"/>
              <w:bottom w:val="single" w:sz="4" w:space="0" w:color="000000"/>
              <w:right w:val="single" w:sz="4" w:space="0" w:color="000000"/>
            </w:tcBorders>
            <w:shd w:val="clear" w:color="auto" w:fill="auto"/>
            <w:vAlign w:val="center"/>
          </w:tcPr>
          <w:p w14:paraId="71DFD257" w14:textId="77777777" w:rsidR="000D4F98" w:rsidRPr="00537483" w:rsidRDefault="000D4F98" w:rsidP="00C37C0E">
            <w:pPr>
              <w:pStyle w:val="NCDTableText"/>
              <w:spacing w:before="60" w:after="60"/>
            </w:pPr>
            <w:r w:rsidRPr="005D588C">
              <w:t>Carrie Coffield</w:t>
            </w:r>
          </w:p>
          <w:p w14:paraId="32955AC7" w14:textId="77777777" w:rsidR="000D4F98" w:rsidRPr="005D588C" w:rsidRDefault="000D4F98" w:rsidP="00C37C0E">
            <w:pPr>
              <w:pStyle w:val="NCDTableText"/>
              <w:spacing w:before="60" w:after="60"/>
            </w:pPr>
          </w:p>
        </w:tc>
        <w:tc>
          <w:tcPr>
            <w:tcW w:w="2674" w:type="dxa"/>
            <w:tcBorders>
              <w:top w:val="nil"/>
              <w:left w:val="nil"/>
              <w:bottom w:val="single" w:sz="4" w:space="0" w:color="000000"/>
              <w:right w:val="single" w:sz="4" w:space="0" w:color="000000"/>
            </w:tcBorders>
            <w:shd w:val="clear" w:color="auto" w:fill="auto"/>
            <w:vAlign w:val="center"/>
          </w:tcPr>
          <w:p w14:paraId="26C851D8" w14:textId="77777777" w:rsidR="000D4F98" w:rsidRPr="005D588C" w:rsidRDefault="000D4F98" w:rsidP="00C37C0E">
            <w:pPr>
              <w:pStyle w:val="NCDTableText"/>
              <w:spacing w:before="60" w:after="60"/>
            </w:pPr>
            <w:r w:rsidRPr="005D588C">
              <w:t>Assistant Professor of Pediatrics</w:t>
            </w:r>
          </w:p>
        </w:tc>
        <w:tc>
          <w:tcPr>
            <w:tcW w:w="4581" w:type="dxa"/>
            <w:tcBorders>
              <w:top w:val="nil"/>
              <w:left w:val="nil"/>
              <w:bottom w:val="single" w:sz="4" w:space="0" w:color="000000"/>
              <w:right w:val="single" w:sz="4" w:space="0" w:color="000000"/>
            </w:tcBorders>
            <w:shd w:val="clear" w:color="auto" w:fill="auto"/>
            <w:vAlign w:val="center"/>
          </w:tcPr>
          <w:p w14:paraId="6DF8A53B" w14:textId="77777777" w:rsidR="000D4F98" w:rsidRPr="005D588C" w:rsidRDefault="000D4F98" w:rsidP="00C37C0E">
            <w:pPr>
              <w:pStyle w:val="NCDTableText"/>
              <w:spacing w:before="60" w:after="60"/>
            </w:pPr>
            <w:r w:rsidRPr="005D588C">
              <w:t>The Boggs Center on Developmental Disabilities, Rutgers RWJMS</w:t>
            </w:r>
          </w:p>
        </w:tc>
      </w:tr>
      <w:tr w:rsidR="000D4F98" w:rsidRPr="005D588C" w14:paraId="59D17A54" w14:textId="77777777" w:rsidTr="00C37C0E">
        <w:trPr>
          <w:trHeight w:val="315"/>
          <w:jc w:val="center"/>
        </w:trPr>
        <w:tc>
          <w:tcPr>
            <w:tcW w:w="2105" w:type="dxa"/>
            <w:tcBorders>
              <w:top w:val="nil"/>
              <w:left w:val="single" w:sz="4" w:space="0" w:color="000000"/>
              <w:bottom w:val="single" w:sz="4" w:space="0" w:color="000000"/>
              <w:right w:val="single" w:sz="4" w:space="0" w:color="000000"/>
            </w:tcBorders>
            <w:shd w:val="clear" w:color="auto" w:fill="auto"/>
            <w:vAlign w:val="center"/>
          </w:tcPr>
          <w:p w14:paraId="32C44116" w14:textId="77777777" w:rsidR="000D4F98" w:rsidRPr="005D588C" w:rsidRDefault="000D4F98" w:rsidP="00C37C0E">
            <w:pPr>
              <w:pStyle w:val="NCDTableText"/>
              <w:spacing w:before="60" w:after="60"/>
            </w:pPr>
            <w:r w:rsidRPr="005D588C">
              <w:t>Jack Dillenberg</w:t>
            </w:r>
          </w:p>
        </w:tc>
        <w:tc>
          <w:tcPr>
            <w:tcW w:w="2674" w:type="dxa"/>
            <w:tcBorders>
              <w:top w:val="nil"/>
              <w:left w:val="nil"/>
              <w:bottom w:val="single" w:sz="4" w:space="0" w:color="000000"/>
              <w:right w:val="single" w:sz="4" w:space="0" w:color="000000"/>
            </w:tcBorders>
            <w:shd w:val="clear" w:color="auto" w:fill="auto"/>
            <w:vAlign w:val="center"/>
          </w:tcPr>
          <w:p w14:paraId="2E01BDE3" w14:textId="77777777" w:rsidR="000D4F98" w:rsidRPr="005D588C" w:rsidRDefault="000D4F98" w:rsidP="00C37C0E">
            <w:pPr>
              <w:pStyle w:val="NCDTableText"/>
              <w:spacing w:before="60" w:after="60"/>
            </w:pPr>
            <w:r w:rsidRPr="005D588C">
              <w:rPr>
                <w:highlight w:val="white"/>
              </w:rPr>
              <w:t xml:space="preserve">Dentist, Dean </w:t>
            </w:r>
            <w:r w:rsidRPr="005D588C">
              <w:rPr>
                <w:highlight w:val="white"/>
              </w:rPr>
              <w:lastRenderedPageBreak/>
              <w:t>Emeritus</w:t>
            </w:r>
          </w:p>
        </w:tc>
        <w:tc>
          <w:tcPr>
            <w:tcW w:w="4581" w:type="dxa"/>
            <w:tcBorders>
              <w:top w:val="nil"/>
              <w:left w:val="nil"/>
              <w:bottom w:val="single" w:sz="4" w:space="0" w:color="000000"/>
              <w:right w:val="single" w:sz="4" w:space="0" w:color="000000"/>
            </w:tcBorders>
            <w:shd w:val="clear" w:color="auto" w:fill="auto"/>
            <w:vAlign w:val="center"/>
          </w:tcPr>
          <w:p w14:paraId="13DE7F97" w14:textId="77777777" w:rsidR="000D4F98" w:rsidRPr="005D588C" w:rsidRDefault="000D4F98" w:rsidP="00C37C0E">
            <w:pPr>
              <w:pStyle w:val="NCDTableText"/>
              <w:spacing w:before="60" w:after="60"/>
            </w:pPr>
            <w:r w:rsidRPr="005D588C">
              <w:lastRenderedPageBreak/>
              <w:t xml:space="preserve">Arizona School of Dentistry and Oral </w:t>
            </w:r>
            <w:r w:rsidRPr="005D588C">
              <w:lastRenderedPageBreak/>
              <w:t>Health</w:t>
            </w:r>
          </w:p>
        </w:tc>
      </w:tr>
      <w:tr w:rsidR="000D4F98" w:rsidRPr="005D588C" w14:paraId="519B94DA" w14:textId="77777777" w:rsidTr="00C37C0E">
        <w:trPr>
          <w:trHeight w:val="315"/>
          <w:jc w:val="center"/>
        </w:trPr>
        <w:tc>
          <w:tcPr>
            <w:tcW w:w="2105" w:type="dxa"/>
            <w:tcBorders>
              <w:top w:val="nil"/>
              <w:left w:val="single" w:sz="4" w:space="0" w:color="000000"/>
              <w:bottom w:val="single" w:sz="4" w:space="0" w:color="000000"/>
              <w:right w:val="single" w:sz="4" w:space="0" w:color="000000"/>
            </w:tcBorders>
            <w:shd w:val="clear" w:color="auto" w:fill="auto"/>
            <w:vAlign w:val="center"/>
          </w:tcPr>
          <w:p w14:paraId="544EC460" w14:textId="77777777" w:rsidR="000D4F98" w:rsidRPr="005D588C" w:rsidRDefault="000D4F98" w:rsidP="00C37C0E">
            <w:pPr>
              <w:pStyle w:val="NCDTableText"/>
              <w:spacing w:before="60" w:after="60"/>
            </w:pPr>
            <w:r w:rsidRPr="005D588C">
              <w:lastRenderedPageBreak/>
              <w:t>Marty Ford</w:t>
            </w:r>
          </w:p>
        </w:tc>
        <w:tc>
          <w:tcPr>
            <w:tcW w:w="2674" w:type="dxa"/>
            <w:tcBorders>
              <w:top w:val="nil"/>
              <w:left w:val="nil"/>
              <w:bottom w:val="single" w:sz="4" w:space="0" w:color="000000"/>
              <w:right w:val="single" w:sz="4" w:space="0" w:color="000000"/>
            </w:tcBorders>
            <w:shd w:val="clear" w:color="auto" w:fill="auto"/>
            <w:vAlign w:val="center"/>
          </w:tcPr>
          <w:p w14:paraId="6CD08B3C" w14:textId="77777777" w:rsidR="000D4F98" w:rsidRPr="005D588C" w:rsidRDefault="000D4F98" w:rsidP="00C37C0E">
            <w:pPr>
              <w:pStyle w:val="NCDTableText"/>
              <w:spacing w:before="60" w:after="60"/>
            </w:pPr>
            <w:r w:rsidRPr="005D588C">
              <w:t>Senior Advisor</w:t>
            </w:r>
          </w:p>
        </w:tc>
        <w:tc>
          <w:tcPr>
            <w:tcW w:w="4581" w:type="dxa"/>
            <w:tcBorders>
              <w:top w:val="nil"/>
              <w:left w:val="nil"/>
              <w:bottom w:val="single" w:sz="4" w:space="0" w:color="000000"/>
              <w:right w:val="single" w:sz="4" w:space="0" w:color="000000"/>
            </w:tcBorders>
            <w:shd w:val="clear" w:color="auto" w:fill="auto"/>
            <w:vAlign w:val="center"/>
          </w:tcPr>
          <w:p w14:paraId="177A8060" w14:textId="77777777" w:rsidR="000D4F98" w:rsidRPr="005D588C" w:rsidRDefault="000D4F98" w:rsidP="00C37C0E">
            <w:pPr>
              <w:pStyle w:val="NCDTableText"/>
              <w:spacing w:before="60" w:after="60"/>
            </w:pPr>
            <w:r w:rsidRPr="005D588C">
              <w:t>The Arc</w:t>
            </w:r>
          </w:p>
        </w:tc>
      </w:tr>
      <w:tr w:rsidR="000D4F98" w:rsidRPr="005D588C" w14:paraId="3D8770CC" w14:textId="77777777" w:rsidTr="00C37C0E">
        <w:trPr>
          <w:trHeight w:val="315"/>
          <w:jc w:val="center"/>
        </w:trPr>
        <w:tc>
          <w:tcPr>
            <w:tcW w:w="2105" w:type="dxa"/>
            <w:tcBorders>
              <w:top w:val="nil"/>
              <w:left w:val="single" w:sz="4" w:space="0" w:color="000000"/>
              <w:bottom w:val="single" w:sz="4" w:space="0" w:color="000000"/>
              <w:right w:val="single" w:sz="4" w:space="0" w:color="000000"/>
            </w:tcBorders>
            <w:shd w:val="clear" w:color="auto" w:fill="auto"/>
            <w:vAlign w:val="center"/>
          </w:tcPr>
          <w:p w14:paraId="58AA4EF4" w14:textId="77777777" w:rsidR="000D4F98" w:rsidRPr="005D588C" w:rsidRDefault="000D4F98" w:rsidP="00C37C0E">
            <w:pPr>
              <w:pStyle w:val="NCDTableText"/>
              <w:spacing w:before="60" w:after="60"/>
            </w:pPr>
            <w:r w:rsidRPr="005D588C">
              <w:t>David Fray</w:t>
            </w:r>
          </w:p>
        </w:tc>
        <w:tc>
          <w:tcPr>
            <w:tcW w:w="2674" w:type="dxa"/>
            <w:tcBorders>
              <w:top w:val="nil"/>
              <w:left w:val="nil"/>
              <w:bottom w:val="single" w:sz="4" w:space="0" w:color="000000"/>
              <w:right w:val="single" w:sz="4" w:space="0" w:color="000000"/>
            </w:tcBorders>
            <w:shd w:val="clear" w:color="auto" w:fill="auto"/>
            <w:vAlign w:val="center"/>
          </w:tcPr>
          <w:p w14:paraId="18A3C5BA" w14:textId="77777777" w:rsidR="000D4F98" w:rsidRPr="005D588C" w:rsidRDefault="000D4F98" w:rsidP="00C37C0E">
            <w:pPr>
              <w:pStyle w:val="NCDTableText"/>
              <w:spacing w:before="60" w:after="60"/>
            </w:pPr>
            <w:r w:rsidRPr="005D588C">
              <w:t>Dentist</w:t>
            </w:r>
          </w:p>
        </w:tc>
        <w:tc>
          <w:tcPr>
            <w:tcW w:w="4581" w:type="dxa"/>
            <w:tcBorders>
              <w:top w:val="nil"/>
              <w:left w:val="nil"/>
              <w:bottom w:val="single" w:sz="4" w:space="0" w:color="000000"/>
              <w:right w:val="single" w:sz="4" w:space="0" w:color="000000"/>
            </w:tcBorders>
            <w:shd w:val="clear" w:color="auto" w:fill="auto"/>
            <w:vAlign w:val="center"/>
          </w:tcPr>
          <w:p w14:paraId="5DE5374D" w14:textId="77777777" w:rsidR="000D4F98" w:rsidRPr="005D588C" w:rsidRDefault="000D4F98" w:rsidP="00C37C0E">
            <w:pPr>
              <w:pStyle w:val="NCDTableText"/>
              <w:spacing w:before="60" w:after="60"/>
            </w:pPr>
            <w:r w:rsidRPr="005D588C">
              <w:t>American Academy of Developmental Medicine &amp; Dentistry (AADMD)</w:t>
            </w:r>
          </w:p>
        </w:tc>
      </w:tr>
      <w:tr w:rsidR="000D4F98" w:rsidRPr="005D588C" w14:paraId="4BC84F12" w14:textId="77777777" w:rsidTr="00C37C0E">
        <w:trPr>
          <w:trHeight w:val="315"/>
          <w:jc w:val="center"/>
        </w:trPr>
        <w:tc>
          <w:tcPr>
            <w:tcW w:w="2105" w:type="dxa"/>
            <w:tcBorders>
              <w:top w:val="nil"/>
              <w:left w:val="single" w:sz="4" w:space="0" w:color="000000"/>
              <w:bottom w:val="single" w:sz="4" w:space="0" w:color="000000"/>
              <w:right w:val="single" w:sz="4" w:space="0" w:color="000000"/>
            </w:tcBorders>
            <w:shd w:val="clear" w:color="auto" w:fill="auto"/>
            <w:vAlign w:val="center"/>
          </w:tcPr>
          <w:p w14:paraId="0FFF0433" w14:textId="77777777" w:rsidR="000D4F98" w:rsidRPr="005D588C" w:rsidRDefault="000D4F98" w:rsidP="00C37C0E">
            <w:pPr>
              <w:pStyle w:val="NCDTableText"/>
              <w:spacing w:before="60" w:after="60"/>
            </w:pPr>
            <w:r w:rsidRPr="005D588C">
              <w:t>Brooke Fukuoka</w:t>
            </w:r>
          </w:p>
        </w:tc>
        <w:tc>
          <w:tcPr>
            <w:tcW w:w="2674" w:type="dxa"/>
            <w:tcBorders>
              <w:top w:val="nil"/>
              <w:left w:val="nil"/>
              <w:bottom w:val="single" w:sz="4" w:space="0" w:color="000000"/>
              <w:right w:val="single" w:sz="4" w:space="0" w:color="000000"/>
            </w:tcBorders>
            <w:shd w:val="clear" w:color="auto" w:fill="auto"/>
            <w:vAlign w:val="center"/>
          </w:tcPr>
          <w:p w14:paraId="4550D3F2" w14:textId="77777777" w:rsidR="000D4F98" w:rsidRPr="005D588C" w:rsidRDefault="000D4F98" w:rsidP="00C37C0E">
            <w:pPr>
              <w:pStyle w:val="NCDTableText"/>
              <w:spacing w:before="60" w:after="60"/>
            </w:pPr>
            <w:r w:rsidRPr="005D588C">
              <w:t>Dentist</w:t>
            </w:r>
          </w:p>
        </w:tc>
        <w:tc>
          <w:tcPr>
            <w:tcW w:w="4581" w:type="dxa"/>
            <w:tcBorders>
              <w:top w:val="nil"/>
              <w:left w:val="nil"/>
              <w:bottom w:val="single" w:sz="4" w:space="0" w:color="000000"/>
              <w:right w:val="single" w:sz="4" w:space="0" w:color="000000"/>
            </w:tcBorders>
            <w:shd w:val="clear" w:color="auto" w:fill="auto"/>
            <w:vAlign w:val="center"/>
          </w:tcPr>
          <w:p w14:paraId="48DFC654" w14:textId="77777777" w:rsidR="000D4F98" w:rsidRPr="005D588C" w:rsidRDefault="000D4F98" w:rsidP="00C37C0E">
            <w:pPr>
              <w:pStyle w:val="NCDTableText"/>
              <w:spacing w:before="60" w:after="60"/>
            </w:pPr>
            <w:r w:rsidRPr="005D588C">
              <w:t>American Dental Association (ADA) Council on Advocacy for Access and Prevention (CAAP)</w:t>
            </w:r>
          </w:p>
        </w:tc>
      </w:tr>
      <w:tr w:rsidR="000D4F98" w:rsidRPr="005D588C" w14:paraId="559454B7" w14:textId="77777777" w:rsidTr="00C37C0E">
        <w:trPr>
          <w:trHeight w:val="315"/>
          <w:jc w:val="center"/>
        </w:trPr>
        <w:tc>
          <w:tcPr>
            <w:tcW w:w="2105" w:type="dxa"/>
            <w:tcBorders>
              <w:top w:val="nil"/>
              <w:left w:val="single" w:sz="4" w:space="0" w:color="000000"/>
              <w:bottom w:val="single" w:sz="4" w:space="0" w:color="000000"/>
              <w:right w:val="single" w:sz="4" w:space="0" w:color="000000"/>
            </w:tcBorders>
            <w:shd w:val="clear" w:color="auto" w:fill="auto"/>
            <w:vAlign w:val="center"/>
          </w:tcPr>
          <w:p w14:paraId="5E8E351D" w14:textId="77777777" w:rsidR="000D4F98" w:rsidRPr="005D588C" w:rsidRDefault="000D4F98" w:rsidP="00C37C0E">
            <w:pPr>
              <w:pStyle w:val="NCDTableText"/>
              <w:spacing w:before="60" w:after="60"/>
            </w:pPr>
            <w:r w:rsidRPr="005D588C">
              <w:t>Dena Gassner</w:t>
            </w:r>
          </w:p>
        </w:tc>
        <w:tc>
          <w:tcPr>
            <w:tcW w:w="2674" w:type="dxa"/>
            <w:tcBorders>
              <w:top w:val="nil"/>
              <w:left w:val="nil"/>
              <w:bottom w:val="single" w:sz="4" w:space="0" w:color="000000"/>
              <w:right w:val="single" w:sz="4" w:space="0" w:color="000000"/>
            </w:tcBorders>
            <w:shd w:val="clear" w:color="auto" w:fill="auto"/>
            <w:vAlign w:val="center"/>
          </w:tcPr>
          <w:p w14:paraId="10986FA2" w14:textId="77777777" w:rsidR="000D4F98" w:rsidRPr="005D588C" w:rsidRDefault="000D4F98" w:rsidP="00C37C0E">
            <w:pPr>
              <w:pStyle w:val="NCDTableText"/>
              <w:spacing w:before="60" w:after="60"/>
            </w:pPr>
            <w:r w:rsidRPr="005D588C">
              <w:t>PhD candidate/Board Member</w:t>
            </w:r>
          </w:p>
        </w:tc>
        <w:tc>
          <w:tcPr>
            <w:tcW w:w="4581" w:type="dxa"/>
            <w:tcBorders>
              <w:top w:val="nil"/>
              <w:left w:val="nil"/>
              <w:bottom w:val="single" w:sz="4" w:space="0" w:color="000000"/>
              <w:right w:val="single" w:sz="4" w:space="0" w:color="000000"/>
            </w:tcBorders>
            <w:shd w:val="clear" w:color="auto" w:fill="auto"/>
            <w:vAlign w:val="center"/>
          </w:tcPr>
          <w:p w14:paraId="42FF4203" w14:textId="77777777" w:rsidR="000D4F98" w:rsidRPr="005D588C" w:rsidRDefault="000D4F98" w:rsidP="00C37C0E">
            <w:pPr>
              <w:pStyle w:val="NCDTableText"/>
              <w:spacing w:before="60" w:after="60"/>
            </w:pPr>
            <w:r w:rsidRPr="005D588C">
              <w:t>Adelphi University/Board of Directors, The Arc</w:t>
            </w:r>
          </w:p>
        </w:tc>
      </w:tr>
      <w:tr w:rsidR="000D4F98" w:rsidRPr="005D588C" w14:paraId="0F46C4E7" w14:textId="77777777" w:rsidTr="00C37C0E">
        <w:trPr>
          <w:trHeight w:val="315"/>
          <w:jc w:val="center"/>
        </w:trPr>
        <w:tc>
          <w:tcPr>
            <w:tcW w:w="2105" w:type="dxa"/>
            <w:tcBorders>
              <w:top w:val="nil"/>
              <w:left w:val="single" w:sz="4" w:space="0" w:color="000000"/>
              <w:bottom w:val="single" w:sz="4" w:space="0" w:color="000000"/>
              <w:right w:val="single" w:sz="4" w:space="0" w:color="000000"/>
            </w:tcBorders>
            <w:shd w:val="clear" w:color="auto" w:fill="auto"/>
            <w:vAlign w:val="center"/>
          </w:tcPr>
          <w:p w14:paraId="3682D256" w14:textId="77777777" w:rsidR="000D4F98" w:rsidRPr="005D588C" w:rsidRDefault="000D4F98" w:rsidP="00C37C0E">
            <w:pPr>
              <w:pStyle w:val="NCDTableText"/>
              <w:spacing w:before="60" w:after="60"/>
            </w:pPr>
            <w:r w:rsidRPr="005D588C">
              <w:t>Carrie Hanlon</w:t>
            </w:r>
          </w:p>
        </w:tc>
        <w:tc>
          <w:tcPr>
            <w:tcW w:w="2674" w:type="dxa"/>
            <w:tcBorders>
              <w:top w:val="nil"/>
              <w:left w:val="nil"/>
              <w:bottom w:val="single" w:sz="4" w:space="0" w:color="000000"/>
              <w:right w:val="single" w:sz="4" w:space="0" w:color="000000"/>
            </w:tcBorders>
            <w:shd w:val="clear" w:color="auto" w:fill="auto"/>
            <w:vAlign w:val="center"/>
          </w:tcPr>
          <w:p w14:paraId="53CC0F9F" w14:textId="77777777" w:rsidR="000D4F98" w:rsidRPr="005D588C" w:rsidRDefault="000D4F98" w:rsidP="00C37C0E">
            <w:pPr>
              <w:pStyle w:val="NCDTableText"/>
              <w:spacing w:before="60" w:after="60"/>
            </w:pPr>
            <w:r w:rsidRPr="005D588C">
              <w:t>Project Director</w:t>
            </w:r>
          </w:p>
        </w:tc>
        <w:tc>
          <w:tcPr>
            <w:tcW w:w="4581" w:type="dxa"/>
            <w:tcBorders>
              <w:top w:val="nil"/>
              <w:left w:val="nil"/>
              <w:bottom w:val="single" w:sz="4" w:space="0" w:color="000000"/>
              <w:right w:val="single" w:sz="4" w:space="0" w:color="000000"/>
            </w:tcBorders>
            <w:shd w:val="clear" w:color="auto" w:fill="auto"/>
            <w:vAlign w:val="center"/>
          </w:tcPr>
          <w:p w14:paraId="5680338E" w14:textId="77777777" w:rsidR="000D4F98" w:rsidRPr="005D588C" w:rsidRDefault="000D4F98" w:rsidP="00C37C0E">
            <w:pPr>
              <w:pStyle w:val="NCDTableText"/>
              <w:spacing w:before="60" w:after="60"/>
            </w:pPr>
            <w:r w:rsidRPr="005D588C">
              <w:t>National Academy for State Health Policy (NASHP)</w:t>
            </w:r>
          </w:p>
        </w:tc>
      </w:tr>
      <w:tr w:rsidR="000D4F98" w:rsidRPr="005D588C" w14:paraId="59A75AE7" w14:textId="77777777" w:rsidTr="00C37C0E">
        <w:trPr>
          <w:trHeight w:val="315"/>
          <w:jc w:val="center"/>
        </w:trPr>
        <w:tc>
          <w:tcPr>
            <w:tcW w:w="2105" w:type="dxa"/>
            <w:tcBorders>
              <w:top w:val="nil"/>
              <w:left w:val="single" w:sz="4" w:space="0" w:color="000000"/>
              <w:bottom w:val="single" w:sz="4" w:space="0" w:color="000000"/>
              <w:right w:val="single" w:sz="4" w:space="0" w:color="000000"/>
            </w:tcBorders>
            <w:shd w:val="clear" w:color="auto" w:fill="auto"/>
            <w:vAlign w:val="center"/>
          </w:tcPr>
          <w:p w14:paraId="28FC7E21" w14:textId="77777777" w:rsidR="000D4F98" w:rsidRPr="005D588C" w:rsidRDefault="000D4F98" w:rsidP="00C37C0E">
            <w:pPr>
              <w:pStyle w:val="NCDTableText"/>
              <w:spacing w:before="60" w:after="60"/>
            </w:pPr>
            <w:r w:rsidRPr="005D588C">
              <w:t>Matthew Holder</w:t>
            </w:r>
          </w:p>
        </w:tc>
        <w:tc>
          <w:tcPr>
            <w:tcW w:w="2674" w:type="dxa"/>
            <w:tcBorders>
              <w:top w:val="nil"/>
              <w:left w:val="nil"/>
              <w:bottom w:val="single" w:sz="4" w:space="0" w:color="000000"/>
              <w:right w:val="single" w:sz="4" w:space="0" w:color="000000"/>
            </w:tcBorders>
            <w:shd w:val="clear" w:color="auto" w:fill="auto"/>
            <w:vAlign w:val="center"/>
          </w:tcPr>
          <w:p w14:paraId="797F71E8" w14:textId="77777777" w:rsidR="000D4F98" w:rsidRPr="005D588C" w:rsidRDefault="000D4F98" w:rsidP="00C37C0E">
            <w:pPr>
              <w:pStyle w:val="NCDTableText"/>
              <w:spacing w:before="60" w:after="60"/>
            </w:pPr>
            <w:r w:rsidRPr="005D588C">
              <w:t>ABDM Liaison</w:t>
            </w:r>
          </w:p>
        </w:tc>
        <w:tc>
          <w:tcPr>
            <w:tcW w:w="4581" w:type="dxa"/>
            <w:tcBorders>
              <w:top w:val="nil"/>
              <w:left w:val="nil"/>
              <w:bottom w:val="single" w:sz="4" w:space="0" w:color="000000"/>
              <w:right w:val="single" w:sz="4" w:space="0" w:color="000000"/>
            </w:tcBorders>
            <w:shd w:val="clear" w:color="auto" w:fill="auto"/>
            <w:vAlign w:val="center"/>
          </w:tcPr>
          <w:p w14:paraId="2941BAC8" w14:textId="77777777" w:rsidR="000D4F98" w:rsidRPr="005D588C" w:rsidRDefault="000D4F98" w:rsidP="00C37C0E">
            <w:pPr>
              <w:pStyle w:val="NCDTableText"/>
              <w:spacing w:before="60" w:after="60"/>
            </w:pPr>
            <w:r w:rsidRPr="005D588C">
              <w:t>American Academy of Developmental Medicine and Dentistry (AADMD)</w:t>
            </w:r>
          </w:p>
        </w:tc>
      </w:tr>
      <w:tr w:rsidR="000D4F98" w:rsidRPr="005D588C" w14:paraId="1260C427" w14:textId="77777777" w:rsidTr="00C37C0E">
        <w:trPr>
          <w:trHeight w:val="315"/>
          <w:jc w:val="center"/>
        </w:trPr>
        <w:tc>
          <w:tcPr>
            <w:tcW w:w="2105" w:type="dxa"/>
            <w:tcBorders>
              <w:top w:val="nil"/>
              <w:left w:val="single" w:sz="4" w:space="0" w:color="000000"/>
              <w:bottom w:val="single" w:sz="4" w:space="0" w:color="000000"/>
              <w:right w:val="single" w:sz="4" w:space="0" w:color="000000"/>
            </w:tcBorders>
            <w:shd w:val="clear" w:color="auto" w:fill="auto"/>
            <w:vAlign w:val="center"/>
          </w:tcPr>
          <w:p w14:paraId="04573E5E" w14:textId="77777777" w:rsidR="000D4F98" w:rsidRPr="005D588C" w:rsidRDefault="000D4F98" w:rsidP="00C37C0E">
            <w:pPr>
              <w:pStyle w:val="NCDTableText"/>
              <w:spacing w:before="60" w:after="60"/>
            </w:pPr>
            <w:r w:rsidRPr="005D588C">
              <w:t>Greg Howe</w:t>
            </w:r>
          </w:p>
        </w:tc>
        <w:tc>
          <w:tcPr>
            <w:tcW w:w="2674" w:type="dxa"/>
            <w:tcBorders>
              <w:top w:val="nil"/>
              <w:left w:val="nil"/>
              <w:bottom w:val="single" w:sz="4" w:space="0" w:color="000000"/>
              <w:right w:val="single" w:sz="4" w:space="0" w:color="000000"/>
            </w:tcBorders>
            <w:shd w:val="clear" w:color="auto" w:fill="auto"/>
            <w:vAlign w:val="center"/>
          </w:tcPr>
          <w:p w14:paraId="22004596" w14:textId="77777777" w:rsidR="000D4F98" w:rsidRPr="005D588C" w:rsidRDefault="000D4F98" w:rsidP="00C37C0E">
            <w:pPr>
              <w:pStyle w:val="NCDTableText"/>
              <w:spacing w:before="60" w:after="60"/>
            </w:pPr>
            <w:r w:rsidRPr="005D588C">
              <w:t>Senior Program Officer</w:t>
            </w:r>
          </w:p>
        </w:tc>
        <w:tc>
          <w:tcPr>
            <w:tcW w:w="4581" w:type="dxa"/>
            <w:tcBorders>
              <w:top w:val="nil"/>
              <w:left w:val="nil"/>
              <w:bottom w:val="single" w:sz="4" w:space="0" w:color="000000"/>
              <w:right w:val="single" w:sz="4" w:space="0" w:color="000000"/>
            </w:tcBorders>
            <w:shd w:val="clear" w:color="auto" w:fill="auto"/>
            <w:vAlign w:val="center"/>
          </w:tcPr>
          <w:p w14:paraId="7F7A501F" w14:textId="77777777" w:rsidR="000D4F98" w:rsidRPr="005D588C" w:rsidRDefault="000D4F98" w:rsidP="00C37C0E">
            <w:pPr>
              <w:pStyle w:val="NCDTableText"/>
              <w:spacing w:before="60" w:after="60"/>
            </w:pPr>
            <w:r w:rsidRPr="005D588C">
              <w:t>Center for Health Care Strategies</w:t>
            </w:r>
          </w:p>
        </w:tc>
      </w:tr>
      <w:tr w:rsidR="000D4F98" w:rsidRPr="005D588C" w14:paraId="331C8A61" w14:textId="77777777" w:rsidTr="00C37C0E">
        <w:trPr>
          <w:trHeight w:val="315"/>
          <w:jc w:val="center"/>
        </w:trPr>
        <w:tc>
          <w:tcPr>
            <w:tcW w:w="2105" w:type="dxa"/>
            <w:tcBorders>
              <w:top w:val="nil"/>
              <w:left w:val="single" w:sz="4" w:space="0" w:color="000000"/>
              <w:bottom w:val="single" w:sz="4" w:space="0" w:color="000000"/>
              <w:right w:val="single" w:sz="4" w:space="0" w:color="000000"/>
            </w:tcBorders>
            <w:shd w:val="clear" w:color="auto" w:fill="auto"/>
            <w:vAlign w:val="center"/>
          </w:tcPr>
          <w:p w14:paraId="2551CEA2" w14:textId="77777777" w:rsidR="000D4F98" w:rsidRPr="005D588C" w:rsidRDefault="000D4F98" w:rsidP="00C37C0E">
            <w:pPr>
              <w:pStyle w:val="NCDTableText"/>
              <w:spacing w:before="60" w:after="60"/>
            </w:pPr>
            <w:r w:rsidRPr="005D588C">
              <w:t>Joseph Macbeth</w:t>
            </w:r>
          </w:p>
        </w:tc>
        <w:tc>
          <w:tcPr>
            <w:tcW w:w="2674" w:type="dxa"/>
            <w:tcBorders>
              <w:top w:val="nil"/>
              <w:left w:val="nil"/>
              <w:bottom w:val="single" w:sz="4" w:space="0" w:color="000000"/>
              <w:right w:val="single" w:sz="4" w:space="0" w:color="000000"/>
            </w:tcBorders>
            <w:shd w:val="clear" w:color="auto" w:fill="auto"/>
            <w:vAlign w:val="center"/>
          </w:tcPr>
          <w:p w14:paraId="4E70D4BF" w14:textId="77777777" w:rsidR="000D4F98" w:rsidRPr="005D588C" w:rsidRDefault="000D4F98" w:rsidP="00C37C0E">
            <w:pPr>
              <w:pStyle w:val="NCDTableText"/>
              <w:spacing w:before="60" w:after="60"/>
            </w:pPr>
            <w:r w:rsidRPr="005D588C">
              <w:t>President and CEO</w:t>
            </w:r>
          </w:p>
        </w:tc>
        <w:tc>
          <w:tcPr>
            <w:tcW w:w="4581" w:type="dxa"/>
            <w:tcBorders>
              <w:top w:val="nil"/>
              <w:left w:val="nil"/>
              <w:bottom w:val="single" w:sz="4" w:space="0" w:color="000000"/>
              <w:right w:val="single" w:sz="4" w:space="0" w:color="000000"/>
            </w:tcBorders>
            <w:shd w:val="clear" w:color="auto" w:fill="auto"/>
            <w:vAlign w:val="center"/>
          </w:tcPr>
          <w:p w14:paraId="599E908E" w14:textId="77777777" w:rsidR="000D4F98" w:rsidRPr="005D588C" w:rsidRDefault="000D4F98" w:rsidP="00C37C0E">
            <w:pPr>
              <w:pStyle w:val="NCDTableText"/>
              <w:spacing w:before="60" w:after="60"/>
            </w:pPr>
            <w:r w:rsidRPr="005D588C">
              <w:t>National Alliance for Direct Support Professionals (NADSP)</w:t>
            </w:r>
          </w:p>
        </w:tc>
      </w:tr>
      <w:tr w:rsidR="000D4F98" w:rsidRPr="005D588C" w14:paraId="0787E991" w14:textId="77777777" w:rsidTr="00C37C0E">
        <w:trPr>
          <w:trHeight w:val="315"/>
          <w:jc w:val="center"/>
        </w:trPr>
        <w:tc>
          <w:tcPr>
            <w:tcW w:w="2105" w:type="dxa"/>
            <w:tcBorders>
              <w:top w:val="nil"/>
              <w:left w:val="single" w:sz="4" w:space="0" w:color="000000"/>
              <w:bottom w:val="single" w:sz="4" w:space="0" w:color="000000"/>
              <w:right w:val="single" w:sz="4" w:space="0" w:color="000000"/>
            </w:tcBorders>
            <w:shd w:val="clear" w:color="auto" w:fill="auto"/>
            <w:vAlign w:val="center"/>
          </w:tcPr>
          <w:p w14:paraId="68F56934" w14:textId="77777777" w:rsidR="000D4F98" w:rsidRPr="005D588C" w:rsidRDefault="000D4F98" w:rsidP="00C37C0E">
            <w:pPr>
              <w:pStyle w:val="NCDTableText"/>
              <w:spacing w:before="60" w:after="60"/>
            </w:pPr>
            <w:r w:rsidRPr="005D588C">
              <w:t>Mike Monopoli</w:t>
            </w:r>
          </w:p>
        </w:tc>
        <w:tc>
          <w:tcPr>
            <w:tcW w:w="2674" w:type="dxa"/>
            <w:tcBorders>
              <w:top w:val="nil"/>
              <w:left w:val="nil"/>
              <w:bottom w:val="single" w:sz="4" w:space="0" w:color="000000"/>
              <w:right w:val="single" w:sz="4" w:space="0" w:color="000000"/>
            </w:tcBorders>
            <w:shd w:val="clear" w:color="auto" w:fill="auto"/>
            <w:vAlign w:val="center"/>
          </w:tcPr>
          <w:p w14:paraId="29D1D20C" w14:textId="77777777" w:rsidR="000D4F98" w:rsidRPr="005D588C" w:rsidRDefault="000D4F98" w:rsidP="00C37C0E">
            <w:pPr>
              <w:pStyle w:val="NCDTableText"/>
              <w:spacing w:before="60" w:after="60"/>
            </w:pPr>
            <w:r w:rsidRPr="005D588C">
              <w:t xml:space="preserve">Vice President of Grant Strategy </w:t>
            </w:r>
          </w:p>
        </w:tc>
        <w:tc>
          <w:tcPr>
            <w:tcW w:w="4581" w:type="dxa"/>
            <w:tcBorders>
              <w:top w:val="nil"/>
              <w:left w:val="nil"/>
              <w:bottom w:val="single" w:sz="4" w:space="0" w:color="000000"/>
              <w:right w:val="single" w:sz="4" w:space="0" w:color="000000"/>
            </w:tcBorders>
            <w:shd w:val="clear" w:color="auto" w:fill="auto"/>
            <w:vAlign w:val="center"/>
          </w:tcPr>
          <w:p w14:paraId="7173EE3F" w14:textId="77777777" w:rsidR="000D4F98" w:rsidRPr="005D588C" w:rsidRDefault="000D4F98" w:rsidP="00C37C0E">
            <w:pPr>
              <w:pStyle w:val="NCDTableText"/>
              <w:spacing w:before="60" w:after="60"/>
            </w:pPr>
            <w:r w:rsidRPr="005D588C">
              <w:t>DentaQuest</w:t>
            </w:r>
          </w:p>
        </w:tc>
      </w:tr>
      <w:tr w:rsidR="000D4F98" w:rsidRPr="005D588C" w14:paraId="655DFCA6" w14:textId="77777777" w:rsidTr="00C37C0E">
        <w:trPr>
          <w:trHeight w:val="315"/>
          <w:jc w:val="center"/>
        </w:trPr>
        <w:tc>
          <w:tcPr>
            <w:tcW w:w="21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180AC3" w14:textId="77777777" w:rsidR="000D4F98" w:rsidRPr="005D588C" w:rsidRDefault="000D4F98" w:rsidP="00C37C0E">
            <w:pPr>
              <w:pStyle w:val="NCDTableText"/>
              <w:spacing w:before="60" w:after="60"/>
            </w:pPr>
            <w:r w:rsidRPr="005D588C">
              <w:t>Steven Perlman</w:t>
            </w:r>
          </w:p>
        </w:tc>
        <w:tc>
          <w:tcPr>
            <w:tcW w:w="2674" w:type="dxa"/>
            <w:tcBorders>
              <w:top w:val="single" w:sz="4" w:space="0" w:color="000000"/>
              <w:left w:val="nil"/>
              <w:bottom w:val="single" w:sz="4" w:space="0" w:color="000000"/>
              <w:right w:val="single" w:sz="4" w:space="0" w:color="000000"/>
            </w:tcBorders>
            <w:shd w:val="clear" w:color="auto" w:fill="auto"/>
            <w:vAlign w:val="center"/>
          </w:tcPr>
          <w:p w14:paraId="29619F53" w14:textId="77777777" w:rsidR="000D4F98" w:rsidRPr="005D588C" w:rsidRDefault="000D4F98" w:rsidP="00C37C0E">
            <w:pPr>
              <w:pStyle w:val="NCDTableText"/>
              <w:spacing w:before="60" w:after="60"/>
            </w:pPr>
            <w:r w:rsidRPr="005D588C">
              <w:t>Global Clinical Advisor and Founder</w:t>
            </w:r>
          </w:p>
        </w:tc>
        <w:tc>
          <w:tcPr>
            <w:tcW w:w="4581" w:type="dxa"/>
            <w:tcBorders>
              <w:top w:val="single" w:sz="4" w:space="0" w:color="000000"/>
              <w:left w:val="nil"/>
              <w:bottom w:val="single" w:sz="4" w:space="0" w:color="000000"/>
              <w:right w:val="single" w:sz="4" w:space="0" w:color="000000"/>
            </w:tcBorders>
            <w:shd w:val="clear" w:color="auto" w:fill="auto"/>
            <w:vAlign w:val="center"/>
          </w:tcPr>
          <w:p w14:paraId="212A0DBE" w14:textId="77777777" w:rsidR="000D4F98" w:rsidRPr="005D588C" w:rsidRDefault="000D4F98" w:rsidP="00C37C0E">
            <w:pPr>
              <w:pStyle w:val="NCDTableText"/>
              <w:spacing w:before="60" w:after="60"/>
            </w:pPr>
            <w:r w:rsidRPr="005D588C">
              <w:t>Special Olympics Special Smiles</w:t>
            </w:r>
          </w:p>
        </w:tc>
      </w:tr>
      <w:tr w:rsidR="000D4F98" w:rsidRPr="005D588C" w14:paraId="19772138" w14:textId="77777777" w:rsidTr="00C37C0E">
        <w:trPr>
          <w:trHeight w:val="315"/>
          <w:jc w:val="center"/>
        </w:trPr>
        <w:tc>
          <w:tcPr>
            <w:tcW w:w="2105" w:type="dxa"/>
            <w:tcBorders>
              <w:top w:val="nil"/>
              <w:left w:val="single" w:sz="4" w:space="0" w:color="000000"/>
              <w:bottom w:val="single" w:sz="4" w:space="0" w:color="000000"/>
              <w:right w:val="single" w:sz="4" w:space="0" w:color="000000"/>
            </w:tcBorders>
            <w:shd w:val="clear" w:color="auto" w:fill="auto"/>
            <w:vAlign w:val="center"/>
          </w:tcPr>
          <w:p w14:paraId="61B26935" w14:textId="77777777" w:rsidR="000D4F98" w:rsidRPr="005D588C" w:rsidRDefault="000D4F98" w:rsidP="00C37C0E">
            <w:pPr>
              <w:pStyle w:val="NCDTableText"/>
              <w:spacing w:before="60" w:after="60"/>
            </w:pPr>
            <w:r w:rsidRPr="005D588C">
              <w:t>Madeline Pucciarello</w:t>
            </w:r>
          </w:p>
        </w:tc>
        <w:tc>
          <w:tcPr>
            <w:tcW w:w="2674" w:type="dxa"/>
            <w:tcBorders>
              <w:top w:val="nil"/>
              <w:left w:val="nil"/>
              <w:bottom w:val="single" w:sz="4" w:space="0" w:color="000000"/>
              <w:right w:val="single" w:sz="4" w:space="0" w:color="000000"/>
            </w:tcBorders>
            <w:shd w:val="clear" w:color="auto" w:fill="auto"/>
            <w:vAlign w:val="center"/>
          </w:tcPr>
          <w:p w14:paraId="147B0E97" w14:textId="77777777" w:rsidR="000D4F98" w:rsidRPr="005D588C" w:rsidRDefault="000D4F98" w:rsidP="00C37C0E">
            <w:pPr>
              <w:pStyle w:val="NCDTableText"/>
              <w:spacing w:before="60" w:after="60"/>
            </w:pPr>
            <w:r w:rsidRPr="005D588C">
              <w:t>Program Officer</w:t>
            </w:r>
          </w:p>
        </w:tc>
        <w:tc>
          <w:tcPr>
            <w:tcW w:w="4581" w:type="dxa"/>
            <w:tcBorders>
              <w:top w:val="nil"/>
              <w:left w:val="nil"/>
              <w:bottom w:val="single" w:sz="4" w:space="0" w:color="000000"/>
              <w:right w:val="single" w:sz="4" w:space="0" w:color="000000"/>
            </w:tcBorders>
            <w:shd w:val="clear" w:color="auto" w:fill="auto"/>
            <w:vAlign w:val="center"/>
          </w:tcPr>
          <w:p w14:paraId="4FEB85C1" w14:textId="77777777" w:rsidR="000D4F98" w:rsidRPr="005D588C" w:rsidRDefault="000D4F98" w:rsidP="00C37C0E">
            <w:pPr>
              <w:pStyle w:val="NCDTableText"/>
              <w:spacing w:before="60" w:after="60"/>
            </w:pPr>
            <w:r w:rsidRPr="005D588C">
              <w:t>Center for Health Care Strategies</w:t>
            </w:r>
          </w:p>
        </w:tc>
      </w:tr>
      <w:tr w:rsidR="000D4F98" w:rsidRPr="005D588C" w14:paraId="195D7975" w14:textId="77777777" w:rsidTr="00C37C0E">
        <w:trPr>
          <w:trHeight w:val="315"/>
          <w:jc w:val="center"/>
        </w:trPr>
        <w:tc>
          <w:tcPr>
            <w:tcW w:w="2105" w:type="dxa"/>
            <w:tcBorders>
              <w:top w:val="nil"/>
              <w:left w:val="single" w:sz="4" w:space="0" w:color="000000"/>
              <w:bottom w:val="single" w:sz="4" w:space="0" w:color="000000"/>
              <w:right w:val="single" w:sz="4" w:space="0" w:color="000000"/>
            </w:tcBorders>
            <w:shd w:val="clear" w:color="auto" w:fill="auto"/>
            <w:vAlign w:val="center"/>
          </w:tcPr>
          <w:p w14:paraId="0A422E99" w14:textId="77777777" w:rsidR="000D4F98" w:rsidRPr="005D588C" w:rsidRDefault="000D4F98" w:rsidP="00C37C0E">
            <w:pPr>
              <w:pStyle w:val="NCDTableText"/>
              <w:pageBreakBefore/>
              <w:spacing w:before="60" w:after="60"/>
            </w:pPr>
            <w:r w:rsidRPr="005D588C">
              <w:lastRenderedPageBreak/>
              <w:t>Gary Pickard</w:t>
            </w:r>
          </w:p>
        </w:tc>
        <w:tc>
          <w:tcPr>
            <w:tcW w:w="2674" w:type="dxa"/>
            <w:tcBorders>
              <w:top w:val="nil"/>
              <w:left w:val="nil"/>
              <w:bottom w:val="single" w:sz="4" w:space="0" w:color="000000"/>
              <w:right w:val="single" w:sz="4" w:space="0" w:color="000000"/>
            </w:tcBorders>
            <w:shd w:val="clear" w:color="auto" w:fill="auto"/>
            <w:vAlign w:val="center"/>
          </w:tcPr>
          <w:p w14:paraId="28026179" w14:textId="77777777" w:rsidR="000D4F98" w:rsidRPr="005D588C" w:rsidRDefault="000D4F98" w:rsidP="00C37C0E">
            <w:pPr>
              <w:pStyle w:val="NCDTableText"/>
              <w:spacing w:before="60" w:after="60"/>
            </w:pPr>
            <w:r w:rsidRPr="005D588C">
              <w:t>Director of Government and Industry Services</w:t>
            </w:r>
          </w:p>
        </w:tc>
        <w:tc>
          <w:tcPr>
            <w:tcW w:w="4581" w:type="dxa"/>
            <w:tcBorders>
              <w:top w:val="nil"/>
              <w:left w:val="nil"/>
              <w:bottom w:val="single" w:sz="4" w:space="0" w:color="000000"/>
              <w:right w:val="single" w:sz="4" w:space="0" w:color="000000"/>
            </w:tcBorders>
            <w:shd w:val="clear" w:color="auto" w:fill="auto"/>
            <w:vAlign w:val="center"/>
          </w:tcPr>
          <w:p w14:paraId="7E623A24" w14:textId="77777777" w:rsidR="000D4F98" w:rsidRPr="005D588C" w:rsidRDefault="000D4F98" w:rsidP="00C37C0E">
            <w:pPr>
              <w:pStyle w:val="NCDTableText"/>
              <w:spacing w:before="60" w:after="60"/>
            </w:pPr>
            <w:r w:rsidRPr="005D588C">
              <w:t>Pacific Dental Services Foundation</w:t>
            </w:r>
          </w:p>
        </w:tc>
      </w:tr>
      <w:tr w:rsidR="000D4F98" w:rsidRPr="005D588C" w14:paraId="7DD90E2D" w14:textId="77777777" w:rsidTr="00C37C0E">
        <w:trPr>
          <w:trHeight w:val="315"/>
          <w:jc w:val="center"/>
        </w:trPr>
        <w:tc>
          <w:tcPr>
            <w:tcW w:w="2105" w:type="dxa"/>
            <w:tcBorders>
              <w:top w:val="nil"/>
              <w:left w:val="single" w:sz="4" w:space="0" w:color="000000"/>
              <w:bottom w:val="single" w:sz="4" w:space="0" w:color="000000"/>
              <w:right w:val="single" w:sz="4" w:space="0" w:color="000000"/>
            </w:tcBorders>
            <w:shd w:val="clear" w:color="auto" w:fill="auto"/>
            <w:vAlign w:val="center"/>
          </w:tcPr>
          <w:p w14:paraId="32093314" w14:textId="77777777" w:rsidR="000D4F98" w:rsidRPr="005D588C" w:rsidRDefault="000D4F98" w:rsidP="00C37C0E">
            <w:pPr>
              <w:pStyle w:val="NCDTableText"/>
              <w:spacing w:before="60" w:after="60"/>
            </w:pPr>
            <w:r w:rsidRPr="005D588C">
              <w:t>Colin Reusch</w:t>
            </w:r>
          </w:p>
        </w:tc>
        <w:tc>
          <w:tcPr>
            <w:tcW w:w="2674" w:type="dxa"/>
            <w:tcBorders>
              <w:top w:val="nil"/>
              <w:left w:val="nil"/>
              <w:bottom w:val="single" w:sz="4" w:space="0" w:color="000000"/>
              <w:right w:val="single" w:sz="4" w:space="0" w:color="000000"/>
            </w:tcBorders>
            <w:shd w:val="clear" w:color="auto" w:fill="auto"/>
            <w:vAlign w:val="center"/>
          </w:tcPr>
          <w:p w14:paraId="25F95B3C" w14:textId="77777777" w:rsidR="000D4F98" w:rsidRPr="005D588C" w:rsidRDefault="000D4F98" w:rsidP="00C37C0E">
            <w:pPr>
              <w:pStyle w:val="NCDTableText"/>
              <w:spacing w:before="60" w:after="60"/>
            </w:pPr>
            <w:r w:rsidRPr="005D588C">
              <w:t>Senior Advisor for Oral Health Policy</w:t>
            </w:r>
          </w:p>
        </w:tc>
        <w:tc>
          <w:tcPr>
            <w:tcW w:w="4581" w:type="dxa"/>
            <w:tcBorders>
              <w:top w:val="nil"/>
              <w:left w:val="nil"/>
              <w:bottom w:val="single" w:sz="4" w:space="0" w:color="000000"/>
              <w:right w:val="single" w:sz="4" w:space="0" w:color="000000"/>
            </w:tcBorders>
            <w:shd w:val="clear" w:color="auto" w:fill="auto"/>
            <w:vAlign w:val="center"/>
          </w:tcPr>
          <w:p w14:paraId="6A2DE5E2" w14:textId="77777777" w:rsidR="000D4F98" w:rsidRPr="005D588C" w:rsidRDefault="000D4F98" w:rsidP="00C37C0E">
            <w:pPr>
              <w:pStyle w:val="NCDTableText"/>
              <w:spacing w:before="60" w:after="60"/>
            </w:pPr>
            <w:r w:rsidRPr="005D588C">
              <w:t>Community Catalyst</w:t>
            </w:r>
          </w:p>
        </w:tc>
      </w:tr>
      <w:tr w:rsidR="000D4F98" w:rsidRPr="005D588C" w14:paraId="1F4BFABC" w14:textId="77777777" w:rsidTr="00C37C0E">
        <w:trPr>
          <w:trHeight w:val="315"/>
          <w:jc w:val="center"/>
        </w:trPr>
        <w:tc>
          <w:tcPr>
            <w:tcW w:w="2105" w:type="dxa"/>
            <w:tcBorders>
              <w:top w:val="nil"/>
              <w:left w:val="single" w:sz="4" w:space="0" w:color="000000"/>
              <w:bottom w:val="single" w:sz="4" w:space="0" w:color="000000"/>
              <w:right w:val="single" w:sz="4" w:space="0" w:color="000000"/>
            </w:tcBorders>
            <w:shd w:val="clear" w:color="auto" w:fill="auto"/>
            <w:vAlign w:val="center"/>
          </w:tcPr>
          <w:p w14:paraId="0B01D6F4" w14:textId="77777777" w:rsidR="000D4F98" w:rsidRPr="005D588C" w:rsidRDefault="000D4F98" w:rsidP="00C37C0E">
            <w:pPr>
              <w:pStyle w:val="NCDTableText"/>
              <w:spacing w:before="60" w:after="60"/>
            </w:pPr>
            <w:r w:rsidRPr="005D588C">
              <w:t>Bonnie T. Stanley</w:t>
            </w:r>
          </w:p>
        </w:tc>
        <w:tc>
          <w:tcPr>
            <w:tcW w:w="2674" w:type="dxa"/>
            <w:tcBorders>
              <w:top w:val="nil"/>
              <w:left w:val="nil"/>
              <w:bottom w:val="single" w:sz="4" w:space="0" w:color="000000"/>
              <w:right w:val="single" w:sz="4" w:space="0" w:color="000000"/>
            </w:tcBorders>
            <w:shd w:val="clear" w:color="auto" w:fill="auto"/>
            <w:vAlign w:val="center"/>
          </w:tcPr>
          <w:p w14:paraId="609FF2D4" w14:textId="77777777" w:rsidR="000D4F98" w:rsidRPr="005D588C" w:rsidRDefault="000D4F98" w:rsidP="00C37C0E">
            <w:pPr>
              <w:pStyle w:val="NCDTableText"/>
              <w:spacing w:before="60" w:after="60"/>
            </w:pPr>
            <w:r w:rsidRPr="005D588C">
              <w:t>Dental Director</w:t>
            </w:r>
          </w:p>
        </w:tc>
        <w:tc>
          <w:tcPr>
            <w:tcW w:w="4581" w:type="dxa"/>
            <w:tcBorders>
              <w:top w:val="nil"/>
              <w:left w:val="nil"/>
              <w:bottom w:val="single" w:sz="4" w:space="0" w:color="000000"/>
              <w:right w:val="single" w:sz="4" w:space="0" w:color="000000"/>
            </w:tcBorders>
            <w:shd w:val="clear" w:color="auto" w:fill="auto"/>
            <w:vAlign w:val="center"/>
          </w:tcPr>
          <w:p w14:paraId="7333A4F3" w14:textId="77777777" w:rsidR="000D4F98" w:rsidRPr="005D588C" w:rsidRDefault="000D4F98" w:rsidP="00C37C0E">
            <w:pPr>
              <w:pStyle w:val="NCDTableText"/>
              <w:spacing w:before="60" w:after="60"/>
            </w:pPr>
            <w:r w:rsidRPr="005D588C">
              <w:t>Dental Director NJ FamilyCare</w:t>
            </w:r>
          </w:p>
        </w:tc>
      </w:tr>
      <w:tr w:rsidR="000D4F98" w:rsidRPr="005D588C" w14:paraId="0D84CDDF" w14:textId="77777777" w:rsidTr="00C37C0E">
        <w:trPr>
          <w:trHeight w:val="315"/>
          <w:jc w:val="center"/>
        </w:trPr>
        <w:tc>
          <w:tcPr>
            <w:tcW w:w="2105" w:type="dxa"/>
            <w:tcBorders>
              <w:top w:val="nil"/>
              <w:left w:val="single" w:sz="4" w:space="0" w:color="000000"/>
              <w:bottom w:val="single" w:sz="4" w:space="0" w:color="000000"/>
              <w:right w:val="single" w:sz="4" w:space="0" w:color="000000"/>
            </w:tcBorders>
            <w:shd w:val="clear" w:color="auto" w:fill="auto"/>
            <w:vAlign w:val="center"/>
          </w:tcPr>
          <w:p w14:paraId="40DECCE6" w14:textId="77777777" w:rsidR="000D4F98" w:rsidRPr="005D588C" w:rsidRDefault="000D4F98" w:rsidP="00C37C0E">
            <w:pPr>
              <w:pStyle w:val="NCDTableText"/>
              <w:spacing w:before="60" w:after="60"/>
            </w:pPr>
            <w:r w:rsidRPr="005D588C">
              <w:t>John Tschida</w:t>
            </w:r>
          </w:p>
        </w:tc>
        <w:tc>
          <w:tcPr>
            <w:tcW w:w="2674" w:type="dxa"/>
            <w:tcBorders>
              <w:top w:val="nil"/>
              <w:left w:val="nil"/>
              <w:bottom w:val="single" w:sz="4" w:space="0" w:color="000000"/>
              <w:right w:val="single" w:sz="4" w:space="0" w:color="000000"/>
            </w:tcBorders>
            <w:shd w:val="clear" w:color="auto" w:fill="auto"/>
            <w:vAlign w:val="center"/>
          </w:tcPr>
          <w:p w14:paraId="3E675BC9" w14:textId="77777777" w:rsidR="000D4F98" w:rsidRPr="005D588C" w:rsidRDefault="000D4F98" w:rsidP="00C37C0E">
            <w:pPr>
              <w:pStyle w:val="NCDTableText"/>
              <w:spacing w:before="60" w:after="60"/>
            </w:pPr>
            <w:bookmarkStart w:id="220" w:name="_heading=h.gjdgxs" w:colFirst="0" w:colLast="0"/>
            <w:bookmarkEnd w:id="220"/>
            <w:r w:rsidRPr="005D588C">
              <w:t>Executive Director</w:t>
            </w:r>
          </w:p>
        </w:tc>
        <w:tc>
          <w:tcPr>
            <w:tcW w:w="4581" w:type="dxa"/>
            <w:tcBorders>
              <w:top w:val="nil"/>
              <w:left w:val="nil"/>
              <w:bottom w:val="single" w:sz="4" w:space="0" w:color="000000"/>
              <w:right w:val="single" w:sz="4" w:space="0" w:color="000000"/>
            </w:tcBorders>
            <w:shd w:val="clear" w:color="auto" w:fill="auto"/>
            <w:vAlign w:val="center"/>
          </w:tcPr>
          <w:p w14:paraId="1E390BC2" w14:textId="77777777" w:rsidR="000D4F98" w:rsidRPr="005D588C" w:rsidRDefault="000D4F98" w:rsidP="00C37C0E">
            <w:pPr>
              <w:pStyle w:val="NCDTableText"/>
              <w:spacing w:before="60" w:after="60"/>
            </w:pPr>
            <w:r w:rsidRPr="005D588C">
              <w:t>Association of University Centers on Disabilities (AUCD)</w:t>
            </w:r>
          </w:p>
        </w:tc>
      </w:tr>
      <w:tr w:rsidR="000D4F98" w:rsidRPr="005D588C" w14:paraId="223B62E3" w14:textId="77777777" w:rsidTr="00C37C0E">
        <w:trPr>
          <w:trHeight w:val="315"/>
          <w:jc w:val="center"/>
        </w:trPr>
        <w:tc>
          <w:tcPr>
            <w:tcW w:w="2105" w:type="dxa"/>
            <w:tcBorders>
              <w:top w:val="nil"/>
              <w:left w:val="single" w:sz="4" w:space="0" w:color="000000"/>
              <w:bottom w:val="single" w:sz="4" w:space="0" w:color="000000"/>
              <w:right w:val="single" w:sz="4" w:space="0" w:color="000000"/>
            </w:tcBorders>
            <w:shd w:val="clear" w:color="auto" w:fill="auto"/>
            <w:vAlign w:val="center"/>
          </w:tcPr>
          <w:p w14:paraId="3ADAA6EC" w14:textId="77777777" w:rsidR="000D4F98" w:rsidRPr="005D588C" w:rsidRDefault="000D4F98" w:rsidP="00C37C0E">
            <w:pPr>
              <w:pStyle w:val="NCDTableText"/>
              <w:spacing w:before="60" w:after="60"/>
            </w:pPr>
            <w:r w:rsidRPr="005D588C">
              <w:t>Barbie Vartanian</w:t>
            </w:r>
          </w:p>
        </w:tc>
        <w:tc>
          <w:tcPr>
            <w:tcW w:w="2674" w:type="dxa"/>
            <w:tcBorders>
              <w:top w:val="nil"/>
              <w:left w:val="nil"/>
              <w:bottom w:val="single" w:sz="4" w:space="0" w:color="000000"/>
              <w:right w:val="single" w:sz="4" w:space="0" w:color="000000"/>
            </w:tcBorders>
            <w:shd w:val="clear" w:color="auto" w:fill="auto"/>
            <w:vAlign w:val="center"/>
          </w:tcPr>
          <w:p w14:paraId="71428D70" w14:textId="77777777" w:rsidR="000D4F98" w:rsidRPr="005D588C" w:rsidRDefault="000D4F98" w:rsidP="00C37C0E">
            <w:pPr>
              <w:pStyle w:val="NCDTableText"/>
              <w:spacing w:before="60" w:after="60"/>
            </w:pPr>
            <w:r w:rsidRPr="005D588C">
              <w:t>Executive Director</w:t>
            </w:r>
          </w:p>
        </w:tc>
        <w:tc>
          <w:tcPr>
            <w:tcW w:w="4581" w:type="dxa"/>
            <w:tcBorders>
              <w:top w:val="nil"/>
              <w:left w:val="nil"/>
              <w:bottom w:val="single" w:sz="4" w:space="0" w:color="000000"/>
              <w:right w:val="single" w:sz="4" w:space="0" w:color="000000"/>
            </w:tcBorders>
            <w:shd w:val="clear" w:color="auto" w:fill="auto"/>
            <w:vAlign w:val="center"/>
          </w:tcPr>
          <w:p w14:paraId="2138FC7F" w14:textId="77777777" w:rsidR="000D4F98" w:rsidRPr="005D588C" w:rsidRDefault="000D4F98" w:rsidP="00C37C0E">
            <w:pPr>
              <w:pStyle w:val="NCDTableText"/>
              <w:spacing w:before="60" w:after="60"/>
            </w:pPr>
            <w:r w:rsidRPr="005D588C">
              <w:t>Project Accessible Oral Health (PAOH)</w:t>
            </w:r>
          </w:p>
        </w:tc>
      </w:tr>
      <w:tr w:rsidR="000D4F98" w:rsidRPr="005D588C" w14:paraId="535C2B30" w14:textId="77777777" w:rsidTr="00C37C0E">
        <w:trPr>
          <w:trHeight w:val="315"/>
          <w:jc w:val="center"/>
        </w:trPr>
        <w:tc>
          <w:tcPr>
            <w:tcW w:w="2105" w:type="dxa"/>
            <w:tcBorders>
              <w:top w:val="nil"/>
              <w:left w:val="single" w:sz="4" w:space="0" w:color="000000"/>
              <w:bottom w:val="single" w:sz="4" w:space="0" w:color="000000"/>
              <w:right w:val="single" w:sz="4" w:space="0" w:color="000000"/>
            </w:tcBorders>
            <w:shd w:val="clear" w:color="auto" w:fill="auto"/>
            <w:vAlign w:val="center"/>
          </w:tcPr>
          <w:p w14:paraId="5B4D74A2" w14:textId="77777777" w:rsidR="000D4F98" w:rsidRPr="005D588C" w:rsidRDefault="000D4F98" w:rsidP="00C37C0E">
            <w:pPr>
              <w:pStyle w:val="NCDTableText"/>
              <w:spacing w:before="60" w:after="60"/>
            </w:pPr>
            <w:r w:rsidRPr="005D588C">
              <w:t>Bridget Walsh</w:t>
            </w:r>
          </w:p>
        </w:tc>
        <w:tc>
          <w:tcPr>
            <w:tcW w:w="2674" w:type="dxa"/>
            <w:tcBorders>
              <w:top w:val="nil"/>
              <w:left w:val="nil"/>
              <w:bottom w:val="single" w:sz="4" w:space="0" w:color="000000"/>
              <w:right w:val="single" w:sz="4" w:space="0" w:color="000000"/>
            </w:tcBorders>
            <w:shd w:val="clear" w:color="auto" w:fill="auto"/>
            <w:vAlign w:val="center"/>
          </w:tcPr>
          <w:p w14:paraId="45804058" w14:textId="77777777" w:rsidR="000D4F98" w:rsidRPr="005D588C" w:rsidRDefault="000D4F98" w:rsidP="00C37C0E">
            <w:pPr>
              <w:pStyle w:val="NCDTableText"/>
              <w:spacing w:before="60" w:after="60"/>
            </w:pPr>
            <w:r w:rsidRPr="005D588C">
              <w:t>Senior Policy Analyst</w:t>
            </w:r>
          </w:p>
        </w:tc>
        <w:tc>
          <w:tcPr>
            <w:tcW w:w="4581" w:type="dxa"/>
            <w:tcBorders>
              <w:top w:val="nil"/>
              <w:left w:val="nil"/>
              <w:bottom w:val="single" w:sz="4" w:space="0" w:color="000000"/>
              <w:right w:val="single" w:sz="4" w:space="0" w:color="000000"/>
            </w:tcBorders>
            <w:shd w:val="clear" w:color="auto" w:fill="auto"/>
            <w:vAlign w:val="center"/>
          </w:tcPr>
          <w:p w14:paraId="64315379" w14:textId="77777777" w:rsidR="000D4F98" w:rsidRPr="005D588C" w:rsidRDefault="000D4F98" w:rsidP="00C37C0E">
            <w:pPr>
              <w:pStyle w:val="NCDTableText"/>
              <w:spacing w:before="60" w:after="60"/>
            </w:pPr>
            <w:r w:rsidRPr="005D588C">
              <w:t>Medicaid Matters (New York State)</w:t>
            </w:r>
          </w:p>
        </w:tc>
      </w:tr>
      <w:tr w:rsidR="000D4F98" w:rsidRPr="005D588C" w14:paraId="066B0493" w14:textId="77777777" w:rsidTr="00C37C0E">
        <w:trPr>
          <w:trHeight w:val="315"/>
          <w:jc w:val="center"/>
        </w:trPr>
        <w:tc>
          <w:tcPr>
            <w:tcW w:w="2105" w:type="dxa"/>
            <w:tcBorders>
              <w:top w:val="nil"/>
              <w:left w:val="single" w:sz="4" w:space="0" w:color="000000"/>
              <w:bottom w:val="single" w:sz="4" w:space="0" w:color="000000"/>
              <w:right w:val="single" w:sz="4" w:space="0" w:color="000000"/>
            </w:tcBorders>
            <w:shd w:val="clear" w:color="auto" w:fill="auto"/>
            <w:vAlign w:val="center"/>
          </w:tcPr>
          <w:p w14:paraId="11F1AF4D" w14:textId="77777777" w:rsidR="000D4F98" w:rsidRPr="005D588C" w:rsidRDefault="000D4F98" w:rsidP="00C37C0E">
            <w:pPr>
              <w:pStyle w:val="NCDTableText"/>
              <w:spacing w:before="60" w:after="60"/>
            </w:pPr>
            <w:r w:rsidRPr="005D588C">
              <w:t>Allen Wong</w:t>
            </w:r>
          </w:p>
        </w:tc>
        <w:tc>
          <w:tcPr>
            <w:tcW w:w="2674" w:type="dxa"/>
            <w:tcBorders>
              <w:top w:val="nil"/>
              <w:left w:val="nil"/>
              <w:bottom w:val="single" w:sz="4" w:space="0" w:color="000000"/>
              <w:right w:val="single" w:sz="4" w:space="0" w:color="000000"/>
            </w:tcBorders>
            <w:shd w:val="clear" w:color="auto" w:fill="auto"/>
            <w:vAlign w:val="center"/>
          </w:tcPr>
          <w:p w14:paraId="7FDECECC" w14:textId="77777777" w:rsidR="000D4F98" w:rsidRPr="005D588C" w:rsidRDefault="000D4F98" w:rsidP="00C37C0E">
            <w:pPr>
              <w:pStyle w:val="NCDTableText"/>
              <w:spacing w:before="60" w:after="60"/>
            </w:pPr>
            <w:r w:rsidRPr="005D588C">
              <w:t>President</w:t>
            </w:r>
          </w:p>
        </w:tc>
        <w:tc>
          <w:tcPr>
            <w:tcW w:w="4581" w:type="dxa"/>
            <w:tcBorders>
              <w:top w:val="nil"/>
              <w:left w:val="nil"/>
              <w:bottom w:val="single" w:sz="4" w:space="0" w:color="000000"/>
              <w:right w:val="single" w:sz="4" w:space="0" w:color="000000"/>
            </w:tcBorders>
            <w:shd w:val="clear" w:color="auto" w:fill="auto"/>
            <w:vAlign w:val="center"/>
          </w:tcPr>
          <w:p w14:paraId="21B0604C" w14:textId="77777777" w:rsidR="000D4F98" w:rsidRPr="005D588C" w:rsidRDefault="000D4F98" w:rsidP="00C37C0E">
            <w:pPr>
              <w:pStyle w:val="NCDTableText"/>
              <w:spacing w:before="60" w:after="60"/>
            </w:pPr>
            <w:r w:rsidRPr="005D588C">
              <w:t>American Academy of Developmental Medicine and Dentistry (AADMD)</w:t>
            </w:r>
          </w:p>
        </w:tc>
      </w:tr>
      <w:tr w:rsidR="000D4F98" w:rsidRPr="005D588C" w14:paraId="0DE95015" w14:textId="77777777" w:rsidTr="00C37C0E">
        <w:trPr>
          <w:trHeight w:val="315"/>
          <w:jc w:val="center"/>
        </w:trPr>
        <w:tc>
          <w:tcPr>
            <w:tcW w:w="2105" w:type="dxa"/>
            <w:tcBorders>
              <w:top w:val="nil"/>
              <w:left w:val="single" w:sz="4" w:space="0" w:color="000000"/>
              <w:bottom w:val="single" w:sz="4" w:space="0" w:color="000000"/>
              <w:right w:val="single" w:sz="4" w:space="0" w:color="000000"/>
            </w:tcBorders>
            <w:shd w:val="clear" w:color="auto" w:fill="auto"/>
            <w:vAlign w:val="center"/>
          </w:tcPr>
          <w:p w14:paraId="529B4162" w14:textId="77777777" w:rsidR="000D4F98" w:rsidRPr="005D588C" w:rsidRDefault="000D4F98" w:rsidP="00C37C0E">
            <w:pPr>
              <w:pStyle w:val="NCDTableText"/>
              <w:spacing w:before="60" w:after="60"/>
            </w:pPr>
            <w:r w:rsidRPr="005D588C">
              <w:t>Christine Wood</w:t>
            </w:r>
          </w:p>
        </w:tc>
        <w:tc>
          <w:tcPr>
            <w:tcW w:w="2674" w:type="dxa"/>
            <w:tcBorders>
              <w:top w:val="nil"/>
              <w:left w:val="nil"/>
              <w:bottom w:val="single" w:sz="4" w:space="0" w:color="000000"/>
              <w:right w:val="single" w:sz="4" w:space="0" w:color="000000"/>
            </w:tcBorders>
            <w:shd w:val="clear" w:color="auto" w:fill="auto"/>
            <w:vAlign w:val="center"/>
          </w:tcPr>
          <w:p w14:paraId="29283F78" w14:textId="77777777" w:rsidR="000D4F98" w:rsidRPr="005D588C" w:rsidRDefault="000D4F98" w:rsidP="00C37C0E">
            <w:pPr>
              <w:pStyle w:val="NCDTableText"/>
              <w:spacing w:before="60" w:after="60"/>
            </w:pPr>
            <w:r w:rsidRPr="005D588C">
              <w:t>Executive Director</w:t>
            </w:r>
          </w:p>
        </w:tc>
        <w:tc>
          <w:tcPr>
            <w:tcW w:w="4581" w:type="dxa"/>
            <w:tcBorders>
              <w:top w:val="nil"/>
              <w:left w:val="nil"/>
              <w:bottom w:val="single" w:sz="4" w:space="0" w:color="000000"/>
              <w:right w:val="single" w:sz="4" w:space="0" w:color="000000"/>
            </w:tcBorders>
            <w:shd w:val="clear" w:color="auto" w:fill="auto"/>
            <w:vAlign w:val="center"/>
          </w:tcPr>
          <w:p w14:paraId="0817A388" w14:textId="77777777" w:rsidR="000D4F98" w:rsidRPr="005D588C" w:rsidRDefault="000D4F98" w:rsidP="00C37C0E">
            <w:pPr>
              <w:pStyle w:val="NCDTableText"/>
              <w:spacing w:before="60" w:after="60"/>
            </w:pPr>
            <w:r w:rsidRPr="005D588C">
              <w:t>Association of State and Territorial Dental Directors (ASTDD)</w:t>
            </w:r>
          </w:p>
        </w:tc>
      </w:tr>
      <w:tr w:rsidR="000D4F98" w:rsidRPr="005D588C" w14:paraId="69C24CDE" w14:textId="77777777" w:rsidTr="00C37C0E">
        <w:trPr>
          <w:trHeight w:val="315"/>
          <w:jc w:val="center"/>
        </w:trPr>
        <w:tc>
          <w:tcPr>
            <w:tcW w:w="2105" w:type="dxa"/>
            <w:tcBorders>
              <w:top w:val="nil"/>
              <w:left w:val="single" w:sz="4" w:space="0" w:color="000000"/>
              <w:bottom w:val="single" w:sz="4" w:space="0" w:color="000000"/>
              <w:right w:val="single" w:sz="4" w:space="0" w:color="000000"/>
            </w:tcBorders>
            <w:shd w:val="clear" w:color="auto" w:fill="auto"/>
            <w:vAlign w:val="center"/>
          </w:tcPr>
          <w:p w14:paraId="4AB1E788" w14:textId="77777777" w:rsidR="000D4F98" w:rsidRPr="005D588C" w:rsidRDefault="000D4F98" w:rsidP="00C37C0E">
            <w:pPr>
              <w:pStyle w:val="NCDTableText"/>
              <w:spacing w:before="60" w:after="60"/>
            </w:pPr>
            <w:r w:rsidRPr="005D588C">
              <w:t>Billy Altom</w:t>
            </w:r>
          </w:p>
        </w:tc>
        <w:tc>
          <w:tcPr>
            <w:tcW w:w="2674" w:type="dxa"/>
            <w:tcBorders>
              <w:top w:val="nil"/>
              <w:left w:val="nil"/>
              <w:bottom w:val="single" w:sz="4" w:space="0" w:color="000000"/>
              <w:right w:val="single" w:sz="4" w:space="0" w:color="000000"/>
            </w:tcBorders>
            <w:shd w:val="clear" w:color="auto" w:fill="auto"/>
            <w:vAlign w:val="center"/>
          </w:tcPr>
          <w:p w14:paraId="260C2533" w14:textId="77777777" w:rsidR="000D4F98" w:rsidRPr="005D588C" w:rsidRDefault="000D4F98" w:rsidP="00C37C0E">
            <w:pPr>
              <w:pStyle w:val="NCDTableText"/>
              <w:spacing w:before="60" w:after="60"/>
            </w:pPr>
            <w:r w:rsidRPr="005D588C">
              <w:t>Council Member</w:t>
            </w:r>
          </w:p>
        </w:tc>
        <w:tc>
          <w:tcPr>
            <w:tcW w:w="4581" w:type="dxa"/>
            <w:tcBorders>
              <w:top w:val="nil"/>
              <w:left w:val="nil"/>
              <w:bottom w:val="single" w:sz="4" w:space="0" w:color="000000"/>
              <w:right w:val="single" w:sz="4" w:space="0" w:color="000000"/>
            </w:tcBorders>
            <w:shd w:val="clear" w:color="auto" w:fill="auto"/>
            <w:vAlign w:val="center"/>
          </w:tcPr>
          <w:p w14:paraId="3AFBD25F" w14:textId="77777777" w:rsidR="000D4F98" w:rsidRPr="005D588C" w:rsidRDefault="000D4F98" w:rsidP="00C37C0E">
            <w:pPr>
              <w:pStyle w:val="NCDTableText"/>
              <w:spacing w:before="60" w:after="60"/>
            </w:pPr>
            <w:r w:rsidRPr="005D588C">
              <w:t>National Council on Disability</w:t>
            </w:r>
          </w:p>
        </w:tc>
      </w:tr>
      <w:tr w:rsidR="000D4F98" w:rsidRPr="005D588C" w14:paraId="19AE723D" w14:textId="77777777" w:rsidTr="00C37C0E">
        <w:trPr>
          <w:trHeight w:val="744"/>
          <w:jc w:val="center"/>
        </w:trPr>
        <w:tc>
          <w:tcPr>
            <w:tcW w:w="2105" w:type="dxa"/>
            <w:tcBorders>
              <w:top w:val="nil"/>
              <w:left w:val="single" w:sz="4" w:space="0" w:color="000000"/>
              <w:bottom w:val="single" w:sz="4" w:space="0" w:color="000000"/>
              <w:right w:val="single" w:sz="4" w:space="0" w:color="000000"/>
            </w:tcBorders>
            <w:shd w:val="clear" w:color="auto" w:fill="auto"/>
            <w:vAlign w:val="center"/>
          </w:tcPr>
          <w:p w14:paraId="5E0BCFFE" w14:textId="77777777" w:rsidR="000D4F98" w:rsidRPr="005D588C" w:rsidRDefault="000D4F98" w:rsidP="00C37C0E">
            <w:pPr>
              <w:pStyle w:val="NCDTableText"/>
              <w:spacing w:before="60" w:after="60"/>
            </w:pPr>
            <w:r w:rsidRPr="005D588C">
              <w:t>Joan Durocher</w:t>
            </w:r>
          </w:p>
        </w:tc>
        <w:tc>
          <w:tcPr>
            <w:tcW w:w="2674" w:type="dxa"/>
            <w:tcBorders>
              <w:top w:val="nil"/>
              <w:left w:val="nil"/>
              <w:bottom w:val="single" w:sz="4" w:space="0" w:color="000000"/>
              <w:right w:val="single" w:sz="4" w:space="0" w:color="000000"/>
            </w:tcBorders>
            <w:shd w:val="clear" w:color="auto" w:fill="auto"/>
            <w:vAlign w:val="center"/>
          </w:tcPr>
          <w:p w14:paraId="063719F8" w14:textId="77777777" w:rsidR="000D4F98" w:rsidRPr="005D588C" w:rsidRDefault="000D4F98" w:rsidP="00C37C0E">
            <w:pPr>
              <w:pStyle w:val="NCDTableText"/>
              <w:spacing w:before="60" w:after="60"/>
            </w:pPr>
            <w:r w:rsidRPr="005D588C">
              <w:t>General Counsel &amp; Director of Policy</w:t>
            </w:r>
          </w:p>
        </w:tc>
        <w:tc>
          <w:tcPr>
            <w:tcW w:w="4581" w:type="dxa"/>
            <w:tcBorders>
              <w:top w:val="nil"/>
              <w:left w:val="nil"/>
              <w:bottom w:val="single" w:sz="4" w:space="0" w:color="000000"/>
              <w:right w:val="single" w:sz="4" w:space="0" w:color="000000"/>
            </w:tcBorders>
            <w:shd w:val="clear" w:color="auto" w:fill="auto"/>
            <w:vAlign w:val="center"/>
          </w:tcPr>
          <w:p w14:paraId="0AEBF8A4" w14:textId="77777777" w:rsidR="000D4F98" w:rsidRPr="005D588C" w:rsidRDefault="000D4F98" w:rsidP="00C37C0E">
            <w:pPr>
              <w:pStyle w:val="NCDTableText"/>
              <w:spacing w:before="60" w:after="60"/>
            </w:pPr>
            <w:r w:rsidRPr="005D588C">
              <w:t>National Council on Disability</w:t>
            </w:r>
          </w:p>
        </w:tc>
      </w:tr>
      <w:tr w:rsidR="000D4F98" w:rsidRPr="005D588C" w14:paraId="1985E998" w14:textId="77777777" w:rsidTr="00C37C0E">
        <w:trPr>
          <w:trHeight w:val="332"/>
          <w:jc w:val="center"/>
        </w:trPr>
        <w:tc>
          <w:tcPr>
            <w:tcW w:w="2105" w:type="dxa"/>
            <w:tcBorders>
              <w:top w:val="nil"/>
              <w:left w:val="single" w:sz="4" w:space="0" w:color="000000"/>
              <w:bottom w:val="single" w:sz="4" w:space="0" w:color="000000"/>
              <w:right w:val="single" w:sz="4" w:space="0" w:color="000000"/>
            </w:tcBorders>
            <w:shd w:val="clear" w:color="auto" w:fill="auto"/>
            <w:vAlign w:val="center"/>
          </w:tcPr>
          <w:p w14:paraId="54614CA6" w14:textId="77777777" w:rsidR="000D4F98" w:rsidRPr="005D588C" w:rsidRDefault="000D4F98" w:rsidP="00C37C0E">
            <w:pPr>
              <w:pStyle w:val="NCDTableText"/>
              <w:spacing w:before="60" w:after="60"/>
            </w:pPr>
            <w:r w:rsidRPr="005D588C">
              <w:t>Rick Rader</w:t>
            </w:r>
          </w:p>
        </w:tc>
        <w:tc>
          <w:tcPr>
            <w:tcW w:w="2674" w:type="dxa"/>
            <w:tcBorders>
              <w:top w:val="nil"/>
              <w:left w:val="nil"/>
              <w:bottom w:val="single" w:sz="4" w:space="0" w:color="000000"/>
              <w:right w:val="single" w:sz="4" w:space="0" w:color="000000"/>
            </w:tcBorders>
            <w:shd w:val="clear" w:color="auto" w:fill="auto"/>
            <w:vAlign w:val="center"/>
          </w:tcPr>
          <w:p w14:paraId="33C668E0" w14:textId="77777777" w:rsidR="000D4F98" w:rsidRPr="005D588C" w:rsidRDefault="000D4F98" w:rsidP="00C37C0E">
            <w:pPr>
              <w:pStyle w:val="NCDTableText"/>
              <w:spacing w:before="60" w:after="60"/>
            </w:pPr>
            <w:r w:rsidRPr="005D588C">
              <w:t>Council Member</w:t>
            </w:r>
          </w:p>
        </w:tc>
        <w:tc>
          <w:tcPr>
            <w:tcW w:w="4581" w:type="dxa"/>
            <w:tcBorders>
              <w:top w:val="nil"/>
              <w:left w:val="nil"/>
              <w:bottom w:val="single" w:sz="4" w:space="0" w:color="000000"/>
              <w:right w:val="single" w:sz="4" w:space="0" w:color="000000"/>
            </w:tcBorders>
            <w:shd w:val="clear" w:color="auto" w:fill="auto"/>
            <w:vAlign w:val="center"/>
          </w:tcPr>
          <w:p w14:paraId="5DB23AC8" w14:textId="77777777" w:rsidR="000D4F98" w:rsidRPr="005D588C" w:rsidRDefault="000D4F98" w:rsidP="00C37C0E">
            <w:pPr>
              <w:pStyle w:val="NCDTableText"/>
              <w:spacing w:before="60" w:after="60"/>
            </w:pPr>
            <w:r w:rsidRPr="005D588C">
              <w:t>National Council on Disability</w:t>
            </w:r>
          </w:p>
        </w:tc>
      </w:tr>
      <w:tr w:rsidR="000D4F98" w:rsidRPr="005D588C" w14:paraId="4FAC2879" w14:textId="77777777" w:rsidTr="00C37C0E">
        <w:trPr>
          <w:trHeight w:val="395"/>
          <w:jc w:val="center"/>
        </w:trPr>
        <w:tc>
          <w:tcPr>
            <w:tcW w:w="2105" w:type="dxa"/>
            <w:tcBorders>
              <w:top w:val="nil"/>
              <w:left w:val="single" w:sz="4" w:space="0" w:color="000000"/>
              <w:bottom w:val="single" w:sz="4" w:space="0" w:color="000000"/>
              <w:right w:val="single" w:sz="4" w:space="0" w:color="000000"/>
            </w:tcBorders>
            <w:shd w:val="clear" w:color="auto" w:fill="auto"/>
            <w:vAlign w:val="center"/>
          </w:tcPr>
          <w:p w14:paraId="415F2504" w14:textId="77777777" w:rsidR="000D4F98" w:rsidRPr="005D588C" w:rsidRDefault="000D4F98" w:rsidP="00C37C0E">
            <w:pPr>
              <w:pStyle w:val="NCDTableText"/>
              <w:spacing w:before="60" w:after="60"/>
            </w:pPr>
            <w:r w:rsidRPr="005D588C">
              <w:t>Amged Soliman</w:t>
            </w:r>
          </w:p>
        </w:tc>
        <w:tc>
          <w:tcPr>
            <w:tcW w:w="2674" w:type="dxa"/>
            <w:tcBorders>
              <w:top w:val="nil"/>
              <w:left w:val="nil"/>
              <w:bottom w:val="single" w:sz="4" w:space="0" w:color="000000"/>
              <w:right w:val="single" w:sz="4" w:space="0" w:color="000000"/>
            </w:tcBorders>
            <w:shd w:val="clear" w:color="auto" w:fill="auto"/>
            <w:vAlign w:val="center"/>
          </w:tcPr>
          <w:p w14:paraId="7A1BD827" w14:textId="77777777" w:rsidR="000D4F98" w:rsidRPr="005D588C" w:rsidRDefault="000D4F98" w:rsidP="00C37C0E">
            <w:pPr>
              <w:pStyle w:val="NCDTableText"/>
              <w:spacing w:before="60" w:after="60"/>
            </w:pPr>
            <w:r w:rsidRPr="005D588C">
              <w:t>Attorney Advisor</w:t>
            </w:r>
          </w:p>
        </w:tc>
        <w:tc>
          <w:tcPr>
            <w:tcW w:w="4581" w:type="dxa"/>
            <w:tcBorders>
              <w:top w:val="nil"/>
              <w:left w:val="nil"/>
              <w:bottom w:val="single" w:sz="4" w:space="0" w:color="000000"/>
              <w:right w:val="single" w:sz="4" w:space="0" w:color="000000"/>
            </w:tcBorders>
            <w:shd w:val="clear" w:color="auto" w:fill="auto"/>
            <w:vAlign w:val="center"/>
          </w:tcPr>
          <w:p w14:paraId="194037DF" w14:textId="77777777" w:rsidR="000D4F98" w:rsidRPr="005D588C" w:rsidRDefault="000D4F98" w:rsidP="00C37C0E">
            <w:pPr>
              <w:pStyle w:val="NCDTableText"/>
              <w:spacing w:before="60" w:after="60"/>
            </w:pPr>
            <w:r w:rsidRPr="005D588C">
              <w:t>National Council on Disability</w:t>
            </w:r>
          </w:p>
        </w:tc>
      </w:tr>
      <w:tr w:rsidR="000D4F98" w:rsidRPr="005D588C" w14:paraId="3DDEAA8C" w14:textId="77777777" w:rsidTr="00C37C0E">
        <w:trPr>
          <w:trHeight w:val="315"/>
          <w:jc w:val="center"/>
        </w:trPr>
        <w:tc>
          <w:tcPr>
            <w:tcW w:w="2105" w:type="dxa"/>
            <w:tcBorders>
              <w:top w:val="nil"/>
              <w:left w:val="single" w:sz="4" w:space="0" w:color="000000"/>
              <w:bottom w:val="single" w:sz="4" w:space="0" w:color="000000"/>
              <w:right w:val="single" w:sz="4" w:space="0" w:color="000000"/>
            </w:tcBorders>
            <w:shd w:val="clear" w:color="auto" w:fill="auto"/>
            <w:vAlign w:val="center"/>
          </w:tcPr>
          <w:p w14:paraId="1A998838" w14:textId="77777777" w:rsidR="000D4F98" w:rsidRPr="005D588C" w:rsidRDefault="000D4F98" w:rsidP="00C37C0E">
            <w:pPr>
              <w:pStyle w:val="NCDTableText"/>
              <w:spacing w:before="60" w:after="60"/>
            </w:pPr>
            <w:r w:rsidRPr="005D588C">
              <w:t>Emma Browse</w:t>
            </w:r>
          </w:p>
        </w:tc>
        <w:tc>
          <w:tcPr>
            <w:tcW w:w="2674" w:type="dxa"/>
            <w:tcBorders>
              <w:top w:val="nil"/>
              <w:left w:val="nil"/>
              <w:bottom w:val="single" w:sz="4" w:space="0" w:color="000000"/>
              <w:right w:val="single" w:sz="4" w:space="0" w:color="000000"/>
            </w:tcBorders>
            <w:shd w:val="clear" w:color="auto" w:fill="auto"/>
            <w:vAlign w:val="center"/>
          </w:tcPr>
          <w:p w14:paraId="0F0B9328" w14:textId="77777777" w:rsidR="000D4F98" w:rsidRPr="005D588C" w:rsidRDefault="000D4F98" w:rsidP="00C37C0E">
            <w:pPr>
              <w:pStyle w:val="NCDTableText"/>
              <w:spacing w:before="60" w:after="60"/>
            </w:pPr>
            <w:r w:rsidRPr="005D588C">
              <w:t>Graduate Research Assistant</w:t>
            </w:r>
          </w:p>
        </w:tc>
        <w:tc>
          <w:tcPr>
            <w:tcW w:w="4581" w:type="dxa"/>
            <w:tcBorders>
              <w:top w:val="nil"/>
              <w:left w:val="nil"/>
              <w:bottom w:val="single" w:sz="4" w:space="0" w:color="000000"/>
              <w:right w:val="single" w:sz="4" w:space="0" w:color="000000"/>
            </w:tcBorders>
            <w:shd w:val="clear" w:color="auto" w:fill="auto"/>
            <w:vAlign w:val="center"/>
          </w:tcPr>
          <w:p w14:paraId="4A190B98" w14:textId="77777777" w:rsidR="000D4F98" w:rsidRPr="005D588C" w:rsidRDefault="000D4F98" w:rsidP="00C37C0E">
            <w:pPr>
              <w:pStyle w:val="NCDTableText"/>
              <w:spacing w:before="60" w:after="60"/>
            </w:pPr>
            <w:r w:rsidRPr="005D588C">
              <w:t>National Center for Children in Poverty, Bank Street College of Education</w:t>
            </w:r>
          </w:p>
        </w:tc>
      </w:tr>
      <w:tr w:rsidR="000D4F98" w:rsidRPr="005D588C" w14:paraId="46D0CB9A" w14:textId="77777777" w:rsidTr="00C37C0E">
        <w:trPr>
          <w:trHeight w:val="315"/>
          <w:jc w:val="center"/>
        </w:trPr>
        <w:tc>
          <w:tcPr>
            <w:tcW w:w="2105" w:type="dxa"/>
            <w:tcBorders>
              <w:top w:val="nil"/>
              <w:left w:val="single" w:sz="4" w:space="0" w:color="000000"/>
              <w:bottom w:val="single" w:sz="4" w:space="0" w:color="000000"/>
              <w:right w:val="single" w:sz="4" w:space="0" w:color="000000"/>
            </w:tcBorders>
            <w:shd w:val="clear" w:color="auto" w:fill="auto"/>
            <w:vAlign w:val="center"/>
          </w:tcPr>
          <w:p w14:paraId="22419F04" w14:textId="6919B127" w:rsidR="000D4F98" w:rsidRPr="005D588C" w:rsidRDefault="000D4F98" w:rsidP="00C37C0E">
            <w:pPr>
              <w:pStyle w:val="NCDTableText"/>
              <w:spacing w:before="60" w:after="60"/>
              <w:rPr>
                <w:b/>
              </w:rPr>
            </w:pPr>
            <w:r w:rsidRPr="005D588C">
              <w:t xml:space="preserve">Chelsea Fosse </w:t>
            </w:r>
            <w:r w:rsidR="00401D57" w:rsidRPr="00401D57">
              <w:rPr>
                <w:b/>
              </w:rPr>
              <w:t>(Co-PI)</w:t>
            </w:r>
          </w:p>
        </w:tc>
        <w:tc>
          <w:tcPr>
            <w:tcW w:w="2674" w:type="dxa"/>
            <w:tcBorders>
              <w:top w:val="nil"/>
              <w:left w:val="nil"/>
              <w:bottom w:val="single" w:sz="4" w:space="0" w:color="000000"/>
              <w:right w:val="single" w:sz="4" w:space="0" w:color="000000"/>
            </w:tcBorders>
            <w:shd w:val="clear" w:color="auto" w:fill="auto"/>
            <w:vAlign w:val="center"/>
          </w:tcPr>
          <w:p w14:paraId="4A7E3458" w14:textId="77777777" w:rsidR="000D4F98" w:rsidRPr="005D588C" w:rsidRDefault="000D4F98" w:rsidP="00C37C0E">
            <w:pPr>
              <w:pStyle w:val="NCDTableText"/>
              <w:spacing w:before="60" w:after="60"/>
            </w:pPr>
            <w:r w:rsidRPr="005D588C">
              <w:t>Senior Health Policy Analyst</w:t>
            </w:r>
          </w:p>
        </w:tc>
        <w:tc>
          <w:tcPr>
            <w:tcW w:w="4581" w:type="dxa"/>
            <w:tcBorders>
              <w:top w:val="nil"/>
              <w:left w:val="nil"/>
              <w:bottom w:val="single" w:sz="4" w:space="0" w:color="000000"/>
              <w:right w:val="single" w:sz="4" w:space="0" w:color="000000"/>
            </w:tcBorders>
            <w:shd w:val="clear" w:color="auto" w:fill="auto"/>
            <w:vAlign w:val="center"/>
          </w:tcPr>
          <w:p w14:paraId="66AAF047" w14:textId="77777777" w:rsidR="000D4F98" w:rsidRPr="005D588C" w:rsidRDefault="000D4F98" w:rsidP="00C37C0E">
            <w:pPr>
              <w:pStyle w:val="NCDTableText"/>
              <w:spacing w:before="60" w:after="60"/>
            </w:pPr>
            <w:r w:rsidRPr="005D588C">
              <w:t>Health Policy Institute, American Dental Association</w:t>
            </w:r>
          </w:p>
        </w:tc>
      </w:tr>
      <w:tr w:rsidR="000D4F98" w:rsidRPr="005D588C" w14:paraId="771EC18D" w14:textId="77777777" w:rsidTr="00C37C0E">
        <w:trPr>
          <w:trHeight w:val="315"/>
          <w:jc w:val="center"/>
        </w:trPr>
        <w:tc>
          <w:tcPr>
            <w:tcW w:w="2105" w:type="dxa"/>
            <w:tcBorders>
              <w:top w:val="nil"/>
              <w:left w:val="single" w:sz="4" w:space="0" w:color="000000"/>
              <w:bottom w:val="single" w:sz="4" w:space="0" w:color="000000"/>
              <w:right w:val="single" w:sz="4" w:space="0" w:color="000000"/>
            </w:tcBorders>
            <w:shd w:val="clear" w:color="auto" w:fill="auto"/>
            <w:vAlign w:val="center"/>
          </w:tcPr>
          <w:p w14:paraId="531FBDCB" w14:textId="77777777" w:rsidR="000D4F98" w:rsidRPr="005D588C" w:rsidRDefault="000D4F98" w:rsidP="00C37C0E">
            <w:pPr>
              <w:pStyle w:val="NCDTableText"/>
              <w:pageBreakBefore/>
              <w:spacing w:before="60" w:after="60"/>
            </w:pPr>
            <w:r w:rsidRPr="005D588C">
              <w:lastRenderedPageBreak/>
              <w:t>Jennifer Hernandez</w:t>
            </w:r>
          </w:p>
        </w:tc>
        <w:tc>
          <w:tcPr>
            <w:tcW w:w="2674" w:type="dxa"/>
            <w:tcBorders>
              <w:top w:val="nil"/>
              <w:left w:val="nil"/>
              <w:bottom w:val="single" w:sz="4" w:space="0" w:color="000000"/>
              <w:right w:val="single" w:sz="4" w:space="0" w:color="000000"/>
            </w:tcBorders>
            <w:shd w:val="clear" w:color="auto" w:fill="auto"/>
            <w:vAlign w:val="center"/>
          </w:tcPr>
          <w:p w14:paraId="03C0EF57" w14:textId="77777777" w:rsidR="000D4F98" w:rsidRPr="005D588C" w:rsidRDefault="000D4F98" w:rsidP="00C37C0E">
            <w:pPr>
              <w:pStyle w:val="NCDTableText"/>
              <w:spacing w:before="60" w:after="60"/>
            </w:pPr>
            <w:r w:rsidRPr="005D588C">
              <w:t>Graduate Research Assistant</w:t>
            </w:r>
          </w:p>
        </w:tc>
        <w:tc>
          <w:tcPr>
            <w:tcW w:w="4581" w:type="dxa"/>
            <w:tcBorders>
              <w:top w:val="nil"/>
              <w:left w:val="nil"/>
              <w:bottom w:val="single" w:sz="4" w:space="0" w:color="000000"/>
              <w:right w:val="single" w:sz="4" w:space="0" w:color="000000"/>
            </w:tcBorders>
            <w:shd w:val="clear" w:color="auto" w:fill="auto"/>
            <w:vAlign w:val="center"/>
          </w:tcPr>
          <w:p w14:paraId="1BAA80E0" w14:textId="77777777" w:rsidR="000D4F98" w:rsidRPr="005D588C" w:rsidRDefault="000D4F98" w:rsidP="00C37C0E">
            <w:pPr>
              <w:pStyle w:val="NCDTableText"/>
              <w:spacing w:before="60" w:after="60"/>
            </w:pPr>
            <w:r w:rsidRPr="005D588C">
              <w:t>National Center for Children in Poverty, Bank Street College of Education</w:t>
            </w:r>
          </w:p>
        </w:tc>
      </w:tr>
      <w:tr w:rsidR="000D4F98" w:rsidRPr="005D588C" w14:paraId="16449650" w14:textId="77777777" w:rsidTr="00C37C0E">
        <w:trPr>
          <w:trHeight w:val="315"/>
          <w:jc w:val="center"/>
        </w:trPr>
        <w:tc>
          <w:tcPr>
            <w:tcW w:w="2105" w:type="dxa"/>
            <w:tcBorders>
              <w:top w:val="nil"/>
              <w:left w:val="single" w:sz="4" w:space="0" w:color="000000"/>
              <w:bottom w:val="single" w:sz="4" w:space="0" w:color="000000"/>
              <w:right w:val="single" w:sz="4" w:space="0" w:color="000000"/>
            </w:tcBorders>
            <w:shd w:val="clear" w:color="auto" w:fill="auto"/>
            <w:vAlign w:val="center"/>
          </w:tcPr>
          <w:p w14:paraId="71F4368E" w14:textId="5F5B9AF4" w:rsidR="000D4F98" w:rsidRPr="005D588C" w:rsidRDefault="000D4F98" w:rsidP="00C37C0E">
            <w:pPr>
              <w:pStyle w:val="NCDTableText"/>
              <w:spacing w:before="60" w:after="60"/>
              <w:rPr>
                <w:b/>
              </w:rPr>
            </w:pPr>
            <w:r w:rsidRPr="005D588C">
              <w:t xml:space="preserve">Heather Koball </w:t>
            </w:r>
            <w:r w:rsidR="00401D57" w:rsidRPr="00401D57">
              <w:rPr>
                <w:b/>
              </w:rPr>
              <w:t>(Co-PI)</w:t>
            </w:r>
          </w:p>
        </w:tc>
        <w:tc>
          <w:tcPr>
            <w:tcW w:w="2674" w:type="dxa"/>
            <w:tcBorders>
              <w:top w:val="nil"/>
              <w:left w:val="nil"/>
              <w:bottom w:val="single" w:sz="4" w:space="0" w:color="000000"/>
              <w:right w:val="single" w:sz="4" w:space="0" w:color="000000"/>
            </w:tcBorders>
            <w:shd w:val="clear" w:color="auto" w:fill="auto"/>
            <w:vAlign w:val="center"/>
          </w:tcPr>
          <w:p w14:paraId="40DDDAD9" w14:textId="77777777" w:rsidR="000D4F98" w:rsidRPr="005D588C" w:rsidRDefault="000D4F98" w:rsidP="00C37C0E">
            <w:pPr>
              <w:pStyle w:val="NCDTableText"/>
              <w:spacing w:before="60" w:after="60"/>
            </w:pPr>
            <w:r w:rsidRPr="005D588C">
              <w:t>Co</w:t>
            </w:r>
            <w:r>
              <w:t>d</w:t>
            </w:r>
            <w:r w:rsidRPr="005D588C">
              <w:t>irector</w:t>
            </w:r>
          </w:p>
        </w:tc>
        <w:tc>
          <w:tcPr>
            <w:tcW w:w="4581" w:type="dxa"/>
            <w:tcBorders>
              <w:top w:val="nil"/>
              <w:left w:val="nil"/>
              <w:bottom w:val="single" w:sz="4" w:space="0" w:color="000000"/>
              <w:right w:val="single" w:sz="4" w:space="0" w:color="000000"/>
            </w:tcBorders>
            <w:shd w:val="clear" w:color="auto" w:fill="auto"/>
            <w:vAlign w:val="center"/>
          </w:tcPr>
          <w:p w14:paraId="1A219B04" w14:textId="77777777" w:rsidR="000D4F98" w:rsidRPr="005D588C" w:rsidRDefault="000D4F98" w:rsidP="00C37C0E">
            <w:pPr>
              <w:pStyle w:val="NCDTableText"/>
              <w:spacing w:before="60" w:after="60"/>
            </w:pPr>
            <w:r w:rsidRPr="005D588C">
              <w:t>National Center for Children in Poverty, Bank Street College of Education</w:t>
            </w:r>
          </w:p>
        </w:tc>
      </w:tr>
      <w:tr w:rsidR="000D4F98" w:rsidRPr="005D588C" w14:paraId="3CB54554" w14:textId="77777777" w:rsidTr="00C37C0E">
        <w:trPr>
          <w:trHeight w:val="315"/>
          <w:jc w:val="center"/>
        </w:trPr>
        <w:tc>
          <w:tcPr>
            <w:tcW w:w="2105" w:type="dxa"/>
            <w:tcBorders>
              <w:top w:val="nil"/>
              <w:left w:val="single" w:sz="4" w:space="0" w:color="000000"/>
              <w:bottom w:val="single" w:sz="4" w:space="0" w:color="000000"/>
              <w:right w:val="single" w:sz="4" w:space="0" w:color="000000"/>
            </w:tcBorders>
            <w:shd w:val="clear" w:color="auto" w:fill="auto"/>
            <w:vAlign w:val="center"/>
          </w:tcPr>
          <w:p w14:paraId="604734D5" w14:textId="77777777" w:rsidR="000D4F98" w:rsidRPr="005D588C" w:rsidRDefault="000D4F98" w:rsidP="00C37C0E">
            <w:pPr>
              <w:pStyle w:val="NCDTableText"/>
              <w:spacing w:before="60" w:after="60"/>
            </w:pPr>
            <w:r w:rsidRPr="005D588C">
              <w:t>Akilah Moore</w:t>
            </w:r>
          </w:p>
        </w:tc>
        <w:tc>
          <w:tcPr>
            <w:tcW w:w="2674" w:type="dxa"/>
            <w:tcBorders>
              <w:top w:val="nil"/>
              <w:left w:val="nil"/>
              <w:bottom w:val="single" w:sz="4" w:space="0" w:color="000000"/>
              <w:right w:val="single" w:sz="4" w:space="0" w:color="000000"/>
            </w:tcBorders>
            <w:shd w:val="clear" w:color="auto" w:fill="auto"/>
            <w:vAlign w:val="center"/>
          </w:tcPr>
          <w:p w14:paraId="26C2AAF1" w14:textId="77777777" w:rsidR="000D4F98" w:rsidRPr="005D588C" w:rsidRDefault="000D4F98" w:rsidP="00C37C0E">
            <w:pPr>
              <w:pStyle w:val="NCDTableText"/>
              <w:spacing w:before="60" w:after="60"/>
            </w:pPr>
            <w:r w:rsidRPr="005D588C">
              <w:t>Administrative Assistant</w:t>
            </w:r>
          </w:p>
        </w:tc>
        <w:tc>
          <w:tcPr>
            <w:tcW w:w="4581" w:type="dxa"/>
            <w:tcBorders>
              <w:top w:val="nil"/>
              <w:left w:val="nil"/>
              <w:bottom w:val="single" w:sz="4" w:space="0" w:color="000000"/>
              <w:right w:val="single" w:sz="4" w:space="0" w:color="000000"/>
            </w:tcBorders>
            <w:shd w:val="clear" w:color="auto" w:fill="auto"/>
            <w:vAlign w:val="center"/>
          </w:tcPr>
          <w:p w14:paraId="1524B80B" w14:textId="77777777" w:rsidR="000D4F98" w:rsidRPr="005D588C" w:rsidRDefault="000D4F98" w:rsidP="00C37C0E">
            <w:pPr>
              <w:pStyle w:val="NCDTableText"/>
              <w:spacing w:before="60" w:after="60"/>
            </w:pPr>
            <w:r w:rsidRPr="005D588C">
              <w:t>National Center for Children in Poverty, Bank Street College of Education</w:t>
            </w:r>
          </w:p>
        </w:tc>
      </w:tr>
      <w:tr w:rsidR="000D4F98" w:rsidRPr="005D588C" w14:paraId="37485245" w14:textId="77777777" w:rsidTr="00C37C0E">
        <w:trPr>
          <w:trHeight w:val="315"/>
          <w:jc w:val="center"/>
        </w:trPr>
        <w:tc>
          <w:tcPr>
            <w:tcW w:w="2105" w:type="dxa"/>
            <w:tcBorders>
              <w:top w:val="nil"/>
              <w:left w:val="single" w:sz="4" w:space="0" w:color="000000"/>
              <w:bottom w:val="single" w:sz="4" w:space="0" w:color="000000"/>
              <w:right w:val="single" w:sz="4" w:space="0" w:color="000000"/>
            </w:tcBorders>
            <w:shd w:val="clear" w:color="auto" w:fill="auto"/>
            <w:vAlign w:val="center"/>
          </w:tcPr>
          <w:p w14:paraId="11317E5C" w14:textId="77777777" w:rsidR="000D4F98" w:rsidRPr="005D588C" w:rsidRDefault="000D4F98" w:rsidP="00C37C0E">
            <w:pPr>
              <w:pStyle w:val="NCDTableText"/>
              <w:spacing w:before="60" w:after="60"/>
            </w:pPr>
            <w:r w:rsidRPr="005D588C">
              <w:t>Suma Setty</w:t>
            </w:r>
          </w:p>
        </w:tc>
        <w:tc>
          <w:tcPr>
            <w:tcW w:w="2674" w:type="dxa"/>
            <w:tcBorders>
              <w:top w:val="nil"/>
              <w:left w:val="nil"/>
              <w:bottom w:val="single" w:sz="4" w:space="0" w:color="000000"/>
              <w:right w:val="single" w:sz="4" w:space="0" w:color="000000"/>
            </w:tcBorders>
            <w:shd w:val="clear" w:color="auto" w:fill="auto"/>
            <w:vAlign w:val="center"/>
          </w:tcPr>
          <w:p w14:paraId="32C956E8" w14:textId="77777777" w:rsidR="000D4F98" w:rsidRPr="005D588C" w:rsidRDefault="000D4F98" w:rsidP="00C37C0E">
            <w:pPr>
              <w:pStyle w:val="NCDTableText"/>
              <w:spacing w:before="60" w:after="60"/>
            </w:pPr>
            <w:r w:rsidRPr="005D588C">
              <w:t>Senior Research Associate</w:t>
            </w:r>
          </w:p>
        </w:tc>
        <w:tc>
          <w:tcPr>
            <w:tcW w:w="4581" w:type="dxa"/>
            <w:tcBorders>
              <w:top w:val="nil"/>
              <w:left w:val="nil"/>
              <w:bottom w:val="single" w:sz="4" w:space="0" w:color="000000"/>
              <w:right w:val="single" w:sz="4" w:space="0" w:color="000000"/>
            </w:tcBorders>
            <w:shd w:val="clear" w:color="auto" w:fill="auto"/>
            <w:vAlign w:val="center"/>
          </w:tcPr>
          <w:p w14:paraId="7117C0B2" w14:textId="77777777" w:rsidR="000D4F98" w:rsidRPr="005D588C" w:rsidRDefault="000D4F98" w:rsidP="00C37C0E">
            <w:pPr>
              <w:pStyle w:val="NCDTableText"/>
              <w:spacing w:before="60" w:after="60"/>
            </w:pPr>
            <w:r w:rsidRPr="005D588C">
              <w:t>National Center for Children in Poverty, Bank Street College of Education</w:t>
            </w:r>
          </w:p>
        </w:tc>
      </w:tr>
    </w:tbl>
    <w:p w14:paraId="5968738C" w14:textId="77777777" w:rsidR="00C37C0E" w:rsidRDefault="00C37C0E" w:rsidP="00C37C0E">
      <w:pPr>
        <w:pStyle w:val="Heading1"/>
      </w:pPr>
      <w:bookmarkStart w:id="221" w:name="_Toc83650945"/>
    </w:p>
    <w:p w14:paraId="1BDB10C9" w14:textId="77777777" w:rsidR="00C37C0E" w:rsidRDefault="00C37C0E">
      <w:pPr>
        <w:spacing w:after="160" w:line="259" w:lineRule="auto"/>
        <w:rPr>
          <w:rFonts w:cs="Arial"/>
          <w:b/>
          <w:sz w:val="36"/>
          <w:szCs w:val="32"/>
        </w:rPr>
      </w:pPr>
      <w:r>
        <w:br w:type="page"/>
      </w:r>
    </w:p>
    <w:p w14:paraId="5E92B4D7" w14:textId="77777777" w:rsidR="00C37C0E" w:rsidRDefault="00C37C0E">
      <w:pPr>
        <w:spacing w:after="160" w:line="259" w:lineRule="auto"/>
        <w:rPr>
          <w:rFonts w:cs="Arial"/>
          <w:b/>
          <w:sz w:val="36"/>
          <w:szCs w:val="32"/>
        </w:rPr>
      </w:pPr>
      <w:r>
        <w:lastRenderedPageBreak/>
        <w:br w:type="page"/>
      </w:r>
    </w:p>
    <w:p w14:paraId="0B69B9F0" w14:textId="3E1FA1E5" w:rsidR="000D4F98" w:rsidRPr="00537483" w:rsidRDefault="000D4F98" w:rsidP="00C37C0E">
      <w:pPr>
        <w:pStyle w:val="Heading1"/>
      </w:pPr>
      <w:bookmarkStart w:id="222" w:name="_Toc95237058"/>
      <w:r w:rsidRPr="00B83F10">
        <w:lastRenderedPageBreak/>
        <w:t>Appendix B: Questionnaire to State Directors of Developmental Disabilities Agencies</w:t>
      </w:r>
      <w:bookmarkEnd w:id="221"/>
      <w:bookmarkEnd w:id="222"/>
    </w:p>
    <w:p w14:paraId="5D13AFFA" w14:textId="77777777" w:rsidR="000D4F98" w:rsidRPr="00537483" w:rsidRDefault="000D4F98" w:rsidP="00A839D4">
      <w:pPr>
        <w:pStyle w:val="NCDBodyText"/>
        <w:spacing w:line="240" w:lineRule="auto"/>
      </w:pPr>
      <w:r w:rsidRPr="005D588C">
        <w:t xml:space="preserve">Purpose: This </w:t>
      </w:r>
      <w:r>
        <w:t>fifty</w:t>
      </w:r>
      <w:r w:rsidRPr="005D588C">
        <w:t xml:space="preserve">-state (and </w:t>
      </w:r>
      <w:r>
        <w:t xml:space="preserve">Washington, </w:t>
      </w:r>
      <w:r w:rsidRPr="005D588C">
        <w:t xml:space="preserve">DC) questionnaire is sponsored by the National Council on Disability and is meant to </w:t>
      </w:r>
      <w:r>
        <w:t xml:space="preserve">aid in </w:t>
      </w:r>
      <w:r w:rsidRPr="005D588C">
        <w:t>better understand</w:t>
      </w:r>
      <w:r>
        <w:t>ing</w:t>
      </w:r>
      <w:r w:rsidRPr="005D588C">
        <w:t xml:space="preserve"> how DD agencies coordinate care for adults with intellectual and developmental disabilities (IDD). We are also interested in learning about oral health benefits conferred to adults with IDD served by DD agencies in your state.</w:t>
      </w:r>
    </w:p>
    <w:p w14:paraId="260DCCDD" w14:textId="77777777" w:rsidR="000D4F98" w:rsidRPr="00537483" w:rsidRDefault="000D4F98" w:rsidP="00A839D4">
      <w:pPr>
        <w:pStyle w:val="NCDBodyText"/>
        <w:spacing w:line="240" w:lineRule="auto"/>
      </w:pPr>
      <w:r w:rsidRPr="005D588C">
        <w:t xml:space="preserve">Background: The Bank Street Graduate School of Education and the Health Policy Institute at the American Dental Association are conducting a </w:t>
      </w:r>
      <w:r>
        <w:t>ten</w:t>
      </w:r>
      <w:r w:rsidRPr="005D588C">
        <w:t>-month study funded by the National Council on Disability. The study focuses on Medicaid policies that cover oral health services and aims to identify best Medicaid-related practices and policies related to oral health care for adults with IDD.</w:t>
      </w:r>
    </w:p>
    <w:p w14:paraId="10C10FEA" w14:textId="138D73B8" w:rsidR="000D4F98" w:rsidRPr="00537483" w:rsidRDefault="000D4F98" w:rsidP="00A839D4">
      <w:pPr>
        <w:pStyle w:val="NCDBodyText"/>
        <w:spacing w:line="240" w:lineRule="auto"/>
      </w:pPr>
      <w:r w:rsidRPr="00257D88">
        <w:rPr>
          <w:i/>
        </w:rPr>
        <w:t>Security</w:t>
      </w:r>
      <w:r w:rsidRPr="005D588C">
        <w:t>: Qualtrics, this questionnaire platform, uses Transport Layer Security (TLS) encryption (also known as HTTPS) for all transmitted data (</w:t>
      </w:r>
      <w:r>
        <w:t>visit the website</w:t>
      </w:r>
      <w:r w:rsidRPr="005D588C">
        <w:t xml:space="preserve"> </w:t>
      </w:r>
      <w:hyperlink r:id="rId18" w:tooltip="https://www.qualtrics.com/security-statement/" w:history="1">
        <w:r w:rsidR="00F14312" w:rsidRPr="006D70C0">
          <w:rPr>
            <w:rStyle w:val="Hyperlink"/>
            <w:u w:color="0000FF"/>
          </w:rPr>
          <w:t>https://www.qualtrics.com/security-statement/</w:t>
        </w:r>
      </w:hyperlink>
      <w:r w:rsidR="00F14312">
        <w:t xml:space="preserve"> </w:t>
      </w:r>
      <w:r w:rsidRPr="00F14312">
        <w:t>f</w:t>
      </w:r>
      <w:r w:rsidRPr="005D588C">
        <w:t>or more details). Findings from this questionnaire may be reported at the national or state levels. We will only identify your state/agency name in our final report with your permission.</w:t>
      </w:r>
    </w:p>
    <w:p w14:paraId="598C3C6D" w14:textId="77777777" w:rsidR="000D4F98" w:rsidRPr="00537483" w:rsidRDefault="000D4F98" w:rsidP="00A839D4">
      <w:pPr>
        <w:pStyle w:val="NCDBodyText"/>
        <w:spacing w:line="240" w:lineRule="auto"/>
      </w:pPr>
      <w:r w:rsidRPr="005D588C">
        <w:rPr>
          <w:noProof/>
        </w:rPr>
        <mc:AlternateContent>
          <mc:Choice Requires="wps">
            <w:drawing>
              <wp:anchor distT="0" distB="0" distL="0" distR="0" simplePos="0" relativeHeight="251669504" behindDoc="1" locked="0" layoutInCell="1" allowOverlap="1" wp14:anchorId="28B4733D" wp14:editId="2F99F3D3">
                <wp:simplePos x="0" y="0"/>
                <wp:positionH relativeFrom="page">
                  <wp:posOffset>895985</wp:posOffset>
                </wp:positionH>
                <wp:positionV relativeFrom="paragraph">
                  <wp:posOffset>122555</wp:posOffset>
                </wp:positionV>
                <wp:extent cx="5980430" cy="0"/>
                <wp:effectExtent l="10160" t="11430" r="10160" b="7620"/>
                <wp:wrapTopAndBottom/>
                <wp:docPr id="65" name="Straight Connector 65" descr="rule"/>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0430" cy="0"/>
                        </a:xfrm>
                        <a:prstGeom prst="line">
                          <a:avLst/>
                        </a:prstGeom>
                        <a:noFill/>
                        <a:ln w="12192">
                          <a:solidFill>
                            <a:srgbClr val="CCCCCC"/>
                          </a:solidFill>
                          <a:prstDash val="sys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65" o:spid="_x0000_s1026" alt="Description: rule" style="position:absolute;z-index:-2516469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55pt,9.65pt" to="541.45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" strokecolor="#ccc" strokeweight=".96pt">
                <v:stroke dashstyle="3 1"/>
                <w10:wrap type="topAndBottom" anchorx="page"/>
              </v:line>
            </w:pict>
          </mc:Fallback>
        </mc:AlternateContent>
      </w:r>
    </w:p>
    <w:p w14:paraId="73F7192E" w14:textId="77777777" w:rsidR="000D4F98" w:rsidRPr="00537483" w:rsidRDefault="000D4F98" w:rsidP="00A839D4">
      <w:pPr>
        <w:pStyle w:val="NCDBodyText"/>
        <w:spacing w:line="240" w:lineRule="auto"/>
      </w:pPr>
      <w:r w:rsidRPr="005D588C">
        <w:t>Q3 First and Last Name</w:t>
      </w:r>
    </w:p>
    <w:p w14:paraId="698DF604" w14:textId="77777777" w:rsidR="000D4F98" w:rsidRPr="00537483" w:rsidRDefault="000D4F98" w:rsidP="00A839D4">
      <w:pPr>
        <w:pStyle w:val="NCDBodyText"/>
        <w:spacing w:line="240" w:lineRule="auto"/>
      </w:pPr>
      <w:r w:rsidRPr="005D588C">
        <w:rPr>
          <w:noProof/>
        </w:rPr>
        <mc:AlternateContent>
          <mc:Choice Requires="wps">
            <w:drawing>
              <wp:anchor distT="0" distB="0" distL="0" distR="0" simplePos="0" relativeHeight="251670528" behindDoc="1" locked="0" layoutInCell="1" allowOverlap="1" wp14:anchorId="300BB16B" wp14:editId="674A4E5E">
                <wp:simplePos x="0" y="0"/>
                <wp:positionH relativeFrom="page">
                  <wp:posOffset>1169035</wp:posOffset>
                </wp:positionH>
                <wp:positionV relativeFrom="paragraph">
                  <wp:posOffset>184785</wp:posOffset>
                </wp:positionV>
                <wp:extent cx="4970780" cy="0"/>
                <wp:effectExtent l="6985" t="5715" r="13335" b="13335"/>
                <wp:wrapTopAndBottom/>
                <wp:docPr id="64" name="Straight Connector 64" descr="rule"/>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70780" cy="0"/>
                        </a:xfrm>
                        <a:prstGeom prst="line">
                          <a:avLst/>
                        </a:prstGeom>
                        <a:noFill/>
                        <a:ln w="8833">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64" o:spid="_x0000_s1026" alt="Description: rule" style="position:absolute;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92.05pt,14.55pt" to="483.45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" strokeweight=".24536mm">
                <w10:wrap type="topAndBottom" anchorx="page"/>
              </v:line>
            </w:pict>
          </mc:Fallback>
        </mc:AlternateContent>
      </w:r>
    </w:p>
    <w:p w14:paraId="0623DE7C" w14:textId="77777777" w:rsidR="000D4F98" w:rsidRPr="00537483" w:rsidRDefault="000D4F98" w:rsidP="00A839D4">
      <w:pPr>
        <w:pStyle w:val="NCDBodyText"/>
        <w:spacing w:line="240" w:lineRule="auto"/>
      </w:pPr>
      <w:r w:rsidRPr="005D588C">
        <w:rPr>
          <w:noProof/>
        </w:rPr>
        <mc:AlternateContent>
          <mc:Choice Requires="wps">
            <w:drawing>
              <wp:anchor distT="0" distB="0" distL="0" distR="0" simplePos="0" relativeHeight="251671552" behindDoc="1" locked="0" layoutInCell="1" allowOverlap="1" wp14:anchorId="23A65D7D" wp14:editId="28AD6708">
                <wp:simplePos x="0" y="0"/>
                <wp:positionH relativeFrom="page">
                  <wp:posOffset>895985</wp:posOffset>
                </wp:positionH>
                <wp:positionV relativeFrom="paragraph">
                  <wp:posOffset>106680</wp:posOffset>
                </wp:positionV>
                <wp:extent cx="5980430" cy="0"/>
                <wp:effectExtent l="10160" t="6985" r="10160" b="12065"/>
                <wp:wrapTopAndBottom/>
                <wp:docPr id="63" name="Straight Connector 63" descr="rule"/>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0430" cy="0"/>
                        </a:xfrm>
                        <a:prstGeom prst="line">
                          <a:avLst/>
                        </a:prstGeom>
                        <a:noFill/>
                        <a:ln w="12192">
                          <a:solidFill>
                            <a:srgbClr val="CCCCCC"/>
                          </a:solidFill>
                          <a:prstDash val="sys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63" o:spid="_x0000_s1026" alt="Description: rule" style="position:absolute;z-index:-2516449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55pt,8.4pt" to="541.45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" strokecolor="#ccc" strokeweight=".96pt">
                <v:stroke dashstyle="3 1"/>
                <w10:wrap type="topAndBottom" anchorx="page"/>
              </v:line>
            </w:pict>
          </mc:Fallback>
        </mc:AlternateContent>
      </w:r>
    </w:p>
    <w:p w14:paraId="291AE529" w14:textId="77777777" w:rsidR="000D4F98" w:rsidRPr="00537483" w:rsidRDefault="000D4F98" w:rsidP="00A839D4">
      <w:pPr>
        <w:pStyle w:val="NCDBodyText"/>
        <w:spacing w:line="240" w:lineRule="auto"/>
      </w:pPr>
      <w:r w:rsidRPr="005D588C">
        <w:t>Q4 Title/Role</w:t>
      </w:r>
    </w:p>
    <w:p w14:paraId="07D60C85" w14:textId="77777777" w:rsidR="000D4F98" w:rsidRPr="00537483" w:rsidRDefault="000D4F98" w:rsidP="00A839D4">
      <w:pPr>
        <w:pStyle w:val="NCDBodyText"/>
        <w:spacing w:line="240" w:lineRule="auto"/>
      </w:pPr>
      <w:r w:rsidRPr="005D588C">
        <w:rPr>
          <w:noProof/>
        </w:rPr>
        <mc:AlternateContent>
          <mc:Choice Requires="wps">
            <w:drawing>
              <wp:anchor distT="0" distB="0" distL="0" distR="0" simplePos="0" relativeHeight="251672576" behindDoc="1" locked="0" layoutInCell="1" allowOverlap="1" wp14:anchorId="53C58AAB" wp14:editId="1F56738D">
                <wp:simplePos x="0" y="0"/>
                <wp:positionH relativeFrom="page">
                  <wp:posOffset>1169035</wp:posOffset>
                </wp:positionH>
                <wp:positionV relativeFrom="paragraph">
                  <wp:posOffset>186690</wp:posOffset>
                </wp:positionV>
                <wp:extent cx="4970780" cy="0"/>
                <wp:effectExtent l="6985" t="9525" r="13335" b="9525"/>
                <wp:wrapTopAndBottom/>
                <wp:docPr id="62" name="Straight Connector 62" descr="rule"/>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70780" cy="0"/>
                        </a:xfrm>
                        <a:prstGeom prst="line">
                          <a:avLst/>
                        </a:prstGeom>
                        <a:noFill/>
                        <a:ln w="8833">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62" o:spid="_x0000_s1026" alt="Description: rule" style="position:absolute;z-index:-2516439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92.05pt,14.7pt" to="483.45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" strokeweight=".24536mm">
                <w10:wrap type="topAndBottom" anchorx="page"/>
              </v:line>
            </w:pict>
          </mc:Fallback>
        </mc:AlternateContent>
      </w:r>
    </w:p>
    <w:p w14:paraId="39AB0DC1" w14:textId="77777777" w:rsidR="000D4F98" w:rsidRPr="00537483" w:rsidRDefault="000D4F98" w:rsidP="00A839D4">
      <w:pPr>
        <w:pStyle w:val="NCDBodyText"/>
        <w:spacing w:line="240" w:lineRule="auto"/>
      </w:pPr>
      <w:r w:rsidRPr="005D588C">
        <w:rPr>
          <w:noProof/>
        </w:rPr>
        <mc:AlternateContent>
          <mc:Choice Requires="wps">
            <w:drawing>
              <wp:anchor distT="0" distB="0" distL="0" distR="0" simplePos="0" relativeHeight="251673600" behindDoc="1" locked="0" layoutInCell="1" allowOverlap="1" wp14:anchorId="44A9552C" wp14:editId="529BB34D">
                <wp:simplePos x="0" y="0"/>
                <wp:positionH relativeFrom="page">
                  <wp:posOffset>895985</wp:posOffset>
                </wp:positionH>
                <wp:positionV relativeFrom="paragraph">
                  <wp:posOffset>104775</wp:posOffset>
                </wp:positionV>
                <wp:extent cx="5980430" cy="0"/>
                <wp:effectExtent l="10160" t="6985" r="10160" b="12065"/>
                <wp:wrapTopAndBottom/>
                <wp:docPr id="61" name="Straight Connector 61" descr="rule"/>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0430" cy="0"/>
                        </a:xfrm>
                        <a:prstGeom prst="line">
                          <a:avLst/>
                        </a:prstGeom>
                        <a:noFill/>
                        <a:ln w="12192">
                          <a:solidFill>
                            <a:srgbClr val="CCCCCC"/>
                          </a:solidFill>
                          <a:prstDash val="sys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61" o:spid="_x0000_s1026" alt="Description: rule" style="position:absolute;z-index:-2516428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55pt,8.25pt" to="541.45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" strokecolor="#ccc" strokeweight=".96pt">
                <v:stroke dashstyle="3 1"/>
                <w10:wrap type="topAndBottom" anchorx="page"/>
              </v:line>
            </w:pict>
          </mc:Fallback>
        </mc:AlternateContent>
      </w:r>
    </w:p>
    <w:p w14:paraId="723B6ADE" w14:textId="77777777" w:rsidR="000D4F98" w:rsidRPr="00537483" w:rsidRDefault="000D4F98" w:rsidP="00A839D4">
      <w:pPr>
        <w:pStyle w:val="NCDBodyText"/>
        <w:spacing w:line="240" w:lineRule="auto"/>
      </w:pPr>
      <w:r w:rsidRPr="005D588C">
        <w:t>Q5 Agency Name</w:t>
      </w:r>
    </w:p>
    <w:p w14:paraId="3EAB5185" w14:textId="77777777" w:rsidR="00C37C0E" w:rsidRDefault="000D4F98" w:rsidP="00A839D4">
      <w:pPr>
        <w:pStyle w:val="NCDBodyText"/>
        <w:spacing w:line="240" w:lineRule="auto"/>
      </w:pPr>
      <w:r w:rsidRPr="005D588C">
        <w:rPr>
          <w:noProof/>
        </w:rPr>
        <mc:AlternateContent>
          <mc:Choice Requires="wps">
            <w:drawing>
              <wp:anchor distT="0" distB="0" distL="0" distR="0" simplePos="0" relativeHeight="251674624" behindDoc="1" locked="0" layoutInCell="1" allowOverlap="1" wp14:anchorId="2BF6777B" wp14:editId="3A3A6AF6">
                <wp:simplePos x="0" y="0"/>
                <wp:positionH relativeFrom="page">
                  <wp:posOffset>1169035</wp:posOffset>
                </wp:positionH>
                <wp:positionV relativeFrom="paragraph">
                  <wp:posOffset>186690</wp:posOffset>
                </wp:positionV>
                <wp:extent cx="4971415" cy="0"/>
                <wp:effectExtent l="6985" t="11430" r="12700" b="7620"/>
                <wp:wrapTopAndBottom/>
                <wp:docPr id="60" name="Straight Connector 60" descr="rule"/>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71415" cy="0"/>
                        </a:xfrm>
                        <a:prstGeom prst="line">
                          <a:avLst/>
                        </a:prstGeom>
                        <a:noFill/>
                        <a:ln w="8833">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60" o:spid="_x0000_s1026" alt="Description: rule" style="position:absolute;z-index:-2516418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92.05pt,14.7pt" to="483.5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" strokeweight=".24536mm">
                <w10:wrap type="topAndBottom" anchorx="page"/>
              </v:line>
            </w:pict>
          </mc:Fallback>
        </mc:AlternateContent>
      </w:r>
    </w:p>
    <w:p w14:paraId="2BBD601A" w14:textId="1FB3FCBC" w:rsidR="000D4F98" w:rsidRPr="000C3A85" w:rsidRDefault="000D4F98" w:rsidP="00A839D4">
      <w:pPr>
        <w:pStyle w:val="NCDBodyText"/>
        <w:spacing w:line="240" w:lineRule="auto"/>
        <w:rPr>
          <w:b/>
          <w:i/>
        </w:rPr>
      </w:pPr>
      <w:r w:rsidRPr="000C3A85">
        <w:rPr>
          <w:b/>
          <w:i/>
          <w:noProof/>
        </w:rPr>
        <mc:AlternateContent>
          <mc:Choice Requires="wps">
            <w:drawing>
              <wp:anchor distT="0" distB="0" distL="0" distR="0" simplePos="0" relativeHeight="251675648" behindDoc="1" locked="0" layoutInCell="1" allowOverlap="1" wp14:anchorId="5B64962E" wp14:editId="6E263EF9">
                <wp:simplePos x="0" y="0"/>
                <wp:positionH relativeFrom="page">
                  <wp:posOffset>895985</wp:posOffset>
                </wp:positionH>
                <wp:positionV relativeFrom="paragraph">
                  <wp:posOffset>310515</wp:posOffset>
                </wp:positionV>
                <wp:extent cx="5980430" cy="0"/>
                <wp:effectExtent l="10160" t="12700" r="10160" b="6350"/>
                <wp:wrapTopAndBottom/>
                <wp:docPr id="59" name="Straight Connector 59" descr="rule"/>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0430" cy="0"/>
                        </a:xfrm>
                        <a:prstGeom prst="line">
                          <a:avLst/>
                        </a:prstGeom>
                        <a:noFill/>
                        <a:ln w="12179">
                          <a:solidFill>
                            <a:srgbClr val="CCCCC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59" o:spid="_x0000_s1026" alt="Description: rule" style="position:absolute;z-index:-2516408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55pt,24.45pt" to="541.45pt,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" strokecolor="#ccc" strokeweight=".33831mm">
                <w10:wrap type="topAndBottom" anchorx="page"/>
              </v:line>
            </w:pict>
          </mc:Fallback>
        </mc:AlternateContent>
      </w:r>
      <w:r w:rsidR="00401D57" w:rsidRPr="000C3A85">
        <w:rPr>
          <w:b/>
          <w:i/>
        </w:rPr>
        <w:t>End of Block: Default Question Block</w:t>
      </w:r>
    </w:p>
    <w:p w14:paraId="1B1C88F5" w14:textId="724E287E" w:rsidR="000D4F98" w:rsidRPr="000C3A85" w:rsidRDefault="00401D57" w:rsidP="00A839D4">
      <w:pPr>
        <w:pStyle w:val="NCDBodyText"/>
        <w:spacing w:line="240" w:lineRule="auto"/>
        <w:rPr>
          <w:i/>
        </w:rPr>
      </w:pPr>
      <w:r w:rsidRPr="000C3A85">
        <w:rPr>
          <w:b/>
          <w:i/>
        </w:rPr>
        <w:lastRenderedPageBreak/>
        <w:t>Start of Block: State</w:t>
      </w:r>
    </w:p>
    <w:p w14:paraId="30BEEBBB" w14:textId="77777777" w:rsidR="000D4F98" w:rsidRPr="00537483" w:rsidRDefault="000D4F98" w:rsidP="00A839D4">
      <w:pPr>
        <w:pStyle w:val="NCDBodyText"/>
        <w:spacing w:line="240" w:lineRule="auto"/>
      </w:pPr>
      <w:r w:rsidRPr="0074470A">
        <w:t>Q6 In which state do you currently reside?</w:t>
      </w:r>
    </w:p>
    <w:p w14:paraId="27663EC6" w14:textId="77777777" w:rsidR="000D4F98" w:rsidRPr="00537483" w:rsidRDefault="000D4F98" w:rsidP="00A839D4">
      <w:pPr>
        <w:pStyle w:val="NCDBodyText"/>
        <w:spacing w:line="240" w:lineRule="auto"/>
      </w:pPr>
      <w:r w:rsidRPr="005D588C">
        <w:rPr>
          <w:noProof/>
        </w:rPr>
        <mc:AlternateContent>
          <mc:Choice Requires="wps">
            <w:drawing>
              <wp:anchor distT="0" distB="0" distL="0" distR="0" simplePos="0" relativeHeight="251676672" behindDoc="1" locked="0" layoutInCell="1" allowOverlap="1" wp14:anchorId="51C05649" wp14:editId="5ABB123F">
                <wp:simplePos x="0" y="0"/>
                <wp:positionH relativeFrom="page">
                  <wp:posOffset>842645</wp:posOffset>
                </wp:positionH>
                <wp:positionV relativeFrom="paragraph">
                  <wp:posOffset>106045</wp:posOffset>
                </wp:positionV>
                <wp:extent cx="6087110" cy="268605"/>
                <wp:effectExtent l="13970" t="5715" r="13970" b="11430"/>
                <wp:wrapTopAndBottom/>
                <wp:docPr id="58" name="Text Box 58" descr="This answer field for the question &quot;In which state do you currently reside?&quot; would bring up a drop down list of all 50 states and D.C. The respondent could select one of the fields." title="State drop down list"/>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7110" cy="268605"/>
                        </a:xfrm>
                        <a:prstGeom prst="rect">
                          <a:avLst/>
                        </a:prstGeom>
                        <a:noFill/>
                        <a:ln w="6096">
                          <a:solidFill>
                            <a:srgbClr val="CCCCCC"/>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23FAC751" w14:textId="77777777" w:rsidR="00FA329E" w:rsidRPr="00537483" w:rsidRDefault="00FA329E" w:rsidP="000D4F98">
                            <w:pPr>
                              <w:pStyle w:val="BodyText"/>
                              <w:spacing w:before="79"/>
                              <w:ind w:left="107"/>
                              <w:rPr>
                                <w:sz w:val="24"/>
                                <w:szCs w:val="24"/>
                              </w:rPr>
                            </w:pPr>
                            <w:r>
                              <w:t xml:space="preserve">▼ </w:t>
                            </w:r>
                            <w:r w:rsidRPr="0074470A">
                              <w:rPr>
                                <w:sz w:val="24"/>
                                <w:szCs w:val="24"/>
                              </w:rPr>
                              <w:t>Alabama ... Wyoming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8" o:spid="_x0000_s1026" type="#_x0000_t202" alt="Title: State drop down list - Description: This answer field for the question &quot;In which state do you currently reside?&quot; would bring up a drop down list of all 50 states and D.C. The respondent could select one of the fields." style="position:absolute;margin-left:66.35pt;margin-top:8.35pt;width:479.3pt;height:21.15pt;z-index:-2516398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" filled="f" strokecolor="#ccc" strokeweight=".48pt">
                <v:textbox inset="0,0,0,0">
                  <w:txbxContent>
                    <w:p w14:paraId="23FAC751" w14:textId="77777777" w:rsidR="00FA329E" w:rsidRPr="00537483" w:rsidRDefault="00FA329E" w:rsidP="000D4F98">
                      <w:pPr>
                        <w:pStyle w:val="BodyText"/>
                        <w:spacing w:before="79"/>
                        <w:ind w:left="107"/>
                        <w:rPr>
                          <w:sz w:val="24"/>
                          <w:szCs w:val="24"/>
                        </w:rPr>
                      </w:pPr>
                      <w:r>
                        <w:t xml:space="preserve">▼ </w:t>
                      </w:r>
                      <w:r w:rsidRPr="0074470A">
                        <w:rPr>
                          <w:sz w:val="24"/>
                          <w:szCs w:val="24"/>
                        </w:rPr>
                        <w:t>Alabama ... Wyoming</w:t>
                      </w:r>
                    </w:p>
                  </w:txbxContent>
                </v:textbox>
                <w10:wrap type="topAndBottom" anchorx="page"/>
              </v:shape>
            </w:pict>
          </mc:Fallback>
        </mc:AlternateContent>
      </w:r>
    </w:p>
    <w:p w14:paraId="1883039B" w14:textId="100D49C6" w:rsidR="000D4F98" w:rsidRPr="000C3A85" w:rsidRDefault="000D4F98" w:rsidP="00A839D4">
      <w:pPr>
        <w:pStyle w:val="NCDBodyText"/>
        <w:spacing w:line="240" w:lineRule="auto"/>
        <w:rPr>
          <w:i/>
          <w:color w:val="auto"/>
        </w:rPr>
      </w:pPr>
      <w:r w:rsidRPr="000C3A85">
        <w:rPr>
          <w:i/>
          <w:noProof/>
          <w:color w:val="auto"/>
        </w:rPr>
        <mc:AlternateContent>
          <mc:Choice Requires="wps">
            <w:drawing>
              <wp:anchor distT="0" distB="0" distL="0" distR="0" simplePos="0" relativeHeight="251677696" behindDoc="1" locked="0" layoutInCell="1" allowOverlap="1" wp14:anchorId="55B7F206" wp14:editId="4C4ACDF8">
                <wp:simplePos x="0" y="0"/>
                <wp:positionH relativeFrom="page">
                  <wp:posOffset>895985</wp:posOffset>
                </wp:positionH>
                <wp:positionV relativeFrom="paragraph">
                  <wp:posOffset>251460</wp:posOffset>
                </wp:positionV>
                <wp:extent cx="5980430" cy="0"/>
                <wp:effectExtent l="10160" t="8890" r="10160" b="10160"/>
                <wp:wrapTopAndBottom/>
                <wp:docPr id="57" name="Straight Connector 57" descr="rule"/>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0430" cy="0"/>
                        </a:xfrm>
                        <a:prstGeom prst="line">
                          <a:avLst/>
                        </a:prstGeom>
                        <a:noFill/>
                        <a:ln w="12192">
                          <a:solidFill>
                            <a:srgbClr val="CCCCC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57" o:spid="_x0000_s1026" alt="Description: rule" style="position:absolute;z-index:-2516387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55pt,19.8pt" to="541.45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" strokecolor="#ccc" strokeweight=".96pt">
                <w10:wrap type="topAndBottom" anchorx="page"/>
              </v:line>
            </w:pict>
          </mc:Fallback>
        </mc:AlternateContent>
      </w:r>
      <w:r w:rsidR="00401D57" w:rsidRPr="000C3A85">
        <w:rPr>
          <w:b/>
          <w:i/>
          <w:color w:val="auto"/>
        </w:rPr>
        <w:t>End of Block: State</w:t>
      </w:r>
    </w:p>
    <w:p w14:paraId="752E0455" w14:textId="5A55264B" w:rsidR="000D4F98" w:rsidRPr="000C3A85" w:rsidRDefault="00401D57" w:rsidP="00A839D4">
      <w:pPr>
        <w:pStyle w:val="NCDBodyText"/>
        <w:spacing w:line="240" w:lineRule="auto"/>
        <w:rPr>
          <w:i/>
          <w:color w:val="auto"/>
        </w:rPr>
      </w:pPr>
      <w:r w:rsidRPr="000C3A85">
        <w:rPr>
          <w:b/>
          <w:i/>
          <w:color w:val="auto"/>
        </w:rPr>
        <w:t>Start of Block: Block 2</w:t>
      </w:r>
    </w:p>
    <w:p w14:paraId="01692579" w14:textId="390C15F3" w:rsidR="000D4F98" w:rsidRPr="00537483" w:rsidRDefault="00401D57" w:rsidP="00A839D4">
      <w:pPr>
        <w:pStyle w:val="NCDBodyText"/>
        <w:spacing w:line="240" w:lineRule="auto"/>
      </w:pPr>
      <w:r w:rsidRPr="00401D57">
        <w:rPr>
          <w:i/>
        </w:rPr>
        <w:t>Display Question 7: If Q6 = California Or Q6 =</w:t>
      </w:r>
      <w:r w:rsidRPr="00401D57">
        <w:rPr>
          <w:i/>
          <w:spacing w:val="-8"/>
        </w:rPr>
        <w:t xml:space="preserve"> </w:t>
      </w:r>
      <w:r w:rsidRPr="00401D57">
        <w:rPr>
          <w:i/>
        </w:rPr>
        <w:t xml:space="preserve">Colorado Or Q6 = </w:t>
      </w:r>
      <w:r w:rsidRPr="00401D57">
        <w:rPr>
          <w:i/>
          <w:spacing w:val="-3"/>
        </w:rPr>
        <w:t xml:space="preserve">Connecticut </w:t>
      </w:r>
      <w:r w:rsidRPr="00401D57">
        <w:rPr>
          <w:i/>
        </w:rPr>
        <w:t>Or Q6 =</w:t>
      </w:r>
      <w:r w:rsidRPr="00401D57">
        <w:rPr>
          <w:i/>
          <w:spacing w:val="-5"/>
        </w:rPr>
        <w:t xml:space="preserve"> D</w:t>
      </w:r>
      <w:r w:rsidRPr="00401D57">
        <w:rPr>
          <w:i/>
        </w:rPr>
        <w:t>elaware Or Q6 = District of Columbia Or Q6 = Idaho Or Q6 = Illinois Or Q6 = Iowa</w:t>
      </w:r>
    </w:p>
    <w:p w14:paraId="72850AFE" w14:textId="72D8652A" w:rsidR="00C37C0E" w:rsidRDefault="00401D57" w:rsidP="00A839D4">
      <w:pPr>
        <w:pStyle w:val="NCDBodyText"/>
        <w:spacing w:line="240" w:lineRule="auto"/>
      </w:pPr>
      <w:r w:rsidRPr="00401D57">
        <w:rPr>
          <w:i/>
        </w:rPr>
        <w:t>Or Q6 = Massachusetts Or Q6 = Montana Or Q6 = New Jersey Or Q6 = New Mexico Or Q6 = New York Or Q6 = North Carolina Or Q6 = North Dakota Or Q6 = Ohio Or Q6 = Oregon</w:t>
      </w:r>
    </w:p>
    <w:p w14:paraId="28EB8F31" w14:textId="77777777" w:rsidR="00C37C0E" w:rsidRDefault="000D4F98" w:rsidP="00A839D4">
      <w:pPr>
        <w:pStyle w:val="NCDBodyText"/>
        <w:spacing w:line="240" w:lineRule="auto"/>
      </w:pPr>
      <w:r w:rsidRPr="005D588C">
        <w:t xml:space="preserve">Q7 Our understanding is that your state provides extensive dental benefits to adults who are covered by Medicaid (see </w:t>
      </w:r>
      <w:hyperlink r:id="rId19">
        <w:r w:rsidRPr="00257D88">
          <w:rPr>
            <w:color w:val="0000FF"/>
            <w:u w:val="single" w:color="0079C0"/>
          </w:rPr>
          <w:t>D</w:t>
        </w:r>
      </w:hyperlink>
      <w:hyperlink r:id="rId20">
        <w:r w:rsidRPr="00257D88">
          <w:rPr>
            <w:color w:val="0000FF"/>
            <w:u w:val="single" w:color="0079C0"/>
          </w:rPr>
          <w:t>entaQuest's Jan 2020 Report</w:t>
        </w:r>
        <w:r w:rsidRPr="00257D88">
          <w:rPr>
            <w:color w:val="0000FF"/>
          </w:rPr>
          <w:t xml:space="preserve"> </w:t>
        </w:r>
      </w:hyperlink>
      <w:r w:rsidRPr="005D588C">
        <w:t>for more details on what constitutes “extensive”).</w:t>
      </w:r>
    </w:p>
    <w:p w14:paraId="27E3604F" w14:textId="77777777" w:rsidR="00C37C0E" w:rsidRDefault="000D4F98" w:rsidP="00A839D4">
      <w:pPr>
        <w:pStyle w:val="NCDBodyText"/>
        <w:spacing w:line="240" w:lineRule="auto"/>
      </w:pPr>
      <w:r w:rsidRPr="005D588C">
        <w:t>If adults with IDD served by your agency receive additional oral health services compared to the general Medicaid adult population (e.g., more dental cleanings covered by Medicaid, publicly</w:t>
      </w:r>
      <w:r>
        <w:t xml:space="preserve"> </w:t>
      </w:r>
      <w:r w:rsidRPr="005D588C">
        <w:t>funded clinics), how do you educate the people served by your agency and their family members and caregivers about these additional services?</w:t>
      </w:r>
    </w:p>
    <w:p w14:paraId="69587591" w14:textId="77777777" w:rsidR="00C37C0E" w:rsidRDefault="000D4F98" w:rsidP="00A839D4">
      <w:pPr>
        <w:pStyle w:val="NCDBodyText"/>
        <w:spacing w:line="240" w:lineRule="auto"/>
      </w:pPr>
      <w:r w:rsidRPr="005D588C">
        <w:t>If adults with IDD served by your agency do not receive additional oral health ser</w:t>
      </w:r>
      <w:r>
        <w:t>vices, please type “N/A or none.”</w:t>
      </w:r>
    </w:p>
    <w:p w14:paraId="4C3C851D" w14:textId="58F27AA8" w:rsidR="000D4F98" w:rsidRPr="00537483" w:rsidRDefault="000D4F98" w:rsidP="00A839D4">
      <w:pPr>
        <w:pStyle w:val="NCDBodyText"/>
        <w:spacing w:line="240" w:lineRule="auto"/>
      </w:pPr>
      <w:r w:rsidRPr="005D588C">
        <w:rPr>
          <w:noProof/>
        </w:rPr>
        <mc:AlternateContent>
          <mc:Choice Requires="wps">
            <w:drawing>
              <wp:anchor distT="0" distB="0" distL="0" distR="0" simplePos="0" relativeHeight="251678720" behindDoc="1" locked="0" layoutInCell="1" allowOverlap="1" wp14:anchorId="2189A02A" wp14:editId="6CCC7224">
                <wp:simplePos x="0" y="0"/>
                <wp:positionH relativeFrom="page">
                  <wp:posOffset>1169035</wp:posOffset>
                </wp:positionH>
                <wp:positionV relativeFrom="paragraph">
                  <wp:posOffset>158115</wp:posOffset>
                </wp:positionV>
                <wp:extent cx="4971415" cy="0"/>
                <wp:effectExtent l="6985" t="5715" r="12700" b="13335"/>
                <wp:wrapTopAndBottom/>
                <wp:docPr id="55" name="Straight Connector 55" descr="rule"/>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71415" cy="0"/>
                        </a:xfrm>
                        <a:prstGeom prst="line">
                          <a:avLst/>
                        </a:prstGeom>
                        <a:noFill/>
                        <a:ln w="8833">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55" o:spid="_x0000_s1026" alt="Description: rule" style="position:absolute;z-index:-2516377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92.05pt,12.45pt" to="483.5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" strokeweight=".24536mm">
                <w10:wrap type="topAndBottom" anchorx="page"/>
              </v:line>
            </w:pict>
          </mc:Fallback>
        </mc:AlternateContent>
      </w:r>
    </w:p>
    <w:p w14:paraId="48CB7D88" w14:textId="7482DB5E" w:rsidR="000D4F98" w:rsidRPr="000C3A85" w:rsidRDefault="000D4F98" w:rsidP="00A839D4">
      <w:pPr>
        <w:pStyle w:val="NCDBodyText"/>
        <w:spacing w:line="240" w:lineRule="auto"/>
        <w:rPr>
          <w:i/>
        </w:rPr>
      </w:pPr>
      <w:r w:rsidRPr="000C3A85">
        <w:rPr>
          <w:i/>
          <w:noProof/>
        </w:rPr>
        <mc:AlternateContent>
          <mc:Choice Requires="wps">
            <w:drawing>
              <wp:anchor distT="0" distB="0" distL="0" distR="0" simplePos="0" relativeHeight="251679744" behindDoc="1" locked="0" layoutInCell="1" allowOverlap="1" wp14:anchorId="15E8C1D4" wp14:editId="7A43C11E">
                <wp:simplePos x="0" y="0"/>
                <wp:positionH relativeFrom="page">
                  <wp:posOffset>895985</wp:posOffset>
                </wp:positionH>
                <wp:positionV relativeFrom="paragraph">
                  <wp:posOffset>310515</wp:posOffset>
                </wp:positionV>
                <wp:extent cx="5980430" cy="0"/>
                <wp:effectExtent l="10160" t="10160" r="10160" b="8890"/>
                <wp:wrapTopAndBottom/>
                <wp:docPr id="50" name="Straight Connector 50" descr="rule"/>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0430" cy="0"/>
                        </a:xfrm>
                        <a:prstGeom prst="line">
                          <a:avLst/>
                        </a:prstGeom>
                        <a:noFill/>
                        <a:ln w="12179">
                          <a:solidFill>
                            <a:srgbClr val="CCCCC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50" o:spid="_x0000_s1026" alt="Description: rule" style="position:absolute;z-index:-2516367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55pt,24.45pt" to="541.45pt,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" strokecolor="#ccc" strokeweight=".33831mm">
                <w10:wrap type="topAndBottom" anchorx="page"/>
              </v:line>
            </w:pict>
          </mc:Fallback>
        </mc:AlternateContent>
      </w:r>
      <w:r w:rsidR="00401D57" w:rsidRPr="000C3A85">
        <w:rPr>
          <w:b/>
          <w:i/>
        </w:rPr>
        <w:t>End of Block: Block 2</w:t>
      </w:r>
    </w:p>
    <w:p w14:paraId="6A886316" w14:textId="7356337D" w:rsidR="00C37C0E" w:rsidRPr="000C3A85" w:rsidRDefault="00401D57" w:rsidP="00A839D4">
      <w:pPr>
        <w:pStyle w:val="NCDBodyText"/>
        <w:spacing w:line="240" w:lineRule="auto"/>
        <w:rPr>
          <w:i/>
        </w:rPr>
      </w:pPr>
      <w:r w:rsidRPr="000C3A85">
        <w:rPr>
          <w:b/>
          <w:i/>
        </w:rPr>
        <w:t>Start of Block: Block 3</w:t>
      </w:r>
    </w:p>
    <w:p w14:paraId="0B38D78D" w14:textId="5B7DBDD0" w:rsidR="00C37C0E" w:rsidRDefault="00401D57" w:rsidP="00A839D4">
      <w:pPr>
        <w:pStyle w:val="NCDBodyText"/>
        <w:spacing w:line="240" w:lineRule="auto"/>
      </w:pPr>
      <w:r w:rsidRPr="00401D57">
        <w:rPr>
          <w:i/>
        </w:rPr>
        <w:t xml:space="preserve">Display Question 8: If Q6 = Alaska Or Q6 = Arizona Or Q6 = Arkansas Or Q6 = Florida Or Q6 = Georgia Or Q6 = Hawaii Or Q6 = Indiana Or Q6 = Kansas Or Q6 = Kentucky Or Q6 = </w:t>
      </w:r>
      <w:r w:rsidRPr="00401D57">
        <w:rPr>
          <w:i/>
          <w:spacing w:val="-3"/>
        </w:rPr>
        <w:t xml:space="preserve">Louisiana </w:t>
      </w:r>
      <w:r w:rsidRPr="00401D57">
        <w:rPr>
          <w:i/>
        </w:rPr>
        <w:t>Or Q6 =</w:t>
      </w:r>
      <w:r w:rsidRPr="00401D57">
        <w:rPr>
          <w:i/>
          <w:spacing w:val="-3"/>
        </w:rPr>
        <w:t xml:space="preserve"> </w:t>
      </w:r>
      <w:r w:rsidRPr="00401D57">
        <w:rPr>
          <w:i/>
        </w:rPr>
        <w:t>Maine Or Q6 = Michigan Or Q6 = Minnesota Or Q6 = Mississippi Or Q6 = Nebraska Or Q6 = Nevada Or Q6 = New Hampshire Or Q6 = Oklahoma Or Q6 = Pennsylvania Or Q6 = South Carolina Or Q6 = South Dakota Or Q6 = Texas Or Q6 = Utah Or Q6 = Vermont Or Q6 = Virginia Or Q6 = West Virginia Or Q6 = Wyoming</w:t>
      </w:r>
    </w:p>
    <w:p w14:paraId="5256B22D" w14:textId="0D4E2D9F" w:rsidR="000D4F98" w:rsidRPr="00537483" w:rsidRDefault="000D4F98" w:rsidP="00A839D4">
      <w:pPr>
        <w:pStyle w:val="NCDBodyText"/>
        <w:spacing w:line="240" w:lineRule="auto"/>
      </w:pPr>
      <w:r w:rsidRPr="005D588C">
        <w:lastRenderedPageBreak/>
        <w:t xml:space="preserve">Q8 Our understanding is that your state provides limited or emergency-only dental benefits to adults who are covered by Medicaid (see </w:t>
      </w:r>
      <w:hyperlink r:id="rId21">
        <w:r w:rsidRPr="00257D88">
          <w:rPr>
            <w:color w:val="0000FF"/>
            <w:u w:val="single" w:color="0079C0"/>
          </w:rPr>
          <w:t>DentaQuest's Jan 2020 Report</w:t>
        </w:r>
        <w:r w:rsidRPr="005D588C">
          <w:rPr>
            <w:color w:val="0079C0"/>
          </w:rPr>
          <w:t xml:space="preserve"> </w:t>
        </w:r>
      </w:hyperlink>
      <w:r w:rsidRPr="005D588C">
        <w:t>for more details on what constitutes “limited and emergency-only”).</w:t>
      </w:r>
    </w:p>
    <w:p w14:paraId="29A4AA74" w14:textId="77777777" w:rsidR="00C37C0E" w:rsidRDefault="000D4F98" w:rsidP="00A839D4">
      <w:pPr>
        <w:pStyle w:val="NCDBodyText"/>
        <w:spacing w:line="240" w:lineRule="auto"/>
      </w:pPr>
      <w:r w:rsidRPr="005D588C">
        <w:t>If adults with IDD served by your agency receive additional oral health benefits compared to the general Medicaid adult population (e.g., additional covered dental cleanings), how do you educate the people served by your agency and their family members and caregivers about these additional</w:t>
      </w:r>
      <w:r w:rsidRPr="005D588C">
        <w:rPr>
          <w:spacing w:val="-1"/>
        </w:rPr>
        <w:t xml:space="preserve"> </w:t>
      </w:r>
      <w:r w:rsidRPr="005D588C">
        <w:t>services?</w:t>
      </w:r>
    </w:p>
    <w:p w14:paraId="093A54B3" w14:textId="77777777" w:rsidR="00C37C0E" w:rsidRDefault="000D4F98" w:rsidP="00A839D4">
      <w:pPr>
        <w:pStyle w:val="NCDBodyText"/>
        <w:spacing w:line="240" w:lineRule="auto"/>
      </w:pPr>
      <w:r w:rsidRPr="005D588C">
        <w:t>If adults with IDD served by your agency do not receive additional oral health ser</w:t>
      </w:r>
      <w:r>
        <w:t>vices, please type “N/A or none.”</w:t>
      </w:r>
    </w:p>
    <w:p w14:paraId="152B2EBC" w14:textId="75C4CCCE" w:rsidR="000D4F98" w:rsidRPr="000C3A85" w:rsidRDefault="000D4F98" w:rsidP="00A839D4">
      <w:pPr>
        <w:pStyle w:val="NCDBodyText"/>
        <w:spacing w:line="240" w:lineRule="auto"/>
        <w:rPr>
          <w:i/>
        </w:rPr>
      </w:pPr>
      <w:r w:rsidRPr="000C3A85">
        <w:rPr>
          <w:i/>
          <w:noProof/>
        </w:rPr>
        <mc:AlternateContent>
          <mc:Choice Requires="wps">
            <w:drawing>
              <wp:anchor distT="0" distB="0" distL="0" distR="0" simplePos="0" relativeHeight="251680768" behindDoc="1" locked="0" layoutInCell="1" allowOverlap="1" wp14:anchorId="20F16ACE" wp14:editId="14548746">
                <wp:simplePos x="0" y="0"/>
                <wp:positionH relativeFrom="page">
                  <wp:posOffset>1169035</wp:posOffset>
                </wp:positionH>
                <wp:positionV relativeFrom="paragraph">
                  <wp:posOffset>158115</wp:posOffset>
                </wp:positionV>
                <wp:extent cx="4971415" cy="0"/>
                <wp:effectExtent l="6985" t="5715" r="12700" b="13335"/>
                <wp:wrapTopAndBottom/>
                <wp:docPr id="48" name="Straight Connector 48" descr="rule"/>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71415" cy="0"/>
                        </a:xfrm>
                        <a:prstGeom prst="line">
                          <a:avLst/>
                        </a:prstGeom>
                        <a:noFill/>
                        <a:ln w="8833">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8" o:spid="_x0000_s1026" alt="Description: rule" style="position:absolute;z-index:-2516357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92.05pt,12.45pt" to="483.5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" strokeweight=".24536mm">
                <w10:wrap type="topAndBottom" anchorx="page"/>
              </v:line>
            </w:pict>
          </mc:Fallback>
        </mc:AlternateContent>
      </w:r>
      <w:r w:rsidRPr="000C3A85">
        <w:rPr>
          <w:i/>
          <w:noProof/>
        </w:rPr>
        <mc:AlternateContent>
          <mc:Choice Requires="wps">
            <w:drawing>
              <wp:anchor distT="0" distB="0" distL="0" distR="0" simplePos="0" relativeHeight="251681792" behindDoc="1" locked="0" layoutInCell="1" allowOverlap="1" wp14:anchorId="22B1785B" wp14:editId="09D64726">
                <wp:simplePos x="0" y="0"/>
                <wp:positionH relativeFrom="page">
                  <wp:posOffset>895985</wp:posOffset>
                </wp:positionH>
                <wp:positionV relativeFrom="paragraph">
                  <wp:posOffset>310515</wp:posOffset>
                </wp:positionV>
                <wp:extent cx="5980430" cy="0"/>
                <wp:effectExtent l="10160" t="10160" r="10160" b="8890"/>
                <wp:wrapTopAndBottom/>
                <wp:docPr id="43" name="Straight Connector 43" descr="rule"/>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0430" cy="0"/>
                        </a:xfrm>
                        <a:prstGeom prst="line">
                          <a:avLst/>
                        </a:prstGeom>
                        <a:noFill/>
                        <a:ln w="12179">
                          <a:solidFill>
                            <a:srgbClr val="CCCCC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3" o:spid="_x0000_s1026" alt="Description: rule" style="position:absolute;z-index:-2516346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55pt,24.45pt" to="541.45pt,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" strokecolor="#ccc" strokeweight=".33831mm">
                <w10:wrap type="topAndBottom" anchorx="page"/>
              </v:line>
            </w:pict>
          </mc:Fallback>
        </mc:AlternateContent>
      </w:r>
      <w:r w:rsidR="00401D57" w:rsidRPr="000C3A85">
        <w:rPr>
          <w:b/>
          <w:i/>
        </w:rPr>
        <w:t>End of Block: Block 3</w:t>
      </w:r>
    </w:p>
    <w:p w14:paraId="50DC6C49" w14:textId="062155AF" w:rsidR="00C37C0E" w:rsidRPr="000C3A85" w:rsidRDefault="00401D57" w:rsidP="00A839D4">
      <w:pPr>
        <w:pStyle w:val="NCDBodyText"/>
        <w:spacing w:line="240" w:lineRule="auto"/>
        <w:rPr>
          <w:i/>
        </w:rPr>
      </w:pPr>
      <w:r w:rsidRPr="000C3A85">
        <w:rPr>
          <w:b/>
          <w:i/>
        </w:rPr>
        <w:t>Start of Block: Block 6</w:t>
      </w:r>
    </w:p>
    <w:p w14:paraId="4820223D" w14:textId="0FE7CC89" w:rsidR="00C37C0E" w:rsidRDefault="00401D57" w:rsidP="00A839D4">
      <w:pPr>
        <w:pStyle w:val="NCDBodyText"/>
        <w:spacing w:line="240" w:lineRule="auto"/>
      </w:pPr>
      <w:r w:rsidRPr="00401D57">
        <w:rPr>
          <w:i/>
        </w:rPr>
        <w:t>Display Question 9: If Q6 Alaska Or Q6 = Arizona Or Q6 = Arkansas Or Q6 =</w:t>
      </w:r>
      <w:r w:rsidRPr="00401D57">
        <w:rPr>
          <w:i/>
          <w:spacing w:val="-10"/>
        </w:rPr>
        <w:t xml:space="preserve"> </w:t>
      </w:r>
      <w:r w:rsidRPr="00401D57">
        <w:rPr>
          <w:i/>
        </w:rPr>
        <w:t>California Or Q6 =</w:t>
      </w:r>
      <w:r w:rsidRPr="00401D57">
        <w:rPr>
          <w:i/>
          <w:spacing w:val="-8"/>
        </w:rPr>
        <w:t xml:space="preserve"> </w:t>
      </w:r>
      <w:r w:rsidRPr="00401D57">
        <w:rPr>
          <w:i/>
        </w:rPr>
        <w:t>Colorado Or Q6 =</w:t>
      </w:r>
      <w:r w:rsidRPr="00401D57">
        <w:rPr>
          <w:i/>
          <w:spacing w:val="-18"/>
        </w:rPr>
        <w:t xml:space="preserve"> </w:t>
      </w:r>
      <w:r w:rsidRPr="00401D57">
        <w:rPr>
          <w:i/>
        </w:rPr>
        <w:t>Connecticut Or Q6 =</w:t>
      </w:r>
      <w:r w:rsidRPr="00401D57">
        <w:rPr>
          <w:i/>
          <w:spacing w:val="-5"/>
        </w:rPr>
        <w:t xml:space="preserve"> </w:t>
      </w:r>
      <w:r w:rsidRPr="00401D57">
        <w:rPr>
          <w:i/>
        </w:rPr>
        <w:t>Delaware Or Q6 = District of Columbia Or Q6 = Florida Or Q6 = Georgia Or Q6 = Hawaii Or Q6 = Illinois Or Q6 = Indiana Or Q6 = Iowa Or Q6 = Kansas Or Q6 = Kentucky Or Q6 = Louisiana Or Q6 = Maine Or Q6 = Massachusetts Or Q6 = Michigan Or Q6 = Minnesota Or Q6 = Mississippi Or Q6 = Missouri Or Q6 = Montana Or Q6 = Nebraska Or Q6 =</w:t>
      </w:r>
      <w:r w:rsidRPr="00401D57">
        <w:rPr>
          <w:i/>
          <w:spacing w:val="-5"/>
        </w:rPr>
        <w:t xml:space="preserve"> </w:t>
      </w:r>
      <w:r w:rsidRPr="00401D57">
        <w:rPr>
          <w:i/>
        </w:rPr>
        <w:t>Nevada Or Q6 = New Jersey Or Q6 = New Mexico Or Q6 = New York Or Q6 = North Carolina Or Q6 = North Dakota Or Q6 = Ohio Or Q6 = Oklahoma Or Q6 = Oregon Or Q6 = Pennsylvania Or Q6 = Rhode Island Or Q6 = South Carolina Or Q6 = South Dakota Or Q6 = Texas Or Q6 = Utah Or Q6 = Vermont Or Q6 = Virginia Or Q6 = Washington Or Q6 = West Virginia Or Q6 = Wisconsin Or Q6 = Wyoming</w:t>
      </w:r>
    </w:p>
    <w:p w14:paraId="6FC4D624" w14:textId="77777777" w:rsidR="00C37C0E" w:rsidRDefault="000D4F98" w:rsidP="00A839D4">
      <w:pPr>
        <w:pStyle w:val="NCDBodyText"/>
        <w:spacing w:line="240" w:lineRule="auto"/>
      </w:pPr>
      <w:r w:rsidRPr="005D588C">
        <w:t>Q9 How does your agency coordinate health care services for adults with IDD, particularly oral health care, wi</w:t>
      </w:r>
      <w:r>
        <w:t>th your state’s Medicaid agency</w:t>
      </w:r>
      <w:r w:rsidRPr="005D588C">
        <w:t xml:space="preserve"> (e.g., Do you have an MOU in place? Are there regularly scheduled meetings between the agencies? Are there regulations related to this coordination?)</w:t>
      </w:r>
      <w:r>
        <w:t>?</w:t>
      </w:r>
    </w:p>
    <w:p w14:paraId="18006981" w14:textId="13CE6351" w:rsidR="000D4F98" w:rsidRPr="00537483" w:rsidRDefault="000D4F98" w:rsidP="00A839D4">
      <w:pPr>
        <w:pStyle w:val="NCDBodyText"/>
        <w:spacing w:line="240" w:lineRule="auto"/>
      </w:pPr>
      <w:r w:rsidRPr="005D588C">
        <w:rPr>
          <w:noProof/>
        </w:rPr>
        <mc:AlternateContent>
          <mc:Choice Requires="wps">
            <w:drawing>
              <wp:anchor distT="0" distB="0" distL="0" distR="0" simplePos="0" relativeHeight="251682816" behindDoc="1" locked="0" layoutInCell="1" allowOverlap="1" wp14:anchorId="27D30A87" wp14:editId="7C74318D">
                <wp:simplePos x="0" y="0"/>
                <wp:positionH relativeFrom="page">
                  <wp:posOffset>1169035</wp:posOffset>
                </wp:positionH>
                <wp:positionV relativeFrom="paragraph">
                  <wp:posOffset>160655</wp:posOffset>
                </wp:positionV>
                <wp:extent cx="4970780" cy="0"/>
                <wp:effectExtent l="6985" t="13970" r="13335" b="5080"/>
                <wp:wrapTopAndBottom/>
                <wp:docPr id="40" name="Straight Connector 40" descr="rule"/>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70780" cy="0"/>
                        </a:xfrm>
                        <a:prstGeom prst="line">
                          <a:avLst/>
                        </a:prstGeom>
                        <a:noFill/>
                        <a:ln w="8833">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0" o:spid="_x0000_s1026" alt="Description: rule" style="position:absolute;z-index:-2516336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92.05pt,12.65pt" to="483.45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" strokeweight=".24536mm">
                <w10:wrap type="topAndBottom" anchorx="page"/>
              </v:line>
            </w:pict>
          </mc:Fallback>
        </mc:AlternateContent>
      </w:r>
    </w:p>
    <w:p w14:paraId="62DC33DB" w14:textId="5E545263" w:rsidR="000D4F98" w:rsidRPr="000C3A85" w:rsidRDefault="000D4F98" w:rsidP="00A839D4">
      <w:pPr>
        <w:pStyle w:val="NCDBodyText"/>
        <w:spacing w:line="240" w:lineRule="auto"/>
        <w:rPr>
          <w:i/>
        </w:rPr>
      </w:pPr>
      <w:r w:rsidRPr="000C3A85">
        <w:rPr>
          <w:i/>
          <w:noProof/>
        </w:rPr>
        <mc:AlternateContent>
          <mc:Choice Requires="wps">
            <w:drawing>
              <wp:anchor distT="0" distB="0" distL="0" distR="0" simplePos="0" relativeHeight="251683840" behindDoc="1" locked="0" layoutInCell="1" allowOverlap="1" wp14:anchorId="67B5D3FB" wp14:editId="109DE9A2">
                <wp:simplePos x="0" y="0"/>
                <wp:positionH relativeFrom="page">
                  <wp:posOffset>895985</wp:posOffset>
                </wp:positionH>
                <wp:positionV relativeFrom="paragraph">
                  <wp:posOffset>309245</wp:posOffset>
                </wp:positionV>
                <wp:extent cx="5980430" cy="0"/>
                <wp:effectExtent l="10160" t="6350" r="10160" b="12700"/>
                <wp:wrapTopAndBottom/>
                <wp:docPr id="35" name="Straight Connector 35" descr="rule"/>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0430" cy="0"/>
                        </a:xfrm>
                        <a:prstGeom prst="line">
                          <a:avLst/>
                        </a:prstGeom>
                        <a:noFill/>
                        <a:ln w="12179">
                          <a:solidFill>
                            <a:srgbClr val="CCCCC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5" o:spid="_x0000_s1026" alt="Description: rule" style="position:absolute;z-index:-251632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55pt,24.35pt" to="541.45pt,2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" strokecolor="#ccc" strokeweight=".33831mm">
                <w10:wrap type="topAndBottom" anchorx="page"/>
              </v:line>
            </w:pict>
          </mc:Fallback>
        </mc:AlternateContent>
      </w:r>
      <w:r w:rsidR="00401D57" w:rsidRPr="000C3A85">
        <w:rPr>
          <w:b/>
          <w:i/>
        </w:rPr>
        <w:t>End of Block: Block 6</w:t>
      </w:r>
    </w:p>
    <w:p w14:paraId="34BE4907" w14:textId="34DFD32B" w:rsidR="000D4F98" w:rsidRPr="000C3A85" w:rsidRDefault="00401D57" w:rsidP="00A839D4">
      <w:pPr>
        <w:pStyle w:val="NCDBodyText"/>
        <w:spacing w:line="240" w:lineRule="auto"/>
        <w:rPr>
          <w:i/>
        </w:rPr>
      </w:pPr>
      <w:r w:rsidRPr="000C3A85">
        <w:rPr>
          <w:b/>
          <w:i/>
        </w:rPr>
        <w:t>Start of Block: Block 4</w:t>
      </w:r>
    </w:p>
    <w:p w14:paraId="67F84237" w14:textId="5A4F4771" w:rsidR="00C37C0E" w:rsidRDefault="00401D57" w:rsidP="00A839D4">
      <w:pPr>
        <w:pStyle w:val="NCDBodyText"/>
        <w:spacing w:line="240" w:lineRule="auto"/>
      </w:pPr>
      <w:r w:rsidRPr="00401D57">
        <w:rPr>
          <w:i/>
        </w:rPr>
        <w:t>Display Question 10: If Q6 = Alabama Or Q6 = Maryland Or Q6 = Tennessee</w:t>
      </w:r>
    </w:p>
    <w:p w14:paraId="4057C3C0" w14:textId="77777777" w:rsidR="00C37C0E" w:rsidRDefault="000D4F98" w:rsidP="00A839D4">
      <w:pPr>
        <w:pStyle w:val="NCDBodyText"/>
        <w:spacing w:line="240" w:lineRule="auto"/>
      </w:pPr>
      <w:r w:rsidRPr="005D588C">
        <w:t xml:space="preserve">Q10 Our understanding is that your state does not provide dental benefits to adults who are covered by Medicaid (see </w:t>
      </w:r>
      <w:hyperlink r:id="rId22">
        <w:r w:rsidRPr="00257D88">
          <w:rPr>
            <w:color w:val="0000FF"/>
            <w:u w:val="single" w:color="0079C0"/>
          </w:rPr>
          <w:t>DentaQuest's Jan 2020 Report</w:t>
        </w:r>
      </w:hyperlink>
      <w:r w:rsidRPr="00257D88">
        <w:rPr>
          <w:color w:val="0000FF"/>
          <w:u w:val="single" w:color="0079C0"/>
        </w:rPr>
        <w:t xml:space="preserve">, </w:t>
      </w:r>
      <w:r w:rsidRPr="000E69C1">
        <w:rPr>
          <w:u w:color="0079C0"/>
        </w:rPr>
        <w:t>available at</w:t>
      </w:r>
      <w:r w:rsidRPr="00257D88">
        <w:rPr>
          <w:color w:val="0000FF"/>
          <w:u w:val="single" w:color="0079C0"/>
        </w:rPr>
        <w:t xml:space="preserve"> https://www.carequest.org/system/files/CareQuest-Institute-Health-Mouths-Why-They-Matter-for-Adults-and-State-Budgets-Brief.pdf</w:t>
      </w:r>
      <w:r w:rsidRPr="005D588C">
        <w:t>).</w:t>
      </w:r>
    </w:p>
    <w:p w14:paraId="71DCEB79" w14:textId="3A112F7E" w:rsidR="000D4F98" w:rsidRPr="00537483" w:rsidRDefault="000D4F98" w:rsidP="00A839D4">
      <w:pPr>
        <w:pStyle w:val="NCDBodyText"/>
        <w:spacing w:line="240" w:lineRule="auto"/>
      </w:pPr>
      <w:r w:rsidRPr="005D588C">
        <w:lastRenderedPageBreak/>
        <w:t>If adults with IDD served by your agency receive additional oral health services compared to the general population of adults covered by Medicaid, how do you educate</w:t>
      </w:r>
      <w:r w:rsidRPr="005D588C">
        <w:rPr>
          <w:spacing w:val="-44"/>
        </w:rPr>
        <w:t xml:space="preserve"> </w:t>
      </w:r>
      <w:r w:rsidRPr="005D588C">
        <w:t>the people served by your agency and caregivers about these additional</w:t>
      </w:r>
      <w:r w:rsidRPr="005D588C">
        <w:rPr>
          <w:spacing w:val="-7"/>
        </w:rPr>
        <w:t xml:space="preserve"> </w:t>
      </w:r>
      <w:r w:rsidRPr="005D588C">
        <w:t>services?</w:t>
      </w:r>
    </w:p>
    <w:p w14:paraId="7090B4FF" w14:textId="77777777" w:rsidR="00C37C0E" w:rsidRDefault="000D4F98" w:rsidP="00A839D4">
      <w:pPr>
        <w:pStyle w:val="NCDBodyText"/>
        <w:spacing w:line="240" w:lineRule="auto"/>
      </w:pPr>
      <w:r w:rsidRPr="005D588C">
        <w:t>If adults with IDD do not receive additional oral health ben</w:t>
      </w:r>
      <w:r>
        <w:t>efits please type “N/A or none.”</w:t>
      </w:r>
    </w:p>
    <w:p w14:paraId="241DE3CD" w14:textId="01FD6177" w:rsidR="000D4F98" w:rsidRPr="00537483" w:rsidRDefault="000D4F98" w:rsidP="00A839D4">
      <w:pPr>
        <w:pStyle w:val="NCDBodyText"/>
        <w:spacing w:line="240" w:lineRule="auto"/>
      </w:pPr>
      <w:r w:rsidRPr="005D588C">
        <w:rPr>
          <w:noProof/>
        </w:rPr>
        <mc:AlternateContent>
          <mc:Choice Requires="wps">
            <w:drawing>
              <wp:anchor distT="0" distB="0" distL="0" distR="0" simplePos="0" relativeHeight="251684864" behindDoc="1" locked="0" layoutInCell="1" allowOverlap="1" wp14:anchorId="126B5449" wp14:editId="1518A5A0">
                <wp:simplePos x="0" y="0"/>
                <wp:positionH relativeFrom="page">
                  <wp:posOffset>1169035</wp:posOffset>
                </wp:positionH>
                <wp:positionV relativeFrom="paragraph">
                  <wp:posOffset>184785</wp:posOffset>
                </wp:positionV>
                <wp:extent cx="4971415" cy="0"/>
                <wp:effectExtent l="6985" t="13335" r="12700" b="5715"/>
                <wp:wrapTopAndBottom/>
                <wp:docPr id="33" name="Straight Connector 33" descr="rule"/>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71415" cy="0"/>
                        </a:xfrm>
                        <a:prstGeom prst="line">
                          <a:avLst/>
                        </a:prstGeom>
                        <a:noFill/>
                        <a:ln w="8833">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3" o:spid="_x0000_s1026" alt="Description: rule" style="position:absolute;z-index:-251631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92.05pt,14.55pt" to="483.5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" strokeweight=".24536mm">
                <w10:wrap type="topAndBottom" anchorx="page"/>
              </v:line>
            </w:pict>
          </mc:Fallback>
        </mc:AlternateContent>
      </w:r>
    </w:p>
    <w:p w14:paraId="29B8F455" w14:textId="6072C1E5" w:rsidR="000D4F98" w:rsidRPr="000C3A85" w:rsidRDefault="000D4F98" w:rsidP="00A839D4">
      <w:pPr>
        <w:pStyle w:val="NCDBodyText"/>
        <w:spacing w:line="240" w:lineRule="auto"/>
        <w:rPr>
          <w:i/>
        </w:rPr>
      </w:pPr>
      <w:r w:rsidRPr="000C3A85">
        <w:rPr>
          <w:i/>
          <w:noProof/>
        </w:rPr>
        <mc:AlternateContent>
          <mc:Choice Requires="wps">
            <w:drawing>
              <wp:anchor distT="0" distB="0" distL="0" distR="0" simplePos="0" relativeHeight="251685888" behindDoc="1" locked="0" layoutInCell="1" allowOverlap="1" wp14:anchorId="547DB0B9" wp14:editId="6D96A052">
                <wp:simplePos x="0" y="0"/>
                <wp:positionH relativeFrom="page">
                  <wp:posOffset>895985</wp:posOffset>
                </wp:positionH>
                <wp:positionV relativeFrom="paragraph">
                  <wp:posOffset>309245</wp:posOffset>
                </wp:positionV>
                <wp:extent cx="5980430" cy="0"/>
                <wp:effectExtent l="10160" t="10160" r="10160" b="8890"/>
                <wp:wrapTopAndBottom/>
                <wp:docPr id="28" name="Straight Connector 28" descr="rule"/>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0430" cy="0"/>
                        </a:xfrm>
                        <a:prstGeom prst="line">
                          <a:avLst/>
                        </a:prstGeom>
                        <a:noFill/>
                        <a:ln w="12192">
                          <a:solidFill>
                            <a:srgbClr val="CCCCC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8" o:spid="_x0000_s1026" alt="Description: rule" style="position:absolute;z-index:-251630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55pt,24.35pt" to="541.45pt,2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" strokecolor="#ccc" strokeweight=".96pt">
                <w10:wrap type="topAndBottom" anchorx="page"/>
              </v:line>
            </w:pict>
          </mc:Fallback>
        </mc:AlternateContent>
      </w:r>
      <w:r w:rsidR="00401D57" w:rsidRPr="000C3A85">
        <w:rPr>
          <w:b/>
          <w:i/>
        </w:rPr>
        <w:t>End of Block: Block 4</w:t>
      </w:r>
    </w:p>
    <w:p w14:paraId="152B4260" w14:textId="58650EC3" w:rsidR="00C37C0E" w:rsidRPr="000C3A85" w:rsidRDefault="00401D57" w:rsidP="00A839D4">
      <w:pPr>
        <w:pStyle w:val="NCDBodyText"/>
        <w:spacing w:line="240" w:lineRule="auto"/>
        <w:rPr>
          <w:i/>
        </w:rPr>
      </w:pPr>
      <w:r w:rsidRPr="000C3A85">
        <w:rPr>
          <w:b/>
          <w:i/>
        </w:rPr>
        <w:t>Start of Block: Block 5</w:t>
      </w:r>
    </w:p>
    <w:p w14:paraId="4789CB7C" w14:textId="77777777" w:rsidR="00C37C0E" w:rsidRDefault="000D4F98" w:rsidP="00A839D4">
      <w:pPr>
        <w:pStyle w:val="NCDBodyText"/>
        <w:spacing w:line="240" w:lineRule="auto"/>
      </w:pPr>
      <w:r w:rsidRPr="005D588C">
        <w:t>Q11 If your agency has a budget for oral health-related services and activities for adults with IDD</w:t>
      </w:r>
      <w:r>
        <w:t>,</w:t>
      </w:r>
      <w:r w:rsidRPr="005D588C">
        <w:t xml:space="preserve"> please describe these services and activities and funding sources.</w:t>
      </w:r>
    </w:p>
    <w:p w14:paraId="7CBD9AF5" w14:textId="77777777" w:rsidR="00C37C0E" w:rsidRDefault="000D4F98" w:rsidP="00A839D4">
      <w:pPr>
        <w:pStyle w:val="NCDBodyText"/>
        <w:spacing w:line="240" w:lineRule="auto"/>
      </w:pPr>
      <w:r w:rsidRPr="005D588C">
        <w:rPr>
          <w:noProof/>
        </w:rPr>
        <mc:AlternateContent>
          <mc:Choice Requires="wps">
            <w:drawing>
              <wp:anchor distT="0" distB="0" distL="0" distR="0" simplePos="0" relativeHeight="251686912" behindDoc="1" locked="0" layoutInCell="1" allowOverlap="1" wp14:anchorId="6F517FA2" wp14:editId="469168A5">
                <wp:simplePos x="0" y="0"/>
                <wp:positionH relativeFrom="page">
                  <wp:posOffset>1169035</wp:posOffset>
                </wp:positionH>
                <wp:positionV relativeFrom="paragraph">
                  <wp:posOffset>198755</wp:posOffset>
                </wp:positionV>
                <wp:extent cx="4971415" cy="0"/>
                <wp:effectExtent l="6985" t="10795" r="12700" b="8255"/>
                <wp:wrapTopAndBottom/>
                <wp:docPr id="27" name="Straight Connector 27" descr="rule"/>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71415" cy="0"/>
                        </a:xfrm>
                        <a:prstGeom prst="line">
                          <a:avLst/>
                        </a:prstGeom>
                        <a:noFill/>
                        <a:ln w="8833">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7" o:spid="_x0000_s1026" alt="Description: rule" style="position:absolute;z-index:-251629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92.05pt,15.65pt" to="483.5pt,1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" strokeweight=".24536mm">
                <w10:wrap type="topAndBottom" anchorx="page"/>
              </v:line>
            </w:pict>
          </mc:Fallback>
        </mc:AlternateContent>
      </w:r>
    </w:p>
    <w:p w14:paraId="3ED87E80" w14:textId="0C503994" w:rsidR="000D4F98" w:rsidRPr="00537483" w:rsidRDefault="000D4F98" w:rsidP="00A839D4">
      <w:pPr>
        <w:pStyle w:val="NCDBodyText"/>
        <w:spacing w:line="240" w:lineRule="auto"/>
      </w:pPr>
      <w:r w:rsidRPr="005D588C">
        <w:rPr>
          <w:noProof/>
        </w:rPr>
        <mc:AlternateContent>
          <mc:Choice Requires="wps">
            <w:drawing>
              <wp:anchor distT="0" distB="0" distL="0" distR="0" simplePos="0" relativeHeight="251662336" behindDoc="0" locked="0" layoutInCell="1" allowOverlap="1" wp14:anchorId="51B87A48" wp14:editId="53684959">
                <wp:simplePos x="0" y="0"/>
                <wp:positionH relativeFrom="page">
                  <wp:posOffset>895985</wp:posOffset>
                </wp:positionH>
                <wp:positionV relativeFrom="paragraph">
                  <wp:posOffset>106680</wp:posOffset>
                </wp:positionV>
                <wp:extent cx="5980430" cy="0"/>
                <wp:effectExtent l="10160" t="10795" r="10160" b="8255"/>
                <wp:wrapTopAndBottom/>
                <wp:docPr id="22" name="Straight Connector 22" descr="rule"/>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0430" cy="0"/>
                        </a:xfrm>
                        <a:prstGeom prst="line">
                          <a:avLst/>
                        </a:prstGeom>
                        <a:noFill/>
                        <a:ln w="12192">
                          <a:solidFill>
                            <a:srgbClr val="CCCCCC"/>
                          </a:solidFill>
                          <a:prstDash val="sys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2" o:spid="_x0000_s1026" alt="Description: rule" style="position:absolute;z-index:2516623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55pt,8.4pt" to="541.45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" strokecolor="#ccc" strokeweight=".96pt">
                <v:stroke dashstyle="3 1"/>
                <w10:wrap type="topAndBottom" anchorx="page"/>
              </v:line>
            </w:pict>
          </mc:Fallback>
        </mc:AlternateContent>
      </w:r>
    </w:p>
    <w:p w14:paraId="303158BE" w14:textId="77777777" w:rsidR="00C37C0E" w:rsidRDefault="000D4F98" w:rsidP="00A839D4">
      <w:pPr>
        <w:pStyle w:val="NCDBodyText"/>
        <w:spacing w:line="240" w:lineRule="auto"/>
      </w:pPr>
      <w:r w:rsidRPr="005D588C">
        <w:t>Q12 From your perspective, what are the main barriers to oral health care for adults with IDD in your state?</w:t>
      </w:r>
    </w:p>
    <w:p w14:paraId="74B5B2ED" w14:textId="10EEB20D" w:rsidR="000D4F98" w:rsidRPr="00537483" w:rsidRDefault="000D4F98" w:rsidP="00A839D4">
      <w:pPr>
        <w:pStyle w:val="NCDBodyText"/>
        <w:spacing w:line="240" w:lineRule="auto"/>
      </w:pPr>
      <w:r w:rsidRPr="005D588C">
        <w:rPr>
          <w:noProof/>
        </w:rPr>
        <mc:AlternateContent>
          <mc:Choice Requires="wps">
            <w:drawing>
              <wp:anchor distT="0" distB="0" distL="0" distR="0" simplePos="0" relativeHeight="251663360" behindDoc="0" locked="0" layoutInCell="1" allowOverlap="1" wp14:anchorId="58DC12AD" wp14:editId="62D2B924">
                <wp:simplePos x="0" y="0"/>
                <wp:positionH relativeFrom="page">
                  <wp:posOffset>1169035</wp:posOffset>
                </wp:positionH>
                <wp:positionV relativeFrom="paragraph">
                  <wp:posOffset>160655</wp:posOffset>
                </wp:positionV>
                <wp:extent cx="4970780" cy="0"/>
                <wp:effectExtent l="6985" t="5715" r="13335" b="13335"/>
                <wp:wrapTopAndBottom/>
                <wp:docPr id="2" name="Straight Connector 2" descr="rule"/>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70780" cy="0"/>
                        </a:xfrm>
                        <a:prstGeom prst="line">
                          <a:avLst/>
                        </a:prstGeom>
                        <a:noFill/>
                        <a:ln w="8833">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alt="Description: rule" style="position:absolute;z-index:2516633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92.05pt,12.65pt" to="483.45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" strokeweight=".24536mm">
                <w10:wrap type="topAndBottom" anchorx="page"/>
              </v:line>
            </w:pict>
          </mc:Fallback>
        </mc:AlternateContent>
      </w:r>
    </w:p>
    <w:p w14:paraId="799E2B13" w14:textId="77777777" w:rsidR="000D4F98" w:rsidRPr="00537483" w:rsidRDefault="000D4F98" w:rsidP="00A839D4">
      <w:pPr>
        <w:pStyle w:val="NCDBodyText"/>
        <w:spacing w:line="240" w:lineRule="auto"/>
      </w:pPr>
      <w:r w:rsidRPr="005D588C">
        <w:rPr>
          <w:noProof/>
        </w:rPr>
        <mc:AlternateContent>
          <mc:Choice Requires="wps">
            <w:drawing>
              <wp:anchor distT="0" distB="0" distL="0" distR="0" simplePos="0" relativeHeight="251664384" behindDoc="0" locked="0" layoutInCell="1" allowOverlap="1" wp14:anchorId="66CC1510" wp14:editId="491583CD">
                <wp:simplePos x="0" y="0"/>
                <wp:positionH relativeFrom="page">
                  <wp:posOffset>895985</wp:posOffset>
                </wp:positionH>
                <wp:positionV relativeFrom="paragraph">
                  <wp:posOffset>120650</wp:posOffset>
                </wp:positionV>
                <wp:extent cx="5980430" cy="0"/>
                <wp:effectExtent l="10160" t="15240" r="10160" b="13335"/>
                <wp:wrapTopAndBottom/>
                <wp:docPr id="15" name="Straight Connector 15" descr="rule"/>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0430" cy="0"/>
                        </a:xfrm>
                        <a:prstGeom prst="line">
                          <a:avLst/>
                        </a:prstGeom>
                        <a:noFill/>
                        <a:ln w="12192">
                          <a:solidFill>
                            <a:srgbClr val="CCCCCC"/>
                          </a:solidFill>
                          <a:prstDash val="sys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5" o:spid="_x0000_s1026" alt="Description: rule" style="position:absolute;z-index:2516643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55pt,9.5pt" to="541.4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" strokecolor="#ccc" strokeweight=".96pt">
                <v:stroke dashstyle="3 1"/>
                <w10:wrap type="topAndBottom" anchorx="page"/>
              </v:line>
            </w:pict>
          </mc:Fallback>
        </mc:AlternateContent>
      </w:r>
    </w:p>
    <w:p w14:paraId="052A5375" w14:textId="77777777" w:rsidR="00C37C0E" w:rsidRDefault="000D4F98" w:rsidP="00A839D4">
      <w:pPr>
        <w:pStyle w:val="NCDBodyText"/>
        <w:spacing w:line="240" w:lineRule="auto"/>
      </w:pPr>
      <w:r w:rsidRPr="005D588C">
        <w:t>Q13 How do you go about including patients, and receiving their input, at your agency and intra-agency meetings concerning “the patient experience</w:t>
      </w:r>
      <w:r>
        <w:t>”</w:t>
      </w:r>
      <w:r w:rsidRPr="005D588C">
        <w:t>?</w:t>
      </w:r>
    </w:p>
    <w:p w14:paraId="0218B243" w14:textId="70263774" w:rsidR="000D4F98" w:rsidRPr="00537483" w:rsidRDefault="000D4F98" w:rsidP="00A839D4">
      <w:pPr>
        <w:pStyle w:val="NCDBodyText"/>
        <w:spacing w:line="240" w:lineRule="auto"/>
      </w:pPr>
      <w:r w:rsidRPr="005D588C">
        <w:rPr>
          <w:noProof/>
        </w:rPr>
        <mc:AlternateContent>
          <mc:Choice Requires="wps">
            <w:drawing>
              <wp:anchor distT="0" distB="0" distL="0" distR="0" simplePos="0" relativeHeight="251665408" behindDoc="0" locked="0" layoutInCell="1" allowOverlap="1" wp14:anchorId="430BB2B5" wp14:editId="596E34A0">
                <wp:simplePos x="0" y="0"/>
                <wp:positionH relativeFrom="page">
                  <wp:posOffset>1169035</wp:posOffset>
                </wp:positionH>
                <wp:positionV relativeFrom="paragraph">
                  <wp:posOffset>158750</wp:posOffset>
                </wp:positionV>
                <wp:extent cx="4970780" cy="0"/>
                <wp:effectExtent l="6985" t="6985" r="13335" b="12065"/>
                <wp:wrapTopAndBottom/>
                <wp:docPr id="14" name="Straight Connector 14" descr="rule"/>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70780" cy="0"/>
                        </a:xfrm>
                        <a:prstGeom prst="line">
                          <a:avLst/>
                        </a:prstGeom>
                        <a:noFill/>
                        <a:ln w="8833">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4" o:spid="_x0000_s1026" alt="Description: rule" style="position:absolute;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92.05pt,12.5pt" to="483.4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" strokeweight=".24536mm">
                <w10:wrap type="topAndBottom" anchorx="page"/>
              </v:line>
            </w:pict>
          </mc:Fallback>
        </mc:AlternateContent>
      </w:r>
    </w:p>
    <w:p w14:paraId="2B5E1546" w14:textId="77777777" w:rsidR="00C37C0E" w:rsidRDefault="000D4F98" w:rsidP="00A839D4">
      <w:pPr>
        <w:pStyle w:val="NCDBodyText"/>
        <w:spacing w:line="240" w:lineRule="auto"/>
      </w:pPr>
      <w:r w:rsidRPr="005D588C">
        <w:rPr>
          <w:noProof/>
        </w:rPr>
        <mc:AlternateContent>
          <mc:Choice Requires="wps">
            <w:drawing>
              <wp:anchor distT="0" distB="0" distL="0" distR="0" simplePos="0" relativeHeight="251666432" behindDoc="0" locked="0" layoutInCell="1" allowOverlap="1" wp14:anchorId="7AA841DD" wp14:editId="73E5C034">
                <wp:simplePos x="0" y="0"/>
                <wp:positionH relativeFrom="page">
                  <wp:posOffset>895985</wp:posOffset>
                </wp:positionH>
                <wp:positionV relativeFrom="paragraph">
                  <wp:posOffset>106680</wp:posOffset>
                </wp:positionV>
                <wp:extent cx="5980430" cy="0"/>
                <wp:effectExtent l="10160" t="8890" r="10160" b="10160"/>
                <wp:wrapTopAndBottom/>
                <wp:docPr id="9" name="Straight Connector 9" descr="rule"/>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0430" cy="0"/>
                        </a:xfrm>
                        <a:prstGeom prst="line">
                          <a:avLst/>
                        </a:prstGeom>
                        <a:noFill/>
                        <a:ln w="12192">
                          <a:solidFill>
                            <a:srgbClr val="CCCCCC"/>
                          </a:solidFill>
                          <a:prstDash val="sys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9" o:spid="_x0000_s1026" alt="Description: rule" style="position:absolute;z-index:2516664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55pt,8.4pt" to="541.45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" strokecolor="#ccc" strokeweight=".96pt">
                <v:stroke dashstyle="3 1"/>
                <w10:wrap type="topAndBottom" anchorx="page"/>
              </v:line>
            </w:pict>
          </mc:Fallback>
        </mc:AlternateContent>
      </w:r>
      <w:r w:rsidRPr="005D588C">
        <w:t xml:space="preserve">Q14 Would you be willing to speak with us over the phone for </w:t>
      </w:r>
      <w:r>
        <w:t xml:space="preserve">approximately thirty </w:t>
      </w:r>
      <w:r w:rsidRPr="005D588C">
        <w:t>minutes about oral health issues for adults with IDD in your state? Or is there someone else in your agency you would recommend we speak with (please add contact information below)?</w:t>
      </w:r>
    </w:p>
    <w:p w14:paraId="5609C57C" w14:textId="43D05BC9" w:rsidR="000D4F98" w:rsidRPr="00537483" w:rsidRDefault="000D4F98" w:rsidP="00A839D4">
      <w:pPr>
        <w:pStyle w:val="NCDBodyText"/>
        <w:spacing w:line="240" w:lineRule="auto"/>
      </w:pPr>
      <w:r w:rsidRPr="005D588C">
        <w:rPr>
          <w:noProof/>
        </w:rPr>
        <mc:AlternateContent>
          <mc:Choice Requires="wps">
            <w:drawing>
              <wp:anchor distT="0" distB="0" distL="0" distR="0" simplePos="0" relativeHeight="251667456" behindDoc="0" locked="0" layoutInCell="1" allowOverlap="1" wp14:anchorId="57F6A162" wp14:editId="500B822D">
                <wp:simplePos x="0" y="0"/>
                <wp:positionH relativeFrom="page">
                  <wp:posOffset>1169035</wp:posOffset>
                </wp:positionH>
                <wp:positionV relativeFrom="paragraph">
                  <wp:posOffset>161290</wp:posOffset>
                </wp:positionV>
                <wp:extent cx="4971415" cy="0"/>
                <wp:effectExtent l="6985" t="8255" r="12700" b="10795"/>
                <wp:wrapTopAndBottom/>
                <wp:docPr id="8" name="Straight Connector 8" descr="rule"/>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71415" cy="0"/>
                        </a:xfrm>
                        <a:prstGeom prst="line">
                          <a:avLst/>
                        </a:prstGeom>
                        <a:noFill/>
                        <a:ln w="8833">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8" o:spid="_x0000_s1026" alt="Description: rule" style="position:absolute;z-index:2516674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92.05pt,12.7pt" to="483.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" strokeweight=".24536mm">
                <w10:wrap type="topAndBottom" anchorx="page"/>
              </v:line>
            </w:pict>
          </mc:Fallback>
        </mc:AlternateContent>
      </w:r>
    </w:p>
    <w:p w14:paraId="4FEA1038" w14:textId="77777777" w:rsidR="000D4F98" w:rsidRPr="00537483" w:rsidRDefault="000D4F98" w:rsidP="00A839D4">
      <w:pPr>
        <w:pStyle w:val="NCDBodyText"/>
        <w:spacing w:line="240" w:lineRule="auto"/>
      </w:pPr>
      <w:r w:rsidRPr="005D588C">
        <w:rPr>
          <w:noProof/>
        </w:rPr>
        <w:lastRenderedPageBreak/>
        <mc:AlternateContent>
          <mc:Choice Requires="wps">
            <w:drawing>
              <wp:anchor distT="0" distB="0" distL="0" distR="0" simplePos="0" relativeHeight="251668480" behindDoc="0" locked="0" layoutInCell="1" allowOverlap="1" wp14:anchorId="5137B4BA" wp14:editId="648DD8C7">
                <wp:simplePos x="0" y="0"/>
                <wp:positionH relativeFrom="page">
                  <wp:posOffset>895985</wp:posOffset>
                </wp:positionH>
                <wp:positionV relativeFrom="paragraph">
                  <wp:posOffset>104775</wp:posOffset>
                </wp:positionV>
                <wp:extent cx="5980430" cy="0"/>
                <wp:effectExtent l="10160" t="15240" r="10160" b="13335"/>
                <wp:wrapTopAndBottom/>
                <wp:docPr id="3" name="Straight Connector 3" descr="rule"/>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0430" cy="0"/>
                        </a:xfrm>
                        <a:prstGeom prst="line">
                          <a:avLst/>
                        </a:prstGeom>
                        <a:noFill/>
                        <a:ln w="12192">
                          <a:solidFill>
                            <a:srgbClr val="CCCCCC"/>
                          </a:solidFill>
                          <a:prstDash val="sys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 o:spid="_x0000_s1026" alt="Description: rule" style="position:absolute;z-index:2516684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55pt,8.25pt" to="541.45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" strokecolor="#ccc" strokeweight=".96pt">
                <v:stroke dashstyle="3 1"/>
                <w10:wrap type="topAndBottom" anchorx="page"/>
              </v:line>
            </w:pict>
          </mc:Fallback>
        </mc:AlternateContent>
      </w:r>
      <w:r w:rsidRPr="005D588C">
        <w:t>Q15 Thank you for contributing your time to this important project to better understand oral health care services for adults with IDD.</w:t>
      </w:r>
    </w:p>
    <w:p w14:paraId="5E055E26" w14:textId="5A2C2937" w:rsidR="00C37C0E" w:rsidRDefault="00401D57" w:rsidP="00A839D4">
      <w:pPr>
        <w:pStyle w:val="NCDBodyText"/>
        <w:spacing w:line="240" w:lineRule="auto"/>
      </w:pPr>
      <w:r w:rsidRPr="00401D57">
        <w:rPr>
          <w:b/>
        </w:rPr>
        <w:t xml:space="preserve">For more information about this survey, please contact Suma Setty at </w:t>
      </w:r>
      <w:hyperlink r:id="rId23" w:tooltip="mailto:ssetty@bankstreet.edu">
        <w:r w:rsidRPr="00416497">
          <w:rPr>
            <w:b/>
            <w:color w:val="0000FF"/>
            <w:u w:val="single" w:color="0000FF"/>
          </w:rPr>
          <w:t>ssetty@bankstreet.edu</w:t>
        </w:r>
        <w:r w:rsidRPr="00401D57">
          <w:rPr>
            <w:b/>
          </w:rPr>
          <w:t>.</w:t>
        </w:r>
      </w:hyperlink>
    </w:p>
    <w:p w14:paraId="348C6569" w14:textId="77777777" w:rsidR="00C37C0E" w:rsidRDefault="00C37C0E">
      <w:pPr>
        <w:spacing w:after="160" w:line="259" w:lineRule="auto"/>
        <w:rPr>
          <w:rFonts w:cs="Arial"/>
          <w:b/>
          <w:sz w:val="36"/>
          <w:szCs w:val="32"/>
        </w:rPr>
      </w:pPr>
      <w:bookmarkStart w:id="223" w:name="_Toc83650946"/>
      <w:r>
        <w:br w:type="page"/>
      </w:r>
    </w:p>
    <w:p w14:paraId="725A52F0" w14:textId="77777777" w:rsidR="00C37C0E" w:rsidRDefault="00C37C0E">
      <w:pPr>
        <w:spacing w:after="160" w:line="259" w:lineRule="auto"/>
        <w:rPr>
          <w:rFonts w:cs="Arial"/>
          <w:b/>
          <w:sz w:val="36"/>
          <w:szCs w:val="32"/>
        </w:rPr>
      </w:pPr>
      <w:r>
        <w:lastRenderedPageBreak/>
        <w:br w:type="page"/>
      </w:r>
    </w:p>
    <w:p w14:paraId="1D37CE26" w14:textId="091B2B57" w:rsidR="000D4F98" w:rsidRPr="00537483" w:rsidRDefault="000D4F98" w:rsidP="00C37C0E">
      <w:pPr>
        <w:pStyle w:val="Heading1"/>
      </w:pPr>
      <w:bookmarkStart w:id="224" w:name="_Toc95237059"/>
      <w:r w:rsidRPr="00F441A3">
        <w:lastRenderedPageBreak/>
        <w:t xml:space="preserve">Appendix C: Details </w:t>
      </w:r>
      <w:r>
        <w:t>A</w:t>
      </w:r>
      <w:r w:rsidRPr="00F441A3">
        <w:t xml:space="preserve">bout the </w:t>
      </w:r>
      <w:r>
        <w:t>Fifty-S</w:t>
      </w:r>
      <w:r w:rsidRPr="00F441A3">
        <w:t>tate and DC Medicaid Oral Health Policy Database</w:t>
      </w:r>
      <w:bookmarkEnd w:id="223"/>
      <w:bookmarkEnd w:id="224"/>
    </w:p>
    <w:p w14:paraId="2D4C9D79" w14:textId="77777777" w:rsidR="000D4F98" w:rsidRPr="00537483" w:rsidRDefault="000D4F98" w:rsidP="00A839D4">
      <w:pPr>
        <w:pStyle w:val="NCDBodyText"/>
        <w:spacing w:line="240" w:lineRule="auto"/>
      </w:pPr>
      <w:r w:rsidRPr="006C0D7B">
        <w:t xml:space="preserve">The Medicaid Oral Health Policy Database (MOHPD) contains information relevant to Medicaid state policy and the oral health of adults with intellectual and/or developmental disabilities (I/DD) in each state and </w:t>
      </w:r>
      <w:r>
        <w:t xml:space="preserve">the </w:t>
      </w:r>
      <w:r w:rsidRPr="006C0D7B">
        <w:t xml:space="preserve">District of Columbia (DC). The MOHPD compiles original data collected from </w:t>
      </w:r>
      <w:r>
        <w:t>Centers for Medicare and Medicaid Services (</w:t>
      </w:r>
      <w:r w:rsidRPr="006C0D7B">
        <w:t>CMS</w:t>
      </w:r>
      <w:r>
        <w:t>)</w:t>
      </w:r>
      <w:r w:rsidRPr="006C0D7B">
        <w:t xml:space="preserve"> waiver applications and other materials and state Medicaid fee schedules, and consolidates relevant data from leading sources of information about oral health and Medicaid research, including </w:t>
      </w:r>
      <w:r>
        <w:t>t</w:t>
      </w:r>
      <w:r w:rsidRPr="006C0D7B">
        <w:t xml:space="preserve">he Kaiser Family Foundation, the American Dental Association’s Health Policy Institute, the Medicaid/Medicare/CHIP Services Dental Association, and </w:t>
      </w:r>
      <w:r>
        <w:t xml:space="preserve">the U.S. </w:t>
      </w:r>
      <w:r w:rsidRPr="006C0D7B">
        <w:t>Bureau of Labor Statistics. </w:t>
      </w:r>
    </w:p>
    <w:p w14:paraId="5297F286" w14:textId="77777777" w:rsidR="000D4F98" w:rsidRPr="00537483" w:rsidRDefault="000D4F98" w:rsidP="00A839D4">
      <w:pPr>
        <w:pStyle w:val="NCDBodyText"/>
        <w:spacing w:line="240" w:lineRule="auto"/>
      </w:pPr>
      <w:r w:rsidRPr="006C0D7B">
        <w:t>To date, this is the only database that consolidates key information about Medicaid dental waiver programs and available Medicaid maximum fee</w:t>
      </w:r>
      <w:r>
        <w:t>-</w:t>
      </w:r>
      <w:r w:rsidRPr="006C0D7B">
        <w:t>for</w:t>
      </w:r>
      <w:r>
        <w:t>-</w:t>
      </w:r>
      <w:r w:rsidRPr="006C0D7B">
        <w:t xml:space="preserve">service (FFS) fees for select Code on Dental Procedures and Nomenclature (CDT) from all </w:t>
      </w:r>
      <w:r>
        <w:t>fifty</w:t>
      </w:r>
      <w:r w:rsidRPr="006C0D7B">
        <w:t xml:space="preserve"> states and DC. The information on Medicaid dental waiver programs show</w:t>
      </w:r>
      <w:r>
        <w:t>s</w:t>
      </w:r>
      <w:r w:rsidRPr="006C0D7B">
        <w:t xml:space="preserve"> which states have decided to expand dental services for adults with I/DD, what dental benefits beyond those in the state plan are available under the waiver programs, and specifics about the populations granted expanded dental benefits under the waiver. For most 1915 waivers, there is additional information on the cost cap of dental services allowed per waiver enrollee and the number of enrollees per waiver year. FFS fees show whether a state has listed an amount for CDT codes relevant to the oral health of adults with I/DD, like behavior management (D9920), in their Medicaid fee schedule and the maximum reimbursement rate Medicaid will reimburse providers who bill for this service. </w:t>
      </w:r>
    </w:p>
    <w:p w14:paraId="6F64EC59" w14:textId="77777777" w:rsidR="000D4F98" w:rsidRPr="00537483" w:rsidRDefault="000D4F98" w:rsidP="00A839D4">
      <w:pPr>
        <w:pStyle w:val="NCDBodyText"/>
        <w:spacing w:line="240" w:lineRule="auto"/>
      </w:pPr>
      <w:r>
        <w:t>While the purpose of the CDT code is to “achieve uniformity, consistency and specificity in accurately documenting dental treatment,”</w:t>
      </w:r>
      <w:r>
        <w:rPr>
          <w:rStyle w:val="EndnoteReference"/>
          <w:rFonts w:eastAsiaTheme="majorEastAsia" w:cs="Arial"/>
        </w:rPr>
        <w:endnoteReference w:id="138"/>
      </w:r>
      <w:r>
        <w:t xml:space="preserve"> </w:t>
      </w:r>
      <w:r w:rsidRPr="006C0D7B">
        <w:t>codes may be applied differently state by state. For example</w:t>
      </w:r>
      <w:r>
        <w:t>,</w:t>
      </w:r>
      <w:r w:rsidRPr="006C0D7B">
        <w:t xml:space="preserve"> in New Mexico, </w:t>
      </w:r>
      <w:r>
        <w:t>the</w:t>
      </w:r>
      <w:r w:rsidRPr="006C0D7B">
        <w:t xml:space="preserve"> D9920-behavior management </w:t>
      </w:r>
      <w:r>
        <w:t xml:space="preserve">code </w:t>
      </w:r>
      <w:r w:rsidRPr="006C0D7B">
        <w:t>is reserved for use by dental providers who have completed a special needs care training program</w:t>
      </w:r>
      <w:r>
        <w:t>, which is not the case in other states</w:t>
      </w:r>
      <w:r w:rsidRPr="006C0D7B">
        <w:t>.</w:t>
      </w:r>
      <w:r>
        <w:rPr>
          <w:rStyle w:val="EndnoteReference"/>
          <w:rFonts w:eastAsiaTheme="majorEastAsia" w:cs="Arial"/>
        </w:rPr>
        <w:endnoteReference w:id="139"/>
      </w:r>
      <w:r w:rsidRPr="006C0D7B">
        <w:t xml:space="preserve"> Another example is Massachusetts, where fees for some dental codes are listed as Individual Consideration, or IC, meaning that some procedures would be reimbursed based on several factors such as the time required to perform the procedure and the severity and/or complexity of the patient’s condition, among others.</w:t>
      </w:r>
      <w:r>
        <w:rPr>
          <w:rStyle w:val="EndnoteReference"/>
          <w:rFonts w:eastAsiaTheme="majorEastAsia" w:cs="Arial"/>
        </w:rPr>
        <w:endnoteReference w:id="140"/>
      </w:r>
      <w:r w:rsidRPr="006C0D7B">
        <w:t xml:space="preserve"> In addition, some states may have different fee schedules for waiver program enrollees than the general population and/or different fees depending on the region of the state (e.g., Hawaii). The MOHPD displays FFS fees for the general adult population as found on publicly available Medicaid fee schedules. No Medicaid FFS dental fee schedules for the general adult population exist for states with no dental coverage for the general adult population, and fees were listed as n/a, or not applicable.</w:t>
      </w:r>
    </w:p>
    <w:p w14:paraId="5E5A0449" w14:textId="77777777" w:rsidR="004E689B" w:rsidRDefault="004E689B">
      <w:pPr>
        <w:spacing w:after="160" w:line="259" w:lineRule="auto"/>
        <w:rPr>
          <w:rFonts w:eastAsia="Calibri" w:cs="Calibri"/>
          <w:color w:val="000000"/>
          <w:szCs w:val="24"/>
          <w:u w:color="000000"/>
          <w:bdr w:val="nil"/>
        </w:rPr>
      </w:pPr>
      <w:r>
        <w:br w:type="page"/>
      </w:r>
    </w:p>
    <w:p w14:paraId="65079085" w14:textId="1D1F8C67" w:rsidR="000D4F98" w:rsidRPr="00537483" w:rsidRDefault="000D4F98" w:rsidP="00A839D4">
      <w:pPr>
        <w:pStyle w:val="NCDBodyText"/>
        <w:spacing w:line="240" w:lineRule="auto"/>
      </w:pPr>
      <w:r w:rsidRPr="006C0D7B">
        <w:lastRenderedPageBreak/>
        <w:t>The CDT Codes selected for inclusion in the MOHPD were</w:t>
      </w:r>
      <w:r>
        <w:t xml:space="preserve"> as follows</w:t>
      </w:r>
      <w:r w:rsidRPr="006C0D7B">
        <w:t>:</w:t>
      </w:r>
    </w:p>
    <w:p w14:paraId="6E402D5C" w14:textId="109BCCB7" w:rsidR="000D4F98" w:rsidRPr="00537483" w:rsidRDefault="000D4F98" w:rsidP="00A839D4">
      <w:pPr>
        <w:pStyle w:val="NCDAppendixNumberedLevel1"/>
        <w:numPr>
          <w:ilvl w:val="0"/>
          <w:numId w:val="14"/>
        </w:numPr>
        <w:ind w:left="360"/>
      </w:pPr>
      <w:r w:rsidRPr="006C0D7B">
        <w:t>the most common procedure codes for adults, as identified in prior research of the American Dental Association’s Health Policy Institute</w:t>
      </w:r>
      <w:r>
        <w:rPr>
          <w:rStyle w:val="EndnoteReference"/>
          <w:rFonts w:eastAsiaTheme="majorEastAsia" w:cs="Arial"/>
        </w:rPr>
        <w:endnoteReference w:id="141"/>
      </w:r>
      <w:r w:rsidRPr="006C0D7B">
        <w:t>;</w:t>
      </w:r>
    </w:p>
    <w:p w14:paraId="2F19039B" w14:textId="14A10BA4" w:rsidR="000D4F98" w:rsidRPr="00537483" w:rsidRDefault="000D4F98" w:rsidP="00A839D4">
      <w:pPr>
        <w:pStyle w:val="NCDAppendixNumberedLevel1"/>
        <w:numPr>
          <w:ilvl w:val="0"/>
          <w:numId w:val="14"/>
        </w:numPr>
        <w:ind w:left="360"/>
      </w:pPr>
      <w:r w:rsidRPr="006C0D7B">
        <w:t>related to prevention and/or arrest of dental disease such as nutritional and oral hygiene counseling, topical fluoride application, and silver diamine fluoride (SDF); and/or</w:t>
      </w:r>
    </w:p>
    <w:p w14:paraId="6DAC1B69" w14:textId="52E7EAC8" w:rsidR="000D4F98" w:rsidRPr="00537483" w:rsidRDefault="000D4F98" w:rsidP="00A839D4">
      <w:pPr>
        <w:pStyle w:val="NCDAppendixNumberedLevel1"/>
        <w:numPr>
          <w:ilvl w:val="0"/>
          <w:numId w:val="14"/>
        </w:numPr>
        <w:ind w:left="360"/>
      </w:pPr>
      <w:r w:rsidRPr="006C0D7B">
        <w:t>adjunctive services that</w:t>
      </w:r>
      <w:r>
        <w:t>—</w:t>
      </w:r>
      <w:r w:rsidRPr="006C0D7B">
        <w:t>when offered and paid for</w:t>
      </w:r>
      <w:r>
        <w:t>—</w:t>
      </w:r>
      <w:r w:rsidRPr="006C0D7B">
        <w:t>promote access to oral health care for the I/DD population, such as behavior management, case management, and teledentistry.</w:t>
      </w:r>
    </w:p>
    <w:p w14:paraId="07749EAD" w14:textId="767F3330" w:rsidR="000D4F98" w:rsidRPr="00537483" w:rsidRDefault="000D4F98" w:rsidP="00A839D4">
      <w:pPr>
        <w:pStyle w:val="NCDBodyText"/>
        <w:spacing w:line="240" w:lineRule="auto"/>
      </w:pPr>
      <w:r w:rsidRPr="006C0D7B">
        <w:t>The remainder of this appendix provides a brief explanation of relevant dimensions contained in the database.</w:t>
      </w:r>
    </w:p>
    <w:p w14:paraId="0712071B" w14:textId="790283D4" w:rsidR="000D4F98" w:rsidRPr="00416497" w:rsidRDefault="00401D57" w:rsidP="00A839D4">
      <w:pPr>
        <w:pStyle w:val="NCDBodyText"/>
        <w:spacing w:line="240" w:lineRule="auto"/>
        <w:rPr>
          <w:i/>
        </w:rPr>
      </w:pPr>
      <w:r w:rsidRPr="00416497">
        <w:rPr>
          <w:b/>
          <w:i/>
        </w:rPr>
        <w:t>Database Sections (correspond with tabs in Excel spreadsheet):</w:t>
      </w:r>
    </w:p>
    <w:p w14:paraId="59A756B9" w14:textId="77777777" w:rsidR="000D4F98" w:rsidRPr="00537483" w:rsidRDefault="000D4F98" w:rsidP="00A839D4">
      <w:pPr>
        <w:pStyle w:val="NCDBodyText"/>
        <w:spacing w:line="240" w:lineRule="auto"/>
      </w:pPr>
      <w:r w:rsidRPr="00CF46A9">
        <w:t>General Medicaid Characteristics</w:t>
      </w:r>
    </w:p>
    <w:p w14:paraId="03B6CEBA" w14:textId="77777777" w:rsidR="000D4F98" w:rsidRPr="00537483" w:rsidRDefault="000D4F98" w:rsidP="00A839D4">
      <w:pPr>
        <w:pStyle w:val="NCDBodyText"/>
        <w:spacing w:line="240" w:lineRule="auto"/>
      </w:pPr>
      <w:r w:rsidRPr="00CF46A9">
        <w:t>Waivers</w:t>
      </w:r>
    </w:p>
    <w:p w14:paraId="17256F0B" w14:textId="77777777" w:rsidR="000D4F98" w:rsidRPr="00537483" w:rsidRDefault="000D4F98" w:rsidP="00A839D4">
      <w:pPr>
        <w:pStyle w:val="NCDBodyText"/>
        <w:spacing w:line="240" w:lineRule="auto"/>
      </w:pPr>
      <w:r w:rsidRPr="00CF46A9">
        <w:t>Medicaid Fee-for-Service Fee Schedules</w:t>
      </w:r>
    </w:p>
    <w:p w14:paraId="1221B8B0" w14:textId="77777777" w:rsidR="000D4F98" w:rsidRPr="00537483" w:rsidRDefault="000D4F98" w:rsidP="00A839D4">
      <w:pPr>
        <w:pStyle w:val="NCDBodyText"/>
        <w:spacing w:line="240" w:lineRule="auto"/>
      </w:pPr>
      <w:r w:rsidRPr="00CF46A9">
        <w:t>Medicaid Fee Schedule and Frequency Sources</w:t>
      </w:r>
    </w:p>
    <w:p w14:paraId="32B6FA8D" w14:textId="77777777" w:rsidR="000D4F98" w:rsidRPr="00537483" w:rsidRDefault="000D4F98" w:rsidP="00A839D4">
      <w:pPr>
        <w:pStyle w:val="NCDBodyText"/>
        <w:spacing w:line="240" w:lineRule="auto"/>
      </w:pPr>
      <w:r w:rsidRPr="00CF46A9">
        <w:t>CDT Code Descriptors</w:t>
      </w:r>
    </w:p>
    <w:p w14:paraId="6CE63303" w14:textId="2FC1585D" w:rsidR="000D4F98" w:rsidRPr="00537483" w:rsidRDefault="00401D57" w:rsidP="00A839D4">
      <w:pPr>
        <w:pStyle w:val="NCDBodyText"/>
        <w:spacing w:line="240" w:lineRule="auto"/>
        <w:rPr>
          <w:b/>
          <w:i/>
        </w:rPr>
      </w:pPr>
      <w:bookmarkStart w:id="225" w:name="_Toc83650947"/>
      <w:r w:rsidRPr="00401D57">
        <w:rPr>
          <w:b/>
        </w:rPr>
        <w:t>General Medicaid Characteristics</w:t>
      </w:r>
      <w:bookmarkEnd w:id="225"/>
    </w:p>
    <w:p w14:paraId="3252893D" w14:textId="77777777" w:rsidR="000D4F98" w:rsidRPr="00537483" w:rsidRDefault="000D4F98" w:rsidP="00A839D4">
      <w:pPr>
        <w:pStyle w:val="NCDAppendixNumberedLevel1"/>
        <w:numPr>
          <w:ilvl w:val="0"/>
          <w:numId w:val="15"/>
        </w:numPr>
        <w:ind w:left="360"/>
      </w:pPr>
      <w:r>
        <w:t>Medicaid fee-for-service (FFS) reimbursement rates for adult dental care services as percentage of fees charged by dentists, 2016</w:t>
      </w:r>
    </w:p>
    <w:p w14:paraId="2367C4CD" w14:textId="77777777" w:rsidR="000D4F98" w:rsidRPr="00537483" w:rsidRDefault="000D4F98" w:rsidP="00A839D4">
      <w:pPr>
        <w:pStyle w:val="NCDAppendixNumberedLevel2"/>
      </w:pPr>
      <w:r>
        <w:t>Column B</w:t>
      </w:r>
    </w:p>
    <w:p w14:paraId="5EF5A591" w14:textId="77777777" w:rsidR="000D4F98" w:rsidRPr="00537483" w:rsidRDefault="000D4F98" w:rsidP="00A839D4">
      <w:pPr>
        <w:pStyle w:val="NCDAppendixNumberedLevel2"/>
      </w:pPr>
      <w:r>
        <w:t>Field: Percentage</w:t>
      </w:r>
    </w:p>
    <w:p w14:paraId="10DD9541" w14:textId="2010C9A8" w:rsidR="000D4F98" w:rsidRPr="00537483" w:rsidRDefault="000D4F98" w:rsidP="00A839D4">
      <w:pPr>
        <w:pStyle w:val="NCDAppendixNumberedLevel2"/>
      </w:pPr>
      <w:r>
        <w:t xml:space="preserve">Source of Data: </w:t>
      </w:r>
      <w:r w:rsidRPr="00F53E66">
        <w:rPr>
          <w:rFonts w:eastAsia="Arial"/>
        </w:rPr>
        <w:t>N. Gupta, C. Yarbrough, M. Vujicic, A. Blatz, and B. Harrison</w:t>
      </w:r>
      <w:r>
        <w:rPr>
          <w:rFonts w:eastAsia="Arial"/>
        </w:rPr>
        <w:t>,</w:t>
      </w:r>
      <w:r w:rsidRPr="00F53E66" w:rsidDel="00F53E66">
        <w:rPr>
          <w:rFonts w:eastAsia="Arial"/>
        </w:rPr>
        <w:t xml:space="preserve"> </w:t>
      </w:r>
      <w:r w:rsidR="00401D57" w:rsidRPr="00401D57">
        <w:rPr>
          <w:rFonts w:eastAsia="Arial"/>
          <w:i/>
          <w:iCs/>
        </w:rPr>
        <w:t xml:space="preserve">Medicaid Fee-For-Service Reimbursement Rates for Child and Adult Dental Care Services for All States, 2016 </w:t>
      </w:r>
      <w:r w:rsidRPr="00E316BB">
        <w:rPr>
          <w:rFonts w:eastAsia="Arial"/>
        </w:rPr>
        <w:t>(Chicago: Health Policy Institute, American Dental Association, 2017)</w:t>
      </w:r>
      <w:hyperlink w:history="1"/>
      <w:r w:rsidRPr="00E316BB">
        <w:rPr>
          <w:rFonts w:eastAsia="Arial"/>
        </w:rPr>
        <w:t>.</w:t>
      </w:r>
      <w:r>
        <w:rPr>
          <w:rFonts w:eastAsia="Arial"/>
        </w:rPr>
        <w:t xml:space="preserve"> </w:t>
      </w:r>
    </w:p>
    <w:p w14:paraId="1FB38F78" w14:textId="77777777" w:rsidR="000D4F98" w:rsidRPr="00537483" w:rsidRDefault="000D4F98" w:rsidP="00A839D4">
      <w:pPr>
        <w:pStyle w:val="NCDAppendixNumberedLevel2"/>
      </w:pPr>
      <w:r w:rsidRPr="00F441A3">
        <w:t xml:space="preserve">Explanation: Higher reimbursement rates may mean more dentists are available to serve Medicaid patients. </w:t>
      </w:r>
      <w:r>
        <w:t>Only collected for those classified as extensive dental benefits in 2016</w:t>
      </w:r>
    </w:p>
    <w:p w14:paraId="4693B28E" w14:textId="77777777" w:rsidR="000D4F98" w:rsidRPr="00537483" w:rsidRDefault="000D4F98" w:rsidP="00A839D4">
      <w:pPr>
        <w:pStyle w:val="NCDAppendixNumberedLevel1"/>
      </w:pPr>
      <w:r w:rsidRPr="00F441A3">
        <w:t xml:space="preserve">Medicaid FFS reimbursement rates for adult dental care services as </w:t>
      </w:r>
      <w:r>
        <w:t xml:space="preserve">percentage </w:t>
      </w:r>
      <w:r w:rsidRPr="00F441A3">
        <w:t>of private reimbursement for dental services, 2016</w:t>
      </w:r>
    </w:p>
    <w:p w14:paraId="2B35C1C3" w14:textId="77777777" w:rsidR="000D4F98" w:rsidRPr="00537483" w:rsidRDefault="000D4F98" w:rsidP="00A839D4">
      <w:pPr>
        <w:pStyle w:val="NCDAppendixNumberedLevel2"/>
      </w:pPr>
      <w:r w:rsidRPr="00F441A3">
        <w:t>Column C</w:t>
      </w:r>
    </w:p>
    <w:p w14:paraId="485716F4" w14:textId="77777777" w:rsidR="000D4F98" w:rsidRPr="00537483" w:rsidRDefault="000D4F98" w:rsidP="00A839D4">
      <w:pPr>
        <w:pStyle w:val="NCDAppendixNumberedLevel2"/>
      </w:pPr>
      <w:r w:rsidRPr="00F441A3">
        <w:t>Field: Percentage</w:t>
      </w:r>
    </w:p>
    <w:p w14:paraId="5018628F" w14:textId="55D5E1E3" w:rsidR="000D4F98" w:rsidRPr="00537483" w:rsidRDefault="000D4F98" w:rsidP="00A839D4">
      <w:pPr>
        <w:pStyle w:val="NCDAppendixNumberedLevel2"/>
      </w:pPr>
      <w:r w:rsidRPr="00F441A3">
        <w:lastRenderedPageBreak/>
        <w:t xml:space="preserve">Source: </w:t>
      </w:r>
      <w:r w:rsidRPr="004F014F">
        <w:t xml:space="preserve">Gupta et al., </w:t>
      </w:r>
      <w:r w:rsidR="00401D57" w:rsidRPr="00401D57">
        <w:rPr>
          <w:rFonts w:eastAsia="Arial"/>
          <w:i/>
          <w:iCs/>
        </w:rPr>
        <w:t>Medicaid Fee-For-Service Reimbursement</w:t>
      </w:r>
      <w:r w:rsidRPr="00E22657">
        <w:rPr>
          <w:rFonts w:eastAsia="Arial"/>
        </w:rPr>
        <w:t>, 2017.</w:t>
      </w:r>
      <w:r>
        <w:rPr>
          <w:rFonts w:eastAsia="Arial"/>
        </w:rPr>
        <w:t xml:space="preserve"> </w:t>
      </w:r>
    </w:p>
    <w:p w14:paraId="5289F292" w14:textId="77777777" w:rsidR="000D4F98" w:rsidRPr="00537483" w:rsidRDefault="000D4F98" w:rsidP="00A839D4">
      <w:pPr>
        <w:pStyle w:val="NCDAppendixNumberedLevel2"/>
      </w:pPr>
      <w:r w:rsidRPr="00F441A3">
        <w:t>Explanation: Higher reimbursement rates may mean more dentists are available to serve Medicaid patients.</w:t>
      </w:r>
    </w:p>
    <w:p w14:paraId="112BB717" w14:textId="77777777" w:rsidR="000D4F98" w:rsidRPr="00537483" w:rsidRDefault="000D4F98" w:rsidP="00A839D4">
      <w:pPr>
        <w:pStyle w:val="NCDAppendixNumberedLevel1"/>
      </w:pPr>
      <w:r w:rsidRPr="00F441A3">
        <w:t>As of September 8, 2021, has the state expanded Medicaid to 138</w:t>
      </w:r>
      <w:r>
        <w:t xml:space="preserve"> percent</w:t>
      </w:r>
      <w:r w:rsidRPr="00F441A3">
        <w:t xml:space="preserve"> of Federal Poverty Level for Adults?</w:t>
      </w:r>
    </w:p>
    <w:p w14:paraId="551B9DFC" w14:textId="77777777" w:rsidR="000D4F98" w:rsidRPr="00537483" w:rsidRDefault="000D4F98" w:rsidP="00A839D4">
      <w:pPr>
        <w:pStyle w:val="NCDAppendixNumberedLevel2"/>
      </w:pPr>
      <w:r w:rsidRPr="00F441A3">
        <w:t>Column D</w:t>
      </w:r>
    </w:p>
    <w:p w14:paraId="1F88A1F8" w14:textId="77777777" w:rsidR="000D4F98" w:rsidRPr="00537483" w:rsidRDefault="000D4F98" w:rsidP="00A839D4">
      <w:pPr>
        <w:pStyle w:val="NCDAppendixNumberedLevel2"/>
      </w:pPr>
      <w:r w:rsidRPr="00F441A3">
        <w:t>Field: Yes or No </w:t>
      </w:r>
    </w:p>
    <w:p w14:paraId="57BA5D44" w14:textId="7710DB05" w:rsidR="000D4F98" w:rsidRPr="00537483" w:rsidRDefault="000D4F98" w:rsidP="00A839D4">
      <w:pPr>
        <w:pStyle w:val="NCDAppendixNumberedLevel2"/>
      </w:pPr>
      <w:r w:rsidRPr="00F441A3">
        <w:t>Source: Kaiser Family Foundation</w:t>
      </w:r>
      <w:r>
        <w:t xml:space="preserve">, </w:t>
      </w:r>
      <w:r w:rsidR="00401D57" w:rsidRPr="00401D57">
        <w:rPr>
          <w:i/>
          <w:iCs/>
        </w:rPr>
        <w:t>Status of State Medicaid Expansion Decisions: Interactive Map</w:t>
      </w:r>
      <w:r>
        <w:t xml:space="preserve"> (</w:t>
      </w:r>
      <w:r w:rsidRPr="00F441A3">
        <w:t>October 1, 2020</w:t>
      </w:r>
      <w:r>
        <w:t>),</w:t>
      </w:r>
      <w:r w:rsidRPr="00F441A3">
        <w:t> </w:t>
      </w:r>
      <w:r>
        <w:t>accessed October 15, 2020,</w:t>
      </w:r>
      <w:hyperlink r:id="rId24" w:tooltip="https://www.kff.org/medicaid/issue-brief/status-of-state-medicaid-expansion-decisions-interactive-map/" w:history="1">
        <w:r w:rsidRPr="00F441A3">
          <w:rPr>
            <w:rStyle w:val="Hyperlink"/>
            <w:rFonts w:eastAsiaTheme="majorEastAsia" w:cs="Arial"/>
            <w:color w:val="000000"/>
          </w:rPr>
          <w:t xml:space="preserve"> </w:t>
        </w:r>
        <w:r w:rsidRPr="001412E0">
          <w:rPr>
            <w:rStyle w:val="Hyperlink"/>
            <w:rFonts w:eastAsiaTheme="majorEastAsia" w:cs="Arial"/>
            <w:color w:val="0000FF"/>
          </w:rPr>
          <w:t>https://www.kff.org/medicaid/issue-brief/status-of-state-medicaid-expansion-decisions-interactive-map/</w:t>
        </w:r>
      </w:hyperlink>
      <w:r w:rsidRPr="00F441A3">
        <w:t>.</w:t>
      </w:r>
    </w:p>
    <w:p w14:paraId="2398E00F" w14:textId="77777777" w:rsidR="000D4F98" w:rsidRPr="00537483" w:rsidRDefault="000D4F98" w:rsidP="00A839D4">
      <w:pPr>
        <w:pStyle w:val="NCDAppendixNumberedLevel2"/>
      </w:pPr>
      <w:r w:rsidRPr="00F441A3">
        <w:t>Explanation: More people being served by Medicaid</w:t>
      </w:r>
    </w:p>
    <w:p w14:paraId="3AD85792" w14:textId="77777777" w:rsidR="000D4F98" w:rsidRPr="00537483" w:rsidRDefault="000D4F98" w:rsidP="00A839D4">
      <w:pPr>
        <w:pStyle w:val="NCDAppendixNumberedLevel1"/>
      </w:pPr>
      <w:r>
        <w:t>Date of Medicaid expansion implementation, if applicable</w:t>
      </w:r>
    </w:p>
    <w:p w14:paraId="18A457C1" w14:textId="77777777" w:rsidR="000D4F98" w:rsidRPr="00537483" w:rsidRDefault="000D4F98" w:rsidP="00A839D4">
      <w:pPr>
        <w:pStyle w:val="NCDAppendixNumberedLevel2"/>
      </w:pPr>
      <w:r w:rsidRPr="00F441A3">
        <w:t>Column E</w:t>
      </w:r>
    </w:p>
    <w:p w14:paraId="73C7472D" w14:textId="74C39BB7" w:rsidR="000D4F98" w:rsidRPr="00537483" w:rsidRDefault="000D4F98" w:rsidP="00A839D4">
      <w:pPr>
        <w:pStyle w:val="NCDAppendixNumberedLevel2"/>
      </w:pPr>
      <w:r w:rsidRPr="00F441A3">
        <w:t>Source: Kaiser Family Foundation</w:t>
      </w:r>
      <w:r>
        <w:t xml:space="preserve">, </w:t>
      </w:r>
      <w:r w:rsidR="00401D57" w:rsidRPr="00401D57">
        <w:rPr>
          <w:i/>
          <w:iCs/>
        </w:rPr>
        <w:t>Status of State Medicaid Expansion Decisions: Interactive Map</w:t>
      </w:r>
      <w:r>
        <w:t xml:space="preserve"> (</w:t>
      </w:r>
      <w:r w:rsidRPr="00F441A3">
        <w:t>October 1, 2020</w:t>
      </w:r>
      <w:r>
        <w:t>),</w:t>
      </w:r>
      <w:r w:rsidRPr="00F441A3">
        <w:t> </w:t>
      </w:r>
      <w:r>
        <w:t>accessed October 15, 2020.</w:t>
      </w:r>
      <w:hyperlink r:id="rId25" w:tooltip="https://www.kff.org/medicaid/issue-brief/status-of-state-medicaid-expansion-decisions-interactive-map/" w:history="1">
        <w:r w:rsidRPr="00F441A3">
          <w:rPr>
            <w:rStyle w:val="Hyperlink"/>
            <w:rFonts w:eastAsiaTheme="majorEastAsia" w:cs="Arial"/>
            <w:color w:val="000000"/>
          </w:rPr>
          <w:t xml:space="preserve"> </w:t>
        </w:r>
        <w:r w:rsidRPr="001412E0">
          <w:rPr>
            <w:rStyle w:val="Hyperlink"/>
            <w:rFonts w:eastAsiaTheme="majorEastAsia" w:cs="Arial"/>
            <w:color w:val="0000FF"/>
          </w:rPr>
          <w:t>https://www.kff.org/medicaid/issue-brief/status-of-state-medicaid-expansion-decisions-interactive-map/</w:t>
        </w:r>
      </w:hyperlink>
      <w:r w:rsidRPr="00F441A3">
        <w:t>.</w:t>
      </w:r>
    </w:p>
    <w:p w14:paraId="3F026ECD" w14:textId="77777777" w:rsidR="000D4F98" w:rsidRPr="00537483" w:rsidRDefault="000D4F98" w:rsidP="00A839D4">
      <w:pPr>
        <w:pStyle w:val="NCDAppendixNumberedLevel1"/>
      </w:pPr>
      <w:r>
        <w:t>Is dental access delivered via fee for service, managed care, or both?</w:t>
      </w:r>
    </w:p>
    <w:p w14:paraId="5B618610" w14:textId="77777777" w:rsidR="000D4F98" w:rsidRPr="00537483" w:rsidRDefault="000D4F98" w:rsidP="00A839D4">
      <w:pPr>
        <w:pStyle w:val="NCDAppendixNumberedLevel2"/>
      </w:pPr>
      <w:r w:rsidRPr="00F441A3">
        <w:t>Column F</w:t>
      </w:r>
    </w:p>
    <w:p w14:paraId="4760FA9D" w14:textId="77777777" w:rsidR="000D4F98" w:rsidRPr="00537483" w:rsidRDefault="000D4F98" w:rsidP="00A839D4">
      <w:pPr>
        <w:pStyle w:val="NCDAppendixNumberedLevel2"/>
      </w:pPr>
      <w:r w:rsidRPr="00F441A3">
        <w:t>Fields: Fee For Service (FFS) and/or Managed Care (MC) </w:t>
      </w:r>
    </w:p>
    <w:p w14:paraId="6E7B3AF7" w14:textId="2D3F6848" w:rsidR="000D4F98" w:rsidRPr="00537483" w:rsidRDefault="000D4F98" w:rsidP="00A839D4">
      <w:pPr>
        <w:pStyle w:val="NCDAppendixNumberedLevel2"/>
      </w:pPr>
      <w:r w:rsidRPr="00F441A3">
        <w:t>Source: Medicaid/Medicare/CHIP Services Dental Association (MSDA)</w:t>
      </w:r>
      <w:r>
        <w:t>,</w:t>
      </w:r>
      <w:r w:rsidRPr="00F441A3">
        <w:t xml:space="preserve"> </w:t>
      </w:r>
      <w:r w:rsidR="00401D57" w:rsidRPr="00401D57">
        <w:rPr>
          <w:i/>
          <w:iCs/>
        </w:rPr>
        <w:t>2019 National Policy</w:t>
      </w:r>
      <w:r>
        <w:t>,</w:t>
      </w:r>
      <w:r w:rsidRPr="00F441A3">
        <w:t xml:space="preserve"> </w:t>
      </w:r>
      <w:r>
        <w:t>2019, accessed</w:t>
      </w:r>
      <w:r w:rsidRPr="00F441A3">
        <w:t xml:space="preserve"> October 2020</w:t>
      </w:r>
      <w:r>
        <w:t>.</w:t>
      </w:r>
      <w:r w:rsidRPr="00F441A3" w:rsidDel="006013E8">
        <w:t xml:space="preserve"> </w:t>
      </w:r>
      <w:hyperlink r:id="rId26" w:tooltip="https://www.msdanationalprofile.com/profiles/2019/national/all/policy" w:history="1">
        <w:r w:rsidRPr="001412E0">
          <w:rPr>
            <w:rStyle w:val="Hyperlink"/>
            <w:rFonts w:eastAsiaTheme="majorEastAsia" w:cs="Arial"/>
            <w:color w:val="0000FF"/>
          </w:rPr>
          <w:t>https://www.msdanationalprofile.com/profiles/2019/national/all/policy</w:t>
        </w:r>
      </w:hyperlink>
      <w:r w:rsidRPr="00286242">
        <w:rPr>
          <w:rStyle w:val="Hyperlink"/>
          <w:rFonts w:eastAsiaTheme="majorEastAsia" w:cs="Arial"/>
          <w:color w:val="auto"/>
          <w:u w:val="none"/>
        </w:rPr>
        <w:t xml:space="preserve"> (free account creation required to access)</w:t>
      </w:r>
      <w:r w:rsidRPr="00286242">
        <w:rPr>
          <w:rFonts w:eastAsiaTheme="majorEastAsia" w:cs="Arial"/>
        </w:rPr>
        <w:t>.</w:t>
      </w:r>
    </w:p>
    <w:p w14:paraId="0891FF15" w14:textId="77777777" w:rsidR="000D4F98" w:rsidRPr="00537483" w:rsidRDefault="000D4F98" w:rsidP="00A839D4">
      <w:pPr>
        <w:pStyle w:val="NCDAppendixNumberedLevel2"/>
      </w:pPr>
      <w:r w:rsidRPr="00F441A3">
        <w:t xml:space="preserve">Note about the MSDA source: MSDA surveys all </w:t>
      </w:r>
      <w:r>
        <w:t>fifty</w:t>
      </w:r>
      <w:r w:rsidRPr="00F441A3">
        <w:t xml:space="preserve"> state</w:t>
      </w:r>
      <w:r>
        <w:t>s</w:t>
      </w:r>
      <w:r w:rsidRPr="00F441A3">
        <w:t xml:space="preserve"> and DC Medicaid and CHIP Oral Health Programs. MSDA data collected in the MOHPD reflect</w:t>
      </w:r>
      <w:r>
        <w:t>s</w:t>
      </w:r>
      <w:r w:rsidRPr="00F441A3">
        <w:t xml:space="preserve"> the answers from that survey of state representatives. The latest available data is from 2019.</w:t>
      </w:r>
      <w:r>
        <w:t xml:space="preserve"> This column describes the delivery models for dental services to adults and children. If a state appears in the list for “Dental access under FFS,” then it was classified as FFS. If a state appears in the list for “Dental Access under Managed Care,” then it was classified as MC. If it appeared in both lists, it was classified as FFS and MC. In states classified as FFS and MC, some dental services are delivered FFS, and/or different populations may receive dental services through different delivery methods (FFS or MC).</w:t>
      </w:r>
    </w:p>
    <w:p w14:paraId="63F38AF0" w14:textId="77777777" w:rsidR="000D4F98" w:rsidRPr="00537483" w:rsidRDefault="000D4F98" w:rsidP="00A839D4">
      <w:pPr>
        <w:pStyle w:val="NCDAppendixNumberedLevel2"/>
      </w:pPr>
      <w:r w:rsidRPr="00F441A3">
        <w:lastRenderedPageBreak/>
        <w:t xml:space="preserve">Explanation: </w:t>
      </w:r>
      <w:r>
        <w:t>R</w:t>
      </w:r>
      <w:r w:rsidRPr="00F441A3">
        <w:t xml:space="preserve">eimbursement rates </w:t>
      </w:r>
      <w:r>
        <w:t xml:space="preserve">for dental services delivered via managed care </w:t>
      </w:r>
      <w:r w:rsidRPr="00F441A3">
        <w:t>are not publicly available.</w:t>
      </w:r>
      <w:r>
        <w:t xml:space="preserve"> </w:t>
      </w:r>
      <w:r w:rsidRPr="00F441A3">
        <w:t xml:space="preserve">Medicaid fee schedules reflect </w:t>
      </w:r>
      <w:r>
        <w:t>fees for dental services delivered via FFS</w:t>
      </w:r>
      <w:r w:rsidRPr="00F441A3">
        <w:t>.</w:t>
      </w:r>
    </w:p>
    <w:p w14:paraId="11260FE1" w14:textId="77777777" w:rsidR="000D4F98" w:rsidRPr="00537483" w:rsidRDefault="000D4F98" w:rsidP="00A839D4">
      <w:pPr>
        <w:pStyle w:val="NCDAppendixNumberedLevel1"/>
      </w:pPr>
      <w:r>
        <w:t xml:space="preserve">2021 NASHP classification of Medicaid adult dental coverage </w:t>
      </w:r>
    </w:p>
    <w:p w14:paraId="7C3BD36C" w14:textId="77777777" w:rsidR="000D4F98" w:rsidRPr="00537483" w:rsidRDefault="000D4F98" w:rsidP="00A839D4">
      <w:pPr>
        <w:pStyle w:val="NCDAppendixNumberedLevel2"/>
      </w:pPr>
      <w:r w:rsidRPr="00F441A3">
        <w:t>Column G</w:t>
      </w:r>
    </w:p>
    <w:p w14:paraId="1E2AC847" w14:textId="77777777" w:rsidR="000D4F98" w:rsidRPr="00537483" w:rsidRDefault="000D4F98" w:rsidP="00A839D4">
      <w:pPr>
        <w:pStyle w:val="NCDAppendixNumberedLevel2"/>
      </w:pPr>
      <w:r w:rsidRPr="00F441A3">
        <w:t>Fields: No Coverage, Emergency, Limited, Extensive</w:t>
      </w:r>
    </w:p>
    <w:p w14:paraId="6A5210CD" w14:textId="6DEA6ED2" w:rsidR="000D4F98" w:rsidRPr="00537483" w:rsidRDefault="000D4F98" w:rsidP="00A839D4">
      <w:pPr>
        <w:pStyle w:val="NCDAppendixNumberedLevel2"/>
      </w:pPr>
      <w:r w:rsidRPr="00F441A3">
        <w:t>Source:</w:t>
      </w:r>
      <w:r>
        <w:t xml:space="preserve"> </w:t>
      </w:r>
      <w:r w:rsidRPr="00F441A3">
        <w:t>National Academy for State Health Policy</w:t>
      </w:r>
      <w:r>
        <w:t xml:space="preserve">, </w:t>
      </w:r>
      <w:r w:rsidR="00401D57" w:rsidRPr="00401D57">
        <w:rPr>
          <w:i/>
          <w:iCs/>
        </w:rPr>
        <w:t>State Medicaid Coverage of Dental Services for General Adult and Pregnant Populations</w:t>
      </w:r>
      <w:r>
        <w:t xml:space="preserve"> (</w:t>
      </w:r>
      <w:r w:rsidRPr="00416497">
        <w:rPr>
          <w:rFonts w:eastAsiaTheme="majorEastAsia" w:cs="Arial"/>
        </w:rPr>
        <w:t xml:space="preserve">2021), accessed September 2021, </w:t>
      </w:r>
      <w:hyperlink r:id="rId27" w:tooltip="https://www.nashp.org/state-medicaid-coverage-of-dental-services-for-general-adult-and-pregnant-populations/" w:history="1">
        <w:r w:rsidRPr="00416497">
          <w:rPr>
            <w:rStyle w:val="Hyperlink"/>
            <w:rFonts w:eastAsiaTheme="majorEastAsia" w:cs="Arial"/>
          </w:rPr>
          <w:t>https://www.nashp.org/state-medicaid-coverage-of-dental-services-for-general-adult-and-pregnant-populations/.</w:t>
        </w:r>
      </w:hyperlink>
    </w:p>
    <w:p w14:paraId="695B6D79" w14:textId="77777777" w:rsidR="000D4F98" w:rsidRPr="00537483" w:rsidRDefault="000D4F98" w:rsidP="00A839D4">
      <w:pPr>
        <w:pStyle w:val="NCDAppendixNumberedLevel2"/>
      </w:pPr>
      <w:r w:rsidRPr="00F441A3">
        <w:t xml:space="preserve">Explanation: This is the latest classification of adult Medicaid dental benefits across all </w:t>
      </w:r>
      <w:r>
        <w:t>fifty</w:t>
      </w:r>
      <w:r w:rsidRPr="00F441A3">
        <w:t xml:space="preserve"> states and DC.</w:t>
      </w:r>
    </w:p>
    <w:p w14:paraId="7383B576" w14:textId="77777777" w:rsidR="000D4F98" w:rsidRPr="00537483" w:rsidRDefault="000D4F98" w:rsidP="00A839D4">
      <w:pPr>
        <w:pStyle w:val="NCDAppendixNumberedLevel1"/>
      </w:pPr>
      <w:r>
        <w:t>2018 CHCS classification of Medicaid adult dental coverage (general dental benefits for adults)</w:t>
      </w:r>
    </w:p>
    <w:p w14:paraId="1ED56F66" w14:textId="77777777" w:rsidR="000D4F98" w:rsidRPr="00537483" w:rsidRDefault="000D4F98" w:rsidP="00A839D4">
      <w:pPr>
        <w:pStyle w:val="NCDAppendixNumberedLevel2"/>
      </w:pPr>
      <w:r>
        <w:t>Column H</w:t>
      </w:r>
    </w:p>
    <w:p w14:paraId="7D1F555F" w14:textId="77777777" w:rsidR="000D4F98" w:rsidRPr="00537483" w:rsidRDefault="000D4F98" w:rsidP="00A839D4">
      <w:pPr>
        <w:pStyle w:val="NCDAppendixNumberedLevel2"/>
      </w:pPr>
      <w:r>
        <w:t xml:space="preserve">Fields: No coverage, </w:t>
      </w:r>
      <w:r w:rsidRPr="00F441A3">
        <w:t>Emergency</w:t>
      </w:r>
      <w:r>
        <w:t xml:space="preserve"> Only</w:t>
      </w:r>
      <w:r w:rsidRPr="00F441A3">
        <w:t>, Limited, Extensive</w:t>
      </w:r>
    </w:p>
    <w:p w14:paraId="361B1BFE" w14:textId="0640EFE1" w:rsidR="000D4F98" w:rsidRPr="00537483" w:rsidRDefault="000D4F98" w:rsidP="00A839D4">
      <w:pPr>
        <w:pStyle w:val="NCDAppendixNumberedLevel2"/>
      </w:pPr>
      <w:r>
        <w:t xml:space="preserve">Source: </w:t>
      </w:r>
      <w:r w:rsidR="00401D57" w:rsidRPr="00401D57">
        <w:rPr>
          <w:i/>
          <w:iCs/>
        </w:rPr>
        <w:t>Medicaid Adult Dental Benefits: An Overview</w:t>
      </w:r>
      <w:r w:rsidRPr="009E399F">
        <w:t xml:space="preserve"> (Hamilton</w:t>
      </w:r>
      <w:r>
        <w:t>, NJ</w:t>
      </w:r>
      <w:r w:rsidRPr="009E399F">
        <w:t>: Center for Health Care Strategies, Inc.</w:t>
      </w:r>
      <w:r>
        <w:t>, July 2018</w:t>
      </w:r>
      <w:r w:rsidRPr="009E399F">
        <w:t>),</w:t>
      </w:r>
      <w:r>
        <w:t xml:space="preserve"> </w:t>
      </w:r>
      <w:hyperlink r:id="rId28" w:tooltip="https://www.chcs.org/media/Adult-Oral-Health-Fact-Sheet_072718.pdf" w:history="1">
        <w:r w:rsidRPr="00B66945">
          <w:rPr>
            <w:rStyle w:val="Hyperlink"/>
            <w:rFonts w:eastAsia="Arial" w:cs="Arial"/>
          </w:rPr>
          <w:t>https://www.chcs.org/media/Adult-Oral-Health-Fact-Sheet_072718.pdf</w:t>
        </w:r>
      </w:hyperlink>
      <w:r w:rsidRPr="00760015">
        <w:t>.</w:t>
      </w:r>
    </w:p>
    <w:p w14:paraId="490DAA20" w14:textId="77777777" w:rsidR="000D4F98" w:rsidRPr="00537483" w:rsidRDefault="000D4F98" w:rsidP="00A839D4">
      <w:pPr>
        <w:pStyle w:val="NCDAppendixNumberedLevel2"/>
      </w:pPr>
      <w:r>
        <w:t xml:space="preserve">Explanation: The 2018 classification was used for </w:t>
      </w:r>
      <w:r w:rsidRPr="00F821DE">
        <w:t xml:space="preserve">Transformed Medicaid Statistical Information System </w:t>
      </w:r>
      <w:r>
        <w:t>(T-MSIS) analysis to align with the year of T-MSIS claims data.</w:t>
      </w:r>
    </w:p>
    <w:p w14:paraId="2C447913" w14:textId="77777777" w:rsidR="000D4F98" w:rsidRPr="00537483" w:rsidRDefault="000D4F98" w:rsidP="00A839D4">
      <w:pPr>
        <w:pStyle w:val="NCDAppendixNumberedLevel1"/>
      </w:pPr>
      <w:r>
        <w:t>Is behavior management covered for special populations? </w:t>
      </w:r>
    </w:p>
    <w:p w14:paraId="59E59382" w14:textId="77777777" w:rsidR="000D4F98" w:rsidRPr="00537483" w:rsidRDefault="000D4F98" w:rsidP="00A839D4">
      <w:pPr>
        <w:pStyle w:val="NCDAppendixNumberedLevel2"/>
      </w:pPr>
      <w:r w:rsidRPr="00F441A3">
        <w:t xml:space="preserve">Column </w:t>
      </w:r>
      <w:r>
        <w:t>I</w:t>
      </w:r>
    </w:p>
    <w:p w14:paraId="5758D89D" w14:textId="77777777" w:rsidR="000D4F98" w:rsidRPr="00537483" w:rsidRDefault="000D4F98" w:rsidP="00A839D4">
      <w:pPr>
        <w:pStyle w:val="NCDAppendixNumberedLevel2"/>
      </w:pPr>
      <w:r w:rsidRPr="00F441A3">
        <w:t>Fields: Yes/No</w:t>
      </w:r>
    </w:p>
    <w:p w14:paraId="067AD894" w14:textId="5FF09880" w:rsidR="000D4F98" w:rsidRPr="00537483" w:rsidRDefault="000D4F98" w:rsidP="00A839D4">
      <w:pPr>
        <w:pStyle w:val="NCDAppendixNumberedLevel2"/>
      </w:pPr>
      <w:r w:rsidRPr="00F441A3">
        <w:t>Source:</w:t>
      </w:r>
      <w:r w:rsidRPr="00161290">
        <w:t xml:space="preserve"> </w:t>
      </w:r>
      <w:r w:rsidRPr="00F441A3">
        <w:t>Medicaid/Medicare/CHIP Services Dental Association (MSDA)</w:t>
      </w:r>
      <w:r>
        <w:t>,</w:t>
      </w:r>
      <w:r w:rsidRPr="00F441A3">
        <w:t xml:space="preserve"> </w:t>
      </w:r>
      <w:r w:rsidR="00401D57" w:rsidRPr="00401D57">
        <w:rPr>
          <w:i/>
          <w:iCs/>
        </w:rPr>
        <w:t>MSDA National Profile: Benefits, D9920-Behavior Management</w:t>
      </w:r>
      <w:r>
        <w:t xml:space="preserve"> (2019), accessed</w:t>
      </w:r>
      <w:r w:rsidRPr="00F441A3">
        <w:t xml:space="preserve"> October 2020</w:t>
      </w:r>
      <w:r>
        <w:t>,</w:t>
      </w:r>
      <w:hyperlink r:id="rId29" w:history="1">
        <w:r w:rsidRPr="000E69C1">
          <w:rPr>
            <w:rStyle w:val="Hyperlink"/>
            <w:rFonts w:eastAsiaTheme="majorEastAsia" w:cs="Arial"/>
          </w:rPr>
          <w:t xml:space="preserve"> https://www.msdanationalprofile.com/profiles/2019/national/all/benefits/dental-codes/37?chip=0</w:t>
        </w:r>
      </w:hyperlink>
      <w:r>
        <w:t xml:space="preserve"> </w:t>
      </w:r>
      <w:r w:rsidRPr="00B102EC">
        <w:t>(free account creation required to access)</w:t>
      </w:r>
      <w:r w:rsidRPr="00F441A3">
        <w:t>.</w:t>
      </w:r>
    </w:p>
    <w:p w14:paraId="31D35B91" w14:textId="77777777" w:rsidR="000D4F98" w:rsidRPr="00537483" w:rsidRDefault="000D4F98" w:rsidP="00A839D4">
      <w:pPr>
        <w:pStyle w:val="NCDAppendixNumberedLevel2"/>
      </w:pPr>
      <w:r w:rsidRPr="00F441A3">
        <w:t>Explanation: It is a measure that would benefit patients with I/DD and may increase the likelihood of patients returning for dental visits. This may decrease the likelihood of advanced dental complications. Desensitization is folded into this (no separate code). </w:t>
      </w:r>
    </w:p>
    <w:p w14:paraId="055587CE" w14:textId="77777777" w:rsidR="004E689B" w:rsidRDefault="004E689B">
      <w:pPr>
        <w:spacing w:after="160" w:line="259" w:lineRule="auto"/>
      </w:pPr>
      <w:r>
        <w:br w:type="page"/>
      </w:r>
    </w:p>
    <w:p w14:paraId="146C8D30" w14:textId="3E635F8D" w:rsidR="000D4F98" w:rsidRPr="00537483" w:rsidRDefault="000D4F98" w:rsidP="00A839D4">
      <w:pPr>
        <w:pStyle w:val="NCDAppendixNumberedLevel1"/>
      </w:pPr>
      <w:r>
        <w:lastRenderedPageBreak/>
        <w:t>Is case management covered for special populations? (Y/N)</w:t>
      </w:r>
    </w:p>
    <w:p w14:paraId="2371372B" w14:textId="77777777" w:rsidR="000D4F98" w:rsidRPr="00537483" w:rsidRDefault="000D4F98" w:rsidP="00A839D4">
      <w:pPr>
        <w:pStyle w:val="NCDAppendixNumberedLevel2"/>
      </w:pPr>
      <w:r>
        <w:t>Column J</w:t>
      </w:r>
    </w:p>
    <w:p w14:paraId="495E2019" w14:textId="77777777" w:rsidR="000D4F98" w:rsidRPr="00537483" w:rsidRDefault="000D4F98" w:rsidP="00A839D4">
      <w:pPr>
        <w:pStyle w:val="NCDAppendixNumberedLevel2"/>
      </w:pPr>
      <w:r w:rsidRPr="00F441A3">
        <w:t>Fields: Yes/No and any qualitative information about the populations covered</w:t>
      </w:r>
    </w:p>
    <w:p w14:paraId="3B0230C1" w14:textId="5D28F8D7" w:rsidR="000D4F98" w:rsidRPr="00537483" w:rsidRDefault="000D4F98" w:rsidP="00A839D4">
      <w:pPr>
        <w:pStyle w:val="NCDAppendixNumberedLevel2"/>
      </w:pPr>
      <w:r w:rsidRPr="00F441A3">
        <w:t xml:space="preserve">Source: </w:t>
      </w:r>
      <w:r w:rsidR="00401D57" w:rsidRPr="00401D57">
        <w:rPr>
          <w:i/>
          <w:iCs/>
        </w:rPr>
        <w:t>Medicaid/Medicare/CHIP Services Dental Association (MSDA), MSDA National Profile: Benefits, D9991-9994 Case Management Codes Coverage</w:t>
      </w:r>
      <w:r w:rsidRPr="00416497">
        <w:rPr>
          <w:rFonts w:eastAsiaTheme="majorEastAsia" w:cs="Arial"/>
        </w:rPr>
        <w:t xml:space="preserve"> (2019), accessed October 2020, </w:t>
      </w:r>
      <w:hyperlink r:id="rId30" w:tooltip="https://www.msdanationalprofile.com/profiles/2019/national/all/benefits/dental-codes/39?chip=0" w:history="1">
        <w:r w:rsidRPr="00416497">
          <w:rPr>
            <w:rStyle w:val="Hyperlink"/>
            <w:rFonts w:eastAsiaTheme="majorEastAsia" w:cs="Arial"/>
          </w:rPr>
          <w:t>https://www.msdanationalprofile.com/profiles/2019/national/all/benefits/dental-codes/39?chip=0</w:t>
        </w:r>
      </w:hyperlink>
      <w:r w:rsidRPr="00416497">
        <w:rPr>
          <w:rStyle w:val="Hyperlink"/>
          <w:rFonts w:eastAsiaTheme="majorEastAsia" w:cs="Arial"/>
          <w:color w:val="auto"/>
          <w:u w:val="none"/>
        </w:rPr>
        <w:t xml:space="preserve"> (free account creation required to access)</w:t>
      </w:r>
      <w:r w:rsidRPr="00416497">
        <w:t>.</w:t>
      </w:r>
    </w:p>
    <w:p w14:paraId="5E153580" w14:textId="77777777" w:rsidR="000D4F98" w:rsidRPr="00537483" w:rsidRDefault="000D4F98" w:rsidP="00A839D4">
      <w:pPr>
        <w:pStyle w:val="NCDAppendixNumberedLevel2"/>
      </w:pPr>
      <w:r w:rsidRPr="00F441A3">
        <w:t>Explanation: It is a preventative measure that would decrease the likelihood of advanced dental complications. </w:t>
      </w:r>
    </w:p>
    <w:p w14:paraId="6EB26416" w14:textId="77777777" w:rsidR="000D4F98" w:rsidRPr="00537483" w:rsidRDefault="000D4F98" w:rsidP="00A839D4">
      <w:pPr>
        <w:pStyle w:val="NCDAppendixNumberedLevel1"/>
      </w:pPr>
      <w:r>
        <w:t>Is fluoride varnish covered and for which populations (D1206)?</w:t>
      </w:r>
    </w:p>
    <w:p w14:paraId="4CB6921C" w14:textId="77777777" w:rsidR="000D4F98" w:rsidRPr="00537483" w:rsidRDefault="000D4F98" w:rsidP="00A839D4">
      <w:pPr>
        <w:pStyle w:val="NCDAppendixNumberedLevel2"/>
      </w:pPr>
      <w:r>
        <w:t>Column K</w:t>
      </w:r>
    </w:p>
    <w:p w14:paraId="1310083A" w14:textId="77777777" w:rsidR="000D4F98" w:rsidRPr="00537483" w:rsidRDefault="000D4F98" w:rsidP="00A839D4">
      <w:pPr>
        <w:pStyle w:val="NCDAppendixNumberedLevel2"/>
      </w:pPr>
      <w:r w:rsidRPr="00F441A3">
        <w:t>Fields: Not covered/Adults/Children/Pregnant women/Medicaid Expansion/etc., and any qualitative information about the populations covered and frequencies allowed</w:t>
      </w:r>
    </w:p>
    <w:p w14:paraId="69185A8E" w14:textId="012F0968" w:rsidR="000D4F98" w:rsidRPr="00537483" w:rsidRDefault="000D4F98" w:rsidP="00A839D4">
      <w:pPr>
        <w:pStyle w:val="NCDAppendixNumberedLevel2"/>
      </w:pPr>
      <w:r w:rsidRPr="00F441A3">
        <w:t>Source: Medicaid/Medicare/CHIP Services Dental Association (MSDA)</w:t>
      </w:r>
      <w:r>
        <w:t>,</w:t>
      </w:r>
      <w:r w:rsidRPr="00F441A3">
        <w:t xml:space="preserve"> </w:t>
      </w:r>
      <w:r w:rsidR="00401D57" w:rsidRPr="00401D57">
        <w:rPr>
          <w:i/>
          <w:iCs/>
        </w:rPr>
        <w:t>MSDA National Profile: Benefits, D1206-Fluoride Varnish Coverage</w:t>
      </w:r>
      <w:r>
        <w:t xml:space="preserve"> (</w:t>
      </w:r>
      <w:r w:rsidRPr="00F441A3">
        <w:t>2019</w:t>
      </w:r>
      <w:r>
        <w:t>)</w:t>
      </w:r>
      <w:r w:rsidRPr="00880A88">
        <w:t>, accessed October 2020</w:t>
      </w:r>
      <w:r>
        <w:t>,</w:t>
      </w:r>
      <w:r w:rsidRPr="00880A88">
        <w:t xml:space="preserve"> </w:t>
      </w:r>
      <w:hyperlink r:id="rId31" w:tooltip="https://www.msdanationalprofile.com/profiles/2019/national/all/benefits/dental-codes/12?chip=0" w:history="1">
        <w:r w:rsidRPr="001412E0">
          <w:rPr>
            <w:rStyle w:val="Hyperlink"/>
            <w:rFonts w:eastAsiaTheme="majorEastAsia" w:cs="Arial"/>
            <w:color w:val="0000FF"/>
          </w:rPr>
          <w:t>https://www.msdanationalprofile.com/profiles/2019/national/all/benefits/dental-codes/12?chip=0</w:t>
        </w:r>
      </w:hyperlink>
      <w:r w:rsidRPr="0001052C">
        <w:rPr>
          <w:rStyle w:val="Hyperlink"/>
          <w:rFonts w:eastAsiaTheme="majorEastAsia" w:cs="Arial"/>
          <w:color w:val="auto"/>
          <w:u w:val="none"/>
        </w:rPr>
        <w:t xml:space="preserve"> (free account creation required to access)</w:t>
      </w:r>
      <w:r w:rsidRPr="0001052C">
        <w:t>.</w:t>
      </w:r>
    </w:p>
    <w:p w14:paraId="6656F058" w14:textId="77777777" w:rsidR="000D4F98" w:rsidRPr="00537483" w:rsidRDefault="000D4F98" w:rsidP="00A839D4">
      <w:pPr>
        <w:pStyle w:val="NCDAppendixNumberedLevel2"/>
      </w:pPr>
      <w:r w:rsidRPr="00F441A3">
        <w:t>Explanation: It is a preventative measure that would decrease the likelihood of advanced dental complications.</w:t>
      </w:r>
    </w:p>
    <w:p w14:paraId="304F5C5A" w14:textId="77777777" w:rsidR="000D4F98" w:rsidRPr="00537483" w:rsidRDefault="000D4F98" w:rsidP="00A839D4">
      <w:pPr>
        <w:pStyle w:val="NCDAppendixNumberedLevel1"/>
      </w:pPr>
      <w:r>
        <w:t>Fluoride varnish coverage description</w:t>
      </w:r>
    </w:p>
    <w:p w14:paraId="6F96B040" w14:textId="77777777" w:rsidR="000D4F98" w:rsidRPr="00537483" w:rsidRDefault="000D4F98" w:rsidP="00A839D4">
      <w:pPr>
        <w:pStyle w:val="NCDAppendixNumberedLevel2"/>
      </w:pPr>
      <w:r>
        <w:t>Column L</w:t>
      </w:r>
    </w:p>
    <w:p w14:paraId="02F47300" w14:textId="77777777" w:rsidR="000D4F98" w:rsidRPr="00537483" w:rsidRDefault="000D4F98" w:rsidP="00A839D4">
      <w:pPr>
        <w:pStyle w:val="NCDAppendixNumberedLevel2"/>
      </w:pPr>
      <w:r w:rsidRPr="00F441A3">
        <w:t>Fields: Contains information about what populations are eligible for the benefit as well as frequency limitations to the benefit</w:t>
      </w:r>
    </w:p>
    <w:p w14:paraId="76EC821E" w14:textId="069069B8" w:rsidR="000D4F98" w:rsidRPr="00537483" w:rsidRDefault="000D4F98" w:rsidP="00A839D4">
      <w:pPr>
        <w:pStyle w:val="NCDAppendixNumberedLevel2"/>
      </w:pPr>
      <w:r w:rsidRPr="00F441A3">
        <w:t>Source: Medicaid/Medicare/CHIP Services Dental Association (MSDA)</w:t>
      </w:r>
      <w:r>
        <w:t>,</w:t>
      </w:r>
      <w:r w:rsidRPr="00F441A3">
        <w:t xml:space="preserve"> </w:t>
      </w:r>
      <w:r w:rsidR="00401D57" w:rsidRPr="00401D57">
        <w:rPr>
          <w:i/>
          <w:iCs/>
        </w:rPr>
        <w:t>MSDA National Profile: Benefits, D1206-Fluoride Varnish Coverage</w:t>
      </w:r>
      <w:r>
        <w:t xml:space="preserve"> (2019), accessed October 2020, </w:t>
      </w:r>
      <w:hyperlink r:id="rId32" w:tooltip="https://www.msdanationalprofile.com/profiles/2019/national/all/benefits/dental-codes/12?chip=0" w:history="1">
        <w:r w:rsidRPr="001412E0">
          <w:rPr>
            <w:rStyle w:val="Hyperlink"/>
            <w:rFonts w:eastAsiaTheme="majorEastAsia" w:cs="Arial"/>
            <w:color w:val="0000FF"/>
          </w:rPr>
          <w:t>https://www.msdanationalprofile.com/profiles/2019/national/all/benefits/dental-codes/12?chip=0</w:t>
        </w:r>
      </w:hyperlink>
      <w:r w:rsidRPr="008F474A">
        <w:rPr>
          <w:rStyle w:val="Hyperlink"/>
          <w:rFonts w:eastAsiaTheme="majorEastAsia" w:cs="Arial"/>
          <w:color w:val="auto"/>
          <w:u w:val="none"/>
        </w:rPr>
        <w:t xml:space="preserve"> (free account creation required to access)</w:t>
      </w:r>
      <w:r w:rsidRPr="008F474A">
        <w:t>.</w:t>
      </w:r>
    </w:p>
    <w:p w14:paraId="6A489ECD" w14:textId="77777777" w:rsidR="000D4F98" w:rsidRPr="00537483" w:rsidRDefault="000D4F98" w:rsidP="00A839D4">
      <w:pPr>
        <w:pStyle w:val="NCDAppendixNumberedLevel1"/>
      </w:pPr>
      <w:r>
        <w:t>Is fluoride treatment covered and for which populations (D1208)?</w:t>
      </w:r>
    </w:p>
    <w:p w14:paraId="7F01106F" w14:textId="77777777" w:rsidR="000D4F98" w:rsidRPr="00537483" w:rsidRDefault="000D4F98" w:rsidP="00A839D4">
      <w:pPr>
        <w:pStyle w:val="NCDAppendixNumberedLevel2"/>
      </w:pPr>
      <w:r>
        <w:t>Column M</w:t>
      </w:r>
    </w:p>
    <w:p w14:paraId="66E07D17" w14:textId="77777777" w:rsidR="000D4F98" w:rsidRPr="00537483" w:rsidRDefault="000D4F98" w:rsidP="00A839D4">
      <w:pPr>
        <w:pStyle w:val="NCDAppendixNumberedLevel2"/>
      </w:pPr>
      <w:r w:rsidRPr="00F441A3">
        <w:lastRenderedPageBreak/>
        <w:t>Fields: Not covered/Adults/Children/Pregnant women/Medicaid Expansion/etc., and any qualitative information about the populations covered and frequencies allowed</w:t>
      </w:r>
    </w:p>
    <w:p w14:paraId="4D2BC47B" w14:textId="66F5355B" w:rsidR="000D4F98" w:rsidRPr="00537483" w:rsidRDefault="000D4F98" w:rsidP="00A839D4">
      <w:pPr>
        <w:pStyle w:val="NCDAppendixNumberedLevel2"/>
      </w:pPr>
      <w:r w:rsidRPr="00F441A3">
        <w:t>Source: Medicaid/Medicare/CHIP Services Dental Association (MSDA)</w:t>
      </w:r>
      <w:r>
        <w:t>,</w:t>
      </w:r>
      <w:r w:rsidRPr="00F441A3">
        <w:t xml:space="preserve"> </w:t>
      </w:r>
      <w:r w:rsidR="00401D57" w:rsidRPr="00401D57">
        <w:rPr>
          <w:i/>
          <w:iCs/>
        </w:rPr>
        <w:t>MSDA National Profile: Benefits, D1208-Fluoride Treatment Coverage</w:t>
      </w:r>
      <w:r w:rsidRPr="00F441A3">
        <w:t xml:space="preserve"> </w:t>
      </w:r>
      <w:r>
        <w:t>(</w:t>
      </w:r>
      <w:r w:rsidRPr="00F441A3">
        <w:t>2019</w:t>
      </w:r>
      <w:r>
        <w:t>),</w:t>
      </w:r>
      <w:r w:rsidRPr="00F441A3">
        <w:t xml:space="preserve"> </w:t>
      </w:r>
      <w:r w:rsidRPr="00880A88">
        <w:t>accessed October 2020</w:t>
      </w:r>
      <w:r>
        <w:t>,</w:t>
      </w:r>
      <w:r w:rsidRPr="00880A88">
        <w:t xml:space="preserve"> </w:t>
      </w:r>
      <w:hyperlink r:id="rId33" w:tooltip="https://www.msdanationalprofile.com/profiles/2019/national/all/benefits/dental-codes/11?chip=0" w:history="1">
        <w:r w:rsidRPr="001412E0">
          <w:rPr>
            <w:rStyle w:val="Hyperlink"/>
            <w:rFonts w:eastAsiaTheme="majorEastAsia" w:cs="Arial"/>
            <w:color w:val="0000FF"/>
          </w:rPr>
          <w:t>https://www.msdanationalprofile.com/profiles/2019/national/all/benefits/dental-codes/11?chip=0</w:t>
        </w:r>
      </w:hyperlink>
      <w:r w:rsidRPr="00483D44">
        <w:rPr>
          <w:rStyle w:val="Hyperlink"/>
          <w:rFonts w:eastAsiaTheme="majorEastAsia" w:cs="Arial"/>
          <w:color w:val="auto"/>
          <w:u w:val="none"/>
        </w:rPr>
        <w:t xml:space="preserve"> (free account creation required to access).</w:t>
      </w:r>
    </w:p>
    <w:p w14:paraId="231D7675" w14:textId="77777777" w:rsidR="000D4F98" w:rsidRPr="00537483" w:rsidRDefault="000D4F98" w:rsidP="00A839D4">
      <w:pPr>
        <w:pStyle w:val="NCDAppendixNumberedLevel2"/>
      </w:pPr>
      <w:r w:rsidRPr="00F441A3">
        <w:t>Explanation: It is a preventative measure that would decrease the likelihood of advanced dental complications.</w:t>
      </w:r>
    </w:p>
    <w:p w14:paraId="3C561CD4" w14:textId="13561E21" w:rsidR="000D4F98" w:rsidRPr="00537483" w:rsidRDefault="000D4F98" w:rsidP="00A839D4">
      <w:pPr>
        <w:pStyle w:val="NCDAppendixNumberedLevel1"/>
      </w:pPr>
      <w:r>
        <w:t>Fluoride treatment coverage description</w:t>
      </w:r>
    </w:p>
    <w:p w14:paraId="4E9CBEF1" w14:textId="77777777" w:rsidR="000D4F98" w:rsidRPr="00537483" w:rsidRDefault="000D4F98" w:rsidP="00A839D4">
      <w:pPr>
        <w:pStyle w:val="NCDAppendixNumberedLevel2"/>
      </w:pPr>
      <w:r>
        <w:t>Column N</w:t>
      </w:r>
    </w:p>
    <w:p w14:paraId="6E55F9CA" w14:textId="77777777" w:rsidR="000D4F98" w:rsidRPr="00537483" w:rsidRDefault="000D4F98" w:rsidP="00A839D4">
      <w:pPr>
        <w:pStyle w:val="NCDAppendixNumberedLevel2"/>
      </w:pPr>
      <w:r w:rsidRPr="00F441A3">
        <w:t>Contains information about what populations are eligible for the benefit as well as frequency limitations to the benefit</w:t>
      </w:r>
    </w:p>
    <w:p w14:paraId="735CBD34" w14:textId="080E3868" w:rsidR="000D4F98" w:rsidRPr="00537483" w:rsidRDefault="000D4F98" w:rsidP="00A839D4">
      <w:pPr>
        <w:pStyle w:val="NCDAppendixNumberedLevel2"/>
      </w:pPr>
      <w:r w:rsidRPr="00F441A3">
        <w:t>Source: Medicaid/Medicare/CHIP Services Dental Association (MSDA)</w:t>
      </w:r>
      <w:r>
        <w:t>,</w:t>
      </w:r>
      <w:r w:rsidRPr="00F441A3">
        <w:t xml:space="preserve"> </w:t>
      </w:r>
      <w:r w:rsidR="00401D57" w:rsidRPr="00401D57">
        <w:rPr>
          <w:i/>
          <w:iCs/>
        </w:rPr>
        <w:t xml:space="preserve">MSDA National Profile: Benefits, D1208-Fluoride Treatment Coverage </w:t>
      </w:r>
      <w:r>
        <w:t>(</w:t>
      </w:r>
      <w:r w:rsidRPr="00F441A3">
        <w:t>2019</w:t>
      </w:r>
      <w:r>
        <w:t>),</w:t>
      </w:r>
      <w:r w:rsidRPr="00F441A3">
        <w:t xml:space="preserve"> </w:t>
      </w:r>
      <w:r w:rsidRPr="00880A88">
        <w:t>accessed October 2020</w:t>
      </w:r>
      <w:r>
        <w:t>,</w:t>
      </w:r>
      <w:r w:rsidRPr="00880A88">
        <w:t xml:space="preserve"> </w:t>
      </w:r>
      <w:hyperlink r:id="rId34" w:tooltip="https://www.msdanationalprofile.com/profiles/2019/national/all/benefits/dental-codes/11?chip=0" w:history="1">
        <w:r w:rsidRPr="001412E0">
          <w:rPr>
            <w:rStyle w:val="Hyperlink"/>
            <w:rFonts w:eastAsiaTheme="majorEastAsia" w:cs="Arial"/>
            <w:color w:val="0000FF"/>
          </w:rPr>
          <w:t>https://www.msdanationalprofile.com/profiles/2019/national/all/benefits/dental-codes/11?chip=0</w:t>
        </w:r>
      </w:hyperlink>
      <w:r w:rsidRPr="00483D44">
        <w:rPr>
          <w:rStyle w:val="Hyperlink"/>
          <w:rFonts w:eastAsiaTheme="majorEastAsia" w:cs="Arial"/>
          <w:color w:val="auto"/>
          <w:u w:val="none"/>
        </w:rPr>
        <w:t xml:space="preserve"> (free account creation required to access)</w:t>
      </w:r>
      <w:r w:rsidRPr="00483D44">
        <w:t>.</w:t>
      </w:r>
    </w:p>
    <w:p w14:paraId="47D379A3" w14:textId="77777777" w:rsidR="000D4F98" w:rsidRPr="00537483" w:rsidRDefault="000D4F98" w:rsidP="00A839D4">
      <w:pPr>
        <w:pStyle w:val="NCDAppendixNumberedLevel1"/>
      </w:pPr>
      <w:r>
        <w:t xml:space="preserve"> Is silver diamine fluoride application covered and for which populations (D1354)? </w:t>
      </w:r>
    </w:p>
    <w:p w14:paraId="16EE44E6" w14:textId="77777777" w:rsidR="000D4F98" w:rsidRPr="00537483" w:rsidRDefault="000D4F98" w:rsidP="00A839D4">
      <w:pPr>
        <w:pStyle w:val="NCDAppendixNumberedLevel2"/>
      </w:pPr>
      <w:r>
        <w:t>Column O</w:t>
      </w:r>
    </w:p>
    <w:p w14:paraId="4DD5E77F" w14:textId="77777777" w:rsidR="000D4F98" w:rsidRPr="00537483" w:rsidRDefault="000D4F98" w:rsidP="00A839D4">
      <w:pPr>
        <w:pStyle w:val="NCDAppendixNumberedLevel2"/>
      </w:pPr>
      <w:r w:rsidRPr="00F441A3">
        <w:t>Fields: Not covered/Adults/Children/Pregnant women/Medicaid Expansion/etc., and any qualitative information about the populations covered and frequencies allowed</w:t>
      </w:r>
    </w:p>
    <w:p w14:paraId="221ED8F7" w14:textId="4C9183F5" w:rsidR="000D4F98" w:rsidRPr="00537483" w:rsidRDefault="000D4F98" w:rsidP="00A839D4">
      <w:pPr>
        <w:pStyle w:val="NCDAppendixNumberedLevel2"/>
      </w:pPr>
      <w:r w:rsidRPr="00F441A3">
        <w:t>Source: Medicaid/Medicare/CHIP Services Dental Association (MSDA)</w:t>
      </w:r>
      <w:r>
        <w:t>,</w:t>
      </w:r>
      <w:r w:rsidRPr="00F441A3">
        <w:t xml:space="preserve"> </w:t>
      </w:r>
      <w:r w:rsidR="00401D57" w:rsidRPr="00401D57">
        <w:rPr>
          <w:i/>
          <w:iCs/>
        </w:rPr>
        <w:t>MSDA National Profile: Benefits, Silver Diamine Fluoride</w:t>
      </w:r>
      <w:r w:rsidRPr="00F441A3">
        <w:t xml:space="preserve"> </w:t>
      </w:r>
      <w:r>
        <w:t>(</w:t>
      </w:r>
      <w:r w:rsidRPr="00F441A3">
        <w:t>2019</w:t>
      </w:r>
      <w:r>
        <w:t xml:space="preserve">), </w:t>
      </w:r>
      <w:r w:rsidRPr="00880A88">
        <w:t>accessed October 2020</w:t>
      </w:r>
      <w:r>
        <w:t xml:space="preserve">, </w:t>
      </w:r>
      <w:hyperlink r:id="rId35" w:tooltip="https://www.msdanationalprofile.com/profiles/2019/national/all/policy/silver-diamine-flouride" w:history="1">
        <w:r w:rsidRPr="001412E0">
          <w:rPr>
            <w:rStyle w:val="Hyperlink"/>
            <w:rFonts w:eastAsiaTheme="majorEastAsia" w:cs="Arial"/>
            <w:color w:val="0000FF"/>
          </w:rPr>
          <w:t>https://www.msdanationalprofile.com/profiles/2019/national/all/policy/silver-diamine-flouride</w:t>
        </w:r>
      </w:hyperlink>
      <w:r w:rsidRPr="00483D44">
        <w:rPr>
          <w:rStyle w:val="Hyperlink"/>
          <w:rFonts w:eastAsiaTheme="majorEastAsia" w:cs="Arial"/>
          <w:color w:val="auto"/>
          <w:u w:val="none"/>
        </w:rPr>
        <w:t xml:space="preserve"> (free account creation required to access)</w:t>
      </w:r>
      <w:r w:rsidRPr="00483D44">
        <w:t>.</w:t>
      </w:r>
    </w:p>
    <w:p w14:paraId="14764FCE" w14:textId="77777777" w:rsidR="000D4F98" w:rsidRPr="00537483" w:rsidRDefault="000D4F98" w:rsidP="00A839D4">
      <w:pPr>
        <w:pStyle w:val="NCDAppendixNumberedLevel2"/>
      </w:pPr>
      <w:r w:rsidRPr="00F441A3">
        <w:t>Explanation: It is a preventative measure that would decrease the likelihood of advanced dental complications.</w:t>
      </w:r>
    </w:p>
    <w:p w14:paraId="19E03DAC" w14:textId="7DC2BEA6" w:rsidR="000D4F98" w:rsidRPr="00537483" w:rsidRDefault="000D4F98" w:rsidP="00A839D4">
      <w:pPr>
        <w:pStyle w:val="NCDAppendixNumberedLevel1"/>
      </w:pPr>
      <w:r>
        <w:t>Silver diamine fluoride application coverage description</w:t>
      </w:r>
    </w:p>
    <w:p w14:paraId="4AAAACED" w14:textId="77777777" w:rsidR="000D4F98" w:rsidRPr="00537483" w:rsidRDefault="000D4F98" w:rsidP="00A839D4">
      <w:pPr>
        <w:pStyle w:val="NCDAppendixNumberedLevel2"/>
      </w:pPr>
      <w:r>
        <w:t>Column P</w:t>
      </w:r>
    </w:p>
    <w:p w14:paraId="10B8D7D8" w14:textId="77777777" w:rsidR="000D4F98" w:rsidRPr="00537483" w:rsidRDefault="000D4F98" w:rsidP="00A839D4">
      <w:pPr>
        <w:pStyle w:val="NCDAppendixNumberedLevel2"/>
      </w:pPr>
      <w:r w:rsidRPr="00F441A3">
        <w:t>Contains information about what populations are eligible for the benefit as well as frequency limitations to the benefit</w:t>
      </w:r>
    </w:p>
    <w:p w14:paraId="1E3D217C" w14:textId="26711743" w:rsidR="000D4F98" w:rsidRPr="00396A97" w:rsidRDefault="000D4F98" w:rsidP="00A839D4">
      <w:pPr>
        <w:pStyle w:val="NCDAppendixNumberedLevel2"/>
      </w:pPr>
      <w:r w:rsidRPr="00F441A3">
        <w:t>Source: Medicaid/Medicare/CHIP Services Dental Association (MSDA)</w:t>
      </w:r>
      <w:r>
        <w:t>,</w:t>
      </w:r>
      <w:r w:rsidRPr="00F441A3">
        <w:t xml:space="preserve"> </w:t>
      </w:r>
      <w:r w:rsidR="00401D57" w:rsidRPr="00401D57">
        <w:rPr>
          <w:i/>
          <w:iCs/>
        </w:rPr>
        <w:t>MSDA National Profile: Benefits, Silver Diamine Fluoride</w:t>
      </w:r>
      <w:r w:rsidRPr="00F441A3">
        <w:t xml:space="preserve"> </w:t>
      </w:r>
      <w:r>
        <w:t>(</w:t>
      </w:r>
      <w:r w:rsidRPr="00F441A3">
        <w:t>2019</w:t>
      </w:r>
      <w:r>
        <w:t xml:space="preserve">), </w:t>
      </w:r>
      <w:r w:rsidRPr="00880A88">
        <w:t xml:space="preserve">accessed October </w:t>
      </w:r>
      <w:r w:rsidRPr="00880A88">
        <w:lastRenderedPageBreak/>
        <w:t>2020</w:t>
      </w:r>
      <w:r>
        <w:t xml:space="preserve">, </w:t>
      </w:r>
      <w:hyperlink r:id="rId36" w:tooltip="https://www.msdanationalprofile.com/profiles/2019/national/all/policy/silver-diamine-flouride" w:history="1">
        <w:r w:rsidRPr="001412E0">
          <w:rPr>
            <w:rStyle w:val="Hyperlink"/>
            <w:rFonts w:eastAsiaTheme="majorEastAsia" w:cs="Arial"/>
            <w:color w:val="0000FF"/>
          </w:rPr>
          <w:t>https://www.msdanationalprofile.com/profiles/2019/national/all/policy/silver-diamine-flouride</w:t>
        </w:r>
      </w:hyperlink>
      <w:r w:rsidRPr="00396A97">
        <w:rPr>
          <w:rStyle w:val="Hyperlink"/>
          <w:rFonts w:eastAsiaTheme="majorEastAsia" w:cs="Arial"/>
          <w:color w:val="auto"/>
          <w:u w:val="none"/>
        </w:rPr>
        <w:t xml:space="preserve"> (free account creation required to access)</w:t>
      </w:r>
      <w:r w:rsidRPr="00396A97">
        <w:t>.</w:t>
      </w:r>
    </w:p>
    <w:p w14:paraId="2A3A4560" w14:textId="77777777" w:rsidR="000D4F98" w:rsidRPr="00537483" w:rsidRDefault="000D4F98" w:rsidP="00A839D4">
      <w:pPr>
        <w:pStyle w:val="NCDAppendixNumberedLevel1"/>
      </w:pPr>
      <w:r>
        <w:t xml:space="preserve"> State FMAP Fiscal Year 2021 rates</w:t>
      </w:r>
    </w:p>
    <w:p w14:paraId="1884379D" w14:textId="77777777" w:rsidR="000D4F98" w:rsidRPr="00537483" w:rsidRDefault="000D4F98" w:rsidP="00A839D4">
      <w:pPr>
        <w:pStyle w:val="NCDAppendixNumberedLevel2"/>
      </w:pPr>
      <w:r w:rsidRPr="00F441A3">
        <w:t>Column</w:t>
      </w:r>
      <w:r>
        <w:t xml:space="preserve"> Q</w:t>
      </w:r>
    </w:p>
    <w:p w14:paraId="23563D4E" w14:textId="77777777" w:rsidR="000D4F98" w:rsidRPr="00537483" w:rsidRDefault="000D4F98" w:rsidP="00A839D4">
      <w:pPr>
        <w:pStyle w:val="NCDAppendixNumberedLevel2"/>
      </w:pPr>
      <w:r w:rsidRPr="00F441A3">
        <w:t>Fields: Percentages</w:t>
      </w:r>
    </w:p>
    <w:p w14:paraId="3E7AA6D0" w14:textId="0AD8F78B" w:rsidR="000D4F98" w:rsidRPr="00537483" w:rsidRDefault="000D4F98" w:rsidP="00A839D4">
      <w:pPr>
        <w:pStyle w:val="NCDAppendixNumberedLevel2"/>
      </w:pPr>
      <w:r w:rsidRPr="00F441A3">
        <w:t xml:space="preserve">Source: </w:t>
      </w:r>
      <w:r>
        <w:t xml:space="preserve">Kaiser Family Foundation, </w:t>
      </w:r>
      <w:r w:rsidR="00401D57" w:rsidRPr="00401D57">
        <w:rPr>
          <w:i/>
          <w:iCs/>
        </w:rPr>
        <w:t>Federal Medical Assistance Percentage (FMAP) for Medicaid and Multiplier, FY 2021</w:t>
      </w:r>
      <w:r>
        <w:t>, accessed September 29, 2021,</w:t>
      </w:r>
      <w:r w:rsidRPr="00F441A3">
        <w:t xml:space="preserve"> </w:t>
      </w:r>
      <w:hyperlink r:id="rId37" w:history="1">
        <w:r w:rsidRPr="001412E0">
          <w:rPr>
            <w:rStyle w:val="Hyperlink"/>
            <w:rFonts w:eastAsiaTheme="majorEastAsia" w:cs="Arial"/>
            <w:color w:val="0000FF"/>
          </w:rPr>
          <w:t>https://www.kff.org/medicaid/state-indicator/federal-matching-rate-and-multiplier/?currentTimeframe=0&amp;sortModel=%7B%22colId%22:%22Location%22,%22sort%22:%22asc%22%7D</w:t>
        </w:r>
      </w:hyperlink>
      <w:r w:rsidRPr="00F441A3">
        <w:t>.</w:t>
      </w:r>
    </w:p>
    <w:p w14:paraId="025E4C5D" w14:textId="1BF04E86" w:rsidR="000D4F98" w:rsidRPr="00537483" w:rsidRDefault="000D4F98" w:rsidP="00A839D4">
      <w:pPr>
        <w:pStyle w:val="NCDAppendixNumberedLevel2"/>
      </w:pPr>
      <w:r w:rsidRPr="00F441A3">
        <w:t xml:space="preserve">Explanation: Federal Medical Assistance Percentage (FMAP) is the rate of federal Medicaid money allocated to each state. This is used in T-MSIS analysis. </w:t>
      </w:r>
      <w:r w:rsidR="00401D57" w:rsidRPr="00401D57">
        <w:rPr>
          <w:i/>
          <w:iCs/>
        </w:rPr>
        <w:t>Note</w:t>
      </w:r>
      <w:r w:rsidRPr="00F441A3">
        <w:t>: These rates do not include the 6.2</w:t>
      </w:r>
      <w:r>
        <w:t xml:space="preserve"> percent</w:t>
      </w:r>
      <w:r w:rsidRPr="00F441A3">
        <w:t xml:space="preserve"> increas</w:t>
      </w:r>
      <w:r w:rsidRPr="00F441A3">
        <w:rPr>
          <w:shd w:val="clear" w:color="auto" w:fill="FFFFFF"/>
        </w:rPr>
        <w:t xml:space="preserve">e as legislated in the </w:t>
      </w:r>
      <w:bookmarkStart w:id="226" w:name="_Hlk90030157"/>
      <w:r w:rsidRPr="00F441A3">
        <w:rPr>
          <w:shd w:val="clear" w:color="auto" w:fill="FFFFFF"/>
        </w:rPr>
        <w:t xml:space="preserve">Families First Coronavirus Response Act </w:t>
      </w:r>
      <w:bookmarkEnd w:id="226"/>
      <w:r w:rsidRPr="00F441A3">
        <w:rPr>
          <w:shd w:val="clear" w:color="auto" w:fill="FFFFFF"/>
        </w:rPr>
        <w:t>(FFCRA).</w:t>
      </w:r>
    </w:p>
    <w:p w14:paraId="76A4343E" w14:textId="77777777" w:rsidR="000D4F98" w:rsidRPr="00537483" w:rsidRDefault="000D4F98" w:rsidP="00A839D4">
      <w:pPr>
        <w:pStyle w:val="NCDAppendixNumberedLevel1"/>
      </w:pPr>
      <w:r>
        <w:t> 2018 mean hourly wage for general dentists </w:t>
      </w:r>
    </w:p>
    <w:p w14:paraId="14753207" w14:textId="77777777" w:rsidR="000D4F98" w:rsidRPr="00537483" w:rsidRDefault="000D4F98" w:rsidP="00A839D4">
      <w:pPr>
        <w:pStyle w:val="NCDAppendixNumberedLevel2"/>
      </w:pPr>
      <w:r>
        <w:t>Column R</w:t>
      </w:r>
    </w:p>
    <w:p w14:paraId="6F0CF88D" w14:textId="77777777" w:rsidR="000D4F98" w:rsidRPr="00537483" w:rsidRDefault="000D4F98" w:rsidP="00A839D4">
      <w:pPr>
        <w:pStyle w:val="NCDAppendixNumberedLevel2"/>
      </w:pPr>
      <w:r w:rsidRPr="00F441A3">
        <w:t xml:space="preserve">Field: </w:t>
      </w:r>
      <w:r>
        <w:t>Dollar (</w:t>
      </w:r>
      <w:r w:rsidRPr="00F441A3">
        <w:t>$</w:t>
      </w:r>
      <w:r>
        <w:t>)</w:t>
      </w:r>
      <w:r w:rsidRPr="00F441A3">
        <w:t xml:space="preserve"> amount</w:t>
      </w:r>
    </w:p>
    <w:p w14:paraId="5FA83A66" w14:textId="181D82F7" w:rsidR="000D4F98" w:rsidRPr="00537483" w:rsidRDefault="000D4F98" w:rsidP="00A839D4">
      <w:pPr>
        <w:pStyle w:val="NCDAppendixNumberedLevel2"/>
      </w:pPr>
      <w:r w:rsidRPr="00F441A3">
        <w:t>Source: Bureau of Labor Statistics</w:t>
      </w:r>
      <w:r>
        <w:t xml:space="preserve">, </w:t>
      </w:r>
      <w:r w:rsidR="00401D57" w:rsidRPr="00401D57">
        <w:rPr>
          <w:i/>
          <w:iCs/>
        </w:rPr>
        <w:t xml:space="preserve">Occupational Employment and Wage Statistics, State </w:t>
      </w:r>
      <w:r>
        <w:t>(</w:t>
      </w:r>
      <w:r w:rsidRPr="00F441A3">
        <w:t>May 2018</w:t>
      </w:r>
      <w:r>
        <w:t xml:space="preserve">), </w:t>
      </w:r>
      <w:hyperlink r:id="rId38" w:tooltip="https://www.bls.gov/oes/tables.htm" w:history="1">
        <w:r w:rsidRPr="00CA4D39">
          <w:rPr>
            <w:rStyle w:val="Hyperlink"/>
            <w:rFonts w:eastAsiaTheme="majorEastAsia" w:cs="Arial"/>
          </w:rPr>
          <w:t>https://www.bls.gov/oes/tables.htm</w:t>
        </w:r>
      </w:hyperlink>
      <w:r>
        <w:t>.</w:t>
      </w:r>
    </w:p>
    <w:p w14:paraId="53D53A96" w14:textId="77777777" w:rsidR="000D4F98" w:rsidRPr="00537483" w:rsidRDefault="000D4F98" w:rsidP="00A839D4">
      <w:pPr>
        <w:pStyle w:val="NCDAppendixNumberedLevel2"/>
      </w:pPr>
      <w:r w:rsidRPr="00F441A3">
        <w:rPr>
          <w:shd w:val="clear" w:color="auto" w:fill="FFFFFF"/>
        </w:rPr>
        <w:t xml:space="preserve">Explanation: </w:t>
      </w:r>
      <w:r w:rsidRPr="00F441A3">
        <w:t>This information was captured to create average weights for fees across states.</w:t>
      </w:r>
    </w:p>
    <w:p w14:paraId="36357D09" w14:textId="77777777" w:rsidR="000D4F98" w:rsidRPr="00537483" w:rsidRDefault="000D4F98" w:rsidP="00A839D4">
      <w:pPr>
        <w:pStyle w:val="NCDAppendixNumberedLevel1"/>
      </w:pPr>
      <w:r>
        <w:t> 2018 annual median wage for general dentists </w:t>
      </w:r>
    </w:p>
    <w:p w14:paraId="3D0A955E" w14:textId="77777777" w:rsidR="000D4F98" w:rsidRPr="00537483" w:rsidRDefault="000D4F98" w:rsidP="00A839D4">
      <w:pPr>
        <w:pStyle w:val="NCDAppendixNumberedLevel2"/>
      </w:pPr>
      <w:r>
        <w:t>Column S</w:t>
      </w:r>
    </w:p>
    <w:p w14:paraId="5A10FB7B" w14:textId="77777777" w:rsidR="000D4F98" w:rsidRPr="00537483" w:rsidRDefault="000D4F98" w:rsidP="00A839D4">
      <w:pPr>
        <w:pStyle w:val="NCDAppendixNumberedLevel2"/>
      </w:pPr>
      <w:r w:rsidRPr="00F441A3">
        <w:t xml:space="preserve">Field: </w:t>
      </w:r>
      <w:r>
        <w:t>Dollar (</w:t>
      </w:r>
      <w:r w:rsidRPr="00F441A3">
        <w:t>$</w:t>
      </w:r>
      <w:r>
        <w:t>)</w:t>
      </w:r>
      <w:r w:rsidRPr="00F441A3">
        <w:t xml:space="preserve"> amount </w:t>
      </w:r>
    </w:p>
    <w:p w14:paraId="588C90B3" w14:textId="31DD095D" w:rsidR="000D4F98" w:rsidRPr="00537483" w:rsidRDefault="000D4F98" w:rsidP="00A839D4">
      <w:pPr>
        <w:pStyle w:val="NCDAppendixNumberedLevel2"/>
        <w:rPr>
          <w:rStyle w:val="Hyperlink"/>
          <w:rFonts w:eastAsiaTheme="majorEastAsia" w:cs="Arial"/>
          <w:color w:val="000000"/>
        </w:rPr>
      </w:pPr>
      <w:r w:rsidRPr="00F441A3">
        <w:t>Source: Bureau of Labor Statistics</w:t>
      </w:r>
      <w:r>
        <w:t xml:space="preserve">, </w:t>
      </w:r>
      <w:r w:rsidR="00401D57" w:rsidRPr="00401D57">
        <w:rPr>
          <w:i/>
          <w:iCs/>
        </w:rPr>
        <w:t xml:space="preserve">Occupational Employment and Wage Statistics, State </w:t>
      </w:r>
      <w:r>
        <w:t>(</w:t>
      </w:r>
      <w:r w:rsidRPr="00F441A3">
        <w:t>May 2018</w:t>
      </w:r>
      <w:r>
        <w:t>),</w:t>
      </w:r>
      <w:r w:rsidRPr="00F441A3">
        <w:t xml:space="preserve"> </w:t>
      </w:r>
      <w:hyperlink r:id="rId39" w:tooltip="https://www.bls.gov/oes/tables.htm." w:history="1">
        <w:r w:rsidRPr="001412E0">
          <w:rPr>
            <w:rStyle w:val="Hyperlink"/>
            <w:rFonts w:eastAsiaTheme="majorEastAsia" w:cs="Arial"/>
            <w:color w:val="0000FF"/>
          </w:rPr>
          <w:t>https://www.bls.gov/oes/tables.htm</w:t>
        </w:r>
        <w:r w:rsidRPr="00416497">
          <w:rPr>
            <w:rStyle w:val="Hyperlink"/>
            <w:rFonts w:eastAsiaTheme="majorEastAsia" w:cs="Arial"/>
            <w:color w:val="auto"/>
            <w:u w:val="none"/>
          </w:rPr>
          <w:t>.</w:t>
        </w:r>
      </w:hyperlink>
    </w:p>
    <w:p w14:paraId="2397F5E6" w14:textId="77777777" w:rsidR="000D4F98" w:rsidRPr="00B35E2D" w:rsidRDefault="000D4F98" w:rsidP="00A839D4">
      <w:pPr>
        <w:pStyle w:val="NCDAppendixNumberedLevel1"/>
        <w:rPr>
          <w:rStyle w:val="Hyperlink"/>
          <w:rFonts w:eastAsiaTheme="majorEastAsia" w:cs="Arial"/>
          <w:color w:val="auto"/>
          <w:u w:val="none"/>
        </w:rPr>
      </w:pPr>
      <w:r w:rsidRPr="00B35E2D">
        <w:rPr>
          <w:rStyle w:val="Hyperlink"/>
          <w:rFonts w:eastAsiaTheme="majorEastAsia" w:cs="Arial"/>
          <w:color w:val="auto"/>
          <w:u w:val="none"/>
        </w:rPr>
        <w:t>Buy-in for working people with disabilities</w:t>
      </w:r>
    </w:p>
    <w:p w14:paraId="17C14E5A" w14:textId="77777777" w:rsidR="000D4F98" w:rsidRPr="00537483" w:rsidRDefault="000D4F98" w:rsidP="00A839D4">
      <w:pPr>
        <w:pStyle w:val="NCDAppendixNumberedLevel2"/>
      </w:pPr>
      <w:r>
        <w:t>Column T</w:t>
      </w:r>
    </w:p>
    <w:p w14:paraId="6DE78558" w14:textId="77777777" w:rsidR="000D4F98" w:rsidRPr="00537483" w:rsidRDefault="000D4F98" w:rsidP="00A839D4">
      <w:pPr>
        <w:pStyle w:val="NCDAppendixNumberedLevel2"/>
      </w:pPr>
      <w:r>
        <w:t>Fields: Yes, No</w:t>
      </w:r>
    </w:p>
    <w:p w14:paraId="65F37914" w14:textId="0A7C6D94" w:rsidR="000D4F98" w:rsidRPr="00537483" w:rsidRDefault="000D4F98" w:rsidP="00A839D4">
      <w:pPr>
        <w:pStyle w:val="NCDAppendixNumberedLevel2"/>
      </w:pPr>
      <w:r>
        <w:t xml:space="preserve">Source: M. Musumeci, P. Chidambaram, and M. O’Malley Watts, </w:t>
      </w:r>
      <w:r w:rsidR="00401D57" w:rsidRPr="00401D57">
        <w:rPr>
          <w:i/>
          <w:iCs/>
        </w:rPr>
        <w:t>Appendix Table 1: State Adoption of Key Option Pathways to Full Medicaid Eligibility Based on Old Age or Disability, 2018</w:t>
      </w:r>
      <w:r w:rsidRPr="00B65A46">
        <w:t xml:space="preserve"> </w:t>
      </w:r>
      <w:r w:rsidRPr="00344C03">
        <w:t>(Washington</w:t>
      </w:r>
      <w:r>
        <w:t>, DC</w:t>
      </w:r>
      <w:r w:rsidRPr="00344C03">
        <w:t xml:space="preserve">: Kaiser Family Foundation, 2020), </w:t>
      </w:r>
      <w:hyperlink r:id="rId40" w:tooltip="https://www.kff.org/report-section/medicaid-financial-eligibility-for-seniors-and-people-with-disabilities-findings-from-a-50-state-survey-appendix-tables/" w:history="1">
        <w:r w:rsidRPr="004F195F">
          <w:rPr>
            <w:rStyle w:val="Hyperlink"/>
            <w:rFonts w:eastAsiaTheme="majorEastAsia" w:cs="Arial"/>
          </w:rPr>
          <w:t>https://www.kff.org/report-section/medicaid-financial-eligibility-for-seniors-and-people-with-disabilities-findings-from-a-50-state-survey-appendix-tables/</w:t>
        </w:r>
        <w:r w:rsidRPr="006D70C0">
          <w:rPr>
            <w:rStyle w:val="Hyperlink"/>
            <w:rFonts w:eastAsiaTheme="majorEastAsia" w:cs="Arial"/>
            <w:color w:val="auto"/>
            <w:u w:val="none"/>
          </w:rPr>
          <w:t>.</w:t>
        </w:r>
      </w:hyperlink>
    </w:p>
    <w:p w14:paraId="4878D4B3" w14:textId="4D8AC069" w:rsidR="000D4F98" w:rsidRPr="00537483" w:rsidRDefault="000D4F98" w:rsidP="00A839D4">
      <w:pPr>
        <w:pStyle w:val="NCDAppendixNumberedLevel2"/>
      </w:pPr>
      <w:r>
        <w:t xml:space="preserve">Explanation: </w:t>
      </w:r>
      <w:r w:rsidRPr="00DE226B">
        <w:t xml:space="preserve">Many state Medicaid programs allow individuals </w:t>
      </w:r>
      <w:r>
        <w:t xml:space="preserve">with disabilities who are </w:t>
      </w:r>
      <w:r w:rsidRPr="00DE226B">
        <w:t xml:space="preserve">under the age of </w:t>
      </w:r>
      <w:r>
        <w:t>sixty-five years</w:t>
      </w:r>
      <w:r w:rsidRPr="00DE226B">
        <w:t xml:space="preserve"> who earn more than the allowable amount under Medicaid to purchase Medicaid coverage by paying premiums (</w:t>
      </w:r>
      <w:hyperlink r:id="rId41" w:tooltip="https://www.dol.gov/sites/dolgov/files/odep/topics/medicaidbuyinqaf.pdf" w:history="1">
        <w:r w:rsidRPr="00B66945">
          <w:rPr>
            <w:rStyle w:val="Hyperlink"/>
            <w:rFonts w:eastAsiaTheme="majorEastAsia" w:cs="Arial"/>
          </w:rPr>
          <w:t>https://www.dol.gov/sites/dolgov/files/odep/topics/medicaidbuyinqaf.pdf</w:t>
        </w:r>
      </w:hyperlink>
      <w:r w:rsidRPr="00DE226B">
        <w:t>). These programs allow individuals with disabilities to work and retain Medicaid health benefits. Many states will temporarily allow recipients to stay on the program after losing employment (e.g.</w:t>
      </w:r>
      <w:r>
        <w:t>,</w:t>
      </w:r>
      <w:r w:rsidRPr="00DE226B">
        <w:t xml:space="preserve"> for </w:t>
      </w:r>
      <w:r>
        <w:t>six</w:t>
      </w:r>
      <w:r w:rsidRPr="00DE226B">
        <w:t xml:space="preserve"> months), allowing participants in this Medicaid option to retain Medicaid while they reapply for S</w:t>
      </w:r>
      <w:r>
        <w:t xml:space="preserve">upplemental </w:t>
      </w:r>
      <w:r w:rsidRPr="00DE226B">
        <w:t>S</w:t>
      </w:r>
      <w:r>
        <w:t xml:space="preserve">ecurity </w:t>
      </w:r>
      <w:r w:rsidRPr="00DE226B">
        <w:t>I</w:t>
      </w:r>
      <w:r>
        <w:t>ncome</w:t>
      </w:r>
      <w:r w:rsidRPr="00DE226B">
        <w:t xml:space="preserve"> or seek other employment.</w:t>
      </w:r>
      <w:r>
        <w:t xml:space="preserve"> In states with buy-in programs, more people with disabilities have opportunities to be covered by state Medicaid programs.</w:t>
      </w:r>
    </w:p>
    <w:p w14:paraId="5E84A819" w14:textId="3AEB9BFC" w:rsidR="000D4F98" w:rsidRPr="00537483" w:rsidRDefault="00401D57" w:rsidP="00A839D4">
      <w:pPr>
        <w:pStyle w:val="NCDBodyText"/>
        <w:spacing w:line="240" w:lineRule="auto"/>
        <w:rPr>
          <w:b/>
          <w:i/>
        </w:rPr>
      </w:pPr>
      <w:bookmarkStart w:id="227" w:name="_Toc83650948"/>
      <w:r w:rsidRPr="00401D57">
        <w:rPr>
          <w:b/>
        </w:rPr>
        <w:t>Waivers</w:t>
      </w:r>
      <w:bookmarkEnd w:id="227"/>
      <w:r w:rsidRPr="00401D57">
        <w:rPr>
          <w:b/>
        </w:rPr>
        <w:t> </w:t>
      </w:r>
    </w:p>
    <w:p w14:paraId="060B7837" w14:textId="061B0D32" w:rsidR="000D4F98" w:rsidRPr="006D70C0" w:rsidRDefault="00401D57" w:rsidP="00A839D4">
      <w:pPr>
        <w:pStyle w:val="NCDBodyText"/>
        <w:spacing w:line="240" w:lineRule="auto"/>
      </w:pPr>
      <w:r w:rsidRPr="006D70C0">
        <w:rPr>
          <w:rFonts w:cs="Arial"/>
          <w:i/>
          <w:iCs/>
        </w:rPr>
        <w:t>Detailed waiver review methodology </w:t>
      </w:r>
    </w:p>
    <w:p w14:paraId="010F97C6" w14:textId="77777777" w:rsidR="000D4F98" w:rsidRPr="00537483" w:rsidRDefault="000D4F98" w:rsidP="00A839D4">
      <w:pPr>
        <w:pStyle w:val="NCDBodyText"/>
        <w:spacing w:line="240" w:lineRule="auto"/>
      </w:pPr>
      <w:r>
        <w:rPr>
          <w:rFonts w:cs="Arial"/>
        </w:rPr>
        <w:t>NCD reviewed waiver programs only for states that were not classified as having comprehensive adult dental benefits in 2018. For 1915 waivers, NCD reviewed approved waiver applications available on the CMS website.</w:t>
      </w:r>
      <w:r>
        <w:rPr>
          <w:rStyle w:val="EndnoteReference"/>
          <w:rFonts w:eastAsiaTheme="majorEastAsia" w:cs="Arial"/>
        </w:rPr>
        <w:endnoteReference w:id="142"/>
      </w:r>
      <w:r>
        <w:rPr>
          <w:rFonts w:cs="Arial"/>
        </w:rPr>
        <w:t> However, 1115 waivers did not follow a standardized format; therefore, some columns have missing fields. For information about 1115 waivers, several documents available on the CMS website were reviewed, including quarterly reports, CMS approval letters, and fact sheets. Only the most recent versions of waiver materials listed on CMS were reviewed, as prior versions of waiver materials were not consistently available across all states. NCD also cross-checked CMS information with information from MSDA survey results from 2019. When MSDA data indicated that a state has dental coverage via waivers (column B), NCD expanded the search of the state’s waivers to include pending waiver applications (e.g., Utah). NCD did not review expired or terminated waivers. The 1915 waiver applications also contain standardized information about the number of people the waiver will serve per year of the approval period and the cap on the monetary amount they will spend on dental services, so these were collected as well from waiver reviews for 1915 waiver programs.</w:t>
      </w:r>
    </w:p>
    <w:p w14:paraId="4156DBDB" w14:textId="77777777" w:rsidR="000D4F98" w:rsidRPr="00537483" w:rsidRDefault="000D4F98" w:rsidP="00A839D4">
      <w:pPr>
        <w:pStyle w:val="NCDAppendixNumberedLevel1"/>
      </w:pPr>
      <w:r>
        <w:t>MSDA: Dental programs operating under Medicaid waiver</w:t>
      </w:r>
    </w:p>
    <w:p w14:paraId="3C3D3514" w14:textId="77777777" w:rsidR="000D4F98" w:rsidRPr="00537483" w:rsidRDefault="000D4F98" w:rsidP="00A839D4">
      <w:pPr>
        <w:pStyle w:val="NCDAppendixNumberedLevel2"/>
        <w:numPr>
          <w:ilvl w:val="1"/>
          <w:numId w:val="16"/>
        </w:numPr>
        <w:ind w:left="720"/>
      </w:pPr>
      <w:r w:rsidRPr="00F441A3">
        <w:t>Column B</w:t>
      </w:r>
    </w:p>
    <w:p w14:paraId="132A15E9" w14:textId="77777777" w:rsidR="000D4F98" w:rsidRPr="00537483" w:rsidRDefault="000D4F98" w:rsidP="00A839D4">
      <w:pPr>
        <w:pStyle w:val="NCDAppendixNumberedLevel2"/>
      </w:pPr>
      <w:r w:rsidRPr="00F441A3">
        <w:t>Fields: 1115, 1915(b), 1915(c)</w:t>
      </w:r>
    </w:p>
    <w:p w14:paraId="509756B9" w14:textId="3A3A55B0" w:rsidR="000D4F98" w:rsidRPr="00537483" w:rsidRDefault="000D4F98" w:rsidP="00A839D4">
      <w:pPr>
        <w:pStyle w:val="NCDAppendixNumberedLevel2"/>
      </w:pPr>
      <w:r w:rsidRPr="00F441A3">
        <w:t>Source: Medicaid/Medicare/CHIP Services Dental Association (MSDA)</w:t>
      </w:r>
      <w:r>
        <w:t>,</w:t>
      </w:r>
      <w:r w:rsidRPr="00F441A3">
        <w:t xml:space="preserve"> </w:t>
      </w:r>
      <w:r w:rsidR="00401D57" w:rsidRPr="00401D57">
        <w:rPr>
          <w:i/>
          <w:iCs/>
        </w:rPr>
        <w:t>2019 National: Policy. Dental Programs Operating Under Medicaid Waiver</w:t>
      </w:r>
      <w:r>
        <w:t xml:space="preserve"> (2019), accessed October 2020,</w:t>
      </w:r>
      <w:r w:rsidRPr="00F441A3">
        <w:t xml:space="preserve"> </w:t>
      </w:r>
      <w:hyperlink r:id="rId42" w:tooltip="https://www.msdanationalprofile.com/profiles/2019/national/all/policy/medical-waivers" w:history="1">
        <w:r w:rsidRPr="001412E0">
          <w:rPr>
            <w:rStyle w:val="Hyperlink"/>
            <w:rFonts w:eastAsiaTheme="majorEastAsia" w:cs="Arial"/>
            <w:color w:val="0000FF"/>
          </w:rPr>
          <w:t>https://www.msdanationalprofile.com/profiles/2019/national/all/policy/medical-waivers</w:t>
        </w:r>
      </w:hyperlink>
      <w:r w:rsidRPr="002513DA">
        <w:rPr>
          <w:rStyle w:val="Hyperlink"/>
          <w:rFonts w:eastAsiaTheme="majorEastAsia" w:cs="Arial"/>
          <w:color w:val="auto"/>
          <w:u w:val="none"/>
        </w:rPr>
        <w:t xml:space="preserve"> (free account creation required to access)</w:t>
      </w:r>
      <w:r w:rsidRPr="002513DA">
        <w:t>.</w:t>
      </w:r>
    </w:p>
    <w:p w14:paraId="58E6D132" w14:textId="77777777" w:rsidR="000D4F98" w:rsidRPr="00537483" w:rsidRDefault="000D4F98" w:rsidP="00A839D4">
      <w:pPr>
        <w:pStyle w:val="NCDAppendixNumberedLevel2"/>
      </w:pPr>
      <w:r w:rsidRPr="00F441A3">
        <w:t>Explanation: States self-reported this measure and indicated whether the waiver was 1115, 1915(b), 1915(c), combination, or left blank. </w:t>
      </w:r>
    </w:p>
    <w:p w14:paraId="29F44AC6" w14:textId="77777777" w:rsidR="000D4F98" w:rsidRPr="00537483" w:rsidRDefault="000D4F98" w:rsidP="00A839D4">
      <w:pPr>
        <w:pStyle w:val="NCDAppendixNumberedLevel1"/>
      </w:pPr>
      <w:r>
        <w:lastRenderedPageBreak/>
        <w:t xml:space="preserve"> Waiver name</w:t>
      </w:r>
    </w:p>
    <w:p w14:paraId="1BE55F14" w14:textId="77777777" w:rsidR="000D4F98" w:rsidRPr="00537483" w:rsidRDefault="000D4F98" w:rsidP="00A839D4">
      <w:pPr>
        <w:pStyle w:val="NCDAppendixNumberedLevel2"/>
      </w:pPr>
      <w:r w:rsidRPr="00F441A3">
        <w:t>Column C</w:t>
      </w:r>
    </w:p>
    <w:p w14:paraId="497D513D" w14:textId="77777777" w:rsidR="000D4F98" w:rsidRPr="00537483" w:rsidRDefault="000D4F98" w:rsidP="00A839D4">
      <w:pPr>
        <w:pStyle w:val="NCDAppendixNumberedLevel1"/>
      </w:pPr>
      <w:r>
        <w:t xml:space="preserve"> Waiver type </w:t>
      </w:r>
    </w:p>
    <w:p w14:paraId="67A27C3B" w14:textId="77777777" w:rsidR="000D4F98" w:rsidRPr="00537483" w:rsidRDefault="000D4F98" w:rsidP="00A839D4">
      <w:pPr>
        <w:pStyle w:val="NCDAppendixNumberedLevel2"/>
      </w:pPr>
      <w:r w:rsidRPr="00F441A3">
        <w:t>Column D</w:t>
      </w:r>
    </w:p>
    <w:p w14:paraId="5F84D2ED" w14:textId="77777777" w:rsidR="000D4F98" w:rsidRPr="00537483" w:rsidRDefault="000D4F98" w:rsidP="00A839D4">
      <w:pPr>
        <w:pStyle w:val="NCDAppendixNumberedLevel2"/>
      </w:pPr>
      <w:r w:rsidRPr="00F441A3">
        <w:t>Fields: For example, 1115, 1915(b), 1915(c), etc.</w:t>
      </w:r>
    </w:p>
    <w:p w14:paraId="059CB2BB" w14:textId="77777777" w:rsidR="000D4F98" w:rsidRPr="00537483" w:rsidRDefault="000D4F98" w:rsidP="00A839D4">
      <w:pPr>
        <w:pStyle w:val="NCDAppendixNumberedLevel1"/>
      </w:pPr>
      <w:r>
        <w:t xml:space="preserve"> Does the waiver provide dental coverage for adults with I/DD beyond that covered for the general adult population?</w:t>
      </w:r>
    </w:p>
    <w:p w14:paraId="6781613C" w14:textId="77777777" w:rsidR="000D4F98" w:rsidRPr="00537483" w:rsidRDefault="000D4F98" w:rsidP="00A839D4">
      <w:pPr>
        <w:pStyle w:val="NCDAppendixNumberedLevel2"/>
      </w:pPr>
      <w:r w:rsidRPr="00F441A3">
        <w:t>Column E</w:t>
      </w:r>
    </w:p>
    <w:p w14:paraId="697C2891" w14:textId="77777777" w:rsidR="000D4F98" w:rsidRPr="00537483" w:rsidRDefault="000D4F98" w:rsidP="00A839D4">
      <w:pPr>
        <w:pStyle w:val="NCDAppendixNumberedLevel2"/>
      </w:pPr>
      <w:r>
        <w:t>Fields: Y/N</w:t>
      </w:r>
    </w:p>
    <w:p w14:paraId="5B2D207C" w14:textId="336FB9DC" w:rsidR="000D4F98" w:rsidRPr="00537483" w:rsidRDefault="000D4F98" w:rsidP="00A839D4">
      <w:pPr>
        <w:pStyle w:val="NCDAppendixNumberedLevel2"/>
      </w:pPr>
      <w:r w:rsidRPr="00F441A3">
        <w:t xml:space="preserve">Note: Maryland provides dental care for adults ages </w:t>
      </w:r>
      <w:r>
        <w:t>twenty-one to sixty-four years</w:t>
      </w:r>
      <w:r w:rsidRPr="00F441A3">
        <w:t xml:space="preserve"> who are dually eligible for Medicaid and Medicare through a pilot dental program. This is not specific to adults with I/DD and</w:t>
      </w:r>
      <w:r>
        <w:t>,</w:t>
      </w:r>
      <w:r w:rsidRPr="00F441A3">
        <w:t xml:space="preserve"> thereby, was not counted as a waiver program for 2018 T-MSIS analysis. The fee schedule for this program is available at</w:t>
      </w:r>
      <w:hyperlink r:id="rId43" w:tooltip="https://health.maryland.gov/mmcp/Documents/Overview.pdf." w:history="1">
        <w:r w:rsidRPr="00F441A3">
          <w:rPr>
            <w:rStyle w:val="Hyperlink"/>
            <w:rFonts w:eastAsiaTheme="majorEastAsia" w:cs="Arial"/>
            <w:color w:val="000000"/>
          </w:rPr>
          <w:t xml:space="preserve"> </w:t>
        </w:r>
        <w:r w:rsidRPr="001412E0">
          <w:rPr>
            <w:rStyle w:val="Hyperlink"/>
            <w:rFonts w:eastAsiaTheme="majorEastAsia" w:cs="Arial"/>
            <w:color w:val="0000FF"/>
          </w:rPr>
          <w:t>https://health.maryland.gov/mmcp/Documents/Overview.pdf</w:t>
        </w:r>
        <w:r w:rsidRPr="006D70C0">
          <w:rPr>
            <w:rStyle w:val="Hyperlink"/>
            <w:rFonts w:eastAsiaTheme="majorEastAsia" w:cs="Arial"/>
            <w:color w:val="auto"/>
            <w:u w:val="none"/>
          </w:rPr>
          <w:t>.</w:t>
        </w:r>
      </w:hyperlink>
    </w:p>
    <w:p w14:paraId="6D441EC5" w14:textId="77777777" w:rsidR="000D4F98" w:rsidRPr="00537483" w:rsidRDefault="000D4F98" w:rsidP="00A839D4">
      <w:pPr>
        <w:pStyle w:val="NCDAppendixNumberedLevel1"/>
      </w:pPr>
      <w:r>
        <w:t>Does the waiver provide dental coverage for the general adult population?</w:t>
      </w:r>
    </w:p>
    <w:p w14:paraId="695D50B8" w14:textId="77777777" w:rsidR="000D4F98" w:rsidRPr="00537483" w:rsidRDefault="000D4F98" w:rsidP="00A839D4">
      <w:pPr>
        <w:pStyle w:val="NCDAppendixNumberedLevel2"/>
      </w:pPr>
      <w:r w:rsidRPr="00F441A3">
        <w:t>Column F</w:t>
      </w:r>
    </w:p>
    <w:p w14:paraId="3BEE84ED" w14:textId="77777777" w:rsidR="000D4F98" w:rsidRPr="00537483" w:rsidRDefault="000D4F98" w:rsidP="00A839D4">
      <w:pPr>
        <w:pStyle w:val="NCDAppendixNumberedLevel2"/>
      </w:pPr>
      <w:r w:rsidRPr="00F441A3">
        <w:t>Fields: Y/N</w:t>
      </w:r>
    </w:p>
    <w:p w14:paraId="486E4905" w14:textId="77777777" w:rsidR="000D4F98" w:rsidRPr="00537483" w:rsidRDefault="000D4F98" w:rsidP="00A839D4">
      <w:pPr>
        <w:pStyle w:val="NCDAppendixNumberedLevel1"/>
      </w:pPr>
      <w:r>
        <w:t>Was the waiver in effect in 2018?</w:t>
      </w:r>
    </w:p>
    <w:p w14:paraId="49F42540" w14:textId="77777777" w:rsidR="000D4F98" w:rsidRPr="00537483" w:rsidRDefault="000D4F98" w:rsidP="00A839D4">
      <w:pPr>
        <w:pStyle w:val="NCDAppendixNumberedLevel2"/>
      </w:pPr>
      <w:r w:rsidRPr="00F441A3">
        <w:t>Column G</w:t>
      </w:r>
    </w:p>
    <w:p w14:paraId="3645D953" w14:textId="77777777" w:rsidR="000D4F98" w:rsidRPr="00537483" w:rsidRDefault="000D4F98" w:rsidP="00A839D4">
      <w:pPr>
        <w:pStyle w:val="NCDAppendixNumberedLevel2"/>
      </w:pPr>
      <w:r w:rsidRPr="00F441A3">
        <w:t>Fields: Y/N</w:t>
      </w:r>
    </w:p>
    <w:p w14:paraId="30AF0D29" w14:textId="77777777" w:rsidR="000D4F98" w:rsidRPr="00537483" w:rsidRDefault="000D4F98" w:rsidP="00A839D4">
      <w:pPr>
        <w:pStyle w:val="NCDAppendixNumberedLevel2"/>
      </w:pPr>
      <w:r w:rsidRPr="00F441A3">
        <w:t>Marked as Y if 2018 fell between the waiver approval date of initial application and the waiver expiration date.</w:t>
      </w:r>
      <w:r>
        <w:t xml:space="preserve"> </w:t>
      </w:r>
      <w:r w:rsidRPr="00F441A3">
        <w:t>This was used in analysis of 2018 T-MSIS data.</w:t>
      </w:r>
    </w:p>
    <w:p w14:paraId="4698A6BA" w14:textId="77777777" w:rsidR="000D4F98" w:rsidRPr="00537483" w:rsidRDefault="000D4F98" w:rsidP="00A839D4">
      <w:pPr>
        <w:pStyle w:val="NCDAppendixNumberedLevel1"/>
      </w:pPr>
      <w:r>
        <w:t>Initial application/approval date</w:t>
      </w:r>
    </w:p>
    <w:p w14:paraId="6940F653" w14:textId="77777777" w:rsidR="000D4F98" w:rsidRPr="00537483" w:rsidRDefault="000D4F98" w:rsidP="00A839D4">
      <w:pPr>
        <w:pStyle w:val="NCDAppendixNumberedLevel2"/>
      </w:pPr>
      <w:r w:rsidRPr="00F441A3">
        <w:t>Column H</w:t>
      </w:r>
    </w:p>
    <w:p w14:paraId="7C36B64D" w14:textId="77777777" w:rsidR="000D4F98" w:rsidRPr="00537483" w:rsidRDefault="000D4F98" w:rsidP="00A839D4">
      <w:pPr>
        <w:pStyle w:val="NCDAppendixNumberedLevel2"/>
      </w:pPr>
      <w:r w:rsidRPr="00F441A3">
        <w:t>On CMS website</w:t>
      </w:r>
    </w:p>
    <w:p w14:paraId="59FC943E" w14:textId="77777777" w:rsidR="000D4F98" w:rsidRPr="00537483" w:rsidRDefault="000D4F98" w:rsidP="00A839D4">
      <w:pPr>
        <w:pStyle w:val="NCDAppendixNumberedLevel1"/>
      </w:pPr>
      <w:r>
        <w:t>Date the latest approved/pending application was effective</w:t>
      </w:r>
    </w:p>
    <w:p w14:paraId="49CFFA7F" w14:textId="77777777" w:rsidR="000D4F98" w:rsidRPr="00537483" w:rsidRDefault="000D4F98" w:rsidP="00A839D4">
      <w:pPr>
        <w:pStyle w:val="NCDAppendixNumberedLevel2"/>
      </w:pPr>
      <w:r w:rsidRPr="00F441A3">
        <w:t>Column I</w:t>
      </w:r>
    </w:p>
    <w:p w14:paraId="4AC9AA29" w14:textId="77777777" w:rsidR="000D4F98" w:rsidRPr="00537483" w:rsidRDefault="000D4F98" w:rsidP="00A839D4">
      <w:pPr>
        <w:pStyle w:val="NCDAppendixNumberedLevel2"/>
      </w:pPr>
      <w:r w:rsidRPr="00F441A3">
        <w:t>On CMS website</w:t>
      </w:r>
    </w:p>
    <w:p w14:paraId="37862AFB" w14:textId="77777777" w:rsidR="00A839D4" w:rsidRDefault="00A839D4">
      <w:pPr>
        <w:spacing w:after="160" w:line="259" w:lineRule="auto"/>
      </w:pPr>
      <w:r>
        <w:br w:type="page"/>
      </w:r>
    </w:p>
    <w:p w14:paraId="3591C06F" w14:textId="7BF31554" w:rsidR="000D4F98" w:rsidRPr="00537483" w:rsidRDefault="000D4F98" w:rsidP="00A839D4">
      <w:pPr>
        <w:pStyle w:val="NCDAppendixNumberedLevel1"/>
      </w:pPr>
      <w:r w:rsidRPr="00F441A3">
        <w:lastRenderedPageBreak/>
        <w:t>Waive</w:t>
      </w:r>
      <w:r>
        <w:t>r</w:t>
      </w:r>
      <w:r w:rsidRPr="00F441A3">
        <w:t xml:space="preserve"> expiration date</w:t>
      </w:r>
    </w:p>
    <w:p w14:paraId="33903E7D" w14:textId="77777777" w:rsidR="000D4F98" w:rsidRPr="00537483" w:rsidRDefault="000D4F98" w:rsidP="00A839D4">
      <w:pPr>
        <w:pStyle w:val="NCDAppendixNumberedLevel2"/>
      </w:pPr>
      <w:r w:rsidRPr="00F441A3">
        <w:t>Column J</w:t>
      </w:r>
    </w:p>
    <w:p w14:paraId="3FBA04EC" w14:textId="77777777" w:rsidR="000D4F98" w:rsidRPr="00537483" w:rsidRDefault="000D4F98" w:rsidP="00A839D4">
      <w:pPr>
        <w:pStyle w:val="NCDAppendixNumberedLevel2"/>
      </w:pPr>
      <w:r w:rsidRPr="00F441A3">
        <w:t>On CMS website</w:t>
      </w:r>
    </w:p>
    <w:p w14:paraId="5E5B9E76" w14:textId="77777777" w:rsidR="000D4F98" w:rsidRPr="00537483" w:rsidRDefault="000D4F98" w:rsidP="00A839D4">
      <w:pPr>
        <w:pStyle w:val="NCDAppendixNumberedLevel1"/>
      </w:pPr>
      <w:r>
        <w:t>Approval period</w:t>
      </w:r>
    </w:p>
    <w:p w14:paraId="7BDAEEB4" w14:textId="77777777" w:rsidR="000D4F98" w:rsidRPr="00537483" w:rsidRDefault="000D4F98" w:rsidP="00A839D4">
      <w:pPr>
        <w:pStyle w:val="NCDAppendixNumberedLevel2"/>
      </w:pPr>
      <w:r w:rsidRPr="00F441A3">
        <w:t>Column K</w:t>
      </w:r>
    </w:p>
    <w:p w14:paraId="1904676E" w14:textId="77777777" w:rsidR="000D4F98" w:rsidRPr="00537483" w:rsidRDefault="000D4F98" w:rsidP="00A839D4">
      <w:pPr>
        <w:pStyle w:val="NCDAppendixNumberedLevel2"/>
      </w:pPr>
      <w:r w:rsidRPr="00F441A3">
        <w:t>For 1915 waivers, this information is in Section 1C of approved waiver applications.</w:t>
      </w:r>
    </w:p>
    <w:p w14:paraId="590099FC" w14:textId="77777777" w:rsidR="000D4F98" w:rsidRPr="00537483" w:rsidRDefault="000D4F98" w:rsidP="00A839D4">
      <w:pPr>
        <w:pStyle w:val="NCDAppendixNumberedLevel1"/>
      </w:pPr>
      <w:r>
        <w:t>Number of people served by the waiver</w:t>
      </w:r>
    </w:p>
    <w:p w14:paraId="07204D24" w14:textId="77777777" w:rsidR="000D4F98" w:rsidRPr="00537483" w:rsidRDefault="000D4F98" w:rsidP="00A839D4">
      <w:pPr>
        <w:pStyle w:val="NCDAppendixNumberedLevel2"/>
      </w:pPr>
      <w:r w:rsidRPr="00F441A3">
        <w:t>Column L</w:t>
      </w:r>
    </w:p>
    <w:p w14:paraId="7D3C0377" w14:textId="77777777" w:rsidR="000D4F98" w:rsidRPr="00537483" w:rsidRDefault="000D4F98" w:rsidP="00A839D4">
      <w:pPr>
        <w:pStyle w:val="NCDAppendixNumberedLevel2"/>
      </w:pPr>
      <w:r w:rsidRPr="00F441A3">
        <w:t>For 1915 waivers, this information is in Appendi</w:t>
      </w:r>
      <w:r>
        <w:t>x</w:t>
      </w:r>
      <w:r w:rsidRPr="00F441A3">
        <w:t>es B and J of approved waiver applications.</w:t>
      </w:r>
    </w:p>
    <w:p w14:paraId="025DDE93" w14:textId="77777777" w:rsidR="000D4F98" w:rsidRPr="00537483" w:rsidRDefault="000D4F98" w:rsidP="00A839D4">
      <w:pPr>
        <w:pStyle w:val="NCDAppendixNumberedLevel1"/>
      </w:pPr>
      <w:r>
        <w:t>Cost cap per waiver participant per year for dental services covered in the waiver plan</w:t>
      </w:r>
    </w:p>
    <w:p w14:paraId="663067EB" w14:textId="77777777" w:rsidR="000D4F98" w:rsidRPr="00537483" w:rsidRDefault="000D4F98" w:rsidP="00A839D4">
      <w:pPr>
        <w:pStyle w:val="NCDAppendixNumberedLevel2"/>
      </w:pPr>
      <w:r w:rsidRPr="00F441A3">
        <w:t>Column M</w:t>
      </w:r>
    </w:p>
    <w:p w14:paraId="6A0F9D41" w14:textId="77777777" w:rsidR="000D4F98" w:rsidRPr="00537483" w:rsidRDefault="000D4F98" w:rsidP="00A839D4">
      <w:pPr>
        <w:pStyle w:val="NCDAppendixNumberedLevel2"/>
      </w:pPr>
      <w:r w:rsidRPr="00F441A3">
        <w:t>For 1915 waivers, this information is usually in Appendix C of approved waiver applications.</w:t>
      </w:r>
    </w:p>
    <w:p w14:paraId="7410B342" w14:textId="77777777" w:rsidR="000D4F98" w:rsidRPr="00537483" w:rsidRDefault="000D4F98" w:rsidP="00A839D4">
      <w:pPr>
        <w:pStyle w:val="NCDAppendixNumberedLevel1"/>
      </w:pPr>
      <w:r>
        <w:t>Dental services covered under the waiver</w:t>
      </w:r>
    </w:p>
    <w:p w14:paraId="3FB9D35A" w14:textId="77777777" w:rsidR="000D4F98" w:rsidRPr="00537483" w:rsidRDefault="000D4F98" w:rsidP="00A839D4">
      <w:pPr>
        <w:pStyle w:val="NCDAppendixNumberedLevel2"/>
      </w:pPr>
      <w:r w:rsidRPr="00F441A3">
        <w:t>Column N</w:t>
      </w:r>
    </w:p>
    <w:p w14:paraId="56EDFE95" w14:textId="77777777" w:rsidR="000D4F98" w:rsidRPr="00537483" w:rsidRDefault="000D4F98" w:rsidP="00A839D4">
      <w:pPr>
        <w:pStyle w:val="NCDAppendixNumberedLevel2"/>
      </w:pPr>
      <w:r w:rsidRPr="00F441A3">
        <w:t>For 1915 waivers, this information is usually in Appendix C of approved waiver applications.</w:t>
      </w:r>
    </w:p>
    <w:p w14:paraId="034C80A3" w14:textId="77777777" w:rsidR="000D4F98" w:rsidRPr="00537483" w:rsidRDefault="000D4F98" w:rsidP="00A839D4">
      <w:pPr>
        <w:pStyle w:val="NCDAppendixNumberedLevel1"/>
      </w:pPr>
      <w:r>
        <w:t>Populations granted expanded dental benefits under the waiver</w:t>
      </w:r>
    </w:p>
    <w:p w14:paraId="28EF8CE9" w14:textId="77777777" w:rsidR="000D4F98" w:rsidRPr="00537483" w:rsidRDefault="000D4F98" w:rsidP="00A839D4">
      <w:pPr>
        <w:pStyle w:val="NCDAppendixNumberedLevel2"/>
      </w:pPr>
      <w:r w:rsidRPr="00F441A3">
        <w:t>Column O</w:t>
      </w:r>
    </w:p>
    <w:p w14:paraId="08FD9A1F" w14:textId="77777777" w:rsidR="000D4F98" w:rsidRPr="00537483" w:rsidRDefault="000D4F98" w:rsidP="00A839D4">
      <w:pPr>
        <w:pStyle w:val="NCDAppendixNumberedLevel2"/>
      </w:pPr>
      <w:r w:rsidRPr="00F441A3">
        <w:t>For 1915 waivers, this information is usually in the waiver description and Appendix B of approved waiver applications.</w:t>
      </w:r>
    </w:p>
    <w:p w14:paraId="040E48B8" w14:textId="77777777" w:rsidR="000D4F98" w:rsidRPr="00537483" w:rsidRDefault="000D4F98" w:rsidP="00A839D4">
      <w:pPr>
        <w:pStyle w:val="NCDAppendixNumberedLevel1"/>
      </w:pPr>
      <w:r w:rsidRPr="00F441A3">
        <w:t>Other notes and resources</w:t>
      </w:r>
    </w:p>
    <w:p w14:paraId="330869D3" w14:textId="77777777" w:rsidR="000D4F98" w:rsidRPr="00537483" w:rsidRDefault="000D4F98" w:rsidP="00A839D4">
      <w:pPr>
        <w:pStyle w:val="NCDAppendixNumberedLevel2"/>
      </w:pPr>
      <w:r w:rsidRPr="00F441A3">
        <w:t>Column P</w:t>
      </w:r>
    </w:p>
    <w:p w14:paraId="3192E3D1" w14:textId="77777777" w:rsidR="000D4F98" w:rsidRPr="00537483" w:rsidRDefault="000D4F98" w:rsidP="00A839D4">
      <w:pPr>
        <w:pStyle w:val="NCDBodyText"/>
        <w:spacing w:line="240" w:lineRule="auto"/>
      </w:pPr>
      <w:r>
        <w:t>Detailed steps for determining whether a waiver covered dental benefits for the general adult population or the adult population with I/DD were as follows: </w:t>
      </w:r>
    </w:p>
    <w:p w14:paraId="4426E381" w14:textId="77777777" w:rsidR="000D4F98" w:rsidRPr="00537483" w:rsidRDefault="000D4F98" w:rsidP="00A839D4">
      <w:pPr>
        <w:pStyle w:val="NCDAppendixNumberedLevel1"/>
        <w:numPr>
          <w:ilvl w:val="0"/>
          <w:numId w:val="17"/>
        </w:numPr>
        <w:ind w:left="360"/>
      </w:pPr>
      <w:r>
        <w:t>If at least one term listed under items a and b appeared in the waiver text, they were flagged for further review:</w:t>
      </w:r>
    </w:p>
    <w:p w14:paraId="22F2A09C" w14:textId="77777777" w:rsidR="000D4F98" w:rsidRPr="00537483" w:rsidRDefault="000D4F98" w:rsidP="00A839D4">
      <w:pPr>
        <w:pStyle w:val="NCDAppendixNumberedLevel2"/>
      </w:pPr>
      <w:r>
        <w:t>“Intellectual disability”/“Developmental disability”/“Mental retardation”/“Autism”</w:t>
      </w:r>
    </w:p>
    <w:p w14:paraId="510844DB" w14:textId="77777777" w:rsidR="000D4F98" w:rsidRPr="00537483" w:rsidRDefault="000D4F98" w:rsidP="00A839D4">
      <w:pPr>
        <w:pStyle w:val="NCDAppendixNumberedLevel3"/>
      </w:pPr>
      <w:r>
        <w:lastRenderedPageBreak/>
        <w:t xml:space="preserve">In 1915 waiver applications/renewals, there is usually a grid of populations that are the “target group” for the waiver in Appendix B (covered populations) </w:t>
      </w:r>
      <w:r w:rsidRPr="00901606">
        <w:t>or</w:t>
      </w:r>
      <w:r>
        <w:t xml:space="preserve"> sometimes populations included/excluded are listed in Part I: E, “Populations Included in Waiver.” </w:t>
      </w:r>
    </w:p>
    <w:p w14:paraId="45466AA3" w14:textId="77777777" w:rsidR="000D4F98" w:rsidRPr="00537483" w:rsidRDefault="000D4F98" w:rsidP="00A839D4">
      <w:pPr>
        <w:pStyle w:val="NCDAppendixNumberedLevel2"/>
      </w:pPr>
      <w:r>
        <w:t>“Oral health” (space before “oral”)/“Dental”/“Dentistry”</w:t>
      </w:r>
    </w:p>
    <w:p w14:paraId="3975CA54" w14:textId="77777777" w:rsidR="000D4F98" w:rsidRPr="00537483" w:rsidRDefault="000D4F98" w:rsidP="00A839D4">
      <w:pPr>
        <w:pStyle w:val="NCDAppendixNumberedLevel3"/>
      </w:pPr>
      <w:r>
        <w:t>Also in 1915 waiver applications, Appendix C (covered services) contains information about any benefits included in the waiver program. </w:t>
      </w:r>
    </w:p>
    <w:p w14:paraId="76DFCD8E" w14:textId="77777777" w:rsidR="000D4F98" w:rsidRPr="00537483" w:rsidRDefault="000D4F98" w:rsidP="00A839D4">
      <w:pPr>
        <w:pStyle w:val="NCDAppendixNumberedLevel1"/>
      </w:pPr>
      <w:r>
        <w:t>If oral health and I/DD search terms were present, the approved waiver application materials were reviewed in depth for the above information.</w:t>
      </w:r>
    </w:p>
    <w:p w14:paraId="02DDC703" w14:textId="77777777" w:rsidR="000D4F98" w:rsidRPr="00537483" w:rsidRDefault="000D4F98" w:rsidP="00A839D4">
      <w:pPr>
        <w:pStyle w:val="NCDAppendixNumberedLevel1"/>
      </w:pPr>
      <w:r>
        <w:t>If the waiver specifically named the I/DD population as eligible for oral health benefits under the waiver, column E was marked as “Y”, as providing the I/DD population with additional dental benefits. Otherwise, the field was marked “N”. Sometimes I/DD populations are specifically excluded in some waivers (e.g., Indiana), which would also require “N” within this column.</w:t>
      </w:r>
    </w:p>
    <w:p w14:paraId="11286C53" w14:textId="77777777" w:rsidR="000D4F98" w:rsidRPr="00537483" w:rsidRDefault="000D4F98" w:rsidP="00A839D4">
      <w:pPr>
        <w:pStyle w:val="NCDAppendixNumberedLevel1"/>
      </w:pPr>
      <w:r>
        <w:t>The waiver was marked as “Y” in column F only if the waiver extended oral health benefits beyond the state plan for the general adult population.</w:t>
      </w:r>
    </w:p>
    <w:p w14:paraId="56D06267" w14:textId="12330A9B" w:rsidR="000D4F98" w:rsidRPr="00537483" w:rsidRDefault="00401D57" w:rsidP="00A839D4">
      <w:pPr>
        <w:pStyle w:val="NCDBodyText"/>
        <w:spacing w:line="240" w:lineRule="auto"/>
        <w:rPr>
          <w:rFonts w:ascii="Times New Roman" w:hAnsi="Times New Roman"/>
          <w:b/>
          <w:i/>
        </w:rPr>
      </w:pPr>
      <w:bookmarkStart w:id="228" w:name="_Toc83650949"/>
      <w:r w:rsidRPr="00401D57">
        <w:rPr>
          <w:b/>
        </w:rPr>
        <w:t>Medicaid Fee-for-Service Fee Schedules</w:t>
      </w:r>
      <w:bookmarkEnd w:id="228"/>
    </w:p>
    <w:p w14:paraId="47C84589" w14:textId="77777777" w:rsidR="000D4F98" w:rsidRPr="00537483" w:rsidRDefault="000D4F98" w:rsidP="00A839D4">
      <w:pPr>
        <w:pStyle w:val="NCDAppendixNumberedLevel1"/>
        <w:numPr>
          <w:ilvl w:val="0"/>
          <w:numId w:val="18"/>
        </w:numPr>
        <w:ind w:left="360"/>
      </w:pPr>
      <w:r>
        <w:t>NASHP classification of adult dental benefit coverage in Medicaid</w:t>
      </w:r>
    </w:p>
    <w:p w14:paraId="692075AE" w14:textId="77777777" w:rsidR="000D4F98" w:rsidRPr="00537483" w:rsidRDefault="000D4F98" w:rsidP="00A839D4">
      <w:pPr>
        <w:pStyle w:val="NCDAppendixNumberedLevel2"/>
      </w:pPr>
      <w:r w:rsidRPr="003559C8">
        <w:t>Column B</w:t>
      </w:r>
    </w:p>
    <w:p w14:paraId="1D4F770B" w14:textId="79930224" w:rsidR="000D4F98" w:rsidRPr="00E23A80" w:rsidRDefault="000D4F98" w:rsidP="00A839D4">
      <w:pPr>
        <w:pStyle w:val="NCDAppendixNumberedLevel2"/>
      </w:pPr>
      <w:r w:rsidRPr="00E23A80">
        <w:rPr>
          <w:color w:val="000000"/>
        </w:rPr>
        <w:t xml:space="preserve">Source: </w:t>
      </w:r>
      <w:r w:rsidRPr="00E23A80">
        <w:t>National Academy for State Health Policy,</w:t>
      </w:r>
      <w:r w:rsidR="00401D57" w:rsidRPr="00401D57">
        <w:rPr>
          <w:i/>
          <w:iCs/>
        </w:rPr>
        <w:t xml:space="preserve"> State Medicaid Coverage of Dental Services for the General Adult and Pregnant Populations</w:t>
      </w:r>
      <w:r w:rsidRPr="00E23A80">
        <w:t xml:space="preserve">, accessed September 22, 2021, </w:t>
      </w:r>
      <w:hyperlink r:id="rId44" w:tooltip="https://www.nashp.org/state-medicaid-coverage-of-dental-services-for-general-adult-and-pregnant-populations/" w:history="1">
        <w:r w:rsidRPr="001412E0">
          <w:rPr>
            <w:color w:val="0000FF"/>
            <w:u w:val="single"/>
          </w:rPr>
          <w:t>https://www.nashp.org/state-medicaid-coverage-of-dental-services-for-general-adult-and-pregnant-populations/</w:t>
        </w:r>
      </w:hyperlink>
      <w:r w:rsidRPr="00E23A80">
        <w:t>.</w:t>
      </w:r>
    </w:p>
    <w:p w14:paraId="0B2630F7" w14:textId="77777777" w:rsidR="000D4F98" w:rsidRPr="00537483" w:rsidRDefault="000D4F98" w:rsidP="00A839D4">
      <w:pPr>
        <w:pStyle w:val="NCDAppendixNumberedLevel1"/>
      </w:pPr>
      <w:r>
        <w:rPr>
          <w:shd w:val="clear" w:color="auto" w:fill="FFFFFF"/>
        </w:rPr>
        <w:t>Date of input into spreadsheet</w:t>
      </w:r>
    </w:p>
    <w:p w14:paraId="5331222F" w14:textId="77777777" w:rsidR="000D4F98" w:rsidRPr="00537483" w:rsidRDefault="000D4F98" w:rsidP="00A839D4">
      <w:pPr>
        <w:pStyle w:val="NCDAppendixNumberedLevel2"/>
      </w:pPr>
      <w:r>
        <w:rPr>
          <w:shd w:val="clear" w:color="auto" w:fill="FFFFFF"/>
        </w:rPr>
        <w:t>Column C</w:t>
      </w:r>
    </w:p>
    <w:p w14:paraId="1EF95698" w14:textId="77777777" w:rsidR="000D4F98" w:rsidRPr="00537483" w:rsidRDefault="000D4F98" w:rsidP="00A839D4">
      <w:pPr>
        <w:pStyle w:val="NCDAppendixNumberedLevel1"/>
      </w:pPr>
      <w:r>
        <w:rPr>
          <w:shd w:val="clear" w:color="auto" w:fill="FFFFFF"/>
        </w:rPr>
        <w:t>Date of fee schedule</w:t>
      </w:r>
    </w:p>
    <w:p w14:paraId="5E7BBFD0" w14:textId="77777777" w:rsidR="000D4F98" w:rsidRPr="00537483" w:rsidRDefault="000D4F98" w:rsidP="00A839D4">
      <w:pPr>
        <w:pStyle w:val="NCDAppendixNumberedLevel2"/>
      </w:pPr>
      <w:r>
        <w:rPr>
          <w:shd w:val="clear" w:color="auto" w:fill="FFFFFF"/>
        </w:rPr>
        <w:t>Column D</w:t>
      </w:r>
    </w:p>
    <w:p w14:paraId="4C7A6A0D" w14:textId="77777777" w:rsidR="000D4F98" w:rsidRPr="00537483" w:rsidRDefault="000D4F98" w:rsidP="00A839D4">
      <w:pPr>
        <w:pStyle w:val="NCDAppendixNumberedLevel1"/>
      </w:pPr>
      <w:r>
        <w:rPr>
          <w:shd w:val="clear" w:color="auto" w:fill="FFFFFF"/>
        </w:rPr>
        <w:t>Medicaid maximum fee for service fees for twenty-six relevant CDT codes for adult dental services </w:t>
      </w:r>
    </w:p>
    <w:p w14:paraId="0F43463F" w14:textId="77777777" w:rsidR="000D4F98" w:rsidRPr="00537483" w:rsidRDefault="000D4F98" w:rsidP="00A839D4">
      <w:pPr>
        <w:pStyle w:val="NCDAppendixNumberedLevel2"/>
      </w:pPr>
      <w:r>
        <w:t>Columns E–AC</w:t>
      </w:r>
    </w:p>
    <w:p w14:paraId="22EAAA57" w14:textId="77777777" w:rsidR="000D4F98" w:rsidRPr="00537483" w:rsidRDefault="000D4F98" w:rsidP="00A839D4">
      <w:pPr>
        <w:pStyle w:val="NCDAppendixNumberedLevel2"/>
      </w:pPr>
      <w:r>
        <w:rPr>
          <w:shd w:val="clear" w:color="auto" w:fill="FFFFFF"/>
        </w:rPr>
        <w:t>Frequency limitations for the below relevant twenty-six CDT codes</w:t>
      </w:r>
    </w:p>
    <w:p w14:paraId="1F95A213" w14:textId="77777777" w:rsidR="000D4F98" w:rsidRPr="00537483" w:rsidRDefault="000D4F98" w:rsidP="00A839D4">
      <w:pPr>
        <w:pStyle w:val="NCDAppendixNumberedLevel2"/>
      </w:pPr>
      <w:r>
        <w:rPr>
          <w:shd w:val="clear" w:color="auto" w:fill="FFFFFF"/>
        </w:rPr>
        <w:t>Columns AD–BB</w:t>
      </w:r>
    </w:p>
    <w:p w14:paraId="01B81D3A" w14:textId="77777777" w:rsidR="004E689B" w:rsidRDefault="004E689B">
      <w:pPr>
        <w:spacing w:after="160" w:line="259" w:lineRule="auto"/>
        <w:rPr>
          <w:shd w:val="clear" w:color="auto" w:fill="FFFFFF"/>
        </w:rPr>
      </w:pPr>
      <w:r>
        <w:rPr>
          <w:shd w:val="clear" w:color="auto" w:fill="FFFFFF"/>
        </w:rPr>
        <w:br w:type="page"/>
      </w:r>
    </w:p>
    <w:p w14:paraId="4A777DE8" w14:textId="3D47ACAC" w:rsidR="000D4F98" w:rsidRPr="00537483" w:rsidRDefault="000D4F98" w:rsidP="00A839D4">
      <w:pPr>
        <w:pStyle w:val="NCDAppendixNumberedLevel1"/>
      </w:pPr>
      <w:r>
        <w:rPr>
          <w:shd w:val="clear" w:color="auto" w:fill="FFFFFF"/>
        </w:rPr>
        <w:lastRenderedPageBreak/>
        <w:t>Was a separate fee schedule for individuals with intellectual disabilities found?</w:t>
      </w:r>
    </w:p>
    <w:p w14:paraId="6526004D" w14:textId="77777777" w:rsidR="000D4F98" w:rsidRPr="00537483" w:rsidRDefault="000D4F98" w:rsidP="00A839D4">
      <w:pPr>
        <w:pStyle w:val="NCDAppendixNumberedLevel2"/>
      </w:pPr>
      <w:r>
        <w:rPr>
          <w:shd w:val="clear" w:color="auto" w:fill="FFFFFF"/>
        </w:rPr>
        <w:t>Column BC</w:t>
      </w:r>
    </w:p>
    <w:p w14:paraId="7DE66DB3" w14:textId="77777777" w:rsidR="000D4F98" w:rsidRPr="00537483" w:rsidRDefault="000D4F98" w:rsidP="00A839D4">
      <w:pPr>
        <w:pStyle w:val="NCDAppendixNumberedLevel2"/>
      </w:pPr>
      <w:r>
        <w:rPr>
          <w:shd w:val="clear" w:color="auto" w:fill="FFFFFF"/>
        </w:rPr>
        <w:t>While this was not specifically sought for by NCD researchers, it was recorded when researchers came across a separate fee schedule for individuals with I/DD, usually only available if the state has a waiver granting additional or expanded dental benefits to adults with I/DD in the state.</w:t>
      </w:r>
    </w:p>
    <w:p w14:paraId="0C0B632B" w14:textId="77777777" w:rsidR="000D4F98" w:rsidRPr="00537483" w:rsidRDefault="000D4F98" w:rsidP="00A839D4">
      <w:pPr>
        <w:pStyle w:val="NCDAppendixNumberedLevel1"/>
      </w:pPr>
      <w:r>
        <w:rPr>
          <w:shd w:val="clear" w:color="auto" w:fill="FFFFFF"/>
        </w:rPr>
        <w:t>Notes</w:t>
      </w:r>
    </w:p>
    <w:p w14:paraId="2BE814C1" w14:textId="77777777" w:rsidR="000D4F98" w:rsidRPr="00537483" w:rsidRDefault="000D4F98" w:rsidP="00A839D4">
      <w:pPr>
        <w:pStyle w:val="NCDAppendixNumberedLevel2"/>
      </w:pPr>
      <w:r>
        <w:rPr>
          <w:shd w:val="clear" w:color="auto" w:fill="FFFFFF"/>
        </w:rPr>
        <w:t>Column BD</w:t>
      </w:r>
    </w:p>
    <w:p w14:paraId="0171096F" w14:textId="77777777" w:rsidR="000D4F98" w:rsidRPr="00537483" w:rsidRDefault="000D4F98" w:rsidP="00A839D4">
      <w:pPr>
        <w:pStyle w:val="NCDAppendixNumberedLevel2"/>
      </w:pPr>
      <w:r>
        <w:rPr>
          <w:shd w:val="clear" w:color="auto" w:fill="FFFFFF"/>
        </w:rPr>
        <w:t>Provides some clarity on fee schedule or additional information about fees within the sheet</w:t>
      </w:r>
    </w:p>
    <w:p w14:paraId="190D9C39" w14:textId="7D0539A1" w:rsidR="000D4F98" w:rsidRPr="006D70C0" w:rsidRDefault="00401D57" w:rsidP="00A839D4">
      <w:pPr>
        <w:pStyle w:val="NCDBodyText"/>
        <w:spacing w:line="240" w:lineRule="auto"/>
      </w:pPr>
      <w:r w:rsidRPr="006D70C0">
        <w:rPr>
          <w:i/>
        </w:rPr>
        <w:t>Methodological notes on fee schedules</w:t>
      </w:r>
    </w:p>
    <w:p w14:paraId="3A2EE769" w14:textId="77777777" w:rsidR="000D4F98" w:rsidRPr="00537483" w:rsidRDefault="000D4F98" w:rsidP="00A839D4">
      <w:pPr>
        <w:pStyle w:val="NCDBulletsLevel1"/>
        <w:spacing w:line="240" w:lineRule="auto"/>
      </w:pPr>
      <w:r>
        <w:t>Fees are for FFS dental benefits to the general adult population unless otherwise noted. It was assumed that for states where the fee schedule was not clear about whether the rates were for children or adults that the rates were the same for both populations. </w:t>
      </w:r>
    </w:p>
    <w:p w14:paraId="34708388" w14:textId="77777777" w:rsidR="000D4F98" w:rsidRPr="00537483" w:rsidRDefault="000D4F98" w:rsidP="00A839D4">
      <w:pPr>
        <w:pStyle w:val="NCDBulletsLevel1"/>
        <w:spacing w:line="240" w:lineRule="auto"/>
      </w:pPr>
      <w:r>
        <w:t>States without a Medicaid dental benefit for the general adult population do not publish a Medicaid fee schedule for dental services, and the FFS are listed as n/a or not applicable in these states.</w:t>
      </w:r>
    </w:p>
    <w:p w14:paraId="5B72D0D2" w14:textId="77777777" w:rsidR="000D4F98" w:rsidRPr="00537483" w:rsidRDefault="000D4F98" w:rsidP="00A839D4">
      <w:pPr>
        <w:pStyle w:val="NCDBulletsLevel1"/>
        <w:spacing w:line="240" w:lineRule="auto"/>
      </w:pPr>
      <w:r>
        <w:t>Frequency limitations related to relevant CDT codes were not found for New Mexico, Oregon, Tennessee, or Virginia. </w:t>
      </w:r>
    </w:p>
    <w:p w14:paraId="5EC1EF04" w14:textId="77777777" w:rsidR="000D4F98" w:rsidRPr="00537483" w:rsidRDefault="000D4F98" w:rsidP="00A839D4">
      <w:pPr>
        <w:pStyle w:val="NCDBulletsLevel1"/>
        <w:spacing w:line="240" w:lineRule="auto"/>
      </w:pPr>
      <w:r>
        <w:t>Actual frequency limitations and fees may vary depending on whether dental services are delivered via managed care organizations and may differ between managed care organizations, if there are multiple.</w:t>
      </w:r>
    </w:p>
    <w:p w14:paraId="50FB476A" w14:textId="4C192169" w:rsidR="000D4F98" w:rsidRPr="00537483" w:rsidRDefault="000D4F98" w:rsidP="00A839D4">
      <w:pPr>
        <w:pStyle w:val="Heading2"/>
      </w:pPr>
      <w:bookmarkStart w:id="229" w:name="_Toc83650950"/>
      <w:bookmarkStart w:id="230" w:name="_Toc95237060"/>
      <w:r w:rsidRPr="00537483">
        <w:t>Medicaid Fee Schedule and Frequency Sources</w:t>
      </w:r>
      <w:bookmarkEnd w:id="229"/>
      <w:bookmarkEnd w:id="230"/>
    </w:p>
    <w:p w14:paraId="5F49E61B" w14:textId="77777777" w:rsidR="000D4F98" w:rsidRPr="00537483" w:rsidRDefault="000D4F98" w:rsidP="00A839D4">
      <w:pPr>
        <w:pStyle w:val="NCDAppendixNumberedLevel1"/>
        <w:numPr>
          <w:ilvl w:val="0"/>
          <w:numId w:val="19"/>
        </w:numPr>
        <w:ind w:left="360"/>
      </w:pPr>
      <w:r w:rsidRPr="00711929">
        <w:rPr>
          <w:shd w:val="clear" w:color="auto" w:fill="FFFFFF"/>
        </w:rPr>
        <w:t>Link to fee schedule</w:t>
      </w:r>
    </w:p>
    <w:p w14:paraId="310D7D77" w14:textId="77777777" w:rsidR="000D4F98" w:rsidRPr="00537483" w:rsidRDefault="000D4F98" w:rsidP="00A839D4">
      <w:pPr>
        <w:pStyle w:val="NCDAppendixNumberedLevel2"/>
      </w:pPr>
      <w:r>
        <w:rPr>
          <w:shd w:val="clear" w:color="auto" w:fill="FFFFFF"/>
        </w:rPr>
        <w:t>Column B</w:t>
      </w:r>
    </w:p>
    <w:p w14:paraId="6D930808" w14:textId="77777777" w:rsidR="000D4F98" w:rsidRPr="00537483" w:rsidRDefault="000D4F98" w:rsidP="00A839D4">
      <w:pPr>
        <w:pStyle w:val="NCDAppendixNumberedLevel2"/>
      </w:pPr>
      <w:r>
        <w:rPr>
          <w:shd w:val="clear" w:color="auto" w:fill="FFFFFF"/>
        </w:rPr>
        <w:t>The latest version of the Medicaid fee schedule was referenced. </w:t>
      </w:r>
    </w:p>
    <w:p w14:paraId="3CA817E3" w14:textId="77777777" w:rsidR="000D4F98" w:rsidRPr="00537483" w:rsidRDefault="000D4F98" w:rsidP="00A839D4">
      <w:pPr>
        <w:pStyle w:val="NCDAppendixNumberedLevel1"/>
      </w:pPr>
      <w:r>
        <w:rPr>
          <w:shd w:val="clear" w:color="auto" w:fill="FFFFFF"/>
        </w:rPr>
        <w:t>Link to provider manual or other frequency limitation source</w:t>
      </w:r>
    </w:p>
    <w:p w14:paraId="17A93868" w14:textId="77777777" w:rsidR="000D4F98" w:rsidRPr="00537483" w:rsidRDefault="000D4F98" w:rsidP="00A839D4">
      <w:pPr>
        <w:pStyle w:val="NCDAppendixNumberedLevel2"/>
      </w:pPr>
      <w:r>
        <w:rPr>
          <w:shd w:val="clear" w:color="auto" w:fill="FFFFFF"/>
        </w:rPr>
        <w:t>Column C</w:t>
      </w:r>
    </w:p>
    <w:p w14:paraId="51E5B88F" w14:textId="77777777" w:rsidR="000D4F98" w:rsidRPr="00537483" w:rsidRDefault="000D4F98" w:rsidP="00A839D4">
      <w:pPr>
        <w:pStyle w:val="NCDAppendixNumberedLevel2"/>
      </w:pPr>
      <w:r>
        <w:t>Frequency limitations were not always stated within the fee schedule; thus, sources for the frequency limitations often came from Medicaid dental provider manuals, state statutes, or state websites.</w:t>
      </w:r>
    </w:p>
    <w:p w14:paraId="088607BC" w14:textId="77777777" w:rsidR="004E689B" w:rsidRDefault="004E689B">
      <w:pPr>
        <w:spacing w:after="160" w:line="259" w:lineRule="auto"/>
        <w:rPr>
          <w:shd w:val="clear" w:color="auto" w:fill="FFFFFF"/>
        </w:rPr>
      </w:pPr>
      <w:r>
        <w:rPr>
          <w:shd w:val="clear" w:color="auto" w:fill="FFFFFF"/>
        </w:rPr>
        <w:br w:type="page"/>
      </w:r>
    </w:p>
    <w:p w14:paraId="74E62A6D" w14:textId="0F45EC47" w:rsidR="000D4F98" w:rsidRPr="00537483" w:rsidRDefault="000D4F98" w:rsidP="00A839D4">
      <w:pPr>
        <w:pStyle w:val="NCDAppendixNumberedLevel1"/>
      </w:pPr>
      <w:r>
        <w:rPr>
          <w:shd w:val="clear" w:color="auto" w:fill="FFFFFF"/>
        </w:rPr>
        <w:lastRenderedPageBreak/>
        <w:t>Notes</w:t>
      </w:r>
    </w:p>
    <w:p w14:paraId="3CF687B1" w14:textId="77777777" w:rsidR="000D4F98" w:rsidRPr="00537483" w:rsidRDefault="000D4F98" w:rsidP="00A839D4">
      <w:pPr>
        <w:pStyle w:val="NCDAppendixNumberedLevel2"/>
      </w:pPr>
      <w:r>
        <w:rPr>
          <w:shd w:val="clear" w:color="auto" w:fill="FFFFFF"/>
        </w:rPr>
        <w:t>Column D</w:t>
      </w:r>
    </w:p>
    <w:p w14:paraId="58C060F3" w14:textId="77777777" w:rsidR="000D4F98" w:rsidRPr="00537483" w:rsidRDefault="000D4F98" w:rsidP="00A839D4">
      <w:pPr>
        <w:pStyle w:val="NCDAppendixNumberedLevel2"/>
      </w:pPr>
      <w:r>
        <w:rPr>
          <w:shd w:val="clear" w:color="auto" w:fill="FFFFFF"/>
        </w:rPr>
        <w:t>Provides additional information about methods and approach</w:t>
      </w:r>
    </w:p>
    <w:p w14:paraId="2275FF03" w14:textId="47AC9D9F" w:rsidR="000D4F98" w:rsidRPr="00537483" w:rsidRDefault="000D4F98" w:rsidP="004E689B">
      <w:pPr>
        <w:pStyle w:val="Heading2"/>
      </w:pPr>
      <w:bookmarkStart w:id="231" w:name="_Toc83650951"/>
      <w:bookmarkStart w:id="232" w:name="_Toc95237061"/>
      <w:r w:rsidRPr="00537483">
        <w:t>CDT Code Descriptors</w:t>
      </w:r>
      <w:bookmarkEnd w:id="231"/>
      <w:bookmarkEnd w:id="232"/>
    </w:p>
    <w:p w14:paraId="23C4D7BB" w14:textId="77777777" w:rsidR="000D4F98" w:rsidRPr="00537483" w:rsidRDefault="000D4F98" w:rsidP="00A839D4">
      <w:pPr>
        <w:pStyle w:val="NCDBodyText"/>
        <w:spacing w:line="240" w:lineRule="auto"/>
      </w:pPr>
      <w:r>
        <w:rPr>
          <w:shd w:val="clear" w:color="auto" w:fill="FFFFFF"/>
        </w:rPr>
        <w:t>This tab contains the relevant codes and descriptions of CDT codes for which fees and frequency limitations were collected in the Medicaid fee-for-service fee schedules. Code</w:t>
      </w:r>
      <w:r>
        <w:t>s that begin with D0 are for diagnostic services, D1 = preventive, D2 = endodontics, D4 = periodontics, and D9 = adjunctive general services.</w:t>
      </w:r>
    </w:p>
    <w:p w14:paraId="5194D8E7" w14:textId="77777777" w:rsidR="000D4F98" w:rsidRPr="00537483" w:rsidRDefault="000D4F98" w:rsidP="00A839D4">
      <w:pPr>
        <w:pStyle w:val="NCDAppendixNumberedLevel1"/>
        <w:numPr>
          <w:ilvl w:val="0"/>
          <w:numId w:val="20"/>
        </w:numPr>
      </w:pPr>
      <w:r w:rsidRPr="00711929">
        <w:rPr>
          <w:shd w:val="clear" w:color="auto" w:fill="FFFFFF"/>
        </w:rPr>
        <w:t>D0120 - Periodic oral evaluation—established patient</w:t>
      </w:r>
    </w:p>
    <w:p w14:paraId="56520A0E" w14:textId="77777777" w:rsidR="000D4F98" w:rsidRPr="00537483" w:rsidRDefault="000D4F98" w:rsidP="00A839D4">
      <w:pPr>
        <w:pStyle w:val="NCDAppendixNumberedLevel1"/>
        <w:numPr>
          <w:ilvl w:val="0"/>
          <w:numId w:val="20"/>
        </w:numPr>
      </w:pPr>
      <w:r w:rsidRPr="00711929">
        <w:rPr>
          <w:shd w:val="clear" w:color="auto" w:fill="FFFFFF"/>
        </w:rPr>
        <w:t>D0140 - Limited oral evaluation—problem focused </w:t>
      </w:r>
    </w:p>
    <w:p w14:paraId="2458A9C2" w14:textId="77777777" w:rsidR="000D4F98" w:rsidRPr="00537483" w:rsidRDefault="000D4F98" w:rsidP="00A839D4">
      <w:pPr>
        <w:pStyle w:val="NCDAppendixNumberedLevel1"/>
        <w:numPr>
          <w:ilvl w:val="0"/>
          <w:numId w:val="20"/>
        </w:numPr>
      </w:pPr>
      <w:r w:rsidRPr="00711929">
        <w:rPr>
          <w:shd w:val="clear" w:color="auto" w:fill="FFFFFF"/>
        </w:rPr>
        <w:t>D0150 - Comprehensive oral evaluation—new or established patient </w:t>
      </w:r>
    </w:p>
    <w:p w14:paraId="787535D0" w14:textId="77777777" w:rsidR="000D4F98" w:rsidRPr="00537483" w:rsidRDefault="000D4F98" w:rsidP="00A839D4">
      <w:pPr>
        <w:pStyle w:val="NCDAppendixNumberedLevel1"/>
        <w:numPr>
          <w:ilvl w:val="0"/>
          <w:numId w:val="20"/>
        </w:numPr>
      </w:pPr>
      <w:r w:rsidRPr="00711929">
        <w:rPr>
          <w:shd w:val="clear" w:color="auto" w:fill="FFFFFF"/>
        </w:rPr>
        <w:t>D0220 - Intraoral—periapical first radiographic image</w:t>
      </w:r>
    </w:p>
    <w:p w14:paraId="439E718F" w14:textId="77777777" w:rsidR="000D4F98" w:rsidRPr="00537483" w:rsidRDefault="000D4F98" w:rsidP="00A839D4">
      <w:pPr>
        <w:pStyle w:val="NCDAppendixNumberedLevel1"/>
        <w:numPr>
          <w:ilvl w:val="0"/>
          <w:numId w:val="20"/>
        </w:numPr>
      </w:pPr>
      <w:r w:rsidRPr="00711929">
        <w:rPr>
          <w:shd w:val="clear" w:color="auto" w:fill="FFFFFF"/>
        </w:rPr>
        <w:t>D0230 - Intraoral—periapical each additional radiographic image </w:t>
      </w:r>
    </w:p>
    <w:p w14:paraId="307764AD" w14:textId="77777777" w:rsidR="000D4F98" w:rsidRPr="00537483" w:rsidRDefault="000D4F98" w:rsidP="00A839D4">
      <w:pPr>
        <w:pStyle w:val="NCDAppendixNumberedLevel1"/>
        <w:numPr>
          <w:ilvl w:val="0"/>
          <w:numId w:val="20"/>
        </w:numPr>
      </w:pPr>
      <w:r w:rsidRPr="00711929">
        <w:rPr>
          <w:shd w:val="clear" w:color="auto" w:fill="FFFFFF"/>
        </w:rPr>
        <w:t>D0274 - Bitewings—four radiographic images</w:t>
      </w:r>
    </w:p>
    <w:p w14:paraId="6F5DFFA3" w14:textId="77777777" w:rsidR="000D4F98" w:rsidRPr="00537483" w:rsidRDefault="000D4F98" w:rsidP="00A839D4">
      <w:pPr>
        <w:pStyle w:val="NCDAppendixNumberedLevel1"/>
        <w:numPr>
          <w:ilvl w:val="0"/>
          <w:numId w:val="20"/>
        </w:numPr>
      </w:pPr>
      <w:r w:rsidRPr="00711929">
        <w:rPr>
          <w:shd w:val="clear" w:color="auto" w:fill="FFFFFF"/>
        </w:rPr>
        <w:t>D1110 - Prophylaxis—adult</w:t>
      </w:r>
    </w:p>
    <w:p w14:paraId="0424F24D" w14:textId="77777777" w:rsidR="000D4F98" w:rsidRPr="00537483" w:rsidRDefault="000D4F98" w:rsidP="00A839D4">
      <w:pPr>
        <w:pStyle w:val="NCDAppendixNumberedLevel1"/>
        <w:numPr>
          <w:ilvl w:val="0"/>
          <w:numId w:val="20"/>
        </w:numPr>
      </w:pPr>
      <w:r w:rsidRPr="00711929">
        <w:rPr>
          <w:shd w:val="clear" w:color="auto" w:fill="FFFFFF"/>
        </w:rPr>
        <w:t>D1206 - Topical application of fluoride varnish </w:t>
      </w:r>
    </w:p>
    <w:p w14:paraId="18701E9C" w14:textId="77777777" w:rsidR="000D4F98" w:rsidRPr="00537483" w:rsidRDefault="000D4F98" w:rsidP="00A839D4">
      <w:pPr>
        <w:pStyle w:val="NCDAppendixNumberedLevel1"/>
        <w:numPr>
          <w:ilvl w:val="0"/>
          <w:numId w:val="20"/>
        </w:numPr>
      </w:pPr>
      <w:r w:rsidRPr="00711929">
        <w:rPr>
          <w:shd w:val="clear" w:color="auto" w:fill="FFFFFF"/>
        </w:rPr>
        <w:t>D1208 - Topical application of fluoride—excluding varnish</w:t>
      </w:r>
    </w:p>
    <w:p w14:paraId="205307B6" w14:textId="77777777" w:rsidR="000D4F98" w:rsidRPr="00537483" w:rsidRDefault="000D4F98" w:rsidP="00A839D4">
      <w:pPr>
        <w:pStyle w:val="NCDAppendixNumberedLevel1"/>
        <w:numPr>
          <w:ilvl w:val="0"/>
          <w:numId w:val="20"/>
        </w:numPr>
      </w:pPr>
      <w:r w:rsidRPr="00711929">
        <w:rPr>
          <w:shd w:val="clear" w:color="auto" w:fill="FFFFFF"/>
        </w:rPr>
        <w:t>D1310 - Nutritional counseling for control of dental disease</w:t>
      </w:r>
    </w:p>
    <w:p w14:paraId="2C5B9E12" w14:textId="77777777" w:rsidR="000D4F98" w:rsidRPr="00537483" w:rsidRDefault="000D4F98" w:rsidP="00A839D4">
      <w:pPr>
        <w:pStyle w:val="NCDAppendixNumberedLevel1"/>
        <w:numPr>
          <w:ilvl w:val="0"/>
          <w:numId w:val="20"/>
        </w:numPr>
      </w:pPr>
      <w:r w:rsidRPr="00711929">
        <w:rPr>
          <w:shd w:val="clear" w:color="auto" w:fill="FFFFFF"/>
        </w:rPr>
        <w:t>D1330 - Oral hygiene instructions</w:t>
      </w:r>
    </w:p>
    <w:p w14:paraId="51CBE0EB" w14:textId="77777777" w:rsidR="000D4F98" w:rsidRPr="00537483" w:rsidRDefault="000D4F98" w:rsidP="00A839D4">
      <w:pPr>
        <w:pStyle w:val="NCDAppendixNumberedLevel1"/>
        <w:numPr>
          <w:ilvl w:val="0"/>
          <w:numId w:val="20"/>
        </w:numPr>
      </w:pPr>
      <w:r w:rsidRPr="00711929">
        <w:rPr>
          <w:shd w:val="clear" w:color="auto" w:fill="FFFFFF"/>
        </w:rPr>
        <w:t xml:space="preserve">D1354 - Interim caries arresting medicament application—per tooth </w:t>
      </w:r>
    </w:p>
    <w:p w14:paraId="1580830C" w14:textId="77777777" w:rsidR="000D4F98" w:rsidRPr="00537483" w:rsidRDefault="000D4F98" w:rsidP="00A839D4">
      <w:pPr>
        <w:pStyle w:val="NCDAppendixNumberedLevel1"/>
        <w:numPr>
          <w:ilvl w:val="0"/>
          <w:numId w:val="20"/>
        </w:numPr>
      </w:pPr>
      <w:r w:rsidRPr="00711929">
        <w:rPr>
          <w:shd w:val="clear" w:color="auto" w:fill="FFFFFF"/>
        </w:rPr>
        <w:t>D1355 - Caries preventive medicament application—per tooth</w:t>
      </w:r>
    </w:p>
    <w:p w14:paraId="7E301782" w14:textId="77777777" w:rsidR="000D4F98" w:rsidRPr="00537483" w:rsidRDefault="000D4F98" w:rsidP="00A839D4">
      <w:pPr>
        <w:pStyle w:val="NCDAppendixNumberedLevel1"/>
        <w:numPr>
          <w:ilvl w:val="0"/>
          <w:numId w:val="20"/>
        </w:numPr>
      </w:pPr>
      <w:r w:rsidRPr="00711929">
        <w:rPr>
          <w:shd w:val="clear" w:color="auto" w:fill="FFFFFF"/>
        </w:rPr>
        <w:t>D2391 - Resin-based composite—one surface, posterior</w:t>
      </w:r>
    </w:p>
    <w:p w14:paraId="1602C041" w14:textId="77777777" w:rsidR="000D4F98" w:rsidRPr="00537483" w:rsidRDefault="000D4F98" w:rsidP="00A839D4">
      <w:pPr>
        <w:pStyle w:val="NCDAppendixNumberedLevel1"/>
        <w:numPr>
          <w:ilvl w:val="0"/>
          <w:numId w:val="20"/>
        </w:numPr>
      </w:pPr>
      <w:r w:rsidRPr="00711929">
        <w:rPr>
          <w:shd w:val="clear" w:color="auto" w:fill="FFFFFF"/>
        </w:rPr>
        <w:t>D2392 - Resin-based composite—two surfaces, posterior</w:t>
      </w:r>
    </w:p>
    <w:p w14:paraId="029631FE" w14:textId="77777777" w:rsidR="000D4F98" w:rsidRPr="00537483" w:rsidRDefault="000D4F98" w:rsidP="00A839D4">
      <w:pPr>
        <w:pStyle w:val="NCDAppendixNumberedLevel1"/>
        <w:numPr>
          <w:ilvl w:val="0"/>
          <w:numId w:val="20"/>
        </w:numPr>
      </w:pPr>
      <w:r w:rsidRPr="00711929">
        <w:rPr>
          <w:shd w:val="clear" w:color="auto" w:fill="FFFFFF"/>
        </w:rPr>
        <w:t>D4910 - Periodontal maintenance </w:t>
      </w:r>
    </w:p>
    <w:p w14:paraId="57088F79" w14:textId="77777777" w:rsidR="000D4F98" w:rsidRPr="00537483" w:rsidRDefault="000D4F98" w:rsidP="00A839D4">
      <w:pPr>
        <w:pStyle w:val="NCDAppendixNumberedLevel1"/>
        <w:numPr>
          <w:ilvl w:val="0"/>
          <w:numId w:val="20"/>
        </w:numPr>
      </w:pPr>
      <w:r w:rsidRPr="0088087E">
        <w:t xml:space="preserve">D9410 - </w:t>
      </w:r>
      <w:r w:rsidRPr="00711929">
        <w:rPr>
          <w:shd w:val="clear" w:color="auto" w:fill="FFFFFF"/>
        </w:rPr>
        <w:t>House/extended care facility call</w:t>
      </w:r>
    </w:p>
    <w:p w14:paraId="7E75099F" w14:textId="77777777" w:rsidR="000D4F98" w:rsidRPr="00537483" w:rsidRDefault="000D4F98" w:rsidP="00A839D4">
      <w:pPr>
        <w:pStyle w:val="NCDAppendixNumberedLevel1"/>
        <w:numPr>
          <w:ilvl w:val="0"/>
          <w:numId w:val="20"/>
        </w:numPr>
      </w:pPr>
      <w:r w:rsidRPr="00711929">
        <w:rPr>
          <w:shd w:val="clear" w:color="auto" w:fill="FFFFFF"/>
        </w:rPr>
        <w:t>D9430 - Office visit for observation (during regularly scheduled hours)—no other services performed</w:t>
      </w:r>
    </w:p>
    <w:p w14:paraId="6AFF027C" w14:textId="77777777" w:rsidR="000D4F98" w:rsidRPr="00537483" w:rsidRDefault="000D4F98" w:rsidP="00A839D4">
      <w:pPr>
        <w:pStyle w:val="NCDAppendixNumberedLevel1"/>
        <w:numPr>
          <w:ilvl w:val="0"/>
          <w:numId w:val="20"/>
        </w:numPr>
      </w:pPr>
      <w:r w:rsidRPr="00711929">
        <w:rPr>
          <w:shd w:val="clear" w:color="auto" w:fill="FFFFFF"/>
        </w:rPr>
        <w:t>D9920 - Behavior management, by report</w:t>
      </w:r>
    </w:p>
    <w:p w14:paraId="540F3446" w14:textId="77777777" w:rsidR="000D4F98" w:rsidRPr="00537483" w:rsidRDefault="000D4F98" w:rsidP="00A839D4">
      <w:pPr>
        <w:pStyle w:val="NCDAppendixNumberedLevel1"/>
        <w:numPr>
          <w:ilvl w:val="0"/>
          <w:numId w:val="20"/>
        </w:numPr>
      </w:pPr>
      <w:r w:rsidRPr="00711929">
        <w:rPr>
          <w:shd w:val="clear" w:color="auto" w:fill="FFFFFF"/>
        </w:rPr>
        <w:lastRenderedPageBreak/>
        <w:t>D9991 - Dental case management—addressing appointment compliance barriers</w:t>
      </w:r>
    </w:p>
    <w:p w14:paraId="66554A8D" w14:textId="77777777" w:rsidR="000D4F98" w:rsidRPr="00537483" w:rsidRDefault="000D4F98" w:rsidP="00A839D4">
      <w:pPr>
        <w:pStyle w:val="NCDAppendixNumberedLevel1"/>
        <w:numPr>
          <w:ilvl w:val="0"/>
          <w:numId w:val="20"/>
        </w:numPr>
      </w:pPr>
      <w:r w:rsidRPr="00711929">
        <w:rPr>
          <w:shd w:val="clear" w:color="auto" w:fill="FFFFFF"/>
        </w:rPr>
        <w:t>D9992 - Dental case management—care coordination</w:t>
      </w:r>
    </w:p>
    <w:p w14:paraId="7119FD5A" w14:textId="77777777" w:rsidR="000D4F98" w:rsidRPr="00537483" w:rsidRDefault="000D4F98" w:rsidP="00A839D4">
      <w:pPr>
        <w:pStyle w:val="NCDAppendixNumberedLevel1"/>
        <w:numPr>
          <w:ilvl w:val="0"/>
          <w:numId w:val="20"/>
        </w:numPr>
      </w:pPr>
      <w:r w:rsidRPr="00711929">
        <w:rPr>
          <w:shd w:val="clear" w:color="auto" w:fill="FFFFFF"/>
        </w:rPr>
        <w:t>D9993 - Dental case management—motivational interviewing</w:t>
      </w:r>
    </w:p>
    <w:p w14:paraId="0D1968C0" w14:textId="77777777" w:rsidR="000D4F98" w:rsidRPr="00537483" w:rsidRDefault="000D4F98" w:rsidP="00A839D4">
      <w:pPr>
        <w:pStyle w:val="NCDAppendixNumberedLevel1"/>
        <w:numPr>
          <w:ilvl w:val="0"/>
          <w:numId w:val="20"/>
        </w:numPr>
      </w:pPr>
      <w:r w:rsidRPr="00711929">
        <w:rPr>
          <w:shd w:val="clear" w:color="auto" w:fill="FFFFFF"/>
        </w:rPr>
        <w:t>D9994 - Dental case management—patient education to improve oral health literacy</w:t>
      </w:r>
    </w:p>
    <w:p w14:paraId="22D43564" w14:textId="77777777" w:rsidR="000D4F98" w:rsidRPr="00537483" w:rsidRDefault="000D4F98" w:rsidP="00A839D4">
      <w:pPr>
        <w:pStyle w:val="NCDAppendixNumberedLevel1"/>
        <w:numPr>
          <w:ilvl w:val="0"/>
          <w:numId w:val="20"/>
        </w:numPr>
      </w:pPr>
      <w:r w:rsidRPr="00711929">
        <w:rPr>
          <w:shd w:val="clear" w:color="auto" w:fill="FFFFFF"/>
        </w:rPr>
        <w:t>D9995 - Teledentistry—synchronous; real-time encounter</w:t>
      </w:r>
    </w:p>
    <w:p w14:paraId="4210F42D" w14:textId="77777777" w:rsidR="000D4F98" w:rsidRPr="00537483" w:rsidRDefault="000D4F98" w:rsidP="00A839D4">
      <w:pPr>
        <w:pStyle w:val="NCDAppendixNumberedLevel1"/>
        <w:numPr>
          <w:ilvl w:val="0"/>
          <w:numId w:val="20"/>
        </w:numPr>
      </w:pPr>
      <w:r w:rsidRPr="00711929">
        <w:rPr>
          <w:shd w:val="clear" w:color="auto" w:fill="FFFFFF"/>
        </w:rPr>
        <w:t>D9996 - Teledentistry—asynchronous; information stored and forwarded to dentist for subsequent review</w:t>
      </w:r>
    </w:p>
    <w:p w14:paraId="1F743AB1" w14:textId="77777777" w:rsidR="000D4F98" w:rsidRPr="00537483" w:rsidRDefault="000D4F98" w:rsidP="00A839D4">
      <w:pPr>
        <w:pStyle w:val="NCDAppendixNumberedLevel1"/>
        <w:numPr>
          <w:ilvl w:val="0"/>
          <w:numId w:val="20"/>
        </w:numPr>
      </w:pPr>
      <w:r w:rsidRPr="00711929">
        <w:rPr>
          <w:shd w:val="clear" w:color="auto" w:fill="FFFFFF"/>
        </w:rPr>
        <w:t>D9997 - Dental case management—patients with special health care needs</w:t>
      </w:r>
    </w:p>
    <w:p w14:paraId="48FC51B2" w14:textId="3491881B" w:rsidR="000D4F98" w:rsidRPr="00711929" w:rsidRDefault="000D4F98" w:rsidP="00A839D4">
      <w:pPr>
        <w:pStyle w:val="NCDAppendixNumberedLevel1"/>
        <w:numPr>
          <w:ilvl w:val="0"/>
          <w:numId w:val="0"/>
        </w:numPr>
        <w:rPr>
          <w:szCs w:val="24"/>
        </w:rPr>
      </w:pPr>
      <w:bookmarkStart w:id="233" w:name="_Toc83650952"/>
      <w:r w:rsidRPr="00711929">
        <w:rPr>
          <w:szCs w:val="24"/>
        </w:rPr>
        <w:t xml:space="preserve">Source: </w:t>
      </w:r>
      <w:r w:rsidR="00401D57" w:rsidRPr="00401D57">
        <w:rPr>
          <w:i/>
          <w:iCs/>
          <w:szCs w:val="24"/>
        </w:rPr>
        <w:t>Current Dental Terminology</w:t>
      </w:r>
      <w:r w:rsidRPr="00711929">
        <w:rPr>
          <w:szCs w:val="24"/>
        </w:rPr>
        <w:t xml:space="preserve"> (Chicago: American Dental Association, 2021).</w:t>
      </w:r>
    </w:p>
    <w:p w14:paraId="109AF04E" w14:textId="77777777" w:rsidR="00711929" w:rsidRDefault="00711929">
      <w:pPr>
        <w:spacing w:after="160" w:line="259" w:lineRule="auto"/>
        <w:rPr>
          <w:rFonts w:cs="Arial"/>
          <w:b/>
          <w:sz w:val="36"/>
          <w:szCs w:val="32"/>
        </w:rPr>
      </w:pPr>
      <w:r>
        <w:br w:type="page"/>
      </w:r>
    </w:p>
    <w:p w14:paraId="12D6F8C0" w14:textId="6202FCED" w:rsidR="000D4F98" w:rsidRPr="00537483" w:rsidRDefault="000D4F98" w:rsidP="00711929">
      <w:pPr>
        <w:pStyle w:val="Heading1"/>
      </w:pPr>
      <w:bookmarkStart w:id="234" w:name="_Toc95237062"/>
      <w:r w:rsidRPr="008836E4">
        <w:lastRenderedPageBreak/>
        <w:t xml:space="preserve">Appendix D: </w:t>
      </w:r>
      <w:r w:rsidR="00401D57" w:rsidRPr="00401D57">
        <w:rPr>
          <w:i/>
          <w:iCs/>
        </w:rPr>
        <w:t>ICD-10</w:t>
      </w:r>
      <w:r w:rsidRPr="008836E4">
        <w:t xml:space="preserve"> Diagnosis </w:t>
      </w:r>
      <w:r>
        <w:t>C</w:t>
      </w:r>
      <w:r w:rsidRPr="008836E4">
        <w:t xml:space="preserve">odes for Autism Spectrum Disorder, Intellectual Disability and Related Conditions, Cerebral Palsy, </w:t>
      </w:r>
      <w:r w:rsidR="000C3A85">
        <w:br/>
      </w:r>
      <w:r w:rsidRPr="008836E4">
        <w:t>and Other Developmental Delays</w:t>
      </w:r>
      <w:bookmarkEnd w:id="233"/>
      <w:bookmarkEnd w:id="234"/>
    </w:p>
    <w:p w14:paraId="48CDB350" w14:textId="7D972F1F" w:rsidR="000D4F98" w:rsidRPr="00537483" w:rsidRDefault="000D4F98" w:rsidP="00711929">
      <w:pPr>
        <w:pStyle w:val="NCDBodyText"/>
        <w:spacing w:line="240" w:lineRule="auto"/>
      </w:pPr>
      <w:r>
        <w:t xml:space="preserve">The </w:t>
      </w:r>
      <w:bookmarkStart w:id="235" w:name="_Hlk90029354"/>
      <w:r w:rsidRPr="00ED4351">
        <w:rPr>
          <w:rFonts w:cstheme="minorHAnsi"/>
        </w:rPr>
        <w:t>Transformed Medicaid Statistical Information System</w:t>
      </w:r>
      <w:bookmarkEnd w:id="235"/>
      <w:r>
        <w:rPr>
          <w:rFonts w:cstheme="minorHAnsi"/>
        </w:rPr>
        <w:t xml:space="preserve"> (</w:t>
      </w:r>
      <w:r>
        <w:t>T-MSIS) sample consisted of adults</w:t>
      </w:r>
      <w:r w:rsidRPr="007B700C">
        <w:t xml:space="preserve"> </w:t>
      </w:r>
      <w:r>
        <w:t xml:space="preserve">with intellectual and developmental disabilities (I/DD). </w:t>
      </w:r>
      <w:r w:rsidRPr="007B700C">
        <w:t>I</w:t>
      </w:r>
      <w:r>
        <w:t>f a claim in T-MSIS h</w:t>
      </w:r>
      <w:r w:rsidRPr="007B700C">
        <w:t xml:space="preserve">ad one or more of the following </w:t>
      </w:r>
      <w:r w:rsidR="00401D57" w:rsidRPr="00401D57">
        <w:rPr>
          <w:i/>
          <w:iCs/>
        </w:rPr>
        <w:t>International Classification of Diseases</w:t>
      </w:r>
      <w:r>
        <w:t xml:space="preserve"> (</w:t>
      </w:r>
      <w:r w:rsidR="00401D57" w:rsidRPr="00401D57">
        <w:rPr>
          <w:i/>
          <w:iCs/>
        </w:rPr>
        <w:t>ICD</w:t>
      </w:r>
      <w:r>
        <w:t xml:space="preserve">) codes, the person associated with the claim was considered someone with an I/DD. </w:t>
      </w:r>
    </w:p>
    <w:tbl>
      <w:tblPr>
        <w:tblStyle w:val="TableGrid"/>
        <w:tblW w:w="9288" w:type="dxa"/>
        <w:jc w:val="center"/>
        <w:tblCellMar>
          <w:top w:w="43" w:type="dxa"/>
          <w:left w:w="115" w:type="dxa"/>
          <w:bottom w:w="43" w:type="dxa"/>
          <w:right w:w="115" w:type="dxa"/>
        </w:tblCellMar>
        <w:tblLook w:val="04A0" w:firstRow="1" w:lastRow="0" w:firstColumn="1" w:lastColumn="0" w:noHBand="0" w:noVBand="1"/>
        <w:tblCaption w:val="ICD Codes and Descriptions"/>
        <w:tblDescription w:val="This table lists the relevant ICD codes utilized in the 2018 T-MSIS data analysis as well as a brief description for each code."/>
      </w:tblPr>
      <w:tblGrid>
        <w:gridCol w:w="2034"/>
        <w:gridCol w:w="7254"/>
      </w:tblGrid>
      <w:tr w:rsidR="00C44A3D" w:rsidRPr="008836E4" w14:paraId="09DCCA3B" w14:textId="77777777" w:rsidTr="00C44A3D">
        <w:trPr>
          <w:trHeight w:val="72"/>
          <w:tblHeader/>
          <w:jc w:val="center"/>
          <w:hidden/>
        </w:trPr>
        <w:tc>
          <w:tcPr>
            <w:tcW w:w="2034" w:type="dxa"/>
            <w:tcBorders>
              <w:top w:val="nil"/>
              <w:left w:val="nil"/>
              <w:bottom w:val="single" w:sz="4" w:space="0" w:color="auto"/>
              <w:right w:val="nil"/>
            </w:tcBorders>
            <w:noWrap/>
          </w:tcPr>
          <w:p w14:paraId="65BF107D" w14:textId="16CD5FFD" w:rsidR="00C44A3D" w:rsidRPr="00695963" w:rsidRDefault="00C44A3D" w:rsidP="00C44A3D">
            <w:pPr>
              <w:pStyle w:val="NCDTableText"/>
              <w:spacing w:line="20" w:lineRule="exact"/>
              <w:rPr>
                <w:vanish/>
                <w:color w:val="FFFFFF" w:themeColor="background1"/>
                <w:sz w:val="2"/>
                <w:szCs w:val="2"/>
              </w:rPr>
            </w:pPr>
            <w:r w:rsidRPr="00695963">
              <w:rPr>
                <w:vanish/>
                <w:color w:val="FFFFFF" w:themeColor="background1"/>
                <w:sz w:val="2"/>
                <w:szCs w:val="2"/>
              </w:rPr>
              <w:t>.</w:t>
            </w:r>
          </w:p>
        </w:tc>
        <w:tc>
          <w:tcPr>
            <w:tcW w:w="7254" w:type="dxa"/>
            <w:tcBorders>
              <w:top w:val="nil"/>
              <w:left w:val="nil"/>
              <w:bottom w:val="single" w:sz="4" w:space="0" w:color="auto"/>
              <w:right w:val="nil"/>
            </w:tcBorders>
            <w:noWrap/>
          </w:tcPr>
          <w:p w14:paraId="6DE874FC" w14:textId="77777777" w:rsidR="00C44A3D" w:rsidRPr="008836E4" w:rsidRDefault="00C44A3D" w:rsidP="00C44A3D">
            <w:pPr>
              <w:pStyle w:val="NCDTableText"/>
              <w:spacing w:line="20" w:lineRule="exact"/>
            </w:pPr>
          </w:p>
        </w:tc>
      </w:tr>
      <w:tr w:rsidR="000D4F98" w:rsidRPr="008836E4" w14:paraId="2A803E9B" w14:textId="77777777" w:rsidTr="00C44A3D">
        <w:trPr>
          <w:trHeight w:val="467"/>
          <w:jc w:val="center"/>
        </w:trPr>
        <w:tc>
          <w:tcPr>
            <w:tcW w:w="2034" w:type="dxa"/>
            <w:tcBorders>
              <w:top w:val="single" w:sz="4" w:space="0" w:color="auto"/>
            </w:tcBorders>
            <w:noWrap/>
            <w:hideMark/>
          </w:tcPr>
          <w:p w14:paraId="37D26AE2" w14:textId="77777777" w:rsidR="000D4F98" w:rsidRPr="008836E4" w:rsidRDefault="000D4F98" w:rsidP="00711929">
            <w:pPr>
              <w:pStyle w:val="NCDTableText"/>
              <w:spacing w:before="60" w:after="60"/>
              <w:rPr>
                <w:b/>
                <w:bCs/>
              </w:rPr>
            </w:pPr>
            <w:r w:rsidRPr="008836E4">
              <w:t>E78.71</w:t>
            </w:r>
            <w:r>
              <w:t xml:space="preserve">, </w:t>
            </w:r>
            <w:r w:rsidRPr="008836E4">
              <w:t>E78.72</w:t>
            </w:r>
          </w:p>
        </w:tc>
        <w:tc>
          <w:tcPr>
            <w:tcW w:w="7254" w:type="dxa"/>
            <w:tcBorders>
              <w:top w:val="single" w:sz="4" w:space="0" w:color="auto"/>
            </w:tcBorders>
            <w:noWrap/>
            <w:hideMark/>
          </w:tcPr>
          <w:p w14:paraId="1E5B2AA8" w14:textId="77777777" w:rsidR="000D4F98" w:rsidRPr="008836E4" w:rsidRDefault="000D4F98" w:rsidP="00711929">
            <w:pPr>
              <w:pStyle w:val="NCDTableText"/>
              <w:spacing w:before="60" w:after="60"/>
            </w:pPr>
            <w:r w:rsidRPr="008836E4">
              <w:t>Barth syndrome</w:t>
            </w:r>
          </w:p>
        </w:tc>
      </w:tr>
      <w:tr w:rsidR="000D4F98" w:rsidRPr="008836E4" w14:paraId="2392F42E" w14:textId="77777777" w:rsidTr="00C44A3D">
        <w:trPr>
          <w:trHeight w:val="315"/>
          <w:jc w:val="center"/>
        </w:trPr>
        <w:tc>
          <w:tcPr>
            <w:tcW w:w="2034" w:type="dxa"/>
            <w:noWrap/>
            <w:hideMark/>
          </w:tcPr>
          <w:p w14:paraId="14EE9667" w14:textId="77777777" w:rsidR="000D4F98" w:rsidRPr="008836E4" w:rsidRDefault="000D4F98" w:rsidP="00711929">
            <w:pPr>
              <w:pStyle w:val="NCDTableText"/>
              <w:spacing w:before="60" w:after="60"/>
            </w:pPr>
            <w:r w:rsidRPr="008836E4">
              <w:t>F70.0</w:t>
            </w:r>
            <w:r>
              <w:t>, F70.1, F70.8, F70.9</w:t>
            </w:r>
          </w:p>
        </w:tc>
        <w:tc>
          <w:tcPr>
            <w:tcW w:w="7254" w:type="dxa"/>
            <w:noWrap/>
          </w:tcPr>
          <w:p w14:paraId="200CBBF2" w14:textId="77777777" w:rsidR="000D4F98" w:rsidRPr="008836E4" w:rsidRDefault="000D4F98" w:rsidP="00711929">
            <w:pPr>
              <w:pStyle w:val="NCDTableText"/>
              <w:spacing w:before="60" w:after="60"/>
            </w:pPr>
            <w:r w:rsidRPr="008836E4">
              <w:t>Mild mental retardation</w:t>
            </w:r>
          </w:p>
        </w:tc>
      </w:tr>
      <w:tr w:rsidR="000D4F98" w:rsidRPr="008836E4" w14:paraId="3F4F80DD" w14:textId="77777777" w:rsidTr="00C44A3D">
        <w:trPr>
          <w:trHeight w:val="1094"/>
          <w:jc w:val="center"/>
        </w:trPr>
        <w:tc>
          <w:tcPr>
            <w:tcW w:w="2034" w:type="dxa"/>
            <w:noWrap/>
            <w:hideMark/>
          </w:tcPr>
          <w:p w14:paraId="57AE4434" w14:textId="77777777" w:rsidR="000D4F98" w:rsidRPr="008836E4" w:rsidRDefault="000D4F98" w:rsidP="00711929">
            <w:pPr>
              <w:pStyle w:val="NCDTableText"/>
              <w:spacing w:before="60" w:after="60"/>
            </w:pPr>
            <w:r w:rsidRPr="008836E4">
              <w:t>F71</w:t>
            </w:r>
            <w:r>
              <w:t xml:space="preserve">, </w:t>
            </w:r>
            <w:r w:rsidRPr="008836E4">
              <w:t>F71.0</w:t>
            </w:r>
            <w:r>
              <w:t xml:space="preserve">, </w:t>
            </w:r>
            <w:r w:rsidRPr="008836E4">
              <w:t>F71.1</w:t>
            </w:r>
            <w:r>
              <w:t>, F71.8, F71.9</w:t>
            </w:r>
          </w:p>
        </w:tc>
        <w:tc>
          <w:tcPr>
            <w:tcW w:w="7254" w:type="dxa"/>
            <w:noWrap/>
            <w:hideMark/>
          </w:tcPr>
          <w:p w14:paraId="537B6145" w14:textId="77777777" w:rsidR="000D4F98" w:rsidRPr="008836E4" w:rsidRDefault="000D4F98" w:rsidP="00711929">
            <w:pPr>
              <w:pStyle w:val="NCDTableText"/>
              <w:spacing w:before="60" w:after="60"/>
            </w:pPr>
            <w:r w:rsidRPr="008836E4">
              <w:t>Moderate mental retardation</w:t>
            </w:r>
          </w:p>
        </w:tc>
      </w:tr>
      <w:tr w:rsidR="000D4F98" w:rsidRPr="008836E4" w14:paraId="435A3976" w14:textId="77777777" w:rsidTr="00C44A3D">
        <w:trPr>
          <w:trHeight w:val="1153"/>
          <w:jc w:val="center"/>
        </w:trPr>
        <w:tc>
          <w:tcPr>
            <w:tcW w:w="2034" w:type="dxa"/>
            <w:noWrap/>
            <w:hideMark/>
          </w:tcPr>
          <w:p w14:paraId="680F6E3B" w14:textId="77777777" w:rsidR="000D4F98" w:rsidRPr="008836E4" w:rsidRDefault="000D4F98" w:rsidP="00711929">
            <w:pPr>
              <w:pStyle w:val="NCDTableText"/>
              <w:spacing w:before="60" w:after="60"/>
            </w:pPr>
            <w:r w:rsidRPr="008836E4">
              <w:t>F72</w:t>
            </w:r>
            <w:r>
              <w:t xml:space="preserve">, </w:t>
            </w:r>
            <w:r w:rsidRPr="008836E4">
              <w:t>F72.0</w:t>
            </w:r>
            <w:r>
              <w:t>, F72.1, F72.8, F72.9</w:t>
            </w:r>
          </w:p>
        </w:tc>
        <w:tc>
          <w:tcPr>
            <w:tcW w:w="7254" w:type="dxa"/>
            <w:noWrap/>
            <w:hideMark/>
          </w:tcPr>
          <w:p w14:paraId="3304C65E" w14:textId="77777777" w:rsidR="000D4F98" w:rsidRPr="00537483" w:rsidRDefault="000D4F98" w:rsidP="00711929">
            <w:pPr>
              <w:pStyle w:val="NCDTableText"/>
              <w:spacing w:before="60" w:after="60"/>
            </w:pPr>
            <w:r w:rsidRPr="008836E4">
              <w:t>Severe mental retardation</w:t>
            </w:r>
          </w:p>
          <w:p w14:paraId="593AE46E" w14:textId="77777777" w:rsidR="000D4F98" w:rsidRPr="008836E4" w:rsidRDefault="000D4F98" w:rsidP="00711929">
            <w:pPr>
              <w:pStyle w:val="NCDTableText"/>
              <w:spacing w:before="60" w:after="60"/>
            </w:pPr>
          </w:p>
        </w:tc>
      </w:tr>
      <w:tr w:rsidR="000D4F98" w:rsidRPr="008836E4" w14:paraId="58DCAEFB" w14:textId="77777777" w:rsidTr="00C44A3D">
        <w:trPr>
          <w:trHeight w:val="315"/>
          <w:jc w:val="center"/>
        </w:trPr>
        <w:tc>
          <w:tcPr>
            <w:tcW w:w="2034" w:type="dxa"/>
            <w:noWrap/>
            <w:hideMark/>
          </w:tcPr>
          <w:p w14:paraId="775B341D" w14:textId="77777777" w:rsidR="000D4F98" w:rsidRPr="008836E4" w:rsidRDefault="000D4F98" w:rsidP="00711929">
            <w:pPr>
              <w:pStyle w:val="NCDTableText"/>
              <w:spacing w:before="60" w:after="60"/>
            </w:pPr>
            <w:r w:rsidRPr="008836E4">
              <w:t>F73</w:t>
            </w:r>
            <w:r>
              <w:t>, F73.0, F73.1, F73.8, F73.9</w:t>
            </w:r>
          </w:p>
        </w:tc>
        <w:tc>
          <w:tcPr>
            <w:tcW w:w="7254" w:type="dxa"/>
            <w:noWrap/>
            <w:hideMark/>
          </w:tcPr>
          <w:p w14:paraId="00EB2AFC" w14:textId="77777777" w:rsidR="000D4F98" w:rsidRPr="008836E4" w:rsidRDefault="000D4F98" w:rsidP="00711929">
            <w:pPr>
              <w:pStyle w:val="NCDTableText"/>
              <w:spacing w:before="60" w:after="60"/>
            </w:pPr>
            <w:r w:rsidRPr="008836E4">
              <w:t>Profound mental retardation</w:t>
            </w:r>
          </w:p>
        </w:tc>
      </w:tr>
      <w:tr w:rsidR="000D4F98" w:rsidRPr="008836E4" w14:paraId="12C159C3" w14:textId="77777777" w:rsidTr="00C44A3D">
        <w:trPr>
          <w:trHeight w:val="315"/>
          <w:jc w:val="center"/>
        </w:trPr>
        <w:tc>
          <w:tcPr>
            <w:tcW w:w="2034" w:type="dxa"/>
            <w:noWrap/>
            <w:hideMark/>
          </w:tcPr>
          <w:p w14:paraId="2531BE2F" w14:textId="77777777" w:rsidR="000D4F98" w:rsidRPr="008836E4" w:rsidRDefault="000D4F98" w:rsidP="00711929">
            <w:pPr>
              <w:pStyle w:val="NCDTableText"/>
              <w:spacing w:before="60" w:after="60"/>
            </w:pPr>
            <w:r w:rsidRPr="008836E4">
              <w:t>F78</w:t>
            </w:r>
            <w:r>
              <w:t>, F78.0, F78.1, F78.8, F78.9</w:t>
            </w:r>
          </w:p>
        </w:tc>
        <w:tc>
          <w:tcPr>
            <w:tcW w:w="7254" w:type="dxa"/>
            <w:noWrap/>
            <w:hideMark/>
          </w:tcPr>
          <w:p w14:paraId="0059DEB4" w14:textId="77777777" w:rsidR="000D4F98" w:rsidRPr="008836E4" w:rsidRDefault="000D4F98" w:rsidP="00711929">
            <w:pPr>
              <w:pStyle w:val="NCDTableText"/>
              <w:spacing w:before="60" w:after="60"/>
            </w:pPr>
            <w:r w:rsidRPr="008836E4">
              <w:t>Other mental retardation</w:t>
            </w:r>
          </w:p>
        </w:tc>
      </w:tr>
      <w:tr w:rsidR="000D4F98" w:rsidRPr="008836E4" w14:paraId="233F4BD0" w14:textId="77777777" w:rsidTr="00C44A3D">
        <w:trPr>
          <w:trHeight w:val="315"/>
          <w:jc w:val="center"/>
        </w:trPr>
        <w:tc>
          <w:tcPr>
            <w:tcW w:w="2034" w:type="dxa"/>
            <w:noWrap/>
            <w:hideMark/>
          </w:tcPr>
          <w:p w14:paraId="1E9D546D" w14:textId="77777777" w:rsidR="000D4F98" w:rsidRPr="008836E4" w:rsidRDefault="000D4F98" w:rsidP="00711929">
            <w:pPr>
              <w:pStyle w:val="NCDTableText"/>
              <w:spacing w:before="60" w:after="60"/>
            </w:pPr>
            <w:r w:rsidRPr="008836E4">
              <w:t>F79</w:t>
            </w:r>
            <w:r>
              <w:t xml:space="preserve">, F79.0, </w:t>
            </w:r>
            <w:r w:rsidRPr="008836E4">
              <w:t>F79.1</w:t>
            </w:r>
            <w:r>
              <w:t xml:space="preserve">, </w:t>
            </w:r>
            <w:r w:rsidRPr="008836E4">
              <w:t>F79.8</w:t>
            </w:r>
            <w:r>
              <w:t xml:space="preserve">, </w:t>
            </w:r>
            <w:r w:rsidRPr="008836E4">
              <w:lastRenderedPageBreak/>
              <w:t>F79.9</w:t>
            </w:r>
          </w:p>
        </w:tc>
        <w:tc>
          <w:tcPr>
            <w:tcW w:w="7254" w:type="dxa"/>
            <w:noWrap/>
            <w:hideMark/>
          </w:tcPr>
          <w:p w14:paraId="14BC9F7D" w14:textId="77777777" w:rsidR="000D4F98" w:rsidRPr="008836E4" w:rsidRDefault="000D4F98" w:rsidP="00711929">
            <w:pPr>
              <w:pStyle w:val="NCDTableText"/>
              <w:spacing w:before="60" w:after="60"/>
            </w:pPr>
            <w:r w:rsidRPr="008836E4">
              <w:lastRenderedPageBreak/>
              <w:t>Unspecified mental retardation</w:t>
            </w:r>
          </w:p>
        </w:tc>
      </w:tr>
      <w:tr w:rsidR="000D4F98" w:rsidRPr="008836E4" w14:paraId="1C9FF332" w14:textId="77777777" w:rsidTr="00C44A3D">
        <w:trPr>
          <w:trHeight w:val="315"/>
          <w:jc w:val="center"/>
        </w:trPr>
        <w:tc>
          <w:tcPr>
            <w:tcW w:w="2034" w:type="dxa"/>
            <w:noWrap/>
            <w:hideMark/>
          </w:tcPr>
          <w:p w14:paraId="4E4C3664" w14:textId="77777777" w:rsidR="000D4F98" w:rsidRPr="008836E4" w:rsidRDefault="000D4F98" w:rsidP="00711929">
            <w:pPr>
              <w:pStyle w:val="NCDTableText"/>
              <w:spacing w:before="60" w:after="60"/>
            </w:pPr>
            <w:r w:rsidRPr="008836E4">
              <w:lastRenderedPageBreak/>
              <w:t>F81.9</w:t>
            </w:r>
          </w:p>
        </w:tc>
        <w:tc>
          <w:tcPr>
            <w:tcW w:w="7254" w:type="dxa"/>
            <w:noWrap/>
            <w:hideMark/>
          </w:tcPr>
          <w:p w14:paraId="5CCF6D46" w14:textId="77777777" w:rsidR="000D4F98" w:rsidRPr="008836E4" w:rsidRDefault="000D4F98" w:rsidP="00711929">
            <w:pPr>
              <w:pStyle w:val="NCDTableText"/>
              <w:spacing w:before="60" w:after="60"/>
            </w:pPr>
            <w:r>
              <w:t>D</w:t>
            </w:r>
            <w:r w:rsidRPr="008836E4">
              <w:t>evelopmental disorder unspecified, scholastic skills</w:t>
            </w:r>
          </w:p>
        </w:tc>
      </w:tr>
      <w:tr w:rsidR="000D4F98" w:rsidRPr="008836E4" w14:paraId="1E820CDC" w14:textId="77777777" w:rsidTr="00C44A3D">
        <w:trPr>
          <w:trHeight w:val="315"/>
          <w:jc w:val="center"/>
        </w:trPr>
        <w:tc>
          <w:tcPr>
            <w:tcW w:w="2034" w:type="dxa"/>
            <w:noWrap/>
            <w:hideMark/>
          </w:tcPr>
          <w:p w14:paraId="3F4173B2" w14:textId="77777777" w:rsidR="000D4F98" w:rsidRPr="008836E4" w:rsidRDefault="000D4F98" w:rsidP="00711929">
            <w:pPr>
              <w:pStyle w:val="NCDTableText"/>
              <w:spacing w:before="60" w:after="60"/>
            </w:pPr>
            <w:r w:rsidRPr="008836E4">
              <w:t>F82</w:t>
            </w:r>
          </w:p>
        </w:tc>
        <w:tc>
          <w:tcPr>
            <w:tcW w:w="7254" w:type="dxa"/>
            <w:noWrap/>
            <w:hideMark/>
          </w:tcPr>
          <w:p w14:paraId="4D0045C9" w14:textId="77777777" w:rsidR="000D4F98" w:rsidRPr="008836E4" w:rsidRDefault="000D4F98" w:rsidP="00711929">
            <w:pPr>
              <w:pStyle w:val="NCDTableText"/>
              <w:spacing w:before="60" w:after="60"/>
            </w:pPr>
            <w:r>
              <w:t>S</w:t>
            </w:r>
            <w:r w:rsidRPr="008836E4">
              <w:t>pecific developmental disorder of motor function</w:t>
            </w:r>
          </w:p>
        </w:tc>
      </w:tr>
      <w:tr w:rsidR="000D4F98" w:rsidRPr="008836E4" w14:paraId="7AABD514" w14:textId="77777777" w:rsidTr="00C44A3D">
        <w:trPr>
          <w:trHeight w:val="315"/>
          <w:jc w:val="center"/>
        </w:trPr>
        <w:tc>
          <w:tcPr>
            <w:tcW w:w="2034" w:type="dxa"/>
            <w:noWrap/>
            <w:hideMark/>
          </w:tcPr>
          <w:p w14:paraId="7E34096B" w14:textId="77777777" w:rsidR="000D4F98" w:rsidRPr="008836E4" w:rsidRDefault="000D4F98" w:rsidP="00711929">
            <w:pPr>
              <w:pStyle w:val="NCDTableText"/>
              <w:spacing w:before="60" w:after="60"/>
            </w:pPr>
            <w:r w:rsidRPr="008836E4">
              <w:t>F84.0</w:t>
            </w:r>
          </w:p>
        </w:tc>
        <w:tc>
          <w:tcPr>
            <w:tcW w:w="7254" w:type="dxa"/>
            <w:noWrap/>
            <w:hideMark/>
          </w:tcPr>
          <w:p w14:paraId="2D5A423C" w14:textId="77777777" w:rsidR="000D4F98" w:rsidRPr="008836E4" w:rsidRDefault="000D4F98" w:rsidP="00711929">
            <w:pPr>
              <w:pStyle w:val="NCDTableText"/>
              <w:spacing w:before="60" w:after="60"/>
            </w:pPr>
            <w:r w:rsidRPr="008836E4">
              <w:t>Autistic disorder</w:t>
            </w:r>
          </w:p>
        </w:tc>
      </w:tr>
      <w:tr w:rsidR="000D4F98" w:rsidRPr="008836E4" w14:paraId="7C5F151C" w14:textId="77777777" w:rsidTr="00C44A3D">
        <w:trPr>
          <w:trHeight w:val="315"/>
          <w:jc w:val="center"/>
        </w:trPr>
        <w:tc>
          <w:tcPr>
            <w:tcW w:w="2034" w:type="dxa"/>
            <w:noWrap/>
            <w:hideMark/>
          </w:tcPr>
          <w:p w14:paraId="2D1A65F0" w14:textId="77777777" w:rsidR="000D4F98" w:rsidRPr="008836E4" w:rsidRDefault="000D4F98" w:rsidP="00711929">
            <w:pPr>
              <w:pStyle w:val="NCDTableText"/>
              <w:spacing w:before="60" w:after="60"/>
            </w:pPr>
            <w:r w:rsidRPr="008836E4">
              <w:t>F84.1</w:t>
            </w:r>
          </w:p>
        </w:tc>
        <w:tc>
          <w:tcPr>
            <w:tcW w:w="7254" w:type="dxa"/>
            <w:noWrap/>
            <w:hideMark/>
          </w:tcPr>
          <w:p w14:paraId="68C583D3" w14:textId="77777777" w:rsidR="000D4F98" w:rsidRPr="008836E4" w:rsidRDefault="000D4F98" w:rsidP="00711929">
            <w:pPr>
              <w:pStyle w:val="NCDTableText"/>
              <w:spacing w:before="60" w:after="60"/>
            </w:pPr>
            <w:r w:rsidRPr="008836E4">
              <w:t>Atypical autism</w:t>
            </w:r>
          </w:p>
        </w:tc>
      </w:tr>
      <w:tr w:rsidR="000D4F98" w:rsidRPr="008836E4" w14:paraId="2C5B5824" w14:textId="77777777" w:rsidTr="00C44A3D">
        <w:trPr>
          <w:trHeight w:val="315"/>
          <w:jc w:val="center"/>
        </w:trPr>
        <w:tc>
          <w:tcPr>
            <w:tcW w:w="2034" w:type="dxa"/>
            <w:noWrap/>
            <w:hideMark/>
          </w:tcPr>
          <w:p w14:paraId="66B9BCBE" w14:textId="77777777" w:rsidR="000D4F98" w:rsidRPr="008836E4" w:rsidRDefault="000D4F98" w:rsidP="00711929">
            <w:pPr>
              <w:pStyle w:val="NCDTableText"/>
              <w:spacing w:before="60" w:after="60"/>
            </w:pPr>
            <w:r w:rsidRPr="008836E4">
              <w:t>F84.2</w:t>
            </w:r>
          </w:p>
        </w:tc>
        <w:tc>
          <w:tcPr>
            <w:tcW w:w="7254" w:type="dxa"/>
            <w:noWrap/>
            <w:hideMark/>
          </w:tcPr>
          <w:p w14:paraId="7E8AC2AD" w14:textId="77777777" w:rsidR="000D4F98" w:rsidRPr="008836E4" w:rsidRDefault="000D4F98" w:rsidP="00711929">
            <w:pPr>
              <w:pStyle w:val="NCDTableText"/>
              <w:spacing w:before="60" w:after="60"/>
            </w:pPr>
            <w:r w:rsidRPr="00213C5B">
              <w:t>Rett</w:t>
            </w:r>
            <w:r>
              <w:t>’s</w:t>
            </w:r>
            <w:r w:rsidRPr="008836E4">
              <w:t xml:space="preserve"> </w:t>
            </w:r>
            <w:r>
              <w:t>s</w:t>
            </w:r>
            <w:r w:rsidRPr="008836E4">
              <w:t>yndrome</w:t>
            </w:r>
          </w:p>
        </w:tc>
      </w:tr>
      <w:tr w:rsidR="000D4F98" w:rsidRPr="008836E4" w14:paraId="168240E2" w14:textId="77777777" w:rsidTr="00C44A3D">
        <w:trPr>
          <w:trHeight w:val="413"/>
          <w:jc w:val="center"/>
        </w:trPr>
        <w:tc>
          <w:tcPr>
            <w:tcW w:w="2034" w:type="dxa"/>
            <w:noWrap/>
            <w:hideMark/>
          </w:tcPr>
          <w:p w14:paraId="47512921" w14:textId="77777777" w:rsidR="000D4F98" w:rsidRPr="008836E4" w:rsidRDefault="000D4F98" w:rsidP="00711929">
            <w:pPr>
              <w:pStyle w:val="NCDTableText"/>
              <w:spacing w:before="60" w:after="60"/>
            </w:pPr>
            <w:r w:rsidRPr="008836E4">
              <w:t>F84.3</w:t>
            </w:r>
            <w:r>
              <w:t xml:space="preserve">, </w:t>
            </w:r>
            <w:r w:rsidRPr="008836E4">
              <w:t>F84.4</w:t>
            </w:r>
          </w:p>
        </w:tc>
        <w:tc>
          <w:tcPr>
            <w:tcW w:w="7254" w:type="dxa"/>
            <w:noWrap/>
            <w:hideMark/>
          </w:tcPr>
          <w:p w14:paraId="0FA3BED8" w14:textId="77777777" w:rsidR="000D4F98" w:rsidRPr="00537483" w:rsidRDefault="000D4F98" w:rsidP="00711929">
            <w:pPr>
              <w:pStyle w:val="NCDTableText"/>
              <w:spacing w:before="60" w:after="60"/>
            </w:pPr>
            <w:r w:rsidRPr="008836E4">
              <w:t>Pervasive developmental disorder</w:t>
            </w:r>
          </w:p>
          <w:p w14:paraId="17DD0E82" w14:textId="77777777" w:rsidR="000D4F98" w:rsidRPr="008836E4" w:rsidRDefault="000D4F98" w:rsidP="00711929">
            <w:pPr>
              <w:pStyle w:val="NCDTableText"/>
              <w:spacing w:before="60" w:after="60"/>
            </w:pPr>
          </w:p>
        </w:tc>
      </w:tr>
      <w:tr w:rsidR="000D4F98" w:rsidRPr="008836E4" w14:paraId="748D38C6" w14:textId="77777777" w:rsidTr="00C44A3D">
        <w:trPr>
          <w:trHeight w:val="315"/>
          <w:jc w:val="center"/>
        </w:trPr>
        <w:tc>
          <w:tcPr>
            <w:tcW w:w="2034" w:type="dxa"/>
            <w:noWrap/>
            <w:hideMark/>
          </w:tcPr>
          <w:p w14:paraId="1DFFE5A9" w14:textId="77777777" w:rsidR="000D4F98" w:rsidRPr="008836E4" w:rsidRDefault="000D4F98" w:rsidP="00711929">
            <w:pPr>
              <w:pStyle w:val="NCDTableText"/>
              <w:spacing w:before="60" w:after="60"/>
            </w:pPr>
            <w:r w:rsidRPr="008836E4">
              <w:t>F84.5</w:t>
            </w:r>
          </w:p>
        </w:tc>
        <w:tc>
          <w:tcPr>
            <w:tcW w:w="7254" w:type="dxa"/>
            <w:noWrap/>
            <w:hideMark/>
          </w:tcPr>
          <w:p w14:paraId="7D1A49C6" w14:textId="77777777" w:rsidR="000D4F98" w:rsidRPr="008836E4" w:rsidRDefault="000D4F98" w:rsidP="00711929">
            <w:pPr>
              <w:pStyle w:val="NCDTableText"/>
              <w:spacing w:before="60" w:after="60"/>
            </w:pPr>
            <w:r w:rsidRPr="00213C5B">
              <w:t>Asp</w:t>
            </w:r>
            <w:r w:rsidRPr="008836E4">
              <w:t>erger</w:t>
            </w:r>
            <w:r>
              <w:t>’</w:t>
            </w:r>
            <w:r w:rsidRPr="008836E4">
              <w:t>s syndrom</w:t>
            </w:r>
            <w:r w:rsidRPr="00213C5B">
              <w:t>e</w:t>
            </w:r>
          </w:p>
        </w:tc>
      </w:tr>
      <w:tr w:rsidR="000D4F98" w:rsidRPr="008836E4" w14:paraId="4108FFB5" w14:textId="77777777" w:rsidTr="00C44A3D">
        <w:trPr>
          <w:trHeight w:val="315"/>
          <w:jc w:val="center"/>
        </w:trPr>
        <w:tc>
          <w:tcPr>
            <w:tcW w:w="2034" w:type="dxa"/>
            <w:noWrap/>
            <w:hideMark/>
          </w:tcPr>
          <w:p w14:paraId="68C7E9E8" w14:textId="77777777" w:rsidR="000D4F98" w:rsidRPr="008836E4" w:rsidRDefault="000D4F98" w:rsidP="00711929">
            <w:pPr>
              <w:pStyle w:val="NCDTableText"/>
              <w:spacing w:before="60" w:after="60"/>
            </w:pPr>
            <w:r w:rsidRPr="008836E4">
              <w:t>F84.8</w:t>
            </w:r>
          </w:p>
        </w:tc>
        <w:tc>
          <w:tcPr>
            <w:tcW w:w="7254" w:type="dxa"/>
            <w:noWrap/>
            <w:hideMark/>
          </w:tcPr>
          <w:p w14:paraId="58654B5C" w14:textId="77777777" w:rsidR="000D4F98" w:rsidRPr="008836E4" w:rsidRDefault="000D4F98" w:rsidP="00711929">
            <w:pPr>
              <w:pStyle w:val="NCDTableText"/>
              <w:spacing w:before="60" w:after="60"/>
            </w:pPr>
            <w:r w:rsidRPr="008836E4">
              <w:t>Other pervasive developmental delay</w:t>
            </w:r>
          </w:p>
        </w:tc>
      </w:tr>
      <w:tr w:rsidR="000D4F98" w:rsidRPr="008836E4" w14:paraId="3D7E1E99" w14:textId="77777777" w:rsidTr="00C44A3D">
        <w:trPr>
          <w:trHeight w:val="315"/>
          <w:jc w:val="center"/>
        </w:trPr>
        <w:tc>
          <w:tcPr>
            <w:tcW w:w="2034" w:type="dxa"/>
            <w:noWrap/>
            <w:hideMark/>
          </w:tcPr>
          <w:p w14:paraId="1146A331" w14:textId="77777777" w:rsidR="000D4F98" w:rsidRPr="008836E4" w:rsidRDefault="000D4F98" w:rsidP="00711929">
            <w:pPr>
              <w:pStyle w:val="NCDTableText"/>
              <w:spacing w:before="60" w:after="60"/>
            </w:pPr>
            <w:r w:rsidRPr="008836E4">
              <w:t>F84.9</w:t>
            </w:r>
          </w:p>
        </w:tc>
        <w:tc>
          <w:tcPr>
            <w:tcW w:w="7254" w:type="dxa"/>
            <w:noWrap/>
            <w:hideMark/>
          </w:tcPr>
          <w:p w14:paraId="5DEF3982" w14:textId="77777777" w:rsidR="000D4F98" w:rsidRPr="008836E4" w:rsidRDefault="000D4F98" w:rsidP="00711929">
            <w:pPr>
              <w:pStyle w:val="NCDTableText"/>
              <w:spacing w:before="60" w:after="60"/>
            </w:pPr>
            <w:r w:rsidRPr="008836E4">
              <w:t>Pervasive developmental delay not otherwise specified</w:t>
            </w:r>
          </w:p>
        </w:tc>
      </w:tr>
      <w:tr w:rsidR="000D4F98" w:rsidRPr="008836E4" w14:paraId="21318D7E" w14:textId="77777777" w:rsidTr="00C44A3D">
        <w:trPr>
          <w:trHeight w:val="315"/>
          <w:jc w:val="center"/>
        </w:trPr>
        <w:tc>
          <w:tcPr>
            <w:tcW w:w="2034" w:type="dxa"/>
            <w:noWrap/>
            <w:hideMark/>
          </w:tcPr>
          <w:p w14:paraId="2A689C6A" w14:textId="77777777" w:rsidR="000D4F98" w:rsidRPr="008836E4" w:rsidRDefault="000D4F98" w:rsidP="00711929">
            <w:pPr>
              <w:pStyle w:val="NCDTableText"/>
              <w:spacing w:before="60" w:after="60"/>
            </w:pPr>
            <w:r w:rsidRPr="008836E4">
              <w:t>F88</w:t>
            </w:r>
          </w:p>
        </w:tc>
        <w:tc>
          <w:tcPr>
            <w:tcW w:w="7254" w:type="dxa"/>
            <w:noWrap/>
            <w:hideMark/>
          </w:tcPr>
          <w:p w14:paraId="0A455744" w14:textId="77777777" w:rsidR="000D4F98" w:rsidRPr="008836E4" w:rsidRDefault="000D4F98" w:rsidP="00711929">
            <w:pPr>
              <w:pStyle w:val="NCDTableText"/>
              <w:spacing w:before="60" w:after="60"/>
            </w:pPr>
            <w:r w:rsidRPr="008836E4">
              <w:t>Other disorders of psychological development</w:t>
            </w:r>
          </w:p>
        </w:tc>
      </w:tr>
      <w:tr w:rsidR="000D4F98" w:rsidRPr="008836E4" w14:paraId="185A7E3B" w14:textId="77777777" w:rsidTr="00C44A3D">
        <w:trPr>
          <w:trHeight w:val="315"/>
          <w:jc w:val="center"/>
        </w:trPr>
        <w:tc>
          <w:tcPr>
            <w:tcW w:w="2034" w:type="dxa"/>
            <w:noWrap/>
            <w:hideMark/>
          </w:tcPr>
          <w:p w14:paraId="050DE0AF" w14:textId="77777777" w:rsidR="000D4F98" w:rsidRPr="008836E4" w:rsidRDefault="000D4F98" w:rsidP="00711929">
            <w:pPr>
              <w:pStyle w:val="NCDTableText"/>
              <w:spacing w:before="60" w:after="60"/>
            </w:pPr>
            <w:r w:rsidRPr="008836E4">
              <w:t>F89</w:t>
            </w:r>
          </w:p>
        </w:tc>
        <w:tc>
          <w:tcPr>
            <w:tcW w:w="7254" w:type="dxa"/>
            <w:noWrap/>
            <w:hideMark/>
          </w:tcPr>
          <w:p w14:paraId="00715F1D" w14:textId="77777777" w:rsidR="000D4F98" w:rsidRPr="008836E4" w:rsidRDefault="000D4F98" w:rsidP="00711929">
            <w:pPr>
              <w:pStyle w:val="NCDTableText"/>
              <w:spacing w:before="60" w:after="60"/>
            </w:pPr>
            <w:r w:rsidRPr="008836E4">
              <w:t xml:space="preserve">Unspecified disorder of </w:t>
            </w:r>
            <w:r w:rsidRPr="00213C5B">
              <w:t>psychological</w:t>
            </w:r>
            <w:r w:rsidRPr="008836E4">
              <w:t xml:space="preserve"> development</w:t>
            </w:r>
          </w:p>
        </w:tc>
      </w:tr>
      <w:tr w:rsidR="000D4F98" w:rsidRPr="008836E4" w14:paraId="6E2AC0A4" w14:textId="77777777" w:rsidTr="00C44A3D">
        <w:trPr>
          <w:trHeight w:val="1295"/>
          <w:jc w:val="center"/>
        </w:trPr>
        <w:tc>
          <w:tcPr>
            <w:tcW w:w="2034" w:type="dxa"/>
            <w:noWrap/>
            <w:hideMark/>
          </w:tcPr>
          <w:p w14:paraId="62A954BB" w14:textId="77777777" w:rsidR="000D4F98" w:rsidRPr="008836E4" w:rsidRDefault="000D4F98" w:rsidP="00711929">
            <w:pPr>
              <w:pStyle w:val="NCDTableText"/>
              <w:spacing w:before="60" w:after="60"/>
            </w:pPr>
            <w:r w:rsidRPr="008836E4">
              <w:t>G80.0</w:t>
            </w:r>
            <w:r>
              <w:t>, G</w:t>
            </w:r>
            <w:r w:rsidRPr="008836E4">
              <w:t>80.1</w:t>
            </w:r>
            <w:r>
              <w:t xml:space="preserve">, </w:t>
            </w:r>
            <w:r w:rsidRPr="008836E4">
              <w:t>G80.2</w:t>
            </w:r>
            <w:r>
              <w:t xml:space="preserve">, </w:t>
            </w:r>
            <w:r w:rsidRPr="008836E4">
              <w:t>G80.3</w:t>
            </w:r>
            <w:r>
              <w:t xml:space="preserve">, </w:t>
            </w:r>
            <w:r w:rsidRPr="008836E4">
              <w:t>G80.4</w:t>
            </w:r>
            <w:r>
              <w:t xml:space="preserve">, </w:t>
            </w:r>
            <w:r w:rsidRPr="008836E4">
              <w:t>G80.8</w:t>
            </w:r>
            <w:r>
              <w:t xml:space="preserve">, </w:t>
            </w:r>
            <w:r w:rsidRPr="008836E4">
              <w:t>G80.9</w:t>
            </w:r>
          </w:p>
        </w:tc>
        <w:tc>
          <w:tcPr>
            <w:tcW w:w="7254" w:type="dxa"/>
            <w:noWrap/>
            <w:hideMark/>
          </w:tcPr>
          <w:p w14:paraId="1524713A" w14:textId="77777777" w:rsidR="000D4F98" w:rsidRPr="00537483" w:rsidRDefault="000D4F98" w:rsidP="00711929">
            <w:pPr>
              <w:pStyle w:val="NCDTableText"/>
              <w:spacing w:before="60" w:after="60"/>
            </w:pPr>
            <w:r w:rsidRPr="008836E4">
              <w:t>Cerebral palsy</w:t>
            </w:r>
          </w:p>
          <w:p w14:paraId="32186D6D" w14:textId="77777777" w:rsidR="000D4F98" w:rsidRPr="008836E4" w:rsidRDefault="000D4F98" w:rsidP="00711929">
            <w:pPr>
              <w:pStyle w:val="NCDTableText"/>
              <w:spacing w:before="60" w:after="60"/>
            </w:pPr>
          </w:p>
        </w:tc>
      </w:tr>
      <w:tr w:rsidR="000D4F98" w:rsidRPr="008836E4" w14:paraId="06EA10C7" w14:textId="77777777" w:rsidTr="00C44A3D">
        <w:trPr>
          <w:trHeight w:val="315"/>
          <w:jc w:val="center"/>
        </w:trPr>
        <w:tc>
          <w:tcPr>
            <w:tcW w:w="2034" w:type="dxa"/>
            <w:noWrap/>
            <w:hideMark/>
          </w:tcPr>
          <w:p w14:paraId="792D4FCE" w14:textId="77777777" w:rsidR="000D4F98" w:rsidRPr="008836E4" w:rsidRDefault="000D4F98" w:rsidP="00711929">
            <w:pPr>
              <w:pStyle w:val="NCDTableText"/>
              <w:spacing w:before="60" w:after="60"/>
            </w:pPr>
            <w:r w:rsidRPr="008836E4">
              <w:t>P04.3</w:t>
            </w:r>
          </w:p>
        </w:tc>
        <w:tc>
          <w:tcPr>
            <w:tcW w:w="7254" w:type="dxa"/>
            <w:noWrap/>
            <w:hideMark/>
          </w:tcPr>
          <w:p w14:paraId="5A5B982E" w14:textId="77777777" w:rsidR="000D4F98" w:rsidRPr="008836E4" w:rsidRDefault="000D4F98" w:rsidP="00711929">
            <w:pPr>
              <w:pStyle w:val="NCDTableText"/>
              <w:spacing w:before="60" w:after="60"/>
            </w:pPr>
            <w:r w:rsidRPr="008836E4">
              <w:t>Fetal alcohol syndrome</w:t>
            </w:r>
          </w:p>
        </w:tc>
      </w:tr>
      <w:tr w:rsidR="000D4F98" w:rsidRPr="008836E4" w14:paraId="15E9DB53" w14:textId="77777777" w:rsidTr="00C44A3D">
        <w:trPr>
          <w:trHeight w:val="315"/>
          <w:jc w:val="center"/>
        </w:trPr>
        <w:tc>
          <w:tcPr>
            <w:tcW w:w="2034" w:type="dxa"/>
            <w:noWrap/>
            <w:hideMark/>
          </w:tcPr>
          <w:p w14:paraId="5C9263A1" w14:textId="77777777" w:rsidR="000D4F98" w:rsidRPr="008836E4" w:rsidRDefault="000D4F98" w:rsidP="00711929">
            <w:pPr>
              <w:pStyle w:val="NCDTableText"/>
              <w:spacing w:before="60" w:after="60"/>
            </w:pPr>
            <w:r w:rsidRPr="008836E4">
              <w:t>Q86.0</w:t>
            </w:r>
          </w:p>
        </w:tc>
        <w:tc>
          <w:tcPr>
            <w:tcW w:w="7254" w:type="dxa"/>
            <w:noWrap/>
            <w:hideMark/>
          </w:tcPr>
          <w:p w14:paraId="7705004F" w14:textId="77777777" w:rsidR="000D4F98" w:rsidRPr="008836E4" w:rsidRDefault="000D4F98" w:rsidP="00711929">
            <w:pPr>
              <w:pStyle w:val="NCDTableText"/>
              <w:spacing w:before="60" w:after="60"/>
            </w:pPr>
            <w:r w:rsidRPr="008836E4">
              <w:t>Congenital malformation syndrome due to exogenous factors</w:t>
            </w:r>
          </w:p>
        </w:tc>
      </w:tr>
      <w:tr w:rsidR="000D4F98" w:rsidRPr="008836E4" w14:paraId="2A9E6214" w14:textId="77777777" w:rsidTr="00C44A3D">
        <w:trPr>
          <w:trHeight w:val="315"/>
          <w:jc w:val="center"/>
        </w:trPr>
        <w:tc>
          <w:tcPr>
            <w:tcW w:w="2034" w:type="dxa"/>
            <w:noWrap/>
            <w:hideMark/>
          </w:tcPr>
          <w:p w14:paraId="478FC5F6" w14:textId="77777777" w:rsidR="000D4F98" w:rsidRPr="008836E4" w:rsidRDefault="000D4F98" w:rsidP="00711929">
            <w:pPr>
              <w:pStyle w:val="NCDTableText"/>
              <w:spacing w:before="60" w:after="60"/>
            </w:pPr>
            <w:r w:rsidRPr="008836E4">
              <w:t>Q86.1</w:t>
            </w:r>
          </w:p>
        </w:tc>
        <w:tc>
          <w:tcPr>
            <w:tcW w:w="7254" w:type="dxa"/>
            <w:noWrap/>
            <w:hideMark/>
          </w:tcPr>
          <w:p w14:paraId="71AA3ACB" w14:textId="77777777" w:rsidR="000D4F98" w:rsidRPr="008836E4" w:rsidRDefault="000D4F98" w:rsidP="00711929">
            <w:pPr>
              <w:pStyle w:val="NCDTableText"/>
              <w:spacing w:before="60" w:after="60"/>
            </w:pPr>
            <w:r w:rsidRPr="008836E4">
              <w:t xml:space="preserve">Fetal hydantoin </w:t>
            </w:r>
            <w:r w:rsidRPr="00213C5B">
              <w:t>syndrome</w:t>
            </w:r>
            <w:r w:rsidRPr="008836E4">
              <w:t xml:space="preserve"> (primarily physical, may include mild </w:t>
            </w:r>
            <w:r>
              <w:t>developmental disability</w:t>
            </w:r>
            <w:r w:rsidRPr="008836E4">
              <w:t>)</w:t>
            </w:r>
          </w:p>
        </w:tc>
      </w:tr>
      <w:tr w:rsidR="000D4F98" w:rsidRPr="008836E4" w14:paraId="545667CF" w14:textId="77777777" w:rsidTr="00C44A3D">
        <w:trPr>
          <w:trHeight w:val="315"/>
          <w:jc w:val="center"/>
        </w:trPr>
        <w:tc>
          <w:tcPr>
            <w:tcW w:w="2034" w:type="dxa"/>
            <w:noWrap/>
            <w:hideMark/>
          </w:tcPr>
          <w:p w14:paraId="19255523" w14:textId="77777777" w:rsidR="000D4F98" w:rsidRPr="008836E4" w:rsidRDefault="000D4F98" w:rsidP="00711929">
            <w:pPr>
              <w:pStyle w:val="NCDTableText"/>
              <w:spacing w:before="60" w:after="60"/>
            </w:pPr>
            <w:r w:rsidRPr="008836E4">
              <w:t>Q86.2</w:t>
            </w:r>
          </w:p>
        </w:tc>
        <w:tc>
          <w:tcPr>
            <w:tcW w:w="7254" w:type="dxa"/>
            <w:noWrap/>
            <w:hideMark/>
          </w:tcPr>
          <w:p w14:paraId="483FD836" w14:textId="77777777" w:rsidR="000D4F98" w:rsidRPr="008836E4" w:rsidRDefault="000D4F98" w:rsidP="00711929">
            <w:pPr>
              <w:pStyle w:val="NCDTableText"/>
              <w:spacing w:before="60" w:after="60"/>
            </w:pPr>
            <w:r w:rsidRPr="008836E4">
              <w:t>Dysmorphism due to warfarin</w:t>
            </w:r>
          </w:p>
        </w:tc>
      </w:tr>
      <w:tr w:rsidR="000D4F98" w:rsidRPr="008836E4" w14:paraId="1D20CE6D" w14:textId="77777777" w:rsidTr="00C44A3D">
        <w:trPr>
          <w:trHeight w:val="315"/>
          <w:jc w:val="center"/>
        </w:trPr>
        <w:tc>
          <w:tcPr>
            <w:tcW w:w="2034" w:type="dxa"/>
            <w:noWrap/>
            <w:hideMark/>
          </w:tcPr>
          <w:p w14:paraId="11D94206" w14:textId="77777777" w:rsidR="000D4F98" w:rsidRPr="008836E4" w:rsidRDefault="000D4F98" w:rsidP="00711929">
            <w:pPr>
              <w:pStyle w:val="NCDTableText"/>
              <w:spacing w:before="60" w:after="60"/>
            </w:pPr>
            <w:r w:rsidRPr="008836E4">
              <w:lastRenderedPageBreak/>
              <w:t>Q86.8</w:t>
            </w:r>
          </w:p>
        </w:tc>
        <w:tc>
          <w:tcPr>
            <w:tcW w:w="7254" w:type="dxa"/>
            <w:noWrap/>
            <w:hideMark/>
          </w:tcPr>
          <w:p w14:paraId="56C6A124" w14:textId="77777777" w:rsidR="000D4F98" w:rsidRPr="008836E4" w:rsidRDefault="000D4F98" w:rsidP="00711929">
            <w:pPr>
              <w:pStyle w:val="NCDTableText"/>
              <w:spacing w:before="60" w:after="60"/>
            </w:pPr>
            <w:r w:rsidRPr="008836E4">
              <w:t>Other congenital malformation, unknown cause</w:t>
            </w:r>
          </w:p>
        </w:tc>
      </w:tr>
      <w:tr w:rsidR="000D4F98" w:rsidRPr="008836E4" w14:paraId="0FF2E147" w14:textId="77777777" w:rsidTr="00C44A3D">
        <w:trPr>
          <w:trHeight w:val="315"/>
          <w:jc w:val="center"/>
        </w:trPr>
        <w:tc>
          <w:tcPr>
            <w:tcW w:w="2034" w:type="dxa"/>
            <w:noWrap/>
            <w:hideMark/>
          </w:tcPr>
          <w:p w14:paraId="0E9BF81A" w14:textId="77777777" w:rsidR="000D4F98" w:rsidRPr="008836E4" w:rsidRDefault="000D4F98" w:rsidP="00711929">
            <w:pPr>
              <w:pStyle w:val="NCDTableText"/>
              <w:spacing w:before="60" w:after="60"/>
            </w:pPr>
            <w:r w:rsidRPr="008836E4">
              <w:t>Q87.0</w:t>
            </w:r>
          </w:p>
        </w:tc>
        <w:tc>
          <w:tcPr>
            <w:tcW w:w="7254" w:type="dxa"/>
            <w:noWrap/>
            <w:hideMark/>
          </w:tcPr>
          <w:p w14:paraId="1089C262" w14:textId="77777777" w:rsidR="000D4F98" w:rsidRPr="008836E4" w:rsidRDefault="000D4F98" w:rsidP="00711929">
            <w:pPr>
              <w:pStyle w:val="NCDTableText"/>
              <w:spacing w:before="60" w:after="60"/>
            </w:pPr>
            <w:r w:rsidRPr="008836E4">
              <w:t>Congenital malformation primarily affecting the face</w:t>
            </w:r>
          </w:p>
        </w:tc>
      </w:tr>
      <w:tr w:rsidR="000D4F98" w:rsidRPr="008836E4" w14:paraId="42D0B86C" w14:textId="77777777" w:rsidTr="00C44A3D">
        <w:trPr>
          <w:trHeight w:val="315"/>
          <w:jc w:val="center"/>
        </w:trPr>
        <w:tc>
          <w:tcPr>
            <w:tcW w:w="2034" w:type="dxa"/>
            <w:noWrap/>
            <w:hideMark/>
          </w:tcPr>
          <w:p w14:paraId="73B912B1" w14:textId="77777777" w:rsidR="000D4F98" w:rsidRPr="008836E4" w:rsidRDefault="000D4F98" w:rsidP="00711929">
            <w:pPr>
              <w:pStyle w:val="NCDTableText"/>
              <w:spacing w:before="60" w:after="60"/>
            </w:pPr>
            <w:r w:rsidRPr="008836E4">
              <w:t>Q87.1</w:t>
            </w:r>
          </w:p>
        </w:tc>
        <w:tc>
          <w:tcPr>
            <w:tcW w:w="7254" w:type="dxa"/>
            <w:noWrap/>
            <w:hideMark/>
          </w:tcPr>
          <w:p w14:paraId="1E0F0F75" w14:textId="77777777" w:rsidR="000D4F98" w:rsidRPr="008836E4" w:rsidRDefault="000D4F98" w:rsidP="00711929">
            <w:pPr>
              <w:pStyle w:val="NCDTableText"/>
              <w:spacing w:before="60" w:after="60"/>
            </w:pPr>
            <w:r w:rsidRPr="008836E4">
              <w:t>Other specified congenital malformation syndromes affecting multiple systems</w:t>
            </w:r>
          </w:p>
        </w:tc>
      </w:tr>
      <w:tr w:rsidR="000D4F98" w:rsidRPr="008836E4" w14:paraId="4965380D" w14:textId="77777777" w:rsidTr="00C44A3D">
        <w:trPr>
          <w:trHeight w:val="315"/>
          <w:jc w:val="center"/>
        </w:trPr>
        <w:tc>
          <w:tcPr>
            <w:tcW w:w="2034" w:type="dxa"/>
            <w:noWrap/>
            <w:hideMark/>
          </w:tcPr>
          <w:p w14:paraId="5C3FD48F" w14:textId="77777777" w:rsidR="000D4F98" w:rsidRPr="008836E4" w:rsidRDefault="000D4F98" w:rsidP="00711929">
            <w:pPr>
              <w:pStyle w:val="NCDTableText"/>
              <w:spacing w:before="60" w:after="60"/>
            </w:pPr>
            <w:r w:rsidRPr="008836E4">
              <w:t>Q87.11</w:t>
            </w:r>
          </w:p>
        </w:tc>
        <w:tc>
          <w:tcPr>
            <w:tcW w:w="7254" w:type="dxa"/>
            <w:noWrap/>
            <w:hideMark/>
          </w:tcPr>
          <w:p w14:paraId="17CA5D2D" w14:textId="77777777" w:rsidR="000D4F98" w:rsidRPr="008836E4" w:rsidRDefault="000D4F98" w:rsidP="00711929">
            <w:pPr>
              <w:pStyle w:val="NCDTableText"/>
              <w:spacing w:before="60" w:after="60"/>
            </w:pPr>
            <w:r w:rsidRPr="008836E4">
              <w:t>Prader-Willi syndrome</w:t>
            </w:r>
          </w:p>
        </w:tc>
      </w:tr>
      <w:tr w:rsidR="000D4F98" w:rsidRPr="008836E4" w14:paraId="5D45194E" w14:textId="77777777" w:rsidTr="00C44A3D">
        <w:trPr>
          <w:trHeight w:val="1007"/>
          <w:jc w:val="center"/>
        </w:trPr>
        <w:tc>
          <w:tcPr>
            <w:tcW w:w="2034" w:type="dxa"/>
            <w:noWrap/>
            <w:hideMark/>
          </w:tcPr>
          <w:p w14:paraId="4B24271C" w14:textId="77777777" w:rsidR="000D4F98" w:rsidRPr="009B0D4D" w:rsidRDefault="000D4F98" w:rsidP="00711929">
            <w:pPr>
              <w:pStyle w:val="NCDTableText"/>
              <w:spacing w:before="60" w:after="60"/>
            </w:pPr>
            <w:r w:rsidRPr="008836E4">
              <w:t>Q87.19</w:t>
            </w:r>
            <w:r>
              <w:t xml:space="preserve">, </w:t>
            </w:r>
            <w:r w:rsidRPr="008836E4">
              <w:t>Q87.2</w:t>
            </w:r>
            <w:r>
              <w:t xml:space="preserve">, </w:t>
            </w:r>
            <w:r w:rsidRPr="008836E4">
              <w:t>Q87.3</w:t>
            </w:r>
            <w:r>
              <w:t xml:space="preserve">, </w:t>
            </w:r>
            <w:r w:rsidRPr="008836E4">
              <w:t>Q87.5</w:t>
            </w:r>
            <w:r>
              <w:t>, Q87.8</w:t>
            </w:r>
          </w:p>
        </w:tc>
        <w:tc>
          <w:tcPr>
            <w:tcW w:w="7254" w:type="dxa"/>
            <w:noWrap/>
            <w:hideMark/>
          </w:tcPr>
          <w:p w14:paraId="44FD3596" w14:textId="77777777" w:rsidR="000D4F98" w:rsidRPr="00537483" w:rsidRDefault="000D4F98" w:rsidP="00711929">
            <w:pPr>
              <w:pStyle w:val="NCDTableText"/>
              <w:spacing w:before="60" w:after="60"/>
            </w:pPr>
            <w:r w:rsidRPr="008836E4">
              <w:t>Other specified congenital malformation syndromes affecting multiple systems</w:t>
            </w:r>
          </w:p>
          <w:p w14:paraId="40FDA238" w14:textId="77777777" w:rsidR="000D4F98" w:rsidRPr="008836E4" w:rsidRDefault="000D4F98" w:rsidP="00711929">
            <w:pPr>
              <w:pStyle w:val="NCDTableText"/>
              <w:spacing w:before="60" w:after="60"/>
            </w:pPr>
          </w:p>
        </w:tc>
      </w:tr>
      <w:tr w:rsidR="000D4F98" w:rsidRPr="008836E4" w14:paraId="77A11F8E" w14:textId="77777777" w:rsidTr="00C44A3D">
        <w:trPr>
          <w:trHeight w:val="315"/>
          <w:jc w:val="center"/>
        </w:trPr>
        <w:tc>
          <w:tcPr>
            <w:tcW w:w="2034" w:type="dxa"/>
            <w:noWrap/>
            <w:hideMark/>
          </w:tcPr>
          <w:p w14:paraId="3EE8B2CE" w14:textId="77777777" w:rsidR="000D4F98" w:rsidRPr="008836E4" w:rsidRDefault="000D4F98" w:rsidP="00711929">
            <w:pPr>
              <w:pStyle w:val="NCDTableText"/>
              <w:spacing w:before="60" w:after="60"/>
            </w:pPr>
            <w:r w:rsidRPr="008836E4">
              <w:t>Q87.81</w:t>
            </w:r>
          </w:p>
        </w:tc>
        <w:tc>
          <w:tcPr>
            <w:tcW w:w="7254" w:type="dxa"/>
            <w:noWrap/>
            <w:hideMark/>
          </w:tcPr>
          <w:p w14:paraId="00207124" w14:textId="77777777" w:rsidR="000D4F98" w:rsidRPr="008836E4" w:rsidRDefault="000D4F98" w:rsidP="00711929">
            <w:pPr>
              <w:pStyle w:val="NCDTableText"/>
              <w:spacing w:before="60" w:after="60"/>
            </w:pPr>
            <w:r w:rsidRPr="008836E4">
              <w:t>Alport syndrome (may include ID)</w:t>
            </w:r>
          </w:p>
        </w:tc>
      </w:tr>
      <w:tr w:rsidR="000D4F98" w:rsidRPr="008836E4" w14:paraId="2802BE66" w14:textId="77777777" w:rsidTr="00C44A3D">
        <w:trPr>
          <w:trHeight w:val="315"/>
          <w:jc w:val="center"/>
        </w:trPr>
        <w:tc>
          <w:tcPr>
            <w:tcW w:w="2034" w:type="dxa"/>
            <w:noWrap/>
            <w:hideMark/>
          </w:tcPr>
          <w:p w14:paraId="7B44949A" w14:textId="77777777" w:rsidR="000D4F98" w:rsidRPr="008836E4" w:rsidRDefault="000D4F98" w:rsidP="00711929">
            <w:pPr>
              <w:pStyle w:val="NCDTableText"/>
              <w:spacing w:before="60" w:after="60"/>
            </w:pPr>
            <w:r w:rsidRPr="008836E4">
              <w:t>Q87.89</w:t>
            </w:r>
          </w:p>
        </w:tc>
        <w:tc>
          <w:tcPr>
            <w:tcW w:w="7254" w:type="dxa"/>
            <w:noWrap/>
            <w:hideMark/>
          </w:tcPr>
          <w:p w14:paraId="1105D681" w14:textId="77777777" w:rsidR="000D4F98" w:rsidRPr="008836E4" w:rsidRDefault="000D4F98" w:rsidP="00711929">
            <w:pPr>
              <w:pStyle w:val="NCDTableText"/>
              <w:spacing w:before="60" w:after="60"/>
            </w:pPr>
            <w:r w:rsidRPr="008836E4">
              <w:t>Other specified congenital malformation syndromes, not elsewhere classified</w:t>
            </w:r>
          </w:p>
        </w:tc>
      </w:tr>
      <w:tr w:rsidR="000D4F98" w:rsidRPr="008836E4" w14:paraId="794ADDCE" w14:textId="77777777" w:rsidTr="00C44A3D">
        <w:trPr>
          <w:trHeight w:val="315"/>
          <w:jc w:val="center"/>
        </w:trPr>
        <w:tc>
          <w:tcPr>
            <w:tcW w:w="2034" w:type="dxa"/>
            <w:noWrap/>
            <w:hideMark/>
          </w:tcPr>
          <w:p w14:paraId="0C4F16FD" w14:textId="77777777" w:rsidR="000D4F98" w:rsidRPr="008836E4" w:rsidRDefault="000D4F98" w:rsidP="00711929">
            <w:pPr>
              <w:pStyle w:val="NCDTableText"/>
              <w:spacing w:before="60" w:after="60"/>
            </w:pPr>
            <w:r w:rsidRPr="008836E4">
              <w:t>Q89.7</w:t>
            </w:r>
          </w:p>
        </w:tc>
        <w:tc>
          <w:tcPr>
            <w:tcW w:w="7254" w:type="dxa"/>
            <w:noWrap/>
            <w:hideMark/>
          </w:tcPr>
          <w:p w14:paraId="5131A9C5" w14:textId="77777777" w:rsidR="000D4F98" w:rsidRPr="008836E4" w:rsidRDefault="000D4F98" w:rsidP="00711929">
            <w:pPr>
              <w:pStyle w:val="NCDTableText"/>
              <w:spacing w:before="60" w:after="60"/>
            </w:pPr>
            <w:r w:rsidRPr="008836E4">
              <w:t>Multiple congenital malformations, not otherwise specified</w:t>
            </w:r>
          </w:p>
        </w:tc>
      </w:tr>
      <w:tr w:rsidR="000D4F98" w:rsidRPr="008836E4" w14:paraId="3DDD663E" w14:textId="77777777" w:rsidTr="00C44A3D">
        <w:trPr>
          <w:trHeight w:val="315"/>
          <w:jc w:val="center"/>
        </w:trPr>
        <w:tc>
          <w:tcPr>
            <w:tcW w:w="2034" w:type="dxa"/>
            <w:noWrap/>
            <w:hideMark/>
          </w:tcPr>
          <w:p w14:paraId="482C0F9D" w14:textId="77777777" w:rsidR="000D4F98" w:rsidRPr="008836E4" w:rsidRDefault="000D4F98" w:rsidP="00711929">
            <w:pPr>
              <w:pStyle w:val="NCDTableText"/>
              <w:spacing w:before="60" w:after="60"/>
            </w:pPr>
            <w:r w:rsidRPr="008836E4">
              <w:t>Q89.8</w:t>
            </w:r>
          </w:p>
        </w:tc>
        <w:tc>
          <w:tcPr>
            <w:tcW w:w="7254" w:type="dxa"/>
            <w:noWrap/>
            <w:hideMark/>
          </w:tcPr>
          <w:p w14:paraId="5D5FC38A" w14:textId="77777777" w:rsidR="000D4F98" w:rsidRPr="008836E4" w:rsidRDefault="000D4F98" w:rsidP="00711929">
            <w:pPr>
              <w:pStyle w:val="NCDTableText"/>
              <w:spacing w:before="60" w:after="60"/>
            </w:pPr>
            <w:r w:rsidRPr="008836E4">
              <w:t>Other specified congenital malformation syndromes affecting multiple systems</w:t>
            </w:r>
          </w:p>
        </w:tc>
      </w:tr>
      <w:tr w:rsidR="000D4F98" w:rsidRPr="008836E4" w14:paraId="6A091772" w14:textId="77777777" w:rsidTr="00C44A3D">
        <w:trPr>
          <w:trHeight w:val="647"/>
          <w:jc w:val="center"/>
        </w:trPr>
        <w:tc>
          <w:tcPr>
            <w:tcW w:w="2034" w:type="dxa"/>
            <w:noWrap/>
            <w:hideMark/>
          </w:tcPr>
          <w:p w14:paraId="71A81B95" w14:textId="77777777" w:rsidR="000D4F98" w:rsidRPr="008836E4" w:rsidRDefault="000D4F98" w:rsidP="00711929">
            <w:pPr>
              <w:pStyle w:val="NCDTableText"/>
              <w:spacing w:before="60" w:after="60"/>
            </w:pPr>
            <w:r w:rsidRPr="008836E4">
              <w:t>Q90.0</w:t>
            </w:r>
            <w:r>
              <w:t xml:space="preserve">, </w:t>
            </w:r>
            <w:r w:rsidRPr="008836E4">
              <w:t>Q90.1</w:t>
            </w:r>
            <w:r>
              <w:t xml:space="preserve">, </w:t>
            </w:r>
            <w:r w:rsidRPr="008836E4">
              <w:t>Q90.2</w:t>
            </w:r>
            <w:r>
              <w:t xml:space="preserve">, </w:t>
            </w:r>
            <w:r w:rsidRPr="008836E4">
              <w:t>Q90.9</w:t>
            </w:r>
          </w:p>
        </w:tc>
        <w:tc>
          <w:tcPr>
            <w:tcW w:w="7254" w:type="dxa"/>
            <w:noWrap/>
            <w:hideMark/>
          </w:tcPr>
          <w:p w14:paraId="593712C5" w14:textId="77777777" w:rsidR="000D4F98" w:rsidRPr="00537483" w:rsidRDefault="000D4F98" w:rsidP="00711929">
            <w:pPr>
              <w:pStyle w:val="NCDTableText"/>
              <w:spacing w:before="60" w:after="60"/>
            </w:pPr>
          </w:p>
          <w:p w14:paraId="30D80222" w14:textId="77777777" w:rsidR="000D4F98" w:rsidRPr="00537483" w:rsidRDefault="000D4F98" w:rsidP="00711929">
            <w:pPr>
              <w:pStyle w:val="NCDTableText"/>
              <w:spacing w:before="60" w:after="60"/>
            </w:pPr>
            <w:r w:rsidRPr="008836E4">
              <w:t>Down</w:t>
            </w:r>
            <w:r>
              <w:t>’</w:t>
            </w:r>
            <w:r w:rsidRPr="008836E4">
              <w:t>s syndrome</w:t>
            </w:r>
          </w:p>
          <w:p w14:paraId="69D6A1C6" w14:textId="77777777" w:rsidR="000D4F98" w:rsidRPr="008836E4" w:rsidRDefault="000D4F98" w:rsidP="00711929">
            <w:pPr>
              <w:pStyle w:val="NCDTableText"/>
              <w:spacing w:before="60" w:after="60"/>
            </w:pPr>
          </w:p>
        </w:tc>
      </w:tr>
      <w:tr w:rsidR="000D4F98" w:rsidRPr="008836E4" w14:paraId="2A57E63F" w14:textId="77777777" w:rsidTr="00C44A3D">
        <w:trPr>
          <w:trHeight w:val="1160"/>
          <w:jc w:val="center"/>
        </w:trPr>
        <w:tc>
          <w:tcPr>
            <w:tcW w:w="2034" w:type="dxa"/>
            <w:noWrap/>
            <w:hideMark/>
          </w:tcPr>
          <w:p w14:paraId="79D56D8B" w14:textId="77777777" w:rsidR="000D4F98" w:rsidRPr="008836E4" w:rsidRDefault="000D4F98" w:rsidP="00711929">
            <w:pPr>
              <w:pStyle w:val="NCDTableText"/>
              <w:spacing w:before="60" w:after="60"/>
            </w:pPr>
            <w:r w:rsidRPr="008836E4">
              <w:t>Q91.0</w:t>
            </w:r>
            <w:r>
              <w:t xml:space="preserve">, </w:t>
            </w:r>
            <w:r w:rsidRPr="008836E4">
              <w:t>Q91.1</w:t>
            </w:r>
            <w:r>
              <w:t xml:space="preserve">, </w:t>
            </w:r>
            <w:r w:rsidRPr="008836E4">
              <w:t>Q91.2</w:t>
            </w:r>
            <w:r>
              <w:t xml:space="preserve">, </w:t>
            </w:r>
            <w:r w:rsidRPr="008836E4">
              <w:t>Q91.3</w:t>
            </w:r>
            <w:r>
              <w:t xml:space="preserve">, </w:t>
            </w:r>
            <w:r w:rsidRPr="008836E4">
              <w:t>Q91.4</w:t>
            </w:r>
            <w:r>
              <w:t xml:space="preserve">, </w:t>
            </w:r>
            <w:r w:rsidRPr="008836E4">
              <w:t>Q91.5</w:t>
            </w:r>
            <w:r>
              <w:t xml:space="preserve">, </w:t>
            </w:r>
            <w:r w:rsidRPr="008836E4">
              <w:t>Q91.6</w:t>
            </w:r>
            <w:r>
              <w:t xml:space="preserve">, </w:t>
            </w:r>
            <w:r w:rsidRPr="008836E4">
              <w:t>Q91.7</w:t>
            </w:r>
          </w:p>
        </w:tc>
        <w:tc>
          <w:tcPr>
            <w:tcW w:w="7254" w:type="dxa"/>
            <w:noWrap/>
            <w:hideMark/>
          </w:tcPr>
          <w:p w14:paraId="0BD85460" w14:textId="77777777" w:rsidR="000D4F98" w:rsidRPr="00537483" w:rsidRDefault="000D4F98" w:rsidP="00711929">
            <w:pPr>
              <w:pStyle w:val="NCDTableText"/>
              <w:spacing w:before="60" w:after="60"/>
            </w:pPr>
            <w:r w:rsidRPr="008836E4">
              <w:t>Edward</w:t>
            </w:r>
            <w:r>
              <w:t>’</w:t>
            </w:r>
            <w:r w:rsidRPr="008836E4">
              <w:t>s syndrome and Patau</w:t>
            </w:r>
            <w:r>
              <w:t>’</w:t>
            </w:r>
            <w:r w:rsidRPr="008836E4">
              <w:t>s syndrome</w:t>
            </w:r>
          </w:p>
          <w:p w14:paraId="0529A97D" w14:textId="77777777" w:rsidR="000D4F98" w:rsidRPr="008836E4" w:rsidRDefault="000D4F98" w:rsidP="00711929">
            <w:pPr>
              <w:pStyle w:val="NCDTableText"/>
              <w:spacing w:before="60" w:after="60"/>
            </w:pPr>
          </w:p>
        </w:tc>
      </w:tr>
      <w:tr w:rsidR="000D4F98" w:rsidRPr="008836E4" w14:paraId="1616BD81" w14:textId="77777777" w:rsidTr="00C44A3D">
        <w:trPr>
          <w:trHeight w:val="1358"/>
          <w:jc w:val="center"/>
        </w:trPr>
        <w:tc>
          <w:tcPr>
            <w:tcW w:w="2034" w:type="dxa"/>
            <w:noWrap/>
            <w:hideMark/>
          </w:tcPr>
          <w:p w14:paraId="0928BD75" w14:textId="77777777" w:rsidR="000D4F98" w:rsidRPr="008836E4" w:rsidRDefault="000D4F98" w:rsidP="00711929">
            <w:pPr>
              <w:pStyle w:val="NCDTableText"/>
              <w:spacing w:before="60" w:after="60"/>
            </w:pPr>
            <w:r w:rsidRPr="008836E4">
              <w:t>Q92.0</w:t>
            </w:r>
            <w:r>
              <w:t xml:space="preserve">, </w:t>
            </w:r>
            <w:r w:rsidRPr="008836E4">
              <w:t>Q92.1</w:t>
            </w:r>
            <w:r>
              <w:t xml:space="preserve">, </w:t>
            </w:r>
            <w:r w:rsidRPr="008836E4">
              <w:t>Q92.2</w:t>
            </w:r>
            <w:r>
              <w:t xml:space="preserve">, </w:t>
            </w:r>
            <w:r w:rsidRPr="008836E4">
              <w:t>Q92.5</w:t>
            </w:r>
            <w:r>
              <w:t xml:space="preserve">, </w:t>
            </w:r>
            <w:r w:rsidRPr="008836E4">
              <w:t>Q92.7</w:t>
            </w:r>
            <w:r>
              <w:t xml:space="preserve">, </w:t>
            </w:r>
            <w:r w:rsidRPr="008836E4">
              <w:t>Q92.8</w:t>
            </w:r>
            <w:r>
              <w:t xml:space="preserve">, </w:t>
            </w:r>
            <w:r w:rsidRPr="008836E4">
              <w:lastRenderedPageBreak/>
              <w:t>Q92.9</w:t>
            </w:r>
          </w:p>
        </w:tc>
        <w:tc>
          <w:tcPr>
            <w:tcW w:w="7254" w:type="dxa"/>
            <w:noWrap/>
            <w:hideMark/>
          </w:tcPr>
          <w:p w14:paraId="7AF8D850" w14:textId="77777777" w:rsidR="000D4F98" w:rsidRPr="00537483" w:rsidRDefault="000D4F98" w:rsidP="00711929">
            <w:pPr>
              <w:pStyle w:val="NCDTableText"/>
              <w:spacing w:before="60" w:after="60"/>
            </w:pPr>
            <w:r w:rsidRPr="008836E4">
              <w:lastRenderedPageBreak/>
              <w:t>Trisomy</w:t>
            </w:r>
          </w:p>
          <w:p w14:paraId="378F78B6" w14:textId="77777777" w:rsidR="000D4F98" w:rsidRPr="008836E4" w:rsidRDefault="000D4F98" w:rsidP="00711929">
            <w:pPr>
              <w:pStyle w:val="NCDTableText"/>
              <w:spacing w:before="60" w:after="60"/>
            </w:pPr>
          </w:p>
        </w:tc>
      </w:tr>
      <w:tr w:rsidR="000D4F98" w:rsidRPr="008836E4" w14:paraId="13546A65" w14:textId="77777777" w:rsidTr="00C44A3D">
        <w:trPr>
          <w:trHeight w:val="264"/>
          <w:jc w:val="center"/>
        </w:trPr>
        <w:tc>
          <w:tcPr>
            <w:tcW w:w="2034" w:type="dxa"/>
            <w:noWrap/>
            <w:hideMark/>
          </w:tcPr>
          <w:p w14:paraId="0170BA1C" w14:textId="77777777" w:rsidR="000D4F98" w:rsidRPr="008836E4" w:rsidRDefault="000D4F98" w:rsidP="00711929">
            <w:pPr>
              <w:pStyle w:val="NCDTableText"/>
              <w:spacing w:before="60" w:after="60"/>
            </w:pPr>
            <w:r w:rsidRPr="008836E4">
              <w:lastRenderedPageBreak/>
              <w:t>Q92.61</w:t>
            </w:r>
          </w:p>
        </w:tc>
        <w:tc>
          <w:tcPr>
            <w:tcW w:w="7254" w:type="dxa"/>
            <w:noWrap/>
            <w:hideMark/>
          </w:tcPr>
          <w:p w14:paraId="5CA07925" w14:textId="77777777" w:rsidR="000D4F98" w:rsidRPr="008836E4" w:rsidRDefault="000D4F98" w:rsidP="00711929">
            <w:pPr>
              <w:pStyle w:val="NCDTableText"/>
              <w:spacing w:before="60" w:after="60"/>
            </w:pPr>
            <w:r w:rsidRPr="008836E4">
              <w:t>Marker chromosomes in normal individual</w:t>
            </w:r>
          </w:p>
        </w:tc>
      </w:tr>
      <w:tr w:rsidR="000D4F98" w:rsidRPr="008836E4" w14:paraId="13DFE3E0" w14:textId="77777777" w:rsidTr="00C44A3D">
        <w:trPr>
          <w:trHeight w:val="264"/>
          <w:jc w:val="center"/>
        </w:trPr>
        <w:tc>
          <w:tcPr>
            <w:tcW w:w="2034" w:type="dxa"/>
            <w:noWrap/>
            <w:hideMark/>
          </w:tcPr>
          <w:p w14:paraId="28825D7D" w14:textId="77777777" w:rsidR="000D4F98" w:rsidRPr="008836E4" w:rsidRDefault="000D4F98" w:rsidP="00711929">
            <w:pPr>
              <w:pStyle w:val="NCDTableText"/>
              <w:spacing w:before="60" w:after="60"/>
            </w:pPr>
            <w:r w:rsidRPr="008836E4">
              <w:t>Q92.62</w:t>
            </w:r>
          </w:p>
        </w:tc>
        <w:tc>
          <w:tcPr>
            <w:tcW w:w="7254" w:type="dxa"/>
            <w:noWrap/>
            <w:hideMark/>
          </w:tcPr>
          <w:p w14:paraId="2C49521D" w14:textId="77777777" w:rsidR="000D4F98" w:rsidRPr="008836E4" w:rsidRDefault="000D4F98" w:rsidP="00711929">
            <w:pPr>
              <w:pStyle w:val="NCDTableText"/>
              <w:spacing w:before="60" w:after="60"/>
            </w:pPr>
            <w:r w:rsidRPr="008836E4">
              <w:t>Marker chromosomes in abnormal individual</w:t>
            </w:r>
          </w:p>
        </w:tc>
      </w:tr>
      <w:tr w:rsidR="000D4F98" w:rsidRPr="008836E4" w14:paraId="3D48DF69" w14:textId="77777777" w:rsidTr="00C44A3D">
        <w:trPr>
          <w:trHeight w:val="944"/>
          <w:jc w:val="center"/>
        </w:trPr>
        <w:tc>
          <w:tcPr>
            <w:tcW w:w="2034" w:type="dxa"/>
            <w:noWrap/>
            <w:hideMark/>
          </w:tcPr>
          <w:p w14:paraId="0F35CAD7" w14:textId="77777777" w:rsidR="000D4F98" w:rsidRPr="00537483" w:rsidRDefault="000D4F98" w:rsidP="00711929">
            <w:pPr>
              <w:pStyle w:val="NCDTableText"/>
              <w:spacing w:before="60" w:after="60"/>
              <w:rPr>
                <w:lang w:val="fr-FR"/>
              </w:rPr>
            </w:pPr>
            <w:r w:rsidRPr="00CE4735">
              <w:rPr>
                <w:lang w:val="fr-FR"/>
              </w:rPr>
              <w:t>Q93.0, Q93.1, Q93.2, Q93.3, Q93.4, Q93.5, Q93.51, Q93.8, Q93.1, Q93.2,</w:t>
            </w:r>
          </w:p>
          <w:p w14:paraId="1DB35201" w14:textId="77777777" w:rsidR="000D4F98" w:rsidRPr="008836E4" w:rsidRDefault="000D4F98" w:rsidP="00711929">
            <w:pPr>
              <w:pStyle w:val="NCDTableText"/>
              <w:spacing w:before="60" w:after="60"/>
            </w:pPr>
            <w:r w:rsidRPr="008836E4">
              <w:t>Q93.529</w:t>
            </w:r>
            <w:r>
              <w:t xml:space="preserve">, </w:t>
            </w:r>
            <w:r w:rsidRPr="008836E4">
              <w:t>Q93.6</w:t>
            </w:r>
            <w:r>
              <w:t xml:space="preserve">, </w:t>
            </w:r>
            <w:r w:rsidRPr="008836E4">
              <w:t>Q93.7</w:t>
            </w:r>
            <w:r>
              <w:t xml:space="preserve">, </w:t>
            </w:r>
            <w:r w:rsidRPr="008836E4">
              <w:t>Q93.8</w:t>
            </w:r>
            <w:r>
              <w:t xml:space="preserve">, </w:t>
            </w:r>
            <w:r w:rsidRPr="008836E4">
              <w:t>Q93.81</w:t>
            </w:r>
            <w:r>
              <w:t xml:space="preserve">, </w:t>
            </w:r>
            <w:r w:rsidRPr="008836E4">
              <w:t>Q93.88</w:t>
            </w:r>
            <w:r>
              <w:t xml:space="preserve">, </w:t>
            </w:r>
            <w:r w:rsidRPr="008836E4">
              <w:t>Q93.89</w:t>
            </w:r>
            <w:r>
              <w:t xml:space="preserve">, </w:t>
            </w:r>
            <w:r w:rsidRPr="008836E4">
              <w:t>Q93.9</w:t>
            </w:r>
          </w:p>
        </w:tc>
        <w:tc>
          <w:tcPr>
            <w:tcW w:w="7254" w:type="dxa"/>
            <w:noWrap/>
            <w:hideMark/>
          </w:tcPr>
          <w:p w14:paraId="035DB72D" w14:textId="77777777" w:rsidR="000D4F98" w:rsidRPr="008836E4" w:rsidRDefault="000D4F98" w:rsidP="00711929">
            <w:pPr>
              <w:pStyle w:val="NCDTableText"/>
              <w:spacing w:before="60" w:after="60"/>
            </w:pPr>
            <w:r>
              <w:t>Monosomies and dele</w:t>
            </w:r>
            <w:r w:rsidRPr="008836E4">
              <w:t>tions from autosomes, not elsewhere classified</w:t>
            </w:r>
          </w:p>
        </w:tc>
      </w:tr>
      <w:tr w:rsidR="000D4F98" w:rsidRPr="008836E4" w14:paraId="492B9F6D" w14:textId="77777777" w:rsidTr="00C44A3D">
        <w:trPr>
          <w:trHeight w:val="264"/>
          <w:jc w:val="center"/>
        </w:trPr>
        <w:tc>
          <w:tcPr>
            <w:tcW w:w="2034" w:type="dxa"/>
            <w:noWrap/>
            <w:hideMark/>
          </w:tcPr>
          <w:p w14:paraId="2FAFA37A" w14:textId="77777777" w:rsidR="000D4F98" w:rsidRPr="008836E4" w:rsidRDefault="000D4F98" w:rsidP="00711929">
            <w:pPr>
              <w:pStyle w:val="NCDTableText"/>
              <w:spacing w:before="60" w:after="60"/>
            </w:pPr>
            <w:r w:rsidRPr="008836E4">
              <w:t>Q95.2</w:t>
            </w:r>
          </w:p>
        </w:tc>
        <w:tc>
          <w:tcPr>
            <w:tcW w:w="7254" w:type="dxa"/>
            <w:noWrap/>
            <w:hideMark/>
          </w:tcPr>
          <w:p w14:paraId="001F3B1E" w14:textId="77777777" w:rsidR="000D4F98" w:rsidRPr="008836E4" w:rsidRDefault="000D4F98" w:rsidP="00711929">
            <w:pPr>
              <w:pStyle w:val="NCDTableText"/>
              <w:spacing w:before="60" w:after="60"/>
            </w:pPr>
            <w:r>
              <w:t>B</w:t>
            </w:r>
            <w:r w:rsidRPr="008836E4">
              <w:t>alanced autosomal rearrangement in abnormal individual</w:t>
            </w:r>
          </w:p>
        </w:tc>
      </w:tr>
      <w:tr w:rsidR="000D4F98" w:rsidRPr="008836E4" w14:paraId="08A22460" w14:textId="77777777" w:rsidTr="00C44A3D">
        <w:trPr>
          <w:trHeight w:val="350"/>
          <w:jc w:val="center"/>
        </w:trPr>
        <w:tc>
          <w:tcPr>
            <w:tcW w:w="2034" w:type="dxa"/>
            <w:noWrap/>
            <w:hideMark/>
          </w:tcPr>
          <w:p w14:paraId="298FF4EA" w14:textId="77777777" w:rsidR="000D4F98" w:rsidRPr="008836E4" w:rsidRDefault="000D4F98" w:rsidP="00711929">
            <w:pPr>
              <w:pStyle w:val="NCDTableText"/>
              <w:spacing w:before="60" w:after="60"/>
            </w:pPr>
            <w:r w:rsidRPr="008836E4">
              <w:t>Q95.3</w:t>
            </w:r>
          </w:p>
        </w:tc>
        <w:tc>
          <w:tcPr>
            <w:tcW w:w="7254" w:type="dxa"/>
            <w:noWrap/>
            <w:hideMark/>
          </w:tcPr>
          <w:p w14:paraId="12B36E7B" w14:textId="77777777" w:rsidR="000D4F98" w:rsidRPr="008836E4" w:rsidRDefault="000D4F98" w:rsidP="00711929">
            <w:pPr>
              <w:pStyle w:val="NCDTableText"/>
              <w:spacing w:before="60" w:after="60"/>
            </w:pPr>
            <w:r>
              <w:t>B</w:t>
            </w:r>
            <w:r w:rsidRPr="008836E4">
              <w:t>alanced sex autosomal rearrangement in abnormal individual</w:t>
            </w:r>
          </w:p>
        </w:tc>
      </w:tr>
      <w:tr w:rsidR="000D4F98" w:rsidRPr="008836E4" w14:paraId="1399CD74" w14:textId="77777777" w:rsidTr="00C44A3D">
        <w:trPr>
          <w:trHeight w:val="264"/>
          <w:jc w:val="center"/>
        </w:trPr>
        <w:tc>
          <w:tcPr>
            <w:tcW w:w="2034" w:type="dxa"/>
            <w:noWrap/>
            <w:hideMark/>
          </w:tcPr>
          <w:p w14:paraId="4F5A397C" w14:textId="77777777" w:rsidR="000D4F98" w:rsidRPr="008836E4" w:rsidRDefault="000D4F98" w:rsidP="00711929">
            <w:pPr>
              <w:pStyle w:val="NCDTableText"/>
              <w:spacing w:before="60" w:after="60"/>
            </w:pPr>
            <w:r w:rsidRPr="008836E4">
              <w:t>Q99.2</w:t>
            </w:r>
          </w:p>
        </w:tc>
        <w:tc>
          <w:tcPr>
            <w:tcW w:w="7254" w:type="dxa"/>
            <w:noWrap/>
            <w:hideMark/>
          </w:tcPr>
          <w:p w14:paraId="535C363E" w14:textId="77777777" w:rsidR="000D4F98" w:rsidRPr="008836E4" w:rsidRDefault="000D4F98" w:rsidP="00711929">
            <w:pPr>
              <w:pStyle w:val="NCDTableText"/>
              <w:spacing w:before="60" w:after="60"/>
            </w:pPr>
            <w:r w:rsidRPr="008836E4">
              <w:t>Fragile X</w:t>
            </w:r>
          </w:p>
        </w:tc>
      </w:tr>
    </w:tbl>
    <w:p w14:paraId="1A0870E6" w14:textId="77777777" w:rsidR="00314876" w:rsidRPr="00314876" w:rsidRDefault="00314876" w:rsidP="00314876">
      <w:bookmarkStart w:id="236" w:name="_Toc83650953"/>
    </w:p>
    <w:p w14:paraId="3B889E0A" w14:textId="77777777" w:rsidR="00314876" w:rsidRPr="00314876" w:rsidRDefault="00314876" w:rsidP="00314876">
      <w:r w:rsidRPr="00314876">
        <w:br w:type="page"/>
      </w:r>
    </w:p>
    <w:p w14:paraId="78298A52" w14:textId="50DFFA0D" w:rsidR="000D4F98" w:rsidRPr="00537483" w:rsidRDefault="000D4F98" w:rsidP="00314876">
      <w:pPr>
        <w:pStyle w:val="Heading1"/>
        <w:rPr>
          <w:lang w:val="fr-FR"/>
        </w:rPr>
      </w:pPr>
      <w:bookmarkStart w:id="237" w:name="_Toc95237063"/>
      <w:r w:rsidRPr="000E69C1">
        <w:rPr>
          <w:lang w:val="fr-FR"/>
        </w:rPr>
        <w:lastRenderedPageBreak/>
        <w:t xml:space="preserve">Appendix E: Details </w:t>
      </w:r>
      <w:r w:rsidRPr="00CF46A9">
        <w:t>A</w:t>
      </w:r>
      <w:r w:rsidRPr="000E69C1">
        <w:rPr>
          <w:lang w:val="fr-FR"/>
        </w:rPr>
        <w:t>bout T-MSIS Sample</w:t>
      </w:r>
      <w:bookmarkEnd w:id="236"/>
      <w:bookmarkEnd w:id="237"/>
    </w:p>
    <w:p w14:paraId="6CAC524A" w14:textId="77777777" w:rsidR="000D4F98" w:rsidRPr="00537483" w:rsidRDefault="000D4F98" w:rsidP="00314876">
      <w:pPr>
        <w:pStyle w:val="NCDBodyText"/>
        <w:spacing w:line="240" w:lineRule="auto"/>
      </w:pPr>
      <w:r>
        <w:t xml:space="preserve">The table displays the number of people in the 2018 </w:t>
      </w:r>
      <w:r w:rsidRPr="003573CE">
        <w:rPr>
          <w:rFonts w:cstheme="minorHAnsi"/>
        </w:rPr>
        <w:t xml:space="preserve">Transformed Medicaid Statistical Information System </w:t>
      </w:r>
      <w:r>
        <w:rPr>
          <w:rFonts w:cstheme="minorHAnsi"/>
        </w:rPr>
        <w:t>(</w:t>
      </w:r>
      <w:r>
        <w:t xml:space="preserve">T-MSIS) population and for the T-MSIS sample analyzed for this study. Column A displays the number of adults with </w:t>
      </w:r>
      <w:r w:rsidRPr="003573CE">
        <w:rPr>
          <w:rFonts w:cstheme="minorHAnsi"/>
        </w:rPr>
        <w:t xml:space="preserve">intellectual and developmental disabilities </w:t>
      </w:r>
      <w:r>
        <w:rPr>
          <w:rFonts w:cstheme="minorHAnsi"/>
        </w:rPr>
        <w:t>(</w:t>
      </w:r>
      <w:r>
        <w:t xml:space="preserve">I/DD) in the sample analyzed for this study. Adults with I/DD were randomly selected within each state from the population of adults with I/DD identified in T-MSIS. Column B displays the number of adults with I/DD in the 2018 T-MSIS population. Column C is the ratio of column A to column B, converted into a percentage. Column C shows the percentage of adults with I/DD in each states’ T-MSIS population who were randomly selected for the T-MSIS sample for this study. Column D shows the percentage of all adults, by state, in the T-MSIS population who were identified as having an I/DD in 2018. </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72"/>
        <w:gridCol w:w="1872"/>
        <w:gridCol w:w="1872"/>
        <w:gridCol w:w="1872"/>
        <w:gridCol w:w="1872"/>
      </w:tblGrid>
      <w:tr w:rsidR="000D4F98" w14:paraId="5CCDFD99" w14:textId="77777777" w:rsidTr="00D76910">
        <w:trPr>
          <w:trHeight w:val="512"/>
          <w:tblHeader/>
          <w:jc w:val="center"/>
        </w:trPr>
        <w:tc>
          <w:tcPr>
            <w:tcW w:w="1930" w:type="dxa"/>
            <w:vAlign w:val="bottom"/>
          </w:tcPr>
          <w:p w14:paraId="3D19FCE2" w14:textId="5BBC0728" w:rsidR="000D4F98" w:rsidRPr="005C518D" w:rsidRDefault="000D4F98" w:rsidP="00D76910">
            <w:pPr>
              <w:pStyle w:val="NCDTableHeader"/>
              <w:spacing w:before="60" w:after="60"/>
            </w:pPr>
            <w:r w:rsidRPr="00537483">
              <w:t>State</w:t>
            </w:r>
          </w:p>
        </w:tc>
        <w:tc>
          <w:tcPr>
            <w:tcW w:w="1930" w:type="dxa"/>
            <w:vAlign w:val="bottom"/>
          </w:tcPr>
          <w:p w14:paraId="290731E2" w14:textId="77777777" w:rsidR="000D4F98" w:rsidRPr="005C518D" w:rsidRDefault="000D4F98" w:rsidP="00D76910">
            <w:pPr>
              <w:pStyle w:val="NCDTableHeader"/>
              <w:spacing w:before="60" w:after="60"/>
              <w:jc w:val="center"/>
            </w:pPr>
            <w:r>
              <w:t xml:space="preserve">A. </w:t>
            </w:r>
            <w:r w:rsidRPr="005C518D">
              <w:t>Adults with I/DD in sample</w:t>
            </w:r>
          </w:p>
        </w:tc>
        <w:tc>
          <w:tcPr>
            <w:tcW w:w="1930" w:type="dxa"/>
            <w:vAlign w:val="bottom"/>
          </w:tcPr>
          <w:p w14:paraId="14118565" w14:textId="77777777" w:rsidR="000D4F98" w:rsidRPr="005C518D" w:rsidRDefault="000D4F98" w:rsidP="00D76910">
            <w:pPr>
              <w:pStyle w:val="NCDTableHeader"/>
              <w:spacing w:before="60" w:after="60"/>
              <w:jc w:val="center"/>
            </w:pPr>
            <w:r>
              <w:t xml:space="preserve">B. </w:t>
            </w:r>
            <w:r w:rsidRPr="005C518D">
              <w:t>Adults with I/DD in population</w:t>
            </w:r>
          </w:p>
        </w:tc>
        <w:tc>
          <w:tcPr>
            <w:tcW w:w="1930" w:type="dxa"/>
            <w:vAlign w:val="bottom"/>
          </w:tcPr>
          <w:p w14:paraId="7F372271" w14:textId="77777777" w:rsidR="000D4F98" w:rsidRPr="005C518D" w:rsidRDefault="000D4F98" w:rsidP="00D76910">
            <w:pPr>
              <w:pStyle w:val="NCDTableHeader"/>
              <w:spacing w:before="60" w:after="60"/>
              <w:jc w:val="center"/>
            </w:pPr>
            <w:r>
              <w:t xml:space="preserve">C. </w:t>
            </w:r>
            <w:r w:rsidRPr="005C518D">
              <w:t>Percent of sample in population</w:t>
            </w:r>
          </w:p>
        </w:tc>
        <w:tc>
          <w:tcPr>
            <w:tcW w:w="1930" w:type="dxa"/>
            <w:vAlign w:val="bottom"/>
          </w:tcPr>
          <w:p w14:paraId="01315672" w14:textId="77777777" w:rsidR="000D4F98" w:rsidRPr="005C518D" w:rsidRDefault="000D4F98" w:rsidP="00D76910">
            <w:pPr>
              <w:pStyle w:val="NCDTableHeader"/>
              <w:spacing w:before="60" w:after="60"/>
              <w:jc w:val="center"/>
            </w:pPr>
            <w:r>
              <w:t xml:space="preserve">D. </w:t>
            </w:r>
            <w:r w:rsidRPr="005C518D">
              <w:t>Percent of Medicaid recipients in each state who had an I/DD</w:t>
            </w:r>
          </w:p>
        </w:tc>
      </w:tr>
      <w:tr w:rsidR="000D4F98" w14:paraId="2C5902B5" w14:textId="77777777" w:rsidTr="00D76910">
        <w:trPr>
          <w:trHeight w:val="151"/>
          <w:jc w:val="center"/>
        </w:trPr>
        <w:tc>
          <w:tcPr>
            <w:tcW w:w="1930" w:type="dxa"/>
          </w:tcPr>
          <w:p w14:paraId="6586BA89" w14:textId="305B6D4B" w:rsidR="000D4F98" w:rsidRPr="005C518D" w:rsidRDefault="00401D57" w:rsidP="00D76910">
            <w:pPr>
              <w:pStyle w:val="NCDTableText"/>
              <w:spacing w:before="60" w:after="60"/>
            </w:pPr>
            <w:r w:rsidRPr="00401D57">
              <w:rPr>
                <w:b/>
              </w:rPr>
              <w:t xml:space="preserve">Alabama </w:t>
            </w:r>
          </w:p>
        </w:tc>
        <w:tc>
          <w:tcPr>
            <w:tcW w:w="1930" w:type="dxa"/>
            <w:vAlign w:val="center"/>
          </w:tcPr>
          <w:p w14:paraId="7CAF0AE8" w14:textId="77777777" w:rsidR="000D4F98" w:rsidRPr="005C518D" w:rsidRDefault="000D4F98" w:rsidP="00D76910">
            <w:pPr>
              <w:pStyle w:val="NCDTableText"/>
              <w:spacing w:before="60" w:after="60"/>
            </w:pPr>
            <w:r w:rsidRPr="005C518D">
              <w:t>13</w:t>
            </w:r>
            <w:r>
              <w:t>,</w:t>
            </w:r>
            <w:r w:rsidRPr="005C518D">
              <w:t>622</w:t>
            </w:r>
          </w:p>
        </w:tc>
        <w:tc>
          <w:tcPr>
            <w:tcW w:w="1930" w:type="dxa"/>
            <w:vAlign w:val="center"/>
          </w:tcPr>
          <w:p w14:paraId="6242711F" w14:textId="77777777" w:rsidR="000D4F98" w:rsidRPr="005C518D" w:rsidRDefault="000D4F98" w:rsidP="00D76910">
            <w:pPr>
              <w:pStyle w:val="NCDTableText"/>
              <w:spacing w:before="60" w:after="60"/>
            </w:pPr>
            <w:r w:rsidRPr="005C518D">
              <w:t>13</w:t>
            </w:r>
            <w:r>
              <w:t>,</w:t>
            </w:r>
            <w:r w:rsidRPr="005C518D">
              <w:t>623</w:t>
            </w:r>
          </w:p>
        </w:tc>
        <w:tc>
          <w:tcPr>
            <w:tcW w:w="1930" w:type="dxa"/>
            <w:vAlign w:val="center"/>
          </w:tcPr>
          <w:p w14:paraId="29FAA26E" w14:textId="77777777" w:rsidR="000D4F98" w:rsidRPr="005C518D" w:rsidRDefault="000D4F98" w:rsidP="00D76910">
            <w:pPr>
              <w:pStyle w:val="NCDTableText"/>
              <w:spacing w:before="60" w:after="60"/>
            </w:pPr>
            <w:r w:rsidRPr="005C518D">
              <w:t>100</w:t>
            </w:r>
          </w:p>
        </w:tc>
        <w:tc>
          <w:tcPr>
            <w:tcW w:w="1930" w:type="dxa"/>
            <w:vAlign w:val="center"/>
          </w:tcPr>
          <w:p w14:paraId="0F362C95" w14:textId="77777777" w:rsidR="000D4F98" w:rsidRPr="005C518D" w:rsidRDefault="000D4F98" w:rsidP="00D76910">
            <w:pPr>
              <w:pStyle w:val="NCDTableText"/>
              <w:spacing w:before="60" w:after="60"/>
            </w:pPr>
            <w:r w:rsidRPr="005C518D">
              <w:t>3.64</w:t>
            </w:r>
          </w:p>
        </w:tc>
      </w:tr>
      <w:tr w:rsidR="000D4F98" w14:paraId="63930A9F" w14:textId="77777777" w:rsidTr="00D76910">
        <w:trPr>
          <w:trHeight w:val="151"/>
          <w:jc w:val="center"/>
        </w:trPr>
        <w:tc>
          <w:tcPr>
            <w:tcW w:w="1930" w:type="dxa"/>
          </w:tcPr>
          <w:p w14:paraId="6DC9A488" w14:textId="706229BE" w:rsidR="000D4F98" w:rsidRPr="005C518D" w:rsidRDefault="00401D57" w:rsidP="00D76910">
            <w:pPr>
              <w:pStyle w:val="NCDTableText"/>
              <w:spacing w:before="60" w:after="60"/>
            </w:pPr>
            <w:r w:rsidRPr="00401D57">
              <w:rPr>
                <w:b/>
              </w:rPr>
              <w:t xml:space="preserve">Alaska </w:t>
            </w:r>
          </w:p>
        </w:tc>
        <w:tc>
          <w:tcPr>
            <w:tcW w:w="1930" w:type="dxa"/>
            <w:vAlign w:val="center"/>
          </w:tcPr>
          <w:p w14:paraId="6BB9D9E2" w14:textId="77777777" w:rsidR="000D4F98" w:rsidRPr="005C518D" w:rsidRDefault="000D4F98" w:rsidP="00D76910">
            <w:pPr>
              <w:pStyle w:val="NCDTableText"/>
              <w:spacing w:before="60" w:after="60"/>
            </w:pPr>
            <w:r w:rsidRPr="005C518D">
              <w:t>2</w:t>
            </w:r>
            <w:r>
              <w:t>,</w:t>
            </w:r>
            <w:r w:rsidRPr="005C518D">
              <w:t>558</w:t>
            </w:r>
          </w:p>
        </w:tc>
        <w:tc>
          <w:tcPr>
            <w:tcW w:w="1930" w:type="dxa"/>
            <w:vAlign w:val="center"/>
          </w:tcPr>
          <w:p w14:paraId="53E8A345" w14:textId="77777777" w:rsidR="000D4F98" w:rsidRPr="005C518D" w:rsidRDefault="000D4F98" w:rsidP="00D76910">
            <w:pPr>
              <w:pStyle w:val="NCDTableText"/>
              <w:spacing w:before="60" w:after="60"/>
            </w:pPr>
            <w:r w:rsidRPr="005C518D">
              <w:t>2</w:t>
            </w:r>
            <w:r>
              <w:t>,</w:t>
            </w:r>
            <w:r w:rsidRPr="005C518D">
              <w:t>558</w:t>
            </w:r>
          </w:p>
        </w:tc>
        <w:tc>
          <w:tcPr>
            <w:tcW w:w="1930" w:type="dxa"/>
            <w:vAlign w:val="center"/>
          </w:tcPr>
          <w:p w14:paraId="1ECC64C3" w14:textId="77777777" w:rsidR="000D4F98" w:rsidRPr="005C518D" w:rsidRDefault="000D4F98" w:rsidP="00D76910">
            <w:pPr>
              <w:pStyle w:val="NCDTableText"/>
              <w:spacing w:before="60" w:after="60"/>
            </w:pPr>
            <w:r w:rsidRPr="005C518D">
              <w:t>100</w:t>
            </w:r>
          </w:p>
        </w:tc>
        <w:tc>
          <w:tcPr>
            <w:tcW w:w="1930" w:type="dxa"/>
            <w:vAlign w:val="center"/>
          </w:tcPr>
          <w:p w14:paraId="22424663" w14:textId="77777777" w:rsidR="000D4F98" w:rsidRPr="005C518D" w:rsidRDefault="000D4F98" w:rsidP="00D76910">
            <w:pPr>
              <w:pStyle w:val="NCDTableText"/>
              <w:spacing w:before="60" w:after="60"/>
            </w:pPr>
            <w:r w:rsidRPr="005C518D">
              <w:t>2.41</w:t>
            </w:r>
          </w:p>
        </w:tc>
      </w:tr>
      <w:tr w:rsidR="000D4F98" w14:paraId="7CAE29D1" w14:textId="77777777" w:rsidTr="00D76910">
        <w:trPr>
          <w:trHeight w:val="151"/>
          <w:jc w:val="center"/>
        </w:trPr>
        <w:tc>
          <w:tcPr>
            <w:tcW w:w="1930" w:type="dxa"/>
          </w:tcPr>
          <w:p w14:paraId="1B0B5A9E" w14:textId="3C9859A3" w:rsidR="000D4F98" w:rsidRPr="005C518D" w:rsidRDefault="00401D57" w:rsidP="00D76910">
            <w:pPr>
              <w:pStyle w:val="NCDTableText"/>
              <w:spacing w:before="60" w:after="60"/>
            </w:pPr>
            <w:r w:rsidRPr="00401D57">
              <w:rPr>
                <w:b/>
              </w:rPr>
              <w:t xml:space="preserve">Arizona </w:t>
            </w:r>
          </w:p>
        </w:tc>
        <w:tc>
          <w:tcPr>
            <w:tcW w:w="1930" w:type="dxa"/>
            <w:vAlign w:val="center"/>
          </w:tcPr>
          <w:p w14:paraId="1DA0259C" w14:textId="77777777" w:rsidR="000D4F98" w:rsidRPr="005C518D" w:rsidRDefault="000D4F98" w:rsidP="00D76910">
            <w:pPr>
              <w:pStyle w:val="NCDTableText"/>
              <w:spacing w:before="60" w:after="60"/>
            </w:pPr>
            <w:r w:rsidRPr="005C518D">
              <w:t>16</w:t>
            </w:r>
            <w:r>
              <w:t>,</w:t>
            </w:r>
            <w:r w:rsidRPr="005C518D">
              <w:t>915</w:t>
            </w:r>
          </w:p>
        </w:tc>
        <w:tc>
          <w:tcPr>
            <w:tcW w:w="1930" w:type="dxa"/>
            <w:vAlign w:val="center"/>
          </w:tcPr>
          <w:p w14:paraId="23CF8CB8" w14:textId="77777777" w:rsidR="000D4F98" w:rsidRPr="005C518D" w:rsidRDefault="000D4F98" w:rsidP="00D76910">
            <w:pPr>
              <w:pStyle w:val="NCDTableText"/>
              <w:spacing w:before="60" w:after="60"/>
            </w:pPr>
            <w:r w:rsidRPr="005C518D">
              <w:t>21</w:t>
            </w:r>
            <w:r>
              <w:t>,</w:t>
            </w:r>
            <w:r w:rsidRPr="005C518D">
              <w:t>145</w:t>
            </w:r>
          </w:p>
        </w:tc>
        <w:tc>
          <w:tcPr>
            <w:tcW w:w="1930" w:type="dxa"/>
            <w:vAlign w:val="center"/>
          </w:tcPr>
          <w:p w14:paraId="6C56276A" w14:textId="77777777" w:rsidR="000D4F98" w:rsidRPr="005C518D" w:rsidRDefault="000D4F98" w:rsidP="00D76910">
            <w:pPr>
              <w:pStyle w:val="NCDTableText"/>
              <w:spacing w:before="60" w:after="60"/>
            </w:pPr>
            <w:r w:rsidRPr="005C518D">
              <w:t>80</w:t>
            </w:r>
          </w:p>
        </w:tc>
        <w:tc>
          <w:tcPr>
            <w:tcW w:w="1930" w:type="dxa"/>
            <w:vAlign w:val="center"/>
          </w:tcPr>
          <w:p w14:paraId="4032ECAB" w14:textId="77777777" w:rsidR="000D4F98" w:rsidRPr="005C518D" w:rsidRDefault="000D4F98" w:rsidP="00D76910">
            <w:pPr>
              <w:pStyle w:val="NCDTableText"/>
              <w:spacing w:before="60" w:after="60"/>
            </w:pPr>
            <w:r w:rsidRPr="005C518D">
              <w:t>1.78</w:t>
            </w:r>
          </w:p>
        </w:tc>
      </w:tr>
      <w:tr w:rsidR="000D4F98" w14:paraId="125A9440" w14:textId="77777777" w:rsidTr="00D76910">
        <w:trPr>
          <w:trHeight w:val="151"/>
          <w:jc w:val="center"/>
        </w:trPr>
        <w:tc>
          <w:tcPr>
            <w:tcW w:w="1930" w:type="dxa"/>
          </w:tcPr>
          <w:p w14:paraId="408744FD" w14:textId="2B6D3989" w:rsidR="000D4F98" w:rsidRPr="005C518D" w:rsidRDefault="00401D57" w:rsidP="00D76910">
            <w:pPr>
              <w:pStyle w:val="NCDTableText"/>
              <w:spacing w:before="60" w:after="60"/>
            </w:pPr>
            <w:r w:rsidRPr="00401D57">
              <w:rPr>
                <w:b/>
              </w:rPr>
              <w:t xml:space="preserve">Arkansas </w:t>
            </w:r>
          </w:p>
        </w:tc>
        <w:tc>
          <w:tcPr>
            <w:tcW w:w="1930" w:type="dxa"/>
            <w:vAlign w:val="center"/>
          </w:tcPr>
          <w:p w14:paraId="206E86BD" w14:textId="77777777" w:rsidR="000D4F98" w:rsidRPr="005C518D" w:rsidRDefault="000D4F98" w:rsidP="00D76910">
            <w:pPr>
              <w:pStyle w:val="NCDTableText"/>
              <w:spacing w:before="60" w:after="60"/>
            </w:pPr>
            <w:r w:rsidRPr="005C518D">
              <w:t>12</w:t>
            </w:r>
            <w:r>
              <w:t>,</w:t>
            </w:r>
            <w:r w:rsidRPr="005C518D">
              <w:t>562</w:t>
            </w:r>
          </w:p>
        </w:tc>
        <w:tc>
          <w:tcPr>
            <w:tcW w:w="1930" w:type="dxa"/>
            <w:vAlign w:val="center"/>
          </w:tcPr>
          <w:p w14:paraId="4B33B88E" w14:textId="77777777" w:rsidR="000D4F98" w:rsidRPr="005C518D" w:rsidRDefault="000D4F98" w:rsidP="00D76910">
            <w:pPr>
              <w:pStyle w:val="NCDTableText"/>
              <w:spacing w:before="60" w:after="60"/>
            </w:pPr>
            <w:r w:rsidRPr="005C518D">
              <w:t>12</w:t>
            </w:r>
            <w:r>
              <w:t>,</w:t>
            </w:r>
            <w:r w:rsidRPr="005C518D">
              <w:t>564</w:t>
            </w:r>
          </w:p>
        </w:tc>
        <w:tc>
          <w:tcPr>
            <w:tcW w:w="1930" w:type="dxa"/>
            <w:vAlign w:val="center"/>
          </w:tcPr>
          <w:p w14:paraId="1A3C0CC2" w14:textId="77777777" w:rsidR="000D4F98" w:rsidRPr="005C518D" w:rsidRDefault="000D4F98" w:rsidP="00D76910">
            <w:pPr>
              <w:pStyle w:val="NCDTableText"/>
              <w:spacing w:before="60" w:after="60"/>
            </w:pPr>
            <w:r w:rsidRPr="005C518D">
              <w:t>100</w:t>
            </w:r>
          </w:p>
        </w:tc>
        <w:tc>
          <w:tcPr>
            <w:tcW w:w="1930" w:type="dxa"/>
            <w:vAlign w:val="center"/>
          </w:tcPr>
          <w:p w14:paraId="0CC23AE8" w14:textId="77777777" w:rsidR="000D4F98" w:rsidRPr="005C518D" w:rsidRDefault="000D4F98" w:rsidP="00D76910">
            <w:pPr>
              <w:pStyle w:val="NCDTableText"/>
              <w:spacing w:before="60" w:after="60"/>
            </w:pPr>
            <w:r w:rsidRPr="005C518D">
              <w:t>2.11</w:t>
            </w:r>
          </w:p>
        </w:tc>
      </w:tr>
      <w:tr w:rsidR="000D4F98" w14:paraId="7FBB31D0" w14:textId="77777777" w:rsidTr="00D76910">
        <w:trPr>
          <w:trHeight w:val="151"/>
          <w:jc w:val="center"/>
        </w:trPr>
        <w:tc>
          <w:tcPr>
            <w:tcW w:w="1930" w:type="dxa"/>
          </w:tcPr>
          <w:p w14:paraId="37F6170B" w14:textId="7D45D174" w:rsidR="000D4F98" w:rsidRPr="005C518D" w:rsidRDefault="00401D57" w:rsidP="00D76910">
            <w:pPr>
              <w:pStyle w:val="NCDTableText"/>
              <w:spacing w:before="60" w:after="60"/>
            </w:pPr>
            <w:r w:rsidRPr="00401D57">
              <w:rPr>
                <w:b/>
              </w:rPr>
              <w:t xml:space="preserve">California </w:t>
            </w:r>
          </w:p>
        </w:tc>
        <w:tc>
          <w:tcPr>
            <w:tcW w:w="1930" w:type="dxa"/>
            <w:vAlign w:val="center"/>
          </w:tcPr>
          <w:p w14:paraId="76DED8E2" w14:textId="77777777" w:rsidR="000D4F98" w:rsidRPr="005C518D" w:rsidRDefault="000D4F98" w:rsidP="00D76910">
            <w:pPr>
              <w:pStyle w:val="NCDTableText"/>
              <w:spacing w:before="60" w:after="60"/>
            </w:pPr>
            <w:r w:rsidRPr="005C518D">
              <w:t>72</w:t>
            </w:r>
            <w:r>
              <w:t>,</w:t>
            </w:r>
            <w:r w:rsidRPr="005C518D">
              <w:t>543</w:t>
            </w:r>
          </w:p>
        </w:tc>
        <w:tc>
          <w:tcPr>
            <w:tcW w:w="1930" w:type="dxa"/>
            <w:vAlign w:val="center"/>
          </w:tcPr>
          <w:p w14:paraId="5E3358C6" w14:textId="77777777" w:rsidR="000D4F98" w:rsidRPr="005C518D" w:rsidRDefault="000D4F98" w:rsidP="00D76910">
            <w:pPr>
              <w:pStyle w:val="NCDTableText"/>
              <w:spacing w:before="60" w:after="60"/>
            </w:pPr>
            <w:r w:rsidRPr="005C518D">
              <w:t>145</w:t>
            </w:r>
            <w:r>
              <w:t>,</w:t>
            </w:r>
            <w:r w:rsidRPr="005C518D">
              <w:t>095</w:t>
            </w:r>
          </w:p>
        </w:tc>
        <w:tc>
          <w:tcPr>
            <w:tcW w:w="1930" w:type="dxa"/>
            <w:vAlign w:val="center"/>
          </w:tcPr>
          <w:p w14:paraId="72E19BBD" w14:textId="77777777" w:rsidR="000D4F98" w:rsidRPr="005C518D" w:rsidRDefault="000D4F98" w:rsidP="00D76910">
            <w:pPr>
              <w:pStyle w:val="NCDTableText"/>
              <w:spacing w:before="60" w:after="60"/>
            </w:pPr>
            <w:r>
              <w:t>50</w:t>
            </w:r>
          </w:p>
        </w:tc>
        <w:tc>
          <w:tcPr>
            <w:tcW w:w="1930" w:type="dxa"/>
            <w:vAlign w:val="center"/>
          </w:tcPr>
          <w:p w14:paraId="54208C82" w14:textId="77777777" w:rsidR="000D4F98" w:rsidRPr="005C518D" w:rsidRDefault="000D4F98" w:rsidP="00D76910">
            <w:pPr>
              <w:pStyle w:val="NCDTableText"/>
              <w:spacing w:before="60" w:after="60"/>
            </w:pPr>
            <w:r w:rsidRPr="005C518D">
              <w:t>1.57</w:t>
            </w:r>
          </w:p>
        </w:tc>
      </w:tr>
      <w:tr w:rsidR="000D4F98" w14:paraId="15A00453" w14:textId="77777777" w:rsidTr="00D76910">
        <w:trPr>
          <w:trHeight w:val="151"/>
          <w:jc w:val="center"/>
        </w:trPr>
        <w:tc>
          <w:tcPr>
            <w:tcW w:w="1930" w:type="dxa"/>
          </w:tcPr>
          <w:p w14:paraId="4B72E98E" w14:textId="7F8D2B73" w:rsidR="000D4F98" w:rsidRPr="005C518D" w:rsidRDefault="00401D57" w:rsidP="00D76910">
            <w:pPr>
              <w:pStyle w:val="NCDTableText"/>
              <w:spacing w:before="60" w:after="60"/>
            </w:pPr>
            <w:r w:rsidRPr="00401D57">
              <w:rPr>
                <w:b/>
              </w:rPr>
              <w:t xml:space="preserve">Colorado </w:t>
            </w:r>
          </w:p>
        </w:tc>
        <w:tc>
          <w:tcPr>
            <w:tcW w:w="1930" w:type="dxa"/>
            <w:vAlign w:val="center"/>
          </w:tcPr>
          <w:p w14:paraId="1276C322" w14:textId="77777777" w:rsidR="000D4F98" w:rsidRPr="005C518D" w:rsidRDefault="000D4F98" w:rsidP="00D76910">
            <w:pPr>
              <w:pStyle w:val="NCDTableText"/>
              <w:spacing w:before="60" w:after="60"/>
            </w:pPr>
            <w:r w:rsidRPr="005C518D">
              <w:t>11</w:t>
            </w:r>
            <w:r>
              <w:t>,</w:t>
            </w:r>
            <w:r w:rsidRPr="005C518D">
              <w:t>872</w:t>
            </w:r>
          </w:p>
        </w:tc>
        <w:tc>
          <w:tcPr>
            <w:tcW w:w="1930" w:type="dxa"/>
            <w:vAlign w:val="center"/>
          </w:tcPr>
          <w:p w14:paraId="71289AF5" w14:textId="77777777" w:rsidR="000D4F98" w:rsidRPr="005C518D" w:rsidRDefault="000D4F98" w:rsidP="00D76910">
            <w:pPr>
              <w:pStyle w:val="NCDTableText"/>
              <w:spacing w:before="60" w:after="60"/>
            </w:pPr>
            <w:r w:rsidRPr="005C518D">
              <w:t>11</w:t>
            </w:r>
            <w:r>
              <w:t>,</w:t>
            </w:r>
            <w:r w:rsidRPr="005C518D">
              <w:t>872</w:t>
            </w:r>
          </w:p>
        </w:tc>
        <w:tc>
          <w:tcPr>
            <w:tcW w:w="1930" w:type="dxa"/>
            <w:vAlign w:val="center"/>
          </w:tcPr>
          <w:p w14:paraId="3DCD9E44" w14:textId="77777777" w:rsidR="000D4F98" w:rsidRPr="005C518D" w:rsidRDefault="000D4F98" w:rsidP="00D76910">
            <w:pPr>
              <w:pStyle w:val="NCDTableText"/>
              <w:spacing w:before="60" w:after="60"/>
            </w:pPr>
            <w:r w:rsidRPr="005C518D">
              <w:t>100</w:t>
            </w:r>
          </w:p>
        </w:tc>
        <w:tc>
          <w:tcPr>
            <w:tcW w:w="1930" w:type="dxa"/>
            <w:vAlign w:val="center"/>
          </w:tcPr>
          <w:p w14:paraId="143D7AE3" w14:textId="77777777" w:rsidR="000D4F98" w:rsidRPr="005C518D" w:rsidRDefault="000D4F98" w:rsidP="00D76910">
            <w:pPr>
              <w:pStyle w:val="NCDTableText"/>
              <w:spacing w:before="60" w:after="60"/>
            </w:pPr>
            <w:r w:rsidRPr="005C518D">
              <w:t>1.27</w:t>
            </w:r>
          </w:p>
        </w:tc>
      </w:tr>
      <w:tr w:rsidR="000D4F98" w14:paraId="77A88532" w14:textId="77777777" w:rsidTr="00D76910">
        <w:trPr>
          <w:trHeight w:val="151"/>
          <w:jc w:val="center"/>
        </w:trPr>
        <w:tc>
          <w:tcPr>
            <w:tcW w:w="1930" w:type="dxa"/>
          </w:tcPr>
          <w:p w14:paraId="36D29DEC" w14:textId="2385B01E" w:rsidR="000D4F98" w:rsidRPr="005C518D" w:rsidRDefault="00401D57" w:rsidP="00D76910">
            <w:pPr>
              <w:pStyle w:val="NCDTableText"/>
              <w:spacing w:before="60" w:after="60"/>
            </w:pPr>
            <w:r w:rsidRPr="00401D57">
              <w:rPr>
                <w:b/>
              </w:rPr>
              <w:t xml:space="preserve">Connecticut </w:t>
            </w:r>
          </w:p>
        </w:tc>
        <w:tc>
          <w:tcPr>
            <w:tcW w:w="1930" w:type="dxa"/>
            <w:vAlign w:val="center"/>
          </w:tcPr>
          <w:p w14:paraId="4901424C" w14:textId="77777777" w:rsidR="000D4F98" w:rsidRPr="005C518D" w:rsidRDefault="000D4F98" w:rsidP="00D76910">
            <w:pPr>
              <w:pStyle w:val="NCDTableText"/>
              <w:spacing w:before="60" w:after="60"/>
            </w:pPr>
            <w:r w:rsidRPr="005C518D">
              <w:t>13</w:t>
            </w:r>
            <w:r>
              <w:t>,</w:t>
            </w:r>
            <w:r w:rsidRPr="005C518D">
              <w:t>661</w:t>
            </w:r>
          </w:p>
        </w:tc>
        <w:tc>
          <w:tcPr>
            <w:tcW w:w="1930" w:type="dxa"/>
            <w:vAlign w:val="center"/>
          </w:tcPr>
          <w:p w14:paraId="50593619" w14:textId="77777777" w:rsidR="000D4F98" w:rsidRPr="005C518D" w:rsidRDefault="000D4F98" w:rsidP="00D76910">
            <w:pPr>
              <w:pStyle w:val="NCDTableText"/>
              <w:spacing w:before="60" w:after="60"/>
            </w:pPr>
            <w:r w:rsidRPr="005C518D">
              <w:t>17</w:t>
            </w:r>
            <w:r>
              <w:t>,</w:t>
            </w:r>
            <w:r w:rsidRPr="005C518D">
              <w:t>078</w:t>
            </w:r>
          </w:p>
        </w:tc>
        <w:tc>
          <w:tcPr>
            <w:tcW w:w="1930" w:type="dxa"/>
            <w:vAlign w:val="center"/>
          </w:tcPr>
          <w:p w14:paraId="097D4AC8" w14:textId="77777777" w:rsidR="000D4F98" w:rsidRPr="005C518D" w:rsidRDefault="000D4F98" w:rsidP="00D76910">
            <w:pPr>
              <w:pStyle w:val="NCDTableText"/>
              <w:spacing w:before="60" w:after="60"/>
            </w:pPr>
            <w:r>
              <w:t>80</w:t>
            </w:r>
          </w:p>
        </w:tc>
        <w:tc>
          <w:tcPr>
            <w:tcW w:w="1930" w:type="dxa"/>
            <w:vAlign w:val="center"/>
          </w:tcPr>
          <w:p w14:paraId="26AA8B23" w14:textId="77777777" w:rsidR="000D4F98" w:rsidRPr="005C518D" w:rsidRDefault="000D4F98" w:rsidP="00D76910">
            <w:pPr>
              <w:pStyle w:val="NCDTableText"/>
              <w:spacing w:before="60" w:after="60"/>
            </w:pPr>
            <w:r w:rsidRPr="005C518D">
              <w:t>2.86</w:t>
            </w:r>
          </w:p>
        </w:tc>
      </w:tr>
      <w:tr w:rsidR="000D4F98" w14:paraId="76F826A3" w14:textId="77777777" w:rsidTr="00D76910">
        <w:trPr>
          <w:trHeight w:val="151"/>
          <w:jc w:val="center"/>
        </w:trPr>
        <w:tc>
          <w:tcPr>
            <w:tcW w:w="1930" w:type="dxa"/>
          </w:tcPr>
          <w:p w14:paraId="170AB3F2" w14:textId="0872CCD8" w:rsidR="000D4F98" w:rsidRPr="005C518D" w:rsidRDefault="00401D57" w:rsidP="00D76910">
            <w:pPr>
              <w:pStyle w:val="NCDTableText"/>
              <w:spacing w:before="60" w:after="60"/>
            </w:pPr>
            <w:r w:rsidRPr="00401D57">
              <w:rPr>
                <w:b/>
              </w:rPr>
              <w:t xml:space="preserve">Delaware </w:t>
            </w:r>
          </w:p>
        </w:tc>
        <w:tc>
          <w:tcPr>
            <w:tcW w:w="1930" w:type="dxa"/>
            <w:vAlign w:val="center"/>
          </w:tcPr>
          <w:p w14:paraId="10A60A3B" w14:textId="77777777" w:rsidR="000D4F98" w:rsidRPr="005C518D" w:rsidRDefault="000D4F98" w:rsidP="00D76910">
            <w:pPr>
              <w:pStyle w:val="NCDTableText"/>
              <w:spacing w:before="60" w:after="60"/>
            </w:pPr>
            <w:r w:rsidRPr="005C518D">
              <w:t>4</w:t>
            </w:r>
            <w:r>
              <w:t>,</w:t>
            </w:r>
            <w:r w:rsidRPr="005C518D">
              <w:t>323</w:t>
            </w:r>
          </w:p>
        </w:tc>
        <w:tc>
          <w:tcPr>
            <w:tcW w:w="1930" w:type="dxa"/>
            <w:vAlign w:val="center"/>
          </w:tcPr>
          <w:p w14:paraId="4CE33F91" w14:textId="77777777" w:rsidR="000D4F98" w:rsidRPr="005C518D" w:rsidRDefault="000D4F98" w:rsidP="00D76910">
            <w:pPr>
              <w:pStyle w:val="NCDTableText"/>
              <w:spacing w:before="60" w:after="60"/>
            </w:pPr>
            <w:r w:rsidRPr="005C518D">
              <w:t>4</w:t>
            </w:r>
            <w:r>
              <w:t>,</w:t>
            </w:r>
            <w:r w:rsidRPr="005C518D">
              <w:t>323</w:t>
            </w:r>
          </w:p>
        </w:tc>
        <w:tc>
          <w:tcPr>
            <w:tcW w:w="1930" w:type="dxa"/>
            <w:vAlign w:val="center"/>
          </w:tcPr>
          <w:p w14:paraId="450A781D" w14:textId="77777777" w:rsidR="000D4F98" w:rsidRPr="005C518D" w:rsidRDefault="000D4F98" w:rsidP="00D76910">
            <w:pPr>
              <w:pStyle w:val="NCDTableText"/>
              <w:spacing w:before="60" w:after="60"/>
            </w:pPr>
            <w:r w:rsidRPr="005C518D">
              <w:t>100</w:t>
            </w:r>
          </w:p>
        </w:tc>
        <w:tc>
          <w:tcPr>
            <w:tcW w:w="1930" w:type="dxa"/>
            <w:vAlign w:val="center"/>
          </w:tcPr>
          <w:p w14:paraId="3DAED397" w14:textId="77777777" w:rsidR="000D4F98" w:rsidRPr="005C518D" w:rsidRDefault="000D4F98" w:rsidP="00D76910">
            <w:pPr>
              <w:pStyle w:val="NCDTableText"/>
              <w:spacing w:before="60" w:after="60"/>
            </w:pPr>
            <w:r w:rsidRPr="005C518D">
              <w:t>2.78</w:t>
            </w:r>
          </w:p>
        </w:tc>
      </w:tr>
      <w:tr w:rsidR="000D4F98" w14:paraId="7A455CB1" w14:textId="77777777" w:rsidTr="00D76910">
        <w:trPr>
          <w:trHeight w:val="151"/>
          <w:jc w:val="center"/>
        </w:trPr>
        <w:tc>
          <w:tcPr>
            <w:tcW w:w="1930" w:type="dxa"/>
          </w:tcPr>
          <w:p w14:paraId="28EF32CD" w14:textId="353FFFE9" w:rsidR="000D4F98" w:rsidRPr="005C518D" w:rsidRDefault="00401D57" w:rsidP="00D76910">
            <w:pPr>
              <w:pStyle w:val="NCDTableText"/>
              <w:spacing w:before="60" w:after="60"/>
            </w:pPr>
            <w:r w:rsidRPr="00401D57">
              <w:rPr>
                <w:b/>
              </w:rPr>
              <w:t xml:space="preserve">District of Columbia </w:t>
            </w:r>
          </w:p>
        </w:tc>
        <w:tc>
          <w:tcPr>
            <w:tcW w:w="1930" w:type="dxa"/>
            <w:vAlign w:val="center"/>
          </w:tcPr>
          <w:p w14:paraId="7B7CB869" w14:textId="77777777" w:rsidR="000D4F98" w:rsidRPr="005C518D" w:rsidRDefault="000D4F98" w:rsidP="00D76910">
            <w:pPr>
              <w:pStyle w:val="NCDTableText"/>
              <w:spacing w:before="60" w:after="60"/>
            </w:pPr>
            <w:r w:rsidRPr="005C518D">
              <w:t>3</w:t>
            </w:r>
            <w:r>
              <w:t>,</w:t>
            </w:r>
            <w:r w:rsidRPr="005C518D">
              <w:t>106</w:t>
            </w:r>
          </w:p>
        </w:tc>
        <w:tc>
          <w:tcPr>
            <w:tcW w:w="1930" w:type="dxa"/>
            <w:vAlign w:val="center"/>
          </w:tcPr>
          <w:p w14:paraId="7ABBA175" w14:textId="77777777" w:rsidR="000D4F98" w:rsidRPr="005C518D" w:rsidRDefault="000D4F98" w:rsidP="00D76910">
            <w:pPr>
              <w:pStyle w:val="NCDTableText"/>
              <w:spacing w:before="60" w:after="60"/>
            </w:pPr>
            <w:r w:rsidRPr="005C518D">
              <w:t>3</w:t>
            </w:r>
            <w:r>
              <w:t>,</w:t>
            </w:r>
            <w:r w:rsidRPr="005C518D">
              <w:t>107</w:t>
            </w:r>
          </w:p>
        </w:tc>
        <w:tc>
          <w:tcPr>
            <w:tcW w:w="1930" w:type="dxa"/>
            <w:vAlign w:val="center"/>
          </w:tcPr>
          <w:p w14:paraId="0B2DF560" w14:textId="77777777" w:rsidR="000D4F98" w:rsidRPr="005C518D" w:rsidRDefault="000D4F98" w:rsidP="00D76910">
            <w:pPr>
              <w:pStyle w:val="NCDTableText"/>
              <w:spacing w:before="60" w:after="60"/>
            </w:pPr>
            <w:r w:rsidRPr="005C518D">
              <w:t>100</w:t>
            </w:r>
          </w:p>
        </w:tc>
        <w:tc>
          <w:tcPr>
            <w:tcW w:w="1930" w:type="dxa"/>
            <w:vAlign w:val="center"/>
          </w:tcPr>
          <w:p w14:paraId="7D2B1EB1" w14:textId="77777777" w:rsidR="000D4F98" w:rsidRPr="005C518D" w:rsidRDefault="000D4F98" w:rsidP="00D76910">
            <w:pPr>
              <w:pStyle w:val="NCDTableText"/>
              <w:spacing w:before="60" w:after="60"/>
            </w:pPr>
            <w:r w:rsidRPr="005C518D">
              <w:t>1.59</w:t>
            </w:r>
          </w:p>
        </w:tc>
      </w:tr>
      <w:tr w:rsidR="000D4F98" w14:paraId="444EE79F" w14:textId="77777777" w:rsidTr="00D76910">
        <w:trPr>
          <w:trHeight w:val="151"/>
          <w:jc w:val="center"/>
        </w:trPr>
        <w:tc>
          <w:tcPr>
            <w:tcW w:w="1930" w:type="dxa"/>
          </w:tcPr>
          <w:p w14:paraId="5201DDD2" w14:textId="4313C5AB" w:rsidR="000D4F98" w:rsidRPr="005C518D" w:rsidRDefault="00401D57" w:rsidP="00D76910">
            <w:pPr>
              <w:pStyle w:val="NCDTableText"/>
              <w:spacing w:before="60" w:after="60"/>
            </w:pPr>
            <w:r w:rsidRPr="00401D57">
              <w:rPr>
                <w:b/>
              </w:rPr>
              <w:t xml:space="preserve">Florida </w:t>
            </w:r>
          </w:p>
        </w:tc>
        <w:tc>
          <w:tcPr>
            <w:tcW w:w="1930" w:type="dxa"/>
            <w:vAlign w:val="center"/>
          </w:tcPr>
          <w:p w14:paraId="2CA7B44E" w14:textId="77777777" w:rsidR="000D4F98" w:rsidRPr="005C518D" w:rsidRDefault="000D4F98" w:rsidP="00D76910">
            <w:pPr>
              <w:pStyle w:val="NCDTableText"/>
              <w:spacing w:before="60" w:after="60"/>
            </w:pPr>
            <w:r w:rsidRPr="005C518D">
              <w:t>27</w:t>
            </w:r>
            <w:r>
              <w:t>,</w:t>
            </w:r>
            <w:r w:rsidRPr="005C518D">
              <w:t>530</w:t>
            </w:r>
          </w:p>
        </w:tc>
        <w:tc>
          <w:tcPr>
            <w:tcW w:w="1930" w:type="dxa"/>
            <w:vAlign w:val="center"/>
          </w:tcPr>
          <w:p w14:paraId="38BCE735" w14:textId="77777777" w:rsidR="000D4F98" w:rsidRPr="005C518D" w:rsidRDefault="000D4F98" w:rsidP="00D76910">
            <w:pPr>
              <w:pStyle w:val="NCDTableText"/>
              <w:spacing w:before="60" w:after="60"/>
            </w:pPr>
            <w:r w:rsidRPr="005C518D">
              <w:t>34</w:t>
            </w:r>
            <w:r>
              <w:t>,</w:t>
            </w:r>
            <w:r w:rsidRPr="005C518D">
              <w:t>413</w:t>
            </w:r>
          </w:p>
        </w:tc>
        <w:tc>
          <w:tcPr>
            <w:tcW w:w="1930" w:type="dxa"/>
            <w:vAlign w:val="center"/>
          </w:tcPr>
          <w:p w14:paraId="41FEB20C" w14:textId="77777777" w:rsidR="000D4F98" w:rsidRPr="005C518D" w:rsidRDefault="000D4F98" w:rsidP="00D76910">
            <w:pPr>
              <w:pStyle w:val="NCDTableText"/>
              <w:spacing w:before="60" w:after="60"/>
            </w:pPr>
            <w:r w:rsidRPr="005C518D">
              <w:t>80</w:t>
            </w:r>
          </w:p>
        </w:tc>
        <w:tc>
          <w:tcPr>
            <w:tcW w:w="1930" w:type="dxa"/>
            <w:vAlign w:val="center"/>
          </w:tcPr>
          <w:p w14:paraId="63014F5F" w14:textId="77777777" w:rsidR="000D4F98" w:rsidRPr="005C518D" w:rsidRDefault="000D4F98" w:rsidP="00D76910">
            <w:pPr>
              <w:pStyle w:val="NCDTableText"/>
              <w:spacing w:before="60" w:after="60"/>
            </w:pPr>
            <w:r w:rsidRPr="005C518D">
              <w:t>1.97</w:t>
            </w:r>
          </w:p>
        </w:tc>
      </w:tr>
      <w:tr w:rsidR="000D4F98" w14:paraId="6B9F106F" w14:textId="77777777" w:rsidTr="00D76910">
        <w:trPr>
          <w:trHeight w:val="151"/>
          <w:jc w:val="center"/>
        </w:trPr>
        <w:tc>
          <w:tcPr>
            <w:tcW w:w="1930" w:type="dxa"/>
          </w:tcPr>
          <w:p w14:paraId="22189F1F" w14:textId="10939704" w:rsidR="000D4F98" w:rsidRPr="005C518D" w:rsidRDefault="00401D57" w:rsidP="00D76910">
            <w:pPr>
              <w:pStyle w:val="NCDTableText"/>
              <w:spacing w:before="60" w:after="60"/>
            </w:pPr>
            <w:r w:rsidRPr="00401D57">
              <w:rPr>
                <w:b/>
              </w:rPr>
              <w:lastRenderedPageBreak/>
              <w:t xml:space="preserve">Georgia </w:t>
            </w:r>
          </w:p>
        </w:tc>
        <w:tc>
          <w:tcPr>
            <w:tcW w:w="1930" w:type="dxa"/>
            <w:vAlign w:val="center"/>
          </w:tcPr>
          <w:p w14:paraId="259D325E" w14:textId="77777777" w:rsidR="000D4F98" w:rsidRPr="005C518D" w:rsidRDefault="000D4F98" w:rsidP="00D76910">
            <w:pPr>
              <w:pStyle w:val="NCDTableText"/>
              <w:spacing w:before="60" w:after="60"/>
            </w:pPr>
            <w:r w:rsidRPr="005C518D">
              <w:t>20</w:t>
            </w:r>
            <w:r>
              <w:t>,</w:t>
            </w:r>
            <w:r w:rsidRPr="005C518D">
              <w:t>033</w:t>
            </w:r>
          </w:p>
        </w:tc>
        <w:tc>
          <w:tcPr>
            <w:tcW w:w="1930" w:type="dxa"/>
            <w:vAlign w:val="center"/>
          </w:tcPr>
          <w:p w14:paraId="1AA20C47" w14:textId="77777777" w:rsidR="000D4F98" w:rsidRPr="005C518D" w:rsidRDefault="000D4F98" w:rsidP="00D76910">
            <w:pPr>
              <w:pStyle w:val="NCDTableText"/>
              <w:spacing w:before="60" w:after="60"/>
            </w:pPr>
            <w:r w:rsidRPr="005C518D">
              <w:t>25</w:t>
            </w:r>
            <w:r>
              <w:t>,</w:t>
            </w:r>
            <w:r w:rsidRPr="005C518D">
              <w:t>041</w:t>
            </w:r>
          </w:p>
        </w:tc>
        <w:tc>
          <w:tcPr>
            <w:tcW w:w="1930" w:type="dxa"/>
            <w:vAlign w:val="center"/>
          </w:tcPr>
          <w:p w14:paraId="55BDC83F" w14:textId="77777777" w:rsidR="000D4F98" w:rsidRPr="005C518D" w:rsidRDefault="000D4F98" w:rsidP="00D76910">
            <w:pPr>
              <w:pStyle w:val="NCDTableText"/>
              <w:spacing w:before="60" w:after="60"/>
            </w:pPr>
            <w:r>
              <w:t>80</w:t>
            </w:r>
          </w:p>
        </w:tc>
        <w:tc>
          <w:tcPr>
            <w:tcW w:w="1930" w:type="dxa"/>
            <w:vAlign w:val="center"/>
          </w:tcPr>
          <w:p w14:paraId="6CB80B86" w14:textId="77777777" w:rsidR="000D4F98" w:rsidRPr="005C518D" w:rsidRDefault="000D4F98" w:rsidP="00D76910">
            <w:pPr>
              <w:pStyle w:val="NCDTableText"/>
              <w:spacing w:before="60" w:after="60"/>
            </w:pPr>
            <w:r w:rsidRPr="005C518D">
              <w:t>2.89</w:t>
            </w:r>
          </w:p>
        </w:tc>
      </w:tr>
      <w:tr w:rsidR="000D4F98" w14:paraId="0C3A2C7D" w14:textId="77777777" w:rsidTr="00D76910">
        <w:trPr>
          <w:trHeight w:val="151"/>
          <w:jc w:val="center"/>
        </w:trPr>
        <w:tc>
          <w:tcPr>
            <w:tcW w:w="1930" w:type="dxa"/>
          </w:tcPr>
          <w:p w14:paraId="50465CCC" w14:textId="7047700A" w:rsidR="000D4F98" w:rsidRPr="005C518D" w:rsidRDefault="00401D57" w:rsidP="00D76910">
            <w:pPr>
              <w:pStyle w:val="NCDTableText"/>
              <w:spacing w:before="60" w:after="60"/>
            </w:pPr>
            <w:r w:rsidRPr="00401D57">
              <w:rPr>
                <w:b/>
              </w:rPr>
              <w:t xml:space="preserve">Hawaii </w:t>
            </w:r>
          </w:p>
        </w:tc>
        <w:tc>
          <w:tcPr>
            <w:tcW w:w="1930" w:type="dxa"/>
            <w:vAlign w:val="center"/>
          </w:tcPr>
          <w:p w14:paraId="3662DC4C" w14:textId="77777777" w:rsidR="000D4F98" w:rsidRPr="005C518D" w:rsidRDefault="000D4F98" w:rsidP="00D76910">
            <w:pPr>
              <w:pStyle w:val="NCDTableText"/>
              <w:spacing w:before="60" w:after="60"/>
            </w:pPr>
            <w:r w:rsidRPr="005C518D">
              <w:t>3</w:t>
            </w:r>
            <w:r>
              <w:t>,</w:t>
            </w:r>
            <w:r w:rsidRPr="005C518D">
              <w:t>489</w:t>
            </w:r>
          </w:p>
        </w:tc>
        <w:tc>
          <w:tcPr>
            <w:tcW w:w="1930" w:type="dxa"/>
            <w:vAlign w:val="center"/>
          </w:tcPr>
          <w:p w14:paraId="09AA0F74" w14:textId="77777777" w:rsidR="000D4F98" w:rsidRPr="005C518D" w:rsidRDefault="000D4F98" w:rsidP="00D76910">
            <w:pPr>
              <w:pStyle w:val="NCDTableText"/>
              <w:spacing w:before="60" w:after="60"/>
            </w:pPr>
            <w:r w:rsidRPr="005C518D">
              <w:t>3</w:t>
            </w:r>
            <w:r>
              <w:t>,</w:t>
            </w:r>
            <w:r w:rsidRPr="005C518D">
              <w:t>489</w:t>
            </w:r>
          </w:p>
        </w:tc>
        <w:tc>
          <w:tcPr>
            <w:tcW w:w="1930" w:type="dxa"/>
            <w:vAlign w:val="center"/>
          </w:tcPr>
          <w:p w14:paraId="5C1F7F53" w14:textId="77777777" w:rsidR="000D4F98" w:rsidRPr="005C518D" w:rsidRDefault="000D4F98" w:rsidP="00D76910">
            <w:pPr>
              <w:pStyle w:val="NCDTableText"/>
              <w:spacing w:before="60" w:after="60"/>
            </w:pPr>
            <w:r w:rsidRPr="005C518D">
              <w:t>100</w:t>
            </w:r>
          </w:p>
        </w:tc>
        <w:tc>
          <w:tcPr>
            <w:tcW w:w="1930" w:type="dxa"/>
            <w:vAlign w:val="center"/>
          </w:tcPr>
          <w:p w14:paraId="3F64771B" w14:textId="77777777" w:rsidR="000D4F98" w:rsidRPr="005C518D" w:rsidRDefault="000D4F98" w:rsidP="00D76910">
            <w:pPr>
              <w:pStyle w:val="NCDTableText"/>
              <w:spacing w:before="60" w:after="60"/>
            </w:pPr>
            <w:r w:rsidRPr="005C518D">
              <w:t>1.43</w:t>
            </w:r>
          </w:p>
        </w:tc>
      </w:tr>
      <w:tr w:rsidR="000D4F98" w14:paraId="50862928" w14:textId="77777777" w:rsidTr="00D76910">
        <w:trPr>
          <w:trHeight w:val="151"/>
          <w:jc w:val="center"/>
        </w:trPr>
        <w:tc>
          <w:tcPr>
            <w:tcW w:w="1930" w:type="dxa"/>
          </w:tcPr>
          <w:p w14:paraId="2EC97D8B" w14:textId="45FA1AC5" w:rsidR="000D4F98" w:rsidRPr="005C518D" w:rsidRDefault="00401D57" w:rsidP="00D76910">
            <w:pPr>
              <w:pStyle w:val="NCDTableText"/>
              <w:spacing w:before="60" w:after="60"/>
            </w:pPr>
            <w:r w:rsidRPr="00401D57">
              <w:rPr>
                <w:b/>
              </w:rPr>
              <w:t xml:space="preserve">Idaho </w:t>
            </w:r>
          </w:p>
        </w:tc>
        <w:tc>
          <w:tcPr>
            <w:tcW w:w="1930" w:type="dxa"/>
            <w:vAlign w:val="center"/>
          </w:tcPr>
          <w:p w14:paraId="02E217F0" w14:textId="77777777" w:rsidR="000D4F98" w:rsidRPr="005C518D" w:rsidRDefault="000D4F98" w:rsidP="00D76910">
            <w:pPr>
              <w:pStyle w:val="NCDTableText"/>
              <w:spacing w:before="60" w:after="60"/>
            </w:pPr>
            <w:r w:rsidRPr="005C518D">
              <w:t>6</w:t>
            </w:r>
            <w:r>
              <w:t>,</w:t>
            </w:r>
            <w:r w:rsidRPr="005C518D">
              <w:t>960</w:t>
            </w:r>
          </w:p>
        </w:tc>
        <w:tc>
          <w:tcPr>
            <w:tcW w:w="1930" w:type="dxa"/>
            <w:vAlign w:val="center"/>
          </w:tcPr>
          <w:p w14:paraId="36BD0EE1" w14:textId="77777777" w:rsidR="000D4F98" w:rsidRPr="005C518D" w:rsidRDefault="000D4F98" w:rsidP="00D76910">
            <w:pPr>
              <w:pStyle w:val="NCDTableText"/>
              <w:spacing w:before="60" w:after="60"/>
            </w:pPr>
            <w:r w:rsidRPr="005C518D">
              <w:t>6</w:t>
            </w:r>
            <w:r>
              <w:t>,</w:t>
            </w:r>
            <w:r w:rsidRPr="005C518D">
              <w:t>960</w:t>
            </w:r>
          </w:p>
        </w:tc>
        <w:tc>
          <w:tcPr>
            <w:tcW w:w="1930" w:type="dxa"/>
            <w:vAlign w:val="center"/>
          </w:tcPr>
          <w:p w14:paraId="0DF0AC87" w14:textId="77777777" w:rsidR="000D4F98" w:rsidRPr="005C518D" w:rsidRDefault="000D4F98" w:rsidP="00D76910">
            <w:pPr>
              <w:pStyle w:val="NCDTableText"/>
              <w:spacing w:before="60" w:after="60"/>
            </w:pPr>
            <w:r>
              <w:t>100</w:t>
            </w:r>
          </w:p>
        </w:tc>
        <w:tc>
          <w:tcPr>
            <w:tcW w:w="1930" w:type="dxa"/>
            <w:vAlign w:val="center"/>
          </w:tcPr>
          <w:p w14:paraId="651778E7" w14:textId="77777777" w:rsidR="000D4F98" w:rsidRPr="005C518D" w:rsidRDefault="000D4F98" w:rsidP="00D76910">
            <w:pPr>
              <w:pStyle w:val="NCDTableText"/>
              <w:spacing w:before="60" w:after="60"/>
            </w:pPr>
            <w:r w:rsidRPr="005C518D">
              <w:t>5.87</w:t>
            </w:r>
          </w:p>
        </w:tc>
      </w:tr>
      <w:tr w:rsidR="000D4F98" w14:paraId="39FCA68D" w14:textId="77777777" w:rsidTr="00D76910">
        <w:trPr>
          <w:trHeight w:val="151"/>
          <w:jc w:val="center"/>
        </w:trPr>
        <w:tc>
          <w:tcPr>
            <w:tcW w:w="1930" w:type="dxa"/>
          </w:tcPr>
          <w:p w14:paraId="45E5CB4F" w14:textId="6CDF00DC" w:rsidR="000D4F98" w:rsidRPr="005C518D" w:rsidRDefault="00401D57" w:rsidP="00D76910">
            <w:pPr>
              <w:pStyle w:val="NCDTableText"/>
              <w:spacing w:before="60" w:after="60"/>
            </w:pPr>
            <w:r w:rsidRPr="00401D57">
              <w:rPr>
                <w:b/>
              </w:rPr>
              <w:t xml:space="preserve">Illinois </w:t>
            </w:r>
          </w:p>
        </w:tc>
        <w:tc>
          <w:tcPr>
            <w:tcW w:w="1930" w:type="dxa"/>
            <w:vAlign w:val="center"/>
          </w:tcPr>
          <w:p w14:paraId="1BB55F22" w14:textId="77777777" w:rsidR="000D4F98" w:rsidRPr="005C518D" w:rsidRDefault="000D4F98" w:rsidP="00D76910">
            <w:pPr>
              <w:pStyle w:val="NCDTableText"/>
              <w:spacing w:before="60" w:after="60"/>
            </w:pPr>
            <w:r w:rsidRPr="005C518D">
              <w:t>34</w:t>
            </w:r>
            <w:r>
              <w:t>,</w:t>
            </w:r>
            <w:r w:rsidRPr="005C518D">
              <w:t>602</w:t>
            </w:r>
          </w:p>
        </w:tc>
        <w:tc>
          <w:tcPr>
            <w:tcW w:w="1930" w:type="dxa"/>
            <w:vAlign w:val="center"/>
          </w:tcPr>
          <w:p w14:paraId="180F4F21" w14:textId="77777777" w:rsidR="000D4F98" w:rsidRPr="005C518D" w:rsidRDefault="000D4F98" w:rsidP="00D76910">
            <w:pPr>
              <w:pStyle w:val="NCDTableText"/>
              <w:spacing w:before="60" w:after="60"/>
            </w:pPr>
            <w:r w:rsidRPr="005C518D">
              <w:t>43</w:t>
            </w:r>
            <w:r>
              <w:t>,</w:t>
            </w:r>
            <w:r w:rsidRPr="005C518D">
              <w:t>262</w:t>
            </w:r>
          </w:p>
        </w:tc>
        <w:tc>
          <w:tcPr>
            <w:tcW w:w="1930" w:type="dxa"/>
            <w:vAlign w:val="center"/>
          </w:tcPr>
          <w:p w14:paraId="1E5B6C2C" w14:textId="77777777" w:rsidR="000D4F98" w:rsidRPr="005C518D" w:rsidRDefault="000D4F98" w:rsidP="00D76910">
            <w:pPr>
              <w:pStyle w:val="NCDTableText"/>
              <w:spacing w:before="60" w:after="60"/>
            </w:pPr>
            <w:r w:rsidRPr="005C518D">
              <w:t>80</w:t>
            </w:r>
          </w:p>
        </w:tc>
        <w:tc>
          <w:tcPr>
            <w:tcW w:w="1930" w:type="dxa"/>
            <w:vAlign w:val="center"/>
          </w:tcPr>
          <w:p w14:paraId="34519CE4" w14:textId="77777777" w:rsidR="000D4F98" w:rsidRPr="005C518D" w:rsidRDefault="000D4F98" w:rsidP="00D76910">
            <w:pPr>
              <w:pStyle w:val="NCDTableText"/>
              <w:spacing w:before="60" w:after="60"/>
            </w:pPr>
            <w:r w:rsidRPr="005C518D">
              <w:t>2.35</w:t>
            </w:r>
          </w:p>
        </w:tc>
      </w:tr>
      <w:tr w:rsidR="000D4F98" w14:paraId="38374DFC" w14:textId="77777777" w:rsidTr="00D76910">
        <w:trPr>
          <w:trHeight w:val="151"/>
          <w:jc w:val="center"/>
        </w:trPr>
        <w:tc>
          <w:tcPr>
            <w:tcW w:w="1930" w:type="dxa"/>
          </w:tcPr>
          <w:p w14:paraId="2C8E5341" w14:textId="5E51DF4B" w:rsidR="000D4F98" w:rsidRPr="005C518D" w:rsidRDefault="00401D57" w:rsidP="00D76910">
            <w:pPr>
              <w:pStyle w:val="NCDTableText"/>
              <w:spacing w:before="60" w:after="60"/>
            </w:pPr>
            <w:r w:rsidRPr="00401D57">
              <w:rPr>
                <w:b/>
              </w:rPr>
              <w:t xml:space="preserve">Indiana </w:t>
            </w:r>
          </w:p>
        </w:tc>
        <w:tc>
          <w:tcPr>
            <w:tcW w:w="1930" w:type="dxa"/>
            <w:vAlign w:val="center"/>
          </w:tcPr>
          <w:p w14:paraId="6B1CAAE5" w14:textId="77777777" w:rsidR="000D4F98" w:rsidRPr="005C518D" w:rsidRDefault="000D4F98" w:rsidP="00D76910">
            <w:pPr>
              <w:pStyle w:val="NCDTableText"/>
              <w:spacing w:before="60" w:after="60"/>
            </w:pPr>
            <w:r w:rsidRPr="005C518D">
              <w:t>15</w:t>
            </w:r>
            <w:r>
              <w:t>,</w:t>
            </w:r>
            <w:r w:rsidRPr="005C518D">
              <w:t>150</w:t>
            </w:r>
          </w:p>
        </w:tc>
        <w:tc>
          <w:tcPr>
            <w:tcW w:w="1930" w:type="dxa"/>
            <w:vAlign w:val="center"/>
          </w:tcPr>
          <w:p w14:paraId="45D4FB91" w14:textId="77777777" w:rsidR="000D4F98" w:rsidRPr="005C518D" w:rsidRDefault="000D4F98" w:rsidP="00D76910">
            <w:pPr>
              <w:pStyle w:val="NCDTableText"/>
              <w:spacing w:before="60" w:after="60"/>
            </w:pPr>
            <w:r w:rsidRPr="005C518D">
              <w:t>18</w:t>
            </w:r>
            <w:r>
              <w:t>,</w:t>
            </w:r>
            <w:r w:rsidRPr="005C518D">
              <w:t>937</w:t>
            </w:r>
          </w:p>
        </w:tc>
        <w:tc>
          <w:tcPr>
            <w:tcW w:w="1930" w:type="dxa"/>
            <w:vAlign w:val="center"/>
          </w:tcPr>
          <w:p w14:paraId="16C3C491" w14:textId="77777777" w:rsidR="000D4F98" w:rsidRPr="005C518D" w:rsidRDefault="000D4F98" w:rsidP="00D76910">
            <w:pPr>
              <w:pStyle w:val="NCDTableText"/>
              <w:spacing w:before="60" w:after="60"/>
            </w:pPr>
            <w:r>
              <w:t>80</w:t>
            </w:r>
          </w:p>
        </w:tc>
        <w:tc>
          <w:tcPr>
            <w:tcW w:w="1930" w:type="dxa"/>
            <w:vAlign w:val="center"/>
          </w:tcPr>
          <w:p w14:paraId="6F58AED0" w14:textId="77777777" w:rsidR="000D4F98" w:rsidRPr="005C518D" w:rsidRDefault="000D4F98" w:rsidP="00D76910">
            <w:pPr>
              <w:pStyle w:val="NCDTableText"/>
              <w:spacing w:before="60" w:after="60"/>
            </w:pPr>
            <w:r w:rsidRPr="005C518D">
              <w:t>1.98</w:t>
            </w:r>
          </w:p>
        </w:tc>
      </w:tr>
      <w:tr w:rsidR="000D4F98" w14:paraId="7E7EEE96" w14:textId="77777777" w:rsidTr="00D76910">
        <w:trPr>
          <w:trHeight w:val="151"/>
          <w:jc w:val="center"/>
        </w:trPr>
        <w:tc>
          <w:tcPr>
            <w:tcW w:w="1930" w:type="dxa"/>
            <w:tcBorders>
              <w:top w:val="single" w:sz="4" w:space="0" w:color="auto"/>
              <w:left w:val="single" w:sz="4" w:space="0" w:color="auto"/>
              <w:bottom w:val="single" w:sz="4" w:space="0" w:color="auto"/>
              <w:right w:val="single" w:sz="4" w:space="0" w:color="auto"/>
            </w:tcBorders>
          </w:tcPr>
          <w:p w14:paraId="3CB79018" w14:textId="7E4C7BDF" w:rsidR="000D4F98" w:rsidRPr="00FA22C8" w:rsidRDefault="00401D57" w:rsidP="00D76910">
            <w:pPr>
              <w:pStyle w:val="NCDTableText"/>
              <w:spacing w:before="60" w:after="60"/>
              <w:rPr>
                <w:b/>
              </w:rPr>
            </w:pPr>
            <w:r w:rsidRPr="00401D57">
              <w:rPr>
                <w:b/>
              </w:rPr>
              <w:t xml:space="preserve">Iowa </w:t>
            </w:r>
          </w:p>
        </w:tc>
        <w:tc>
          <w:tcPr>
            <w:tcW w:w="1930" w:type="dxa"/>
            <w:tcBorders>
              <w:top w:val="single" w:sz="4" w:space="0" w:color="auto"/>
              <w:left w:val="single" w:sz="4" w:space="0" w:color="auto"/>
              <w:bottom w:val="single" w:sz="4" w:space="0" w:color="auto"/>
              <w:right w:val="single" w:sz="4" w:space="0" w:color="auto"/>
            </w:tcBorders>
            <w:vAlign w:val="center"/>
          </w:tcPr>
          <w:p w14:paraId="691FB07F" w14:textId="77777777" w:rsidR="000D4F98" w:rsidRPr="005C518D" w:rsidRDefault="000D4F98" w:rsidP="00D76910">
            <w:pPr>
              <w:pStyle w:val="NCDTableText"/>
              <w:spacing w:before="60" w:after="60"/>
            </w:pPr>
            <w:r w:rsidRPr="005C518D">
              <w:t>13</w:t>
            </w:r>
            <w:r>
              <w:t>,</w:t>
            </w:r>
            <w:r w:rsidRPr="005C518D">
              <w:t>161</w:t>
            </w:r>
          </w:p>
        </w:tc>
        <w:tc>
          <w:tcPr>
            <w:tcW w:w="1930" w:type="dxa"/>
            <w:tcBorders>
              <w:top w:val="single" w:sz="4" w:space="0" w:color="auto"/>
              <w:left w:val="single" w:sz="4" w:space="0" w:color="auto"/>
              <w:bottom w:val="single" w:sz="4" w:space="0" w:color="auto"/>
              <w:right w:val="single" w:sz="4" w:space="0" w:color="auto"/>
            </w:tcBorders>
            <w:vAlign w:val="center"/>
          </w:tcPr>
          <w:p w14:paraId="7FC2F8C9" w14:textId="77777777" w:rsidR="000D4F98" w:rsidRPr="005C518D" w:rsidRDefault="000D4F98" w:rsidP="00D76910">
            <w:pPr>
              <w:pStyle w:val="NCDTableText"/>
              <w:spacing w:before="60" w:after="60"/>
            </w:pPr>
            <w:r w:rsidRPr="005C518D">
              <w:t>13</w:t>
            </w:r>
            <w:r>
              <w:t>,</w:t>
            </w:r>
            <w:r w:rsidRPr="005C518D">
              <w:t>167</w:t>
            </w:r>
          </w:p>
        </w:tc>
        <w:tc>
          <w:tcPr>
            <w:tcW w:w="1930" w:type="dxa"/>
            <w:tcBorders>
              <w:top w:val="single" w:sz="4" w:space="0" w:color="auto"/>
              <w:left w:val="single" w:sz="4" w:space="0" w:color="auto"/>
              <w:bottom w:val="single" w:sz="4" w:space="0" w:color="auto"/>
              <w:right w:val="single" w:sz="4" w:space="0" w:color="auto"/>
            </w:tcBorders>
            <w:vAlign w:val="center"/>
          </w:tcPr>
          <w:p w14:paraId="75CF3280" w14:textId="77777777" w:rsidR="000D4F98" w:rsidRPr="005C518D" w:rsidRDefault="000D4F98" w:rsidP="00D76910">
            <w:pPr>
              <w:pStyle w:val="NCDTableText"/>
              <w:spacing w:before="60" w:after="60"/>
            </w:pPr>
            <w:r w:rsidRPr="005C518D">
              <w:t>100</w:t>
            </w:r>
          </w:p>
        </w:tc>
        <w:tc>
          <w:tcPr>
            <w:tcW w:w="1930" w:type="dxa"/>
            <w:tcBorders>
              <w:top w:val="single" w:sz="4" w:space="0" w:color="auto"/>
              <w:left w:val="single" w:sz="4" w:space="0" w:color="auto"/>
              <w:bottom w:val="single" w:sz="4" w:space="0" w:color="auto"/>
              <w:right w:val="single" w:sz="4" w:space="0" w:color="auto"/>
            </w:tcBorders>
            <w:vAlign w:val="center"/>
          </w:tcPr>
          <w:p w14:paraId="28D13F87" w14:textId="77777777" w:rsidR="000D4F98" w:rsidRPr="005C518D" w:rsidRDefault="000D4F98" w:rsidP="00D76910">
            <w:pPr>
              <w:pStyle w:val="NCDTableText"/>
              <w:spacing w:before="60" w:after="60"/>
            </w:pPr>
            <w:r w:rsidRPr="005C518D">
              <w:t>3.24</w:t>
            </w:r>
          </w:p>
        </w:tc>
      </w:tr>
      <w:tr w:rsidR="000D4F98" w14:paraId="71FDCA29" w14:textId="77777777" w:rsidTr="00D76910">
        <w:trPr>
          <w:trHeight w:val="151"/>
          <w:jc w:val="center"/>
        </w:trPr>
        <w:tc>
          <w:tcPr>
            <w:tcW w:w="1930" w:type="dxa"/>
          </w:tcPr>
          <w:p w14:paraId="6693FACF" w14:textId="6D5C20C1" w:rsidR="000D4F98" w:rsidRPr="005C518D" w:rsidRDefault="00401D57" w:rsidP="00D76910">
            <w:pPr>
              <w:pStyle w:val="NCDTableText"/>
              <w:spacing w:before="60" w:after="60"/>
            </w:pPr>
            <w:r w:rsidRPr="00401D57">
              <w:rPr>
                <w:b/>
              </w:rPr>
              <w:t xml:space="preserve">Kansas </w:t>
            </w:r>
          </w:p>
        </w:tc>
        <w:tc>
          <w:tcPr>
            <w:tcW w:w="1930" w:type="dxa"/>
            <w:vAlign w:val="center"/>
          </w:tcPr>
          <w:p w14:paraId="5609BCE0" w14:textId="77777777" w:rsidR="000D4F98" w:rsidRPr="005C518D" w:rsidRDefault="000D4F98" w:rsidP="00D76910">
            <w:pPr>
              <w:pStyle w:val="NCDTableText"/>
              <w:spacing w:before="60" w:after="60"/>
            </w:pPr>
            <w:r w:rsidRPr="005C518D">
              <w:t>7</w:t>
            </w:r>
            <w:r>
              <w:t>,</w:t>
            </w:r>
            <w:r w:rsidRPr="005C518D">
              <w:t>374</w:t>
            </w:r>
          </w:p>
        </w:tc>
        <w:tc>
          <w:tcPr>
            <w:tcW w:w="1930" w:type="dxa"/>
            <w:vAlign w:val="center"/>
          </w:tcPr>
          <w:p w14:paraId="4E9FC9DF" w14:textId="77777777" w:rsidR="000D4F98" w:rsidRPr="005C518D" w:rsidRDefault="000D4F98" w:rsidP="00D76910">
            <w:pPr>
              <w:pStyle w:val="NCDTableText"/>
              <w:spacing w:before="60" w:after="60"/>
            </w:pPr>
            <w:r w:rsidRPr="005C518D">
              <w:t>7</w:t>
            </w:r>
            <w:r>
              <w:t>,</w:t>
            </w:r>
            <w:r w:rsidRPr="005C518D">
              <w:t>374</w:t>
            </w:r>
          </w:p>
        </w:tc>
        <w:tc>
          <w:tcPr>
            <w:tcW w:w="1930" w:type="dxa"/>
            <w:vAlign w:val="center"/>
          </w:tcPr>
          <w:p w14:paraId="63104A73" w14:textId="77777777" w:rsidR="000D4F98" w:rsidRPr="005C518D" w:rsidRDefault="000D4F98" w:rsidP="00D76910">
            <w:pPr>
              <w:pStyle w:val="NCDTableText"/>
              <w:spacing w:before="60" w:after="60"/>
            </w:pPr>
            <w:r w:rsidRPr="005C518D">
              <w:t>100</w:t>
            </w:r>
          </w:p>
        </w:tc>
        <w:tc>
          <w:tcPr>
            <w:tcW w:w="1930" w:type="dxa"/>
            <w:vAlign w:val="center"/>
          </w:tcPr>
          <w:p w14:paraId="030500D6" w14:textId="77777777" w:rsidR="000D4F98" w:rsidRPr="005C518D" w:rsidRDefault="000D4F98" w:rsidP="00D76910">
            <w:pPr>
              <w:pStyle w:val="NCDTableText"/>
              <w:spacing w:before="60" w:after="60"/>
            </w:pPr>
            <w:r w:rsidRPr="005C518D">
              <w:t>4.76</w:t>
            </w:r>
          </w:p>
        </w:tc>
      </w:tr>
      <w:tr w:rsidR="000D4F98" w14:paraId="3B8BC3D2" w14:textId="77777777" w:rsidTr="00D76910">
        <w:trPr>
          <w:trHeight w:val="151"/>
          <w:jc w:val="center"/>
        </w:trPr>
        <w:tc>
          <w:tcPr>
            <w:tcW w:w="1930" w:type="dxa"/>
          </w:tcPr>
          <w:p w14:paraId="30417E7C" w14:textId="36C3133A" w:rsidR="000D4F98" w:rsidRPr="005C518D" w:rsidRDefault="00401D57" w:rsidP="00D76910">
            <w:pPr>
              <w:pStyle w:val="NCDTableText"/>
              <w:spacing w:before="60" w:after="60"/>
            </w:pPr>
            <w:r w:rsidRPr="00401D57">
              <w:rPr>
                <w:b/>
              </w:rPr>
              <w:t xml:space="preserve">Kentucky </w:t>
            </w:r>
          </w:p>
        </w:tc>
        <w:tc>
          <w:tcPr>
            <w:tcW w:w="1930" w:type="dxa"/>
            <w:vAlign w:val="center"/>
          </w:tcPr>
          <w:p w14:paraId="5B9E218E" w14:textId="77777777" w:rsidR="000D4F98" w:rsidRPr="005C518D" w:rsidRDefault="000D4F98" w:rsidP="00D76910">
            <w:pPr>
              <w:pStyle w:val="NCDTableText"/>
              <w:spacing w:before="60" w:after="60"/>
            </w:pPr>
            <w:r w:rsidRPr="005C518D">
              <w:t>14</w:t>
            </w:r>
            <w:r>
              <w:t>,</w:t>
            </w:r>
            <w:r w:rsidRPr="005C518D">
              <w:t>817</w:t>
            </w:r>
          </w:p>
        </w:tc>
        <w:tc>
          <w:tcPr>
            <w:tcW w:w="1930" w:type="dxa"/>
            <w:vAlign w:val="center"/>
          </w:tcPr>
          <w:p w14:paraId="5C7A1B80" w14:textId="77777777" w:rsidR="000D4F98" w:rsidRPr="005C518D" w:rsidRDefault="000D4F98" w:rsidP="00D76910">
            <w:pPr>
              <w:pStyle w:val="NCDTableText"/>
              <w:spacing w:before="60" w:after="60"/>
            </w:pPr>
            <w:r w:rsidRPr="005C518D">
              <w:t>18</w:t>
            </w:r>
            <w:r>
              <w:t>,</w:t>
            </w:r>
            <w:r w:rsidRPr="005C518D">
              <w:t>524</w:t>
            </w:r>
          </w:p>
        </w:tc>
        <w:tc>
          <w:tcPr>
            <w:tcW w:w="1930" w:type="dxa"/>
            <w:vAlign w:val="center"/>
          </w:tcPr>
          <w:p w14:paraId="537DF250" w14:textId="77777777" w:rsidR="000D4F98" w:rsidRPr="005C518D" w:rsidRDefault="000D4F98" w:rsidP="00D76910">
            <w:pPr>
              <w:pStyle w:val="NCDTableText"/>
              <w:spacing w:before="60" w:after="60"/>
            </w:pPr>
            <w:r w:rsidRPr="005C518D">
              <w:t>80</w:t>
            </w:r>
          </w:p>
        </w:tc>
        <w:tc>
          <w:tcPr>
            <w:tcW w:w="1930" w:type="dxa"/>
            <w:vAlign w:val="center"/>
          </w:tcPr>
          <w:p w14:paraId="21C5C7B9" w14:textId="77777777" w:rsidR="000D4F98" w:rsidRPr="005C518D" w:rsidRDefault="000D4F98" w:rsidP="00D76910">
            <w:pPr>
              <w:pStyle w:val="NCDTableText"/>
              <w:spacing w:before="60" w:after="60"/>
            </w:pPr>
            <w:r w:rsidRPr="005C518D">
              <w:t>1.93</w:t>
            </w:r>
          </w:p>
        </w:tc>
      </w:tr>
      <w:tr w:rsidR="000D4F98" w14:paraId="38557B74" w14:textId="77777777" w:rsidTr="00D76910">
        <w:trPr>
          <w:trHeight w:val="151"/>
          <w:jc w:val="center"/>
        </w:trPr>
        <w:tc>
          <w:tcPr>
            <w:tcW w:w="1930" w:type="dxa"/>
          </w:tcPr>
          <w:p w14:paraId="7BE4314B" w14:textId="00B36AC2" w:rsidR="000D4F98" w:rsidRPr="005C518D" w:rsidRDefault="00401D57" w:rsidP="00D76910">
            <w:pPr>
              <w:pStyle w:val="NCDTableText"/>
              <w:spacing w:before="60" w:after="60"/>
            </w:pPr>
            <w:r w:rsidRPr="00401D57">
              <w:rPr>
                <w:b/>
              </w:rPr>
              <w:t xml:space="preserve">Louisiana </w:t>
            </w:r>
          </w:p>
        </w:tc>
        <w:tc>
          <w:tcPr>
            <w:tcW w:w="1930" w:type="dxa"/>
            <w:vAlign w:val="center"/>
          </w:tcPr>
          <w:p w14:paraId="7C43FA8F" w14:textId="77777777" w:rsidR="000D4F98" w:rsidRPr="005C518D" w:rsidRDefault="000D4F98" w:rsidP="00D76910">
            <w:pPr>
              <w:pStyle w:val="NCDTableText"/>
              <w:spacing w:before="60" w:after="60"/>
            </w:pPr>
            <w:r w:rsidRPr="005C518D">
              <w:t>13</w:t>
            </w:r>
            <w:r>
              <w:t>,</w:t>
            </w:r>
            <w:r w:rsidRPr="005C518D">
              <w:t>849</w:t>
            </w:r>
          </w:p>
        </w:tc>
        <w:tc>
          <w:tcPr>
            <w:tcW w:w="1930" w:type="dxa"/>
            <w:vAlign w:val="center"/>
          </w:tcPr>
          <w:p w14:paraId="56F04AF1" w14:textId="77777777" w:rsidR="000D4F98" w:rsidRPr="005C518D" w:rsidRDefault="000D4F98" w:rsidP="00D76910">
            <w:pPr>
              <w:pStyle w:val="NCDTableText"/>
              <w:spacing w:before="60" w:after="60"/>
            </w:pPr>
            <w:r w:rsidRPr="005C518D">
              <w:t>17</w:t>
            </w:r>
            <w:r>
              <w:t>,</w:t>
            </w:r>
            <w:r w:rsidRPr="005C518D">
              <w:t>311</w:t>
            </w:r>
          </w:p>
        </w:tc>
        <w:tc>
          <w:tcPr>
            <w:tcW w:w="1930" w:type="dxa"/>
            <w:vAlign w:val="center"/>
          </w:tcPr>
          <w:p w14:paraId="5B77D74A" w14:textId="77777777" w:rsidR="000D4F98" w:rsidRPr="005C518D" w:rsidRDefault="000D4F98" w:rsidP="00D76910">
            <w:pPr>
              <w:pStyle w:val="NCDTableText"/>
              <w:spacing w:before="60" w:after="60"/>
            </w:pPr>
            <w:r w:rsidRPr="005C518D">
              <w:t>80</w:t>
            </w:r>
          </w:p>
        </w:tc>
        <w:tc>
          <w:tcPr>
            <w:tcW w:w="1930" w:type="dxa"/>
            <w:vAlign w:val="center"/>
          </w:tcPr>
          <w:p w14:paraId="1F8B26A0" w14:textId="77777777" w:rsidR="000D4F98" w:rsidRPr="005C518D" w:rsidRDefault="000D4F98" w:rsidP="00D76910">
            <w:pPr>
              <w:pStyle w:val="NCDTableText"/>
              <w:spacing w:before="60" w:after="60"/>
            </w:pPr>
            <w:r w:rsidRPr="005C518D">
              <w:t>1.74</w:t>
            </w:r>
          </w:p>
        </w:tc>
      </w:tr>
      <w:tr w:rsidR="000D4F98" w14:paraId="1971B9FA" w14:textId="77777777" w:rsidTr="00D76910">
        <w:trPr>
          <w:trHeight w:val="151"/>
          <w:jc w:val="center"/>
        </w:trPr>
        <w:tc>
          <w:tcPr>
            <w:tcW w:w="1930" w:type="dxa"/>
          </w:tcPr>
          <w:p w14:paraId="426DD4E0" w14:textId="5E913381" w:rsidR="000D4F98" w:rsidRPr="005C518D" w:rsidRDefault="00401D57" w:rsidP="00D76910">
            <w:pPr>
              <w:pStyle w:val="NCDTableText"/>
              <w:spacing w:before="60" w:after="60"/>
            </w:pPr>
            <w:r w:rsidRPr="00401D57">
              <w:rPr>
                <w:b/>
              </w:rPr>
              <w:t xml:space="preserve">Maine </w:t>
            </w:r>
          </w:p>
        </w:tc>
        <w:tc>
          <w:tcPr>
            <w:tcW w:w="1930" w:type="dxa"/>
            <w:vAlign w:val="center"/>
          </w:tcPr>
          <w:p w14:paraId="0A8C7703" w14:textId="77777777" w:rsidR="000D4F98" w:rsidRPr="005C518D" w:rsidRDefault="000D4F98" w:rsidP="00D76910">
            <w:pPr>
              <w:pStyle w:val="NCDTableText"/>
              <w:spacing w:before="60" w:after="60"/>
            </w:pPr>
            <w:r w:rsidRPr="005C518D">
              <w:t>8</w:t>
            </w:r>
            <w:r>
              <w:t>,</w:t>
            </w:r>
            <w:r w:rsidRPr="005C518D">
              <w:t>818</w:t>
            </w:r>
          </w:p>
        </w:tc>
        <w:tc>
          <w:tcPr>
            <w:tcW w:w="1930" w:type="dxa"/>
            <w:vAlign w:val="center"/>
          </w:tcPr>
          <w:p w14:paraId="49BE5534" w14:textId="77777777" w:rsidR="000D4F98" w:rsidRPr="005C518D" w:rsidRDefault="000D4F98" w:rsidP="00D76910">
            <w:pPr>
              <w:pStyle w:val="NCDTableText"/>
              <w:spacing w:before="60" w:after="60"/>
            </w:pPr>
            <w:r w:rsidRPr="005C518D">
              <w:t>8</w:t>
            </w:r>
            <w:r>
              <w:t>,</w:t>
            </w:r>
            <w:r w:rsidRPr="005C518D">
              <w:t>818</w:t>
            </w:r>
          </w:p>
        </w:tc>
        <w:tc>
          <w:tcPr>
            <w:tcW w:w="1930" w:type="dxa"/>
            <w:vAlign w:val="center"/>
          </w:tcPr>
          <w:p w14:paraId="25D77EB0" w14:textId="77777777" w:rsidR="000D4F98" w:rsidRPr="005C518D" w:rsidRDefault="000D4F98" w:rsidP="00D76910">
            <w:pPr>
              <w:pStyle w:val="NCDTableText"/>
              <w:spacing w:before="60" w:after="60"/>
            </w:pPr>
            <w:r w:rsidRPr="005C518D">
              <w:t>100</w:t>
            </w:r>
          </w:p>
        </w:tc>
        <w:tc>
          <w:tcPr>
            <w:tcW w:w="1930" w:type="dxa"/>
            <w:vAlign w:val="center"/>
          </w:tcPr>
          <w:p w14:paraId="5723F4C3" w14:textId="77777777" w:rsidR="000D4F98" w:rsidRPr="005C518D" w:rsidRDefault="000D4F98" w:rsidP="00D76910">
            <w:pPr>
              <w:pStyle w:val="NCDTableText"/>
              <w:spacing w:before="60" w:after="60"/>
            </w:pPr>
            <w:r w:rsidRPr="005C518D">
              <w:t>5.37</w:t>
            </w:r>
          </w:p>
        </w:tc>
      </w:tr>
      <w:tr w:rsidR="000D4F98" w14:paraId="445525E8" w14:textId="77777777" w:rsidTr="00D76910">
        <w:trPr>
          <w:trHeight w:val="151"/>
          <w:jc w:val="center"/>
        </w:trPr>
        <w:tc>
          <w:tcPr>
            <w:tcW w:w="1930" w:type="dxa"/>
          </w:tcPr>
          <w:p w14:paraId="3AF87D31" w14:textId="1D77227A" w:rsidR="000D4F98" w:rsidRPr="005C518D" w:rsidRDefault="00401D57" w:rsidP="00D76910">
            <w:pPr>
              <w:pStyle w:val="NCDTableText"/>
              <w:spacing w:before="60" w:after="60"/>
            </w:pPr>
            <w:r w:rsidRPr="00401D57">
              <w:rPr>
                <w:b/>
              </w:rPr>
              <w:t xml:space="preserve">Maryland </w:t>
            </w:r>
          </w:p>
        </w:tc>
        <w:tc>
          <w:tcPr>
            <w:tcW w:w="1930" w:type="dxa"/>
            <w:vAlign w:val="center"/>
          </w:tcPr>
          <w:p w14:paraId="69E7A4AE" w14:textId="77777777" w:rsidR="000D4F98" w:rsidRPr="005C518D" w:rsidRDefault="000D4F98" w:rsidP="00D76910">
            <w:pPr>
              <w:pStyle w:val="NCDTableText"/>
              <w:spacing w:before="60" w:after="60"/>
            </w:pPr>
            <w:r w:rsidRPr="005C518D">
              <w:t>20</w:t>
            </w:r>
            <w:r>
              <w:t>,</w:t>
            </w:r>
            <w:r w:rsidRPr="005C518D">
              <w:t>260</w:t>
            </w:r>
          </w:p>
        </w:tc>
        <w:tc>
          <w:tcPr>
            <w:tcW w:w="1930" w:type="dxa"/>
            <w:vAlign w:val="center"/>
          </w:tcPr>
          <w:p w14:paraId="76A585EB" w14:textId="77777777" w:rsidR="000D4F98" w:rsidRPr="005C518D" w:rsidRDefault="000D4F98" w:rsidP="00D76910">
            <w:pPr>
              <w:pStyle w:val="NCDTableText"/>
              <w:spacing w:before="60" w:after="60"/>
            </w:pPr>
            <w:r w:rsidRPr="005C518D">
              <w:t>25</w:t>
            </w:r>
            <w:r>
              <w:t>,</w:t>
            </w:r>
            <w:r w:rsidRPr="005C518D">
              <w:t>326</w:t>
            </w:r>
          </w:p>
        </w:tc>
        <w:tc>
          <w:tcPr>
            <w:tcW w:w="1930" w:type="dxa"/>
            <w:vAlign w:val="center"/>
          </w:tcPr>
          <w:p w14:paraId="470F78FD" w14:textId="77777777" w:rsidR="000D4F98" w:rsidRPr="005C518D" w:rsidRDefault="000D4F98" w:rsidP="00D76910">
            <w:pPr>
              <w:pStyle w:val="NCDTableText"/>
              <w:spacing w:before="60" w:after="60"/>
            </w:pPr>
            <w:r>
              <w:t>80</w:t>
            </w:r>
          </w:p>
        </w:tc>
        <w:tc>
          <w:tcPr>
            <w:tcW w:w="1930" w:type="dxa"/>
            <w:vAlign w:val="center"/>
          </w:tcPr>
          <w:p w14:paraId="37A15C0D" w14:textId="77777777" w:rsidR="000D4F98" w:rsidRPr="005C518D" w:rsidRDefault="000D4F98" w:rsidP="00D76910">
            <w:pPr>
              <w:pStyle w:val="NCDTableText"/>
              <w:spacing w:before="60" w:after="60"/>
            </w:pPr>
            <w:r w:rsidRPr="005C518D">
              <w:t>2.92</w:t>
            </w:r>
          </w:p>
        </w:tc>
      </w:tr>
      <w:tr w:rsidR="000D4F98" w14:paraId="01BBA7DA" w14:textId="77777777" w:rsidTr="00D76910">
        <w:trPr>
          <w:trHeight w:val="151"/>
          <w:jc w:val="center"/>
        </w:trPr>
        <w:tc>
          <w:tcPr>
            <w:tcW w:w="1930" w:type="dxa"/>
          </w:tcPr>
          <w:p w14:paraId="119BFE31" w14:textId="054C712E" w:rsidR="000D4F98" w:rsidRPr="005C518D" w:rsidRDefault="00401D57" w:rsidP="00D76910">
            <w:pPr>
              <w:pStyle w:val="NCDTableText"/>
              <w:spacing w:before="60" w:after="60"/>
            </w:pPr>
            <w:r w:rsidRPr="00401D57">
              <w:rPr>
                <w:b/>
              </w:rPr>
              <w:t xml:space="preserve">Massachusetts </w:t>
            </w:r>
          </w:p>
        </w:tc>
        <w:tc>
          <w:tcPr>
            <w:tcW w:w="1930" w:type="dxa"/>
            <w:vAlign w:val="center"/>
          </w:tcPr>
          <w:p w14:paraId="2873472A" w14:textId="77777777" w:rsidR="000D4F98" w:rsidRPr="005C518D" w:rsidRDefault="000D4F98" w:rsidP="00D76910">
            <w:pPr>
              <w:pStyle w:val="NCDTableText"/>
              <w:spacing w:before="60" w:after="60"/>
            </w:pPr>
            <w:r w:rsidRPr="005C518D">
              <w:t>30</w:t>
            </w:r>
            <w:r>
              <w:t>,</w:t>
            </w:r>
            <w:r w:rsidRPr="005C518D">
              <w:t>267</w:t>
            </w:r>
          </w:p>
        </w:tc>
        <w:tc>
          <w:tcPr>
            <w:tcW w:w="1930" w:type="dxa"/>
            <w:vAlign w:val="center"/>
          </w:tcPr>
          <w:p w14:paraId="697DD3EC" w14:textId="77777777" w:rsidR="000D4F98" w:rsidRPr="005C518D" w:rsidRDefault="000D4F98" w:rsidP="00D76910">
            <w:pPr>
              <w:pStyle w:val="NCDTableText"/>
              <w:spacing w:before="60" w:after="60"/>
            </w:pPr>
            <w:r w:rsidRPr="005C518D">
              <w:t>37</w:t>
            </w:r>
            <w:r>
              <w:t>,</w:t>
            </w:r>
            <w:r w:rsidRPr="005C518D">
              <w:t>835</w:t>
            </w:r>
          </w:p>
        </w:tc>
        <w:tc>
          <w:tcPr>
            <w:tcW w:w="1930" w:type="dxa"/>
            <w:vAlign w:val="center"/>
          </w:tcPr>
          <w:p w14:paraId="1B37F162" w14:textId="77777777" w:rsidR="000D4F98" w:rsidRPr="005C518D" w:rsidRDefault="000D4F98" w:rsidP="00D76910">
            <w:pPr>
              <w:pStyle w:val="NCDTableText"/>
              <w:spacing w:before="60" w:after="60"/>
            </w:pPr>
            <w:r w:rsidRPr="005C518D">
              <w:t>80</w:t>
            </w:r>
          </w:p>
        </w:tc>
        <w:tc>
          <w:tcPr>
            <w:tcW w:w="1930" w:type="dxa"/>
            <w:vAlign w:val="center"/>
          </w:tcPr>
          <w:p w14:paraId="4C33FE9D" w14:textId="77777777" w:rsidR="000D4F98" w:rsidRPr="005C518D" w:rsidRDefault="000D4F98" w:rsidP="00D76910">
            <w:pPr>
              <w:pStyle w:val="NCDTableText"/>
              <w:spacing w:before="60" w:after="60"/>
            </w:pPr>
            <w:r w:rsidRPr="005C518D">
              <w:t>2.92</w:t>
            </w:r>
          </w:p>
        </w:tc>
      </w:tr>
      <w:tr w:rsidR="000D4F98" w14:paraId="35AE4461" w14:textId="77777777" w:rsidTr="00D76910">
        <w:trPr>
          <w:trHeight w:val="151"/>
          <w:jc w:val="center"/>
        </w:trPr>
        <w:tc>
          <w:tcPr>
            <w:tcW w:w="1930" w:type="dxa"/>
          </w:tcPr>
          <w:p w14:paraId="17230F5E" w14:textId="0BB6FD9D" w:rsidR="000D4F98" w:rsidRPr="005C518D" w:rsidRDefault="00401D57" w:rsidP="00D76910">
            <w:pPr>
              <w:pStyle w:val="NCDTableText"/>
              <w:spacing w:before="60" w:after="60"/>
            </w:pPr>
            <w:r w:rsidRPr="00401D57">
              <w:rPr>
                <w:b/>
              </w:rPr>
              <w:t xml:space="preserve">Michigan </w:t>
            </w:r>
          </w:p>
        </w:tc>
        <w:tc>
          <w:tcPr>
            <w:tcW w:w="1930" w:type="dxa"/>
            <w:vAlign w:val="center"/>
          </w:tcPr>
          <w:p w14:paraId="37115355" w14:textId="77777777" w:rsidR="000D4F98" w:rsidRPr="005C518D" w:rsidRDefault="000D4F98" w:rsidP="00D76910">
            <w:pPr>
              <w:pStyle w:val="NCDTableText"/>
              <w:spacing w:before="60" w:after="60"/>
            </w:pPr>
            <w:r w:rsidRPr="005C518D">
              <w:t>34</w:t>
            </w:r>
            <w:r>
              <w:t>,</w:t>
            </w:r>
            <w:r w:rsidRPr="005C518D">
              <w:t>658</w:t>
            </w:r>
          </w:p>
        </w:tc>
        <w:tc>
          <w:tcPr>
            <w:tcW w:w="1930" w:type="dxa"/>
            <w:vAlign w:val="center"/>
          </w:tcPr>
          <w:p w14:paraId="2EB6A79E" w14:textId="77777777" w:rsidR="000D4F98" w:rsidRPr="005C518D" w:rsidRDefault="000D4F98" w:rsidP="00D76910">
            <w:pPr>
              <w:pStyle w:val="NCDTableText"/>
              <w:spacing w:before="60" w:after="60"/>
            </w:pPr>
            <w:r w:rsidRPr="005C518D">
              <w:t>43</w:t>
            </w:r>
            <w:r>
              <w:t>,</w:t>
            </w:r>
            <w:r w:rsidRPr="005C518D">
              <w:t>322</w:t>
            </w:r>
          </w:p>
        </w:tc>
        <w:tc>
          <w:tcPr>
            <w:tcW w:w="1930" w:type="dxa"/>
            <w:vAlign w:val="center"/>
          </w:tcPr>
          <w:p w14:paraId="304913AB" w14:textId="77777777" w:rsidR="000D4F98" w:rsidRPr="005C518D" w:rsidRDefault="000D4F98" w:rsidP="00D76910">
            <w:pPr>
              <w:pStyle w:val="NCDTableText"/>
              <w:spacing w:before="60" w:after="60"/>
            </w:pPr>
            <w:r w:rsidRPr="005C518D">
              <w:t>80</w:t>
            </w:r>
          </w:p>
        </w:tc>
        <w:tc>
          <w:tcPr>
            <w:tcW w:w="1930" w:type="dxa"/>
            <w:vAlign w:val="center"/>
          </w:tcPr>
          <w:p w14:paraId="7E845498" w14:textId="77777777" w:rsidR="000D4F98" w:rsidRPr="005C518D" w:rsidRDefault="000D4F98" w:rsidP="00D76910">
            <w:pPr>
              <w:pStyle w:val="NCDTableText"/>
              <w:spacing w:before="60" w:after="60"/>
            </w:pPr>
            <w:r w:rsidRPr="005C518D">
              <w:t>2.53</w:t>
            </w:r>
          </w:p>
        </w:tc>
      </w:tr>
      <w:tr w:rsidR="000D4F98" w14:paraId="5D03DA41" w14:textId="77777777" w:rsidTr="00D76910">
        <w:trPr>
          <w:trHeight w:val="151"/>
          <w:jc w:val="center"/>
        </w:trPr>
        <w:tc>
          <w:tcPr>
            <w:tcW w:w="1930" w:type="dxa"/>
          </w:tcPr>
          <w:p w14:paraId="79820C22" w14:textId="6AB3D56A" w:rsidR="000D4F98" w:rsidRPr="005C518D" w:rsidRDefault="00401D57" w:rsidP="00D76910">
            <w:pPr>
              <w:pStyle w:val="NCDTableText"/>
              <w:spacing w:before="60" w:after="60"/>
            </w:pPr>
            <w:r w:rsidRPr="00401D57">
              <w:rPr>
                <w:b/>
              </w:rPr>
              <w:t xml:space="preserve">Minnesota </w:t>
            </w:r>
          </w:p>
        </w:tc>
        <w:tc>
          <w:tcPr>
            <w:tcW w:w="1930" w:type="dxa"/>
            <w:vAlign w:val="center"/>
          </w:tcPr>
          <w:p w14:paraId="0D187ED3" w14:textId="77777777" w:rsidR="000D4F98" w:rsidRPr="005C518D" w:rsidRDefault="000D4F98" w:rsidP="00D76910">
            <w:pPr>
              <w:pStyle w:val="NCDTableText"/>
              <w:spacing w:before="60" w:after="60"/>
            </w:pPr>
            <w:r w:rsidRPr="005C518D">
              <w:t>26</w:t>
            </w:r>
            <w:r>
              <w:t>,</w:t>
            </w:r>
            <w:r w:rsidRPr="005C518D">
              <w:t>576</w:t>
            </w:r>
          </w:p>
        </w:tc>
        <w:tc>
          <w:tcPr>
            <w:tcW w:w="1930" w:type="dxa"/>
            <w:vAlign w:val="center"/>
          </w:tcPr>
          <w:p w14:paraId="7FC60B89" w14:textId="77777777" w:rsidR="000D4F98" w:rsidRPr="005C518D" w:rsidRDefault="000D4F98" w:rsidP="00D76910">
            <w:pPr>
              <w:pStyle w:val="NCDTableText"/>
              <w:spacing w:before="60" w:after="60"/>
            </w:pPr>
            <w:r w:rsidRPr="005C518D">
              <w:t>33</w:t>
            </w:r>
            <w:r>
              <w:t>,</w:t>
            </w:r>
            <w:r w:rsidRPr="005C518D">
              <w:t>227</w:t>
            </w:r>
          </w:p>
        </w:tc>
        <w:tc>
          <w:tcPr>
            <w:tcW w:w="1930" w:type="dxa"/>
            <w:vAlign w:val="center"/>
          </w:tcPr>
          <w:p w14:paraId="6BB59162" w14:textId="77777777" w:rsidR="000D4F98" w:rsidRPr="005C518D" w:rsidRDefault="000D4F98" w:rsidP="00D76910">
            <w:pPr>
              <w:pStyle w:val="NCDTableText"/>
              <w:spacing w:before="60" w:after="60"/>
            </w:pPr>
            <w:r>
              <w:t>80</w:t>
            </w:r>
          </w:p>
        </w:tc>
        <w:tc>
          <w:tcPr>
            <w:tcW w:w="1930" w:type="dxa"/>
            <w:vAlign w:val="center"/>
          </w:tcPr>
          <w:p w14:paraId="2F975E27" w14:textId="77777777" w:rsidR="000D4F98" w:rsidRPr="005C518D" w:rsidRDefault="000D4F98" w:rsidP="00D76910">
            <w:pPr>
              <w:pStyle w:val="NCDTableText"/>
              <w:spacing w:before="60" w:after="60"/>
            </w:pPr>
            <w:r w:rsidRPr="005C518D">
              <w:t>4.86</w:t>
            </w:r>
          </w:p>
        </w:tc>
      </w:tr>
      <w:tr w:rsidR="000D4F98" w14:paraId="21799548" w14:textId="77777777" w:rsidTr="00D76910">
        <w:trPr>
          <w:trHeight w:val="151"/>
          <w:jc w:val="center"/>
        </w:trPr>
        <w:tc>
          <w:tcPr>
            <w:tcW w:w="1930" w:type="dxa"/>
          </w:tcPr>
          <w:p w14:paraId="77D8D284" w14:textId="7F9747D9" w:rsidR="000D4F98" w:rsidRPr="005C518D" w:rsidRDefault="00401D57" w:rsidP="00D76910">
            <w:pPr>
              <w:pStyle w:val="NCDTableText"/>
              <w:spacing w:before="60" w:after="60"/>
            </w:pPr>
            <w:r w:rsidRPr="00401D57">
              <w:rPr>
                <w:b/>
              </w:rPr>
              <w:t xml:space="preserve">Mississippi </w:t>
            </w:r>
          </w:p>
        </w:tc>
        <w:tc>
          <w:tcPr>
            <w:tcW w:w="1930" w:type="dxa"/>
            <w:vAlign w:val="center"/>
          </w:tcPr>
          <w:p w14:paraId="5411092A" w14:textId="77777777" w:rsidR="000D4F98" w:rsidRPr="005C518D" w:rsidRDefault="000D4F98" w:rsidP="00D76910">
            <w:pPr>
              <w:pStyle w:val="NCDTableText"/>
              <w:spacing w:before="60" w:after="60"/>
            </w:pPr>
            <w:r w:rsidRPr="005C518D">
              <w:t>11</w:t>
            </w:r>
            <w:r>
              <w:t>,</w:t>
            </w:r>
            <w:r w:rsidRPr="005C518D">
              <w:t>304</w:t>
            </w:r>
          </w:p>
        </w:tc>
        <w:tc>
          <w:tcPr>
            <w:tcW w:w="1930" w:type="dxa"/>
            <w:vAlign w:val="center"/>
          </w:tcPr>
          <w:p w14:paraId="2C9969CC" w14:textId="77777777" w:rsidR="000D4F98" w:rsidRPr="005C518D" w:rsidRDefault="000D4F98" w:rsidP="00D76910">
            <w:pPr>
              <w:pStyle w:val="NCDTableText"/>
              <w:spacing w:before="60" w:after="60"/>
            </w:pPr>
            <w:r w:rsidRPr="005C518D">
              <w:t>11</w:t>
            </w:r>
            <w:r>
              <w:t>,</w:t>
            </w:r>
            <w:r w:rsidRPr="005C518D">
              <w:t>305</w:t>
            </w:r>
          </w:p>
        </w:tc>
        <w:tc>
          <w:tcPr>
            <w:tcW w:w="1930" w:type="dxa"/>
            <w:vAlign w:val="center"/>
          </w:tcPr>
          <w:p w14:paraId="147C9346" w14:textId="77777777" w:rsidR="000D4F98" w:rsidRPr="005C518D" w:rsidRDefault="000D4F98" w:rsidP="00D76910">
            <w:pPr>
              <w:pStyle w:val="NCDTableText"/>
              <w:spacing w:before="60" w:after="60"/>
            </w:pPr>
            <w:r w:rsidRPr="005C518D">
              <w:t>100</w:t>
            </w:r>
          </w:p>
        </w:tc>
        <w:tc>
          <w:tcPr>
            <w:tcW w:w="1930" w:type="dxa"/>
            <w:vAlign w:val="center"/>
          </w:tcPr>
          <w:p w14:paraId="0A2AA7F2" w14:textId="77777777" w:rsidR="000D4F98" w:rsidRPr="005C518D" w:rsidRDefault="000D4F98" w:rsidP="00D76910">
            <w:pPr>
              <w:pStyle w:val="NCDTableText"/>
              <w:spacing w:before="60" w:after="60"/>
            </w:pPr>
            <w:r w:rsidRPr="005C518D">
              <w:t>3.55</w:t>
            </w:r>
          </w:p>
        </w:tc>
      </w:tr>
      <w:tr w:rsidR="000D4F98" w14:paraId="2F69C8FC" w14:textId="77777777" w:rsidTr="00D76910">
        <w:trPr>
          <w:trHeight w:val="151"/>
          <w:jc w:val="center"/>
        </w:trPr>
        <w:tc>
          <w:tcPr>
            <w:tcW w:w="1930" w:type="dxa"/>
          </w:tcPr>
          <w:p w14:paraId="50609EA2" w14:textId="0FA001B0" w:rsidR="000D4F98" w:rsidRPr="005C518D" w:rsidRDefault="00401D57" w:rsidP="00D76910">
            <w:pPr>
              <w:pStyle w:val="NCDTableText"/>
              <w:spacing w:before="60" w:after="60"/>
            </w:pPr>
            <w:r w:rsidRPr="00401D57">
              <w:rPr>
                <w:b/>
              </w:rPr>
              <w:t xml:space="preserve">Missouri </w:t>
            </w:r>
          </w:p>
        </w:tc>
        <w:tc>
          <w:tcPr>
            <w:tcW w:w="1930" w:type="dxa"/>
            <w:vAlign w:val="center"/>
          </w:tcPr>
          <w:p w14:paraId="25B27E86" w14:textId="77777777" w:rsidR="000D4F98" w:rsidRPr="005C518D" w:rsidRDefault="000D4F98" w:rsidP="00D76910">
            <w:pPr>
              <w:pStyle w:val="NCDTableText"/>
              <w:spacing w:before="60" w:after="60"/>
            </w:pPr>
            <w:r w:rsidRPr="005C518D">
              <w:t>20</w:t>
            </w:r>
            <w:r>
              <w:t>,</w:t>
            </w:r>
            <w:r w:rsidRPr="005C518D">
              <w:t>574</w:t>
            </w:r>
          </w:p>
        </w:tc>
        <w:tc>
          <w:tcPr>
            <w:tcW w:w="1930" w:type="dxa"/>
            <w:vAlign w:val="center"/>
          </w:tcPr>
          <w:p w14:paraId="4BACB412" w14:textId="77777777" w:rsidR="000D4F98" w:rsidRPr="005C518D" w:rsidRDefault="000D4F98" w:rsidP="00D76910">
            <w:pPr>
              <w:pStyle w:val="NCDTableText"/>
              <w:spacing w:before="60" w:after="60"/>
            </w:pPr>
            <w:r w:rsidRPr="005C518D">
              <w:t>25</w:t>
            </w:r>
            <w:r>
              <w:t>,</w:t>
            </w:r>
            <w:r w:rsidRPr="005C518D">
              <w:t>720</w:t>
            </w:r>
          </w:p>
        </w:tc>
        <w:tc>
          <w:tcPr>
            <w:tcW w:w="1930" w:type="dxa"/>
            <w:vAlign w:val="center"/>
          </w:tcPr>
          <w:p w14:paraId="3B84E4C4" w14:textId="77777777" w:rsidR="000D4F98" w:rsidRPr="005C518D" w:rsidRDefault="000D4F98" w:rsidP="00D76910">
            <w:pPr>
              <w:pStyle w:val="NCDTableText"/>
              <w:spacing w:before="60" w:after="60"/>
            </w:pPr>
            <w:r>
              <w:t>80</w:t>
            </w:r>
          </w:p>
        </w:tc>
        <w:tc>
          <w:tcPr>
            <w:tcW w:w="1930" w:type="dxa"/>
            <w:vAlign w:val="center"/>
          </w:tcPr>
          <w:p w14:paraId="7448FEF4" w14:textId="77777777" w:rsidR="000D4F98" w:rsidRPr="005C518D" w:rsidRDefault="000D4F98" w:rsidP="00D76910">
            <w:pPr>
              <w:pStyle w:val="NCDTableText"/>
              <w:spacing w:before="60" w:after="60"/>
            </w:pPr>
            <w:r w:rsidRPr="005C518D">
              <w:t>5.33</w:t>
            </w:r>
          </w:p>
        </w:tc>
      </w:tr>
      <w:tr w:rsidR="000D4F98" w14:paraId="17F1A6C4" w14:textId="77777777" w:rsidTr="00D76910">
        <w:trPr>
          <w:trHeight w:val="151"/>
          <w:jc w:val="center"/>
        </w:trPr>
        <w:tc>
          <w:tcPr>
            <w:tcW w:w="1930" w:type="dxa"/>
          </w:tcPr>
          <w:p w14:paraId="08502612" w14:textId="2F335E30" w:rsidR="000D4F98" w:rsidRPr="005C518D" w:rsidRDefault="00401D57" w:rsidP="00D76910">
            <w:pPr>
              <w:pStyle w:val="NCDTableText"/>
              <w:spacing w:before="60" w:after="60"/>
            </w:pPr>
            <w:r w:rsidRPr="00401D57">
              <w:rPr>
                <w:b/>
              </w:rPr>
              <w:t xml:space="preserve">Montana </w:t>
            </w:r>
          </w:p>
        </w:tc>
        <w:tc>
          <w:tcPr>
            <w:tcW w:w="1930" w:type="dxa"/>
            <w:vAlign w:val="center"/>
          </w:tcPr>
          <w:p w14:paraId="05D12EB3" w14:textId="77777777" w:rsidR="000D4F98" w:rsidRPr="005C518D" w:rsidRDefault="000D4F98" w:rsidP="00D76910">
            <w:pPr>
              <w:pStyle w:val="NCDTableText"/>
              <w:spacing w:before="60" w:after="60"/>
            </w:pPr>
            <w:r w:rsidRPr="005C518D">
              <w:t>3</w:t>
            </w:r>
            <w:r>
              <w:t>,</w:t>
            </w:r>
            <w:r w:rsidRPr="005C518D">
              <w:t>149</w:t>
            </w:r>
          </w:p>
        </w:tc>
        <w:tc>
          <w:tcPr>
            <w:tcW w:w="1930" w:type="dxa"/>
            <w:vAlign w:val="center"/>
          </w:tcPr>
          <w:p w14:paraId="44F9384F" w14:textId="77777777" w:rsidR="000D4F98" w:rsidRPr="005C518D" w:rsidRDefault="000D4F98" w:rsidP="00D76910">
            <w:pPr>
              <w:pStyle w:val="NCDTableText"/>
              <w:spacing w:before="60" w:after="60"/>
            </w:pPr>
            <w:r w:rsidRPr="005C518D">
              <w:t>3</w:t>
            </w:r>
            <w:r>
              <w:t>,</w:t>
            </w:r>
            <w:r w:rsidRPr="005C518D">
              <w:t>150</w:t>
            </w:r>
          </w:p>
        </w:tc>
        <w:tc>
          <w:tcPr>
            <w:tcW w:w="1930" w:type="dxa"/>
            <w:vAlign w:val="center"/>
          </w:tcPr>
          <w:p w14:paraId="27F1F9C7" w14:textId="77777777" w:rsidR="000D4F98" w:rsidRPr="005C518D" w:rsidRDefault="000D4F98" w:rsidP="00D76910">
            <w:pPr>
              <w:pStyle w:val="NCDTableText"/>
              <w:spacing w:before="60" w:after="60"/>
            </w:pPr>
            <w:r w:rsidRPr="005C518D">
              <w:t>100</w:t>
            </w:r>
          </w:p>
        </w:tc>
        <w:tc>
          <w:tcPr>
            <w:tcW w:w="1930" w:type="dxa"/>
            <w:vAlign w:val="center"/>
          </w:tcPr>
          <w:p w14:paraId="09082149" w14:textId="77777777" w:rsidR="000D4F98" w:rsidRPr="005C518D" w:rsidRDefault="000D4F98" w:rsidP="00D76910">
            <w:pPr>
              <w:pStyle w:val="NCDTableText"/>
              <w:spacing w:before="60" w:after="60"/>
            </w:pPr>
            <w:r w:rsidRPr="005C518D">
              <w:t>1.84</w:t>
            </w:r>
          </w:p>
        </w:tc>
      </w:tr>
      <w:tr w:rsidR="000D4F98" w14:paraId="32F3BD0B" w14:textId="77777777" w:rsidTr="00D76910">
        <w:trPr>
          <w:trHeight w:val="151"/>
          <w:jc w:val="center"/>
        </w:trPr>
        <w:tc>
          <w:tcPr>
            <w:tcW w:w="1930" w:type="dxa"/>
            <w:tcBorders>
              <w:top w:val="single" w:sz="4" w:space="0" w:color="auto"/>
              <w:left w:val="single" w:sz="4" w:space="0" w:color="auto"/>
              <w:bottom w:val="single" w:sz="4" w:space="0" w:color="auto"/>
              <w:right w:val="single" w:sz="4" w:space="0" w:color="auto"/>
            </w:tcBorders>
          </w:tcPr>
          <w:p w14:paraId="2C977E5A" w14:textId="7008072A" w:rsidR="000D4F98" w:rsidRPr="005C518D" w:rsidRDefault="00401D57" w:rsidP="00D76910">
            <w:pPr>
              <w:pStyle w:val="NCDTableText"/>
              <w:spacing w:before="60" w:after="60"/>
              <w:rPr>
                <w:b/>
              </w:rPr>
            </w:pPr>
            <w:r w:rsidRPr="00401D57">
              <w:rPr>
                <w:b/>
              </w:rPr>
              <w:t xml:space="preserve">Nebraska </w:t>
            </w:r>
          </w:p>
        </w:tc>
        <w:tc>
          <w:tcPr>
            <w:tcW w:w="1930" w:type="dxa"/>
            <w:tcBorders>
              <w:top w:val="single" w:sz="4" w:space="0" w:color="auto"/>
              <w:left w:val="single" w:sz="4" w:space="0" w:color="auto"/>
              <w:bottom w:val="single" w:sz="4" w:space="0" w:color="auto"/>
              <w:right w:val="single" w:sz="4" w:space="0" w:color="auto"/>
            </w:tcBorders>
            <w:vAlign w:val="center"/>
          </w:tcPr>
          <w:p w14:paraId="4AD711AB" w14:textId="77777777" w:rsidR="000D4F98" w:rsidRPr="005C518D" w:rsidRDefault="000D4F98" w:rsidP="00D76910">
            <w:pPr>
              <w:pStyle w:val="NCDTableText"/>
              <w:spacing w:before="60" w:after="60"/>
            </w:pPr>
            <w:r w:rsidRPr="005C518D">
              <w:t>3</w:t>
            </w:r>
            <w:r>
              <w:t>,</w:t>
            </w:r>
            <w:r w:rsidRPr="005C518D">
              <w:t>618</w:t>
            </w:r>
          </w:p>
        </w:tc>
        <w:tc>
          <w:tcPr>
            <w:tcW w:w="1930" w:type="dxa"/>
            <w:tcBorders>
              <w:top w:val="single" w:sz="4" w:space="0" w:color="auto"/>
              <w:left w:val="single" w:sz="4" w:space="0" w:color="auto"/>
              <w:bottom w:val="single" w:sz="4" w:space="0" w:color="auto"/>
              <w:right w:val="single" w:sz="4" w:space="0" w:color="auto"/>
            </w:tcBorders>
            <w:vAlign w:val="center"/>
          </w:tcPr>
          <w:p w14:paraId="37CDB832" w14:textId="77777777" w:rsidR="000D4F98" w:rsidRPr="005C518D" w:rsidRDefault="000D4F98" w:rsidP="00D76910">
            <w:pPr>
              <w:pStyle w:val="NCDTableText"/>
              <w:spacing w:before="60" w:after="60"/>
            </w:pPr>
            <w:r w:rsidRPr="005C518D">
              <w:t>3</w:t>
            </w:r>
            <w:r>
              <w:t>,</w:t>
            </w:r>
            <w:r w:rsidRPr="005C518D">
              <w:t>619</w:t>
            </w:r>
          </w:p>
        </w:tc>
        <w:tc>
          <w:tcPr>
            <w:tcW w:w="1930" w:type="dxa"/>
            <w:tcBorders>
              <w:top w:val="single" w:sz="4" w:space="0" w:color="auto"/>
              <w:left w:val="single" w:sz="4" w:space="0" w:color="auto"/>
              <w:bottom w:val="single" w:sz="4" w:space="0" w:color="auto"/>
              <w:right w:val="single" w:sz="4" w:space="0" w:color="auto"/>
            </w:tcBorders>
            <w:vAlign w:val="center"/>
          </w:tcPr>
          <w:p w14:paraId="6A201F4B" w14:textId="77777777" w:rsidR="000D4F98" w:rsidRPr="005C518D" w:rsidRDefault="000D4F98" w:rsidP="00D76910">
            <w:pPr>
              <w:pStyle w:val="NCDTableText"/>
              <w:spacing w:before="60" w:after="60"/>
            </w:pPr>
            <w:r w:rsidRPr="005C518D">
              <w:t>100</w:t>
            </w:r>
          </w:p>
        </w:tc>
        <w:tc>
          <w:tcPr>
            <w:tcW w:w="1930" w:type="dxa"/>
            <w:tcBorders>
              <w:top w:val="single" w:sz="4" w:space="0" w:color="auto"/>
              <w:left w:val="single" w:sz="4" w:space="0" w:color="auto"/>
              <w:bottom w:val="single" w:sz="4" w:space="0" w:color="auto"/>
              <w:right w:val="single" w:sz="4" w:space="0" w:color="auto"/>
            </w:tcBorders>
            <w:vAlign w:val="center"/>
          </w:tcPr>
          <w:p w14:paraId="6D5D64DF" w14:textId="77777777" w:rsidR="000D4F98" w:rsidRPr="005C518D" w:rsidRDefault="000D4F98" w:rsidP="00D76910">
            <w:pPr>
              <w:pStyle w:val="NCDTableText"/>
              <w:spacing w:before="60" w:after="60"/>
            </w:pPr>
            <w:r>
              <w:t>3.50</w:t>
            </w:r>
          </w:p>
        </w:tc>
      </w:tr>
      <w:tr w:rsidR="000D4F98" w14:paraId="6B36A023" w14:textId="77777777" w:rsidTr="00D76910">
        <w:trPr>
          <w:trHeight w:val="151"/>
          <w:jc w:val="center"/>
        </w:trPr>
        <w:tc>
          <w:tcPr>
            <w:tcW w:w="1930" w:type="dxa"/>
            <w:tcBorders>
              <w:top w:val="single" w:sz="4" w:space="0" w:color="auto"/>
              <w:left w:val="single" w:sz="4" w:space="0" w:color="auto"/>
              <w:bottom w:val="single" w:sz="4" w:space="0" w:color="auto"/>
              <w:right w:val="single" w:sz="4" w:space="0" w:color="auto"/>
            </w:tcBorders>
          </w:tcPr>
          <w:p w14:paraId="4BA81667" w14:textId="082BE91B" w:rsidR="000D4F98" w:rsidRPr="005C518D" w:rsidRDefault="00401D57" w:rsidP="00D76910">
            <w:pPr>
              <w:pStyle w:val="NCDTableText"/>
              <w:spacing w:before="60" w:after="60"/>
              <w:rPr>
                <w:b/>
              </w:rPr>
            </w:pPr>
            <w:r w:rsidRPr="00401D57">
              <w:rPr>
                <w:b/>
              </w:rPr>
              <w:lastRenderedPageBreak/>
              <w:t xml:space="preserve">New Hampshire </w:t>
            </w:r>
          </w:p>
        </w:tc>
        <w:tc>
          <w:tcPr>
            <w:tcW w:w="1930" w:type="dxa"/>
            <w:tcBorders>
              <w:top w:val="single" w:sz="4" w:space="0" w:color="auto"/>
              <w:left w:val="single" w:sz="4" w:space="0" w:color="auto"/>
              <w:bottom w:val="single" w:sz="4" w:space="0" w:color="auto"/>
              <w:right w:val="single" w:sz="4" w:space="0" w:color="auto"/>
            </w:tcBorders>
            <w:vAlign w:val="center"/>
          </w:tcPr>
          <w:p w14:paraId="0A704B3B" w14:textId="77777777" w:rsidR="000D4F98" w:rsidRPr="005C518D" w:rsidRDefault="000D4F98" w:rsidP="00D76910">
            <w:pPr>
              <w:pStyle w:val="NCDTableText"/>
              <w:spacing w:before="60" w:after="60"/>
            </w:pPr>
            <w:r w:rsidRPr="005C518D">
              <w:t>5</w:t>
            </w:r>
            <w:r>
              <w:t>,</w:t>
            </w:r>
            <w:r w:rsidRPr="005C518D">
              <w:t>554</w:t>
            </w:r>
          </w:p>
        </w:tc>
        <w:tc>
          <w:tcPr>
            <w:tcW w:w="1930" w:type="dxa"/>
            <w:tcBorders>
              <w:top w:val="single" w:sz="4" w:space="0" w:color="auto"/>
              <w:left w:val="single" w:sz="4" w:space="0" w:color="auto"/>
              <w:bottom w:val="single" w:sz="4" w:space="0" w:color="auto"/>
              <w:right w:val="single" w:sz="4" w:space="0" w:color="auto"/>
            </w:tcBorders>
            <w:vAlign w:val="center"/>
          </w:tcPr>
          <w:p w14:paraId="1102D9CC" w14:textId="77777777" w:rsidR="000D4F98" w:rsidRPr="005C518D" w:rsidRDefault="000D4F98" w:rsidP="00D76910">
            <w:pPr>
              <w:pStyle w:val="NCDTableText"/>
              <w:spacing w:before="60" w:after="60"/>
            </w:pPr>
            <w:r w:rsidRPr="005C518D">
              <w:t>5</w:t>
            </w:r>
            <w:r>
              <w:t>,</w:t>
            </w:r>
            <w:r w:rsidRPr="005C518D">
              <w:t>555</w:t>
            </w:r>
          </w:p>
        </w:tc>
        <w:tc>
          <w:tcPr>
            <w:tcW w:w="1930" w:type="dxa"/>
            <w:tcBorders>
              <w:top w:val="single" w:sz="4" w:space="0" w:color="auto"/>
              <w:left w:val="single" w:sz="4" w:space="0" w:color="auto"/>
              <w:bottom w:val="single" w:sz="4" w:space="0" w:color="auto"/>
              <w:right w:val="single" w:sz="4" w:space="0" w:color="auto"/>
            </w:tcBorders>
            <w:vAlign w:val="center"/>
          </w:tcPr>
          <w:p w14:paraId="356A25E6" w14:textId="77777777" w:rsidR="000D4F98" w:rsidRPr="005C518D" w:rsidRDefault="000D4F98" w:rsidP="00D76910">
            <w:pPr>
              <w:pStyle w:val="NCDTableText"/>
              <w:spacing w:before="60" w:after="60"/>
            </w:pPr>
            <w:r w:rsidRPr="005C518D">
              <w:t>100</w:t>
            </w:r>
          </w:p>
        </w:tc>
        <w:tc>
          <w:tcPr>
            <w:tcW w:w="1930" w:type="dxa"/>
            <w:tcBorders>
              <w:top w:val="single" w:sz="4" w:space="0" w:color="auto"/>
              <w:left w:val="single" w:sz="4" w:space="0" w:color="auto"/>
              <w:bottom w:val="single" w:sz="4" w:space="0" w:color="auto"/>
              <w:right w:val="single" w:sz="4" w:space="0" w:color="auto"/>
            </w:tcBorders>
            <w:vAlign w:val="center"/>
          </w:tcPr>
          <w:p w14:paraId="443CCAA3" w14:textId="77777777" w:rsidR="000D4F98" w:rsidRPr="005C518D" w:rsidRDefault="000D4F98" w:rsidP="00D76910">
            <w:pPr>
              <w:pStyle w:val="NCDTableText"/>
              <w:spacing w:before="60" w:after="60"/>
            </w:pPr>
            <w:r>
              <w:t>4.07</w:t>
            </w:r>
          </w:p>
        </w:tc>
      </w:tr>
      <w:tr w:rsidR="000D4F98" w14:paraId="5D38E7F9" w14:textId="77777777" w:rsidTr="00D76910">
        <w:trPr>
          <w:trHeight w:val="151"/>
          <w:jc w:val="center"/>
        </w:trPr>
        <w:tc>
          <w:tcPr>
            <w:tcW w:w="1930" w:type="dxa"/>
            <w:tcBorders>
              <w:top w:val="single" w:sz="4" w:space="0" w:color="auto"/>
              <w:left w:val="single" w:sz="4" w:space="0" w:color="auto"/>
              <w:bottom w:val="single" w:sz="4" w:space="0" w:color="auto"/>
              <w:right w:val="single" w:sz="4" w:space="0" w:color="auto"/>
            </w:tcBorders>
          </w:tcPr>
          <w:p w14:paraId="29AA3F26" w14:textId="27597B53" w:rsidR="000D4F98" w:rsidRPr="005C518D" w:rsidRDefault="00401D57" w:rsidP="00D76910">
            <w:pPr>
              <w:pStyle w:val="NCDTableText"/>
              <w:spacing w:before="60" w:after="60"/>
              <w:rPr>
                <w:b/>
              </w:rPr>
            </w:pPr>
            <w:r w:rsidRPr="00401D57">
              <w:rPr>
                <w:b/>
              </w:rPr>
              <w:t xml:space="preserve">New Jersey </w:t>
            </w:r>
          </w:p>
        </w:tc>
        <w:tc>
          <w:tcPr>
            <w:tcW w:w="1930" w:type="dxa"/>
            <w:tcBorders>
              <w:top w:val="single" w:sz="4" w:space="0" w:color="auto"/>
              <w:left w:val="single" w:sz="4" w:space="0" w:color="auto"/>
              <w:bottom w:val="single" w:sz="4" w:space="0" w:color="auto"/>
              <w:right w:val="single" w:sz="4" w:space="0" w:color="auto"/>
            </w:tcBorders>
            <w:vAlign w:val="center"/>
          </w:tcPr>
          <w:p w14:paraId="034565F5" w14:textId="77777777" w:rsidR="000D4F98" w:rsidRPr="005C518D" w:rsidRDefault="000D4F98" w:rsidP="00D76910">
            <w:pPr>
              <w:pStyle w:val="NCDTableText"/>
              <w:spacing w:before="60" w:after="60"/>
            </w:pPr>
            <w:r w:rsidRPr="005C518D">
              <w:t>24</w:t>
            </w:r>
            <w:r>
              <w:t>,</w:t>
            </w:r>
            <w:r w:rsidRPr="005C518D">
              <w:t>527</w:t>
            </w:r>
          </w:p>
        </w:tc>
        <w:tc>
          <w:tcPr>
            <w:tcW w:w="1930" w:type="dxa"/>
            <w:tcBorders>
              <w:top w:val="single" w:sz="4" w:space="0" w:color="auto"/>
              <w:left w:val="single" w:sz="4" w:space="0" w:color="auto"/>
              <w:bottom w:val="single" w:sz="4" w:space="0" w:color="auto"/>
              <w:right w:val="single" w:sz="4" w:space="0" w:color="auto"/>
            </w:tcBorders>
            <w:vAlign w:val="center"/>
          </w:tcPr>
          <w:p w14:paraId="1865109E" w14:textId="77777777" w:rsidR="000D4F98" w:rsidRPr="005C518D" w:rsidRDefault="000D4F98" w:rsidP="00D76910">
            <w:pPr>
              <w:pStyle w:val="NCDTableText"/>
              <w:spacing w:before="60" w:after="60"/>
            </w:pPr>
            <w:r w:rsidRPr="005C518D">
              <w:t>30</w:t>
            </w:r>
            <w:r>
              <w:t>,</w:t>
            </w:r>
            <w:r w:rsidRPr="005C518D">
              <w:t>667</w:t>
            </w:r>
          </w:p>
        </w:tc>
        <w:tc>
          <w:tcPr>
            <w:tcW w:w="1930" w:type="dxa"/>
            <w:tcBorders>
              <w:top w:val="single" w:sz="4" w:space="0" w:color="auto"/>
              <w:left w:val="single" w:sz="4" w:space="0" w:color="auto"/>
              <w:bottom w:val="single" w:sz="4" w:space="0" w:color="auto"/>
              <w:right w:val="single" w:sz="4" w:space="0" w:color="auto"/>
            </w:tcBorders>
            <w:vAlign w:val="center"/>
          </w:tcPr>
          <w:p w14:paraId="783B421B" w14:textId="77777777" w:rsidR="000D4F98" w:rsidRPr="005C518D" w:rsidRDefault="000D4F98" w:rsidP="00D76910">
            <w:pPr>
              <w:pStyle w:val="NCDTableText"/>
              <w:spacing w:before="60" w:after="60"/>
            </w:pPr>
            <w:r w:rsidRPr="005C518D">
              <w:t>80</w:t>
            </w:r>
          </w:p>
        </w:tc>
        <w:tc>
          <w:tcPr>
            <w:tcW w:w="1930" w:type="dxa"/>
            <w:tcBorders>
              <w:top w:val="single" w:sz="4" w:space="0" w:color="auto"/>
              <w:left w:val="single" w:sz="4" w:space="0" w:color="auto"/>
              <w:bottom w:val="single" w:sz="4" w:space="0" w:color="auto"/>
              <w:right w:val="single" w:sz="4" w:space="0" w:color="auto"/>
            </w:tcBorders>
            <w:vAlign w:val="center"/>
          </w:tcPr>
          <w:p w14:paraId="14640C4F" w14:textId="77777777" w:rsidR="000D4F98" w:rsidRPr="005C518D" w:rsidRDefault="000D4F98" w:rsidP="00D76910">
            <w:pPr>
              <w:pStyle w:val="NCDTableText"/>
              <w:spacing w:before="60" w:after="60"/>
            </w:pPr>
            <w:r>
              <w:t>2.70</w:t>
            </w:r>
          </w:p>
        </w:tc>
      </w:tr>
      <w:tr w:rsidR="000D4F98" w14:paraId="6E4BD070" w14:textId="77777777" w:rsidTr="00D76910">
        <w:trPr>
          <w:trHeight w:val="151"/>
          <w:jc w:val="center"/>
        </w:trPr>
        <w:tc>
          <w:tcPr>
            <w:tcW w:w="1930" w:type="dxa"/>
            <w:tcBorders>
              <w:top w:val="single" w:sz="4" w:space="0" w:color="auto"/>
              <w:left w:val="single" w:sz="4" w:space="0" w:color="auto"/>
              <w:bottom w:val="single" w:sz="4" w:space="0" w:color="auto"/>
              <w:right w:val="single" w:sz="4" w:space="0" w:color="auto"/>
            </w:tcBorders>
          </w:tcPr>
          <w:p w14:paraId="6B281AEA" w14:textId="663AB791" w:rsidR="000D4F98" w:rsidRPr="005C518D" w:rsidRDefault="00401D57" w:rsidP="00D76910">
            <w:pPr>
              <w:pStyle w:val="NCDTableText"/>
              <w:spacing w:before="60" w:after="60"/>
              <w:rPr>
                <w:b/>
              </w:rPr>
            </w:pPr>
            <w:r w:rsidRPr="00401D57">
              <w:rPr>
                <w:b/>
              </w:rPr>
              <w:t xml:space="preserve">New Mexico </w:t>
            </w:r>
          </w:p>
        </w:tc>
        <w:tc>
          <w:tcPr>
            <w:tcW w:w="1930" w:type="dxa"/>
            <w:tcBorders>
              <w:top w:val="single" w:sz="4" w:space="0" w:color="auto"/>
              <w:left w:val="single" w:sz="4" w:space="0" w:color="auto"/>
              <w:bottom w:val="single" w:sz="4" w:space="0" w:color="auto"/>
              <w:right w:val="single" w:sz="4" w:space="0" w:color="auto"/>
            </w:tcBorders>
            <w:vAlign w:val="center"/>
          </w:tcPr>
          <w:p w14:paraId="7C9D6C94" w14:textId="77777777" w:rsidR="000D4F98" w:rsidRPr="005C518D" w:rsidRDefault="000D4F98" w:rsidP="00D76910">
            <w:pPr>
              <w:pStyle w:val="NCDTableText"/>
              <w:spacing w:before="60" w:after="60"/>
            </w:pPr>
            <w:r w:rsidRPr="005C518D">
              <w:t>7</w:t>
            </w:r>
            <w:r>
              <w:t>,</w:t>
            </w:r>
            <w:r w:rsidRPr="005C518D">
              <w:t>086</w:t>
            </w:r>
          </w:p>
        </w:tc>
        <w:tc>
          <w:tcPr>
            <w:tcW w:w="1930" w:type="dxa"/>
            <w:tcBorders>
              <w:top w:val="single" w:sz="4" w:space="0" w:color="auto"/>
              <w:left w:val="single" w:sz="4" w:space="0" w:color="auto"/>
              <w:bottom w:val="single" w:sz="4" w:space="0" w:color="auto"/>
              <w:right w:val="single" w:sz="4" w:space="0" w:color="auto"/>
            </w:tcBorders>
            <w:vAlign w:val="center"/>
          </w:tcPr>
          <w:p w14:paraId="3E5B676C" w14:textId="77777777" w:rsidR="000D4F98" w:rsidRPr="005C518D" w:rsidRDefault="000D4F98" w:rsidP="00D76910">
            <w:pPr>
              <w:pStyle w:val="NCDTableText"/>
              <w:spacing w:before="60" w:after="60"/>
            </w:pPr>
            <w:r w:rsidRPr="005C518D">
              <w:t>7</w:t>
            </w:r>
            <w:r>
              <w:t>,</w:t>
            </w:r>
            <w:r w:rsidRPr="005C518D">
              <w:t>087</w:t>
            </w:r>
          </w:p>
        </w:tc>
        <w:tc>
          <w:tcPr>
            <w:tcW w:w="1930" w:type="dxa"/>
            <w:tcBorders>
              <w:top w:val="single" w:sz="4" w:space="0" w:color="auto"/>
              <w:left w:val="single" w:sz="4" w:space="0" w:color="auto"/>
              <w:bottom w:val="single" w:sz="4" w:space="0" w:color="auto"/>
              <w:right w:val="single" w:sz="4" w:space="0" w:color="auto"/>
            </w:tcBorders>
            <w:vAlign w:val="center"/>
          </w:tcPr>
          <w:p w14:paraId="539B653D" w14:textId="77777777" w:rsidR="000D4F98" w:rsidRPr="005C518D" w:rsidRDefault="000D4F98" w:rsidP="00D76910">
            <w:pPr>
              <w:pStyle w:val="NCDTableText"/>
              <w:spacing w:before="60" w:after="60"/>
            </w:pPr>
            <w:r w:rsidRPr="005C518D">
              <w:t>100</w:t>
            </w:r>
          </w:p>
        </w:tc>
        <w:tc>
          <w:tcPr>
            <w:tcW w:w="1930" w:type="dxa"/>
            <w:tcBorders>
              <w:top w:val="single" w:sz="4" w:space="0" w:color="auto"/>
              <w:left w:val="single" w:sz="4" w:space="0" w:color="auto"/>
              <w:bottom w:val="single" w:sz="4" w:space="0" w:color="auto"/>
              <w:right w:val="single" w:sz="4" w:space="0" w:color="auto"/>
            </w:tcBorders>
            <w:vAlign w:val="center"/>
          </w:tcPr>
          <w:p w14:paraId="0B87A82F" w14:textId="77777777" w:rsidR="000D4F98" w:rsidRPr="005C518D" w:rsidRDefault="000D4F98" w:rsidP="00D76910">
            <w:pPr>
              <w:pStyle w:val="NCDTableText"/>
              <w:spacing w:before="60" w:after="60"/>
            </w:pPr>
            <w:r w:rsidRPr="005C518D">
              <w:t>1.39</w:t>
            </w:r>
          </w:p>
        </w:tc>
      </w:tr>
      <w:tr w:rsidR="000D4F98" w14:paraId="7FCC609A" w14:textId="77777777" w:rsidTr="00D76910">
        <w:trPr>
          <w:trHeight w:val="151"/>
          <w:jc w:val="center"/>
        </w:trPr>
        <w:tc>
          <w:tcPr>
            <w:tcW w:w="1930" w:type="dxa"/>
            <w:tcBorders>
              <w:top w:val="single" w:sz="4" w:space="0" w:color="auto"/>
              <w:left w:val="single" w:sz="4" w:space="0" w:color="auto"/>
              <w:bottom w:val="single" w:sz="4" w:space="0" w:color="auto"/>
              <w:right w:val="single" w:sz="4" w:space="0" w:color="auto"/>
            </w:tcBorders>
          </w:tcPr>
          <w:p w14:paraId="6D884FD2" w14:textId="21B93C18" w:rsidR="000D4F98" w:rsidRPr="005C518D" w:rsidRDefault="00401D57" w:rsidP="00D76910">
            <w:pPr>
              <w:pStyle w:val="NCDTableText"/>
              <w:spacing w:before="60" w:after="60"/>
              <w:rPr>
                <w:b/>
              </w:rPr>
            </w:pPr>
            <w:r w:rsidRPr="00401D57">
              <w:rPr>
                <w:b/>
              </w:rPr>
              <w:t xml:space="preserve">New York </w:t>
            </w:r>
          </w:p>
        </w:tc>
        <w:tc>
          <w:tcPr>
            <w:tcW w:w="1930" w:type="dxa"/>
            <w:tcBorders>
              <w:top w:val="single" w:sz="4" w:space="0" w:color="auto"/>
              <w:left w:val="single" w:sz="4" w:space="0" w:color="auto"/>
              <w:bottom w:val="single" w:sz="4" w:space="0" w:color="auto"/>
              <w:right w:val="single" w:sz="4" w:space="0" w:color="auto"/>
            </w:tcBorders>
            <w:vAlign w:val="center"/>
          </w:tcPr>
          <w:p w14:paraId="216B2427" w14:textId="77777777" w:rsidR="000D4F98" w:rsidRPr="005C518D" w:rsidRDefault="000D4F98" w:rsidP="00D76910">
            <w:pPr>
              <w:pStyle w:val="NCDTableText"/>
              <w:spacing w:before="60" w:after="60"/>
            </w:pPr>
            <w:r w:rsidRPr="005C518D">
              <w:t>53</w:t>
            </w:r>
            <w:r>
              <w:t>,</w:t>
            </w:r>
            <w:r w:rsidRPr="005C518D">
              <w:t>855</w:t>
            </w:r>
          </w:p>
        </w:tc>
        <w:tc>
          <w:tcPr>
            <w:tcW w:w="1930" w:type="dxa"/>
            <w:tcBorders>
              <w:top w:val="single" w:sz="4" w:space="0" w:color="auto"/>
              <w:left w:val="single" w:sz="4" w:space="0" w:color="auto"/>
              <w:bottom w:val="single" w:sz="4" w:space="0" w:color="auto"/>
              <w:right w:val="single" w:sz="4" w:space="0" w:color="auto"/>
            </w:tcBorders>
            <w:vAlign w:val="center"/>
          </w:tcPr>
          <w:p w14:paraId="26569F32" w14:textId="77777777" w:rsidR="000D4F98" w:rsidRPr="005C518D" w:rsidRDefault="000D4F98" w:rsidP="00D76910">
            <w:pPr>
              <w:pStyle w:val="NCDTableText"/>
              <w:spacing w:before="60" w:after="60"/>
            </w:pPr>
            <w:r w:rsidRPr="005C518D">
              <w:t>107</w:t>
            </w:r>
            <w:r>
              <w:t>,</w:t>
            </w:r>
            <w:r w:rsidRPr="005C518D">
              <w:t>716</w:t>
            </w:r>
          </w:p>
        </w:tc>
        <w:tc>
          <w:tcPr>
            <w:tcW w:w="1930" w:type="dxa"/>
            <w:tcBorders>
              <w:top w:val="single" w:sz="4" w:space="0" w:color="auto"/>
              <w:left w:val="single" w:sz="4" w:space="0" w:color="auto"/>
              <w:bottom w:val="single" w:sz="4" w:space="0" w:color="auto"/>
              <w:right w:val="single" w:sz="4" w:space="0" w:color="auto"/>
            </w:tcBorders>
            <w:vAlign w:val="center"/>
          </w:tcPr>
          <w:p w14:paraId="64260F63" w14:textId="77777777" w:rsidR="000D4F98" w:rsidRPr="005C518D" w:rsidRDefault="000D4F98" w:rsidP="00D76910">
            <w:pPr>
              <w:pStyle w:val="NCDTableText"/>
              <w:spacing w:before="60" w:after="60"/>
            </w:pPr>
            <w:r w:rsidRPr="005C518D">
              <w:t>50</w:t>
            </w:r>
          </w:p>
        </w:tc>
        <w:tc>
          <w:tcPr>
            <w:tcW w:w="1930" w:type="dxa"/>
            <w:tcBorders>
              <w:top w:val="single" w:sz="4" w:space="0" w:color="auto"/>
              <w:left w:val="single" w:sz="4" w:space="0" w:color="auto"/>
              <w:bottom w:val="single" w:sz="4" w:space="0" w:color="auto"/>
              <w:right w:val="single" w:sz="4" w:space="0" w:color="auto"/>
            </w:tcBorders>
            <w:vAlign w:val="center"/>
          </w:tcPr>
          <w:p w14:paraId="23293B15" w14:textId="77777777" w:rsidR="000D4F98" w:rsidRPr="005C518D" w:rsidRDefault="000D4F98" w:rsidP="00D76910">
            <w:pPr>
              <w:pStyle w:val="NCDTableText"/>
              <w:spacing w:before="60" w:after="60"/>
            </w:pPr>
            <w:r w:rsidRPr="005C518D">
              <w:t>2.56</w:t>
            </w:r>
          </w:p>
        </w:tc>
      </w:tr>
      <w:tr w:rsidR="000D4F98" w14:paraId="59854CC2" w14:textId="77777777" w:rsidTr="00D76910">
        <w:trPr>
          <w:trHeight w:val="151"/>
          <w:jc w:val="center"/>
        </w:trPr>
        <w:tc>
          <w:tcPr>
            <w:tcW w:w="1930" w:type="dxa"/>
            <w:tcBorders>
              <w:top w:val="single" w:sz="4" w:space="0" w:color="auto"/>
              <w:left w:val="single" w:sz="4" w:space="0" w:color="auto"/>
              <w:bottom w:val="single" w:sz="4" w:space="0" w:color="auto"/>
              <w:right w:val="single" w:sz="4" w:space="0" w:color="auto"/>
            </w:tcBorders>
          </w:tcPr>
          <w:p w14:paraId="5EA2FB30" w14:textId="484193FD" w:rsidR="000D4F98" w:rsidRPr="005C518D" w:rsidRDefault="00401D57" w:rsidP="00D76910">
            <w:pPr>
              <w:pStyle w:val="NCDTableText"/>
              <w:spacing w:before="60" w:after="60"/>
              <w:rPr>
                <w:b/>
              </w:rPr>
            </w:pPr>
            <w:r w:rsidRPr="00401D57">
              <w:rPr>
                <w:b/>
              </w:rPr>
              <w:t xml:space="preserve">Nevada </w:t>
            </w:r>
          </w:p>
        </w:tc>
        <w:tc>
          <w:tcPr>
            <w:tcW w:w="1930" w:type="dxa"/>
            <w:tcBorders>
              <w:top w:val="single" w:sz="4" w:space="0" w:color="auto"/>
              <w:left w:val="single" w:sz="4" w:space="0" w:color="auto"/>
              <w:bottom w:val="single" w:sz="4" w:space="0" w:color="auto"/>
              <w:right w:val="single" w:sz="4" w:space="0" w:color="auto"/>
            </w:tcBorders>
            <w:vAlign w:val="center"/>
          </w:tcPr>
          <w:p w14:paraId="2D8B5B65" w14:textId="77777777" w:rsidR="000D4F98" w:rsidRPr="005C518D" w:rsidRDefault="000D4F98" w:rsidP="00D76910">
            <w:pPr>
              <w:pStyle w:val="NCDTableText"/>
              <w:spacing w:before="60" w:after="60"/>
            </w:pPr>
            <w:r w:rsidRPr="005C518D">
              <w:t>6</w:t>
            </w:r>
            <w:r>
              <w:t>,</w:t>
            </w:r>
            <w:r w:rsidRPr="005C518D">
              <w:t>288</w:t>
            </w:r>
          </w:p>
        </w:tc>
        <w:tc>
          <w:tcPr>
            <w:tcW w:w="1930" w:type="dxa"/>
            <w:tcBorders>
              <w:top w:val="single" w:sz="4" w:space="0" w:color="auto"/>
              <w:left w:val="single" w:sz="4" w:space="0" w:color="auto"/>
              <w:bottom w:val="single" w:sz="4" w:space="0" w:color="auto"/>
              <w:right w:val="single" w:sz="4" w:space="0" w:color="auto"/>
            </w:tcBorders>
            <w:vAlign w:val="center"/>
          </w:tcPr>
          <w:p w14:paraId="563E0E4D" w14:textId="77777777" w:rsidR="000D4F98" w:rsidRPr="005C518D" w:rsidRDefault="000D4F98" w:rsidP="00D76910">
            <w:pPr>
              <w:pStyle w:val="NCDTableText"/>
              <w:spacing w:before="60" w:after="60"/>
            </w:pPr>
            <w:r w:rsidRPr="005C518D">
              <w:t>6</w:t>
            </w:r>
            <w:r>
              <w:t>,</w:t>
            </w:r>
            <w:r w:rsidRPr="005C518D">
              <w:t>288</w:t>
            </w:r>
          </w:p>
        </w:tc>
        <w:tc>
          <w:tcPr>
            <w:tcW w:w="1930" w:type="dxa"/>
            <w:tcBorders>
              <w:top w:val="single" w:sz="4" w:space="0" w:color="auto"/>
              <w:left w:val="single" w:sz="4" w:space="0" w:color="auto"/>
              <w:bottom w:val="single" w:sz="4" w:space="0" w:color="auto"/>
              <w:right w:val="single" w:sz="4" w:space="0" w:color="auto"/>
            </w:tcBorders>
            <w:vAlign w:val="center"/>
          </w:tcPr>
          <w:p w14:paraId="25B78D4C" w14:textId="77777777" w:rsidR="000D4F98" w:rsidRPr="005C518D" w:rsidRDefault="000D4F98" w:rsidP="00D76910">
            <w:pPr>
              <w:pStyle w:val="NCDTableText"/>
              <w:spacing w:before="60" w:after="60"/>
            </w:pPr>
            <w:r w:rsidRPr="005C518D">
              <w:t>100</w:t>
            </w:r>
          </w:p>
        </w:tc>
        <w:tc>
          <w:tcPr>
            <w:tcW w:w="1930" w:type="dxa"/>
            <w:tcBorders>
              <w:top w:val="single" w:sz="4" w:space="0" w:color="auto"/>
              <w:left w:val="single" w:sz="4" w:space="0" w:color="auto"/>
              <w:bottom w:val="single" w:sz="4" w:space="0" w:color="auto"/>
              <w:right w:val="single" w:sz="4" w:space="0" w:color="auto"/>
            </w:tcBorders>
            <w:vAlign w:val="center"/>
          </w:tcPr>
          <w:p w14:paraId="0DB4509D" w14:textId="77777777" w:rsidR="000D4F98" w:rsidRPr="005C518D" w:rsidRDefault="000D4F98" w:rsidP="00D76910">
            <w:pPr>
              <w:pStyle w:val="NCDTableText"/>
              <w:spacing w:before="60" w:after="60"/>
            </w:pPr>
            <w:r w:rsidRPr="005C518D">
              <w:t>1.36</w:t>
            </w:r>
          </w:p>
        </w:tc>
      </w:tr>
      <w:tr w:rsidR="000D4F98" w14:paraId="3CDF43AC" w14:textId="77777777" w:rsidTr="00D76910">
        <w:trPr>
          <w:trHeight w:val="151"/>
          <w:jc w:val="center"/>
        </w:trPr>
        <w:tc>
          <w:tcPr>
            <w:tcW w:w="1930" w:type="dxa"/>
            <w:tcBorders>
              <w:top w:val="single" w:sz="4" w:space="0" w:color="auto"/>
              <w:left w:val="single" w:sz="4" w:space="0" w:color="auto"/>
              <w:bottom w:val="single" w:sz="4" w:space="0" w:color="auto"/>
              <w:right w:val="single" w:sz="4" w:space="0" w:color="auto"/>
            </w:tcBorders>
          </w:tcPr>
          <w:p w14:paraId="69DE9161" w14:textId="41A536EF" w:rsidR="000D4F98" w:rsidRPr="005C518D" w:rsidRDefault="00401D57" w:rsidP="00D76910">
            <w:pPr>
              <w:pStyle w:val="NCDTableText"/>
              <w:spacing w:before="60" w:after="60"/>
              <w:rPr>
                <w:b/>
              </w:rPr>
            </w:pPr>
            <w:r w:rsidRPr="00401D57">
              <w:rPr>
                <w:b/>
              </w:rPr>
              <w:t xml:space="preserve">North Carolina </w:t>
            </w:r>
          </w:p>
        </w:tc>
        <w:tc>
          <w:tcPr>
            <w:tcW w:w="1930" w:type="dxa"/>
            <w:tcBorders>
              <w:top w:val="single" w:sz="4" w:space="0" w:color="auto"/>
              <w:left w:val="single" w:sz="4" w:space="0" w:color="auto"/>
              <w:bottom w:val="single" w:sz="4" w:space="0" w:color="auto"/>
              <w:right w:val="single" w:sz="4" w:space="0" w:color="auto"/>
            </w:tcBorders>
            <w:vAlign w:val="center"/>
          </w:tcPr>
          <w:p w14:paraId="1A7C2D74" w14:textId="77777777" w:rsidR="000D4F98" w:rsidRPr="005C518D" w:rsidRDefault="000D4F98" w:rsidP="00D76910">
            <w:pPr>
              <w:pStyle w:val="NCDTableText"/>
              <w:spacing w:before="60" w:after="60"/>
            </w:pPr>
            <w:r w:rsidRPr="005C518D">
              <w:t>26</w:t>
            </w:r>
            <w:r>
              <w:t>,</w:t>
            </w:r>
            <w:r w:rsidRPr="005C518D">
              <w:t>363</w:t>
            </w:r>
          </w:p>
        </w:tc>
        <w:tc>
          <w:tcPr>
            <w:tcW w:w="1930" w:type="dxa"/>
            <w:tcBorders>
              <w:top w:val="single" w:sz="4" w:space="0" w:color="auto"/>
              <w:left w:val="single" w:sz="4" w:space="0" w:color="auto"/>
              <w:bottom w:val="single" w:sz="4" w:space="0" w:color="auto"/>
              <w:right w:val="single" w:sz="4" w:space="0" w:color="auto"/>
            </w:tcBorders>
            <w:vAlign w:val="center"/>
          </w:tcPr>
          <w:p w14:paraId="28E86E3E" w14:textId="77777777" w:rsidR="000D4F98" w:rsidRPr="005C518D" w:rsidRDefault="000D4F98" w:rsidP="00D76910">
            <w:pPr>
              <w:pStyle w:val="NCDTableText"/>
              <w:spacing w:before="60" w:after="60"/>
            </w:pPr>
            <w:r w:rsidRPr="005C518D">
              <w:t>32</w:t>
            </w:r>
            <w:r>
              <w:t>,</w:t>
            </w:r>
            <w:r w:rsidRPr="005C518D">
              <w:t>956</w:t>
            </w:r>
          </w:p>
        </w:tc>
        <w:tc>
          <w:tcPr>
            <w:tcW w:w="1930" w:type="dxa"/>
            <w:tcBorders>
              <w:top w:val="single" w:sz="4" w:space="0" w:color="auto"/>
              <w:left w:val="single" w:sz="4" w:space="0" w:color="auto"/>
              <w:bottom w:val="single" w:sz="4" w:space="0" w:color="auto"/>
              <w:right w:val="single" w:sz="4" w:space="0" w:color="auto"/>
            </w:tcBorders>
            <w:vAlign w:val="center"/>
          </w:tcPr>
          <w:p w14:paraId="77DA15B7" w14:textId="77777777" w:rsidR="000D4F98" w:rsidRPr="005C518D" w:rsidRDefault="000D4F98" w:rsidP="00D76910">
            <w:pPr>
              <w:pStyle w:val="NCDTableText"/>
              <w:spacing w:before="60" w:after="60"/>
            </w:pPr>
            <w:r>
              <w:t>80</w:t>
            </w:r>
          </w:p>
        </w:tc>
        <w:tc>
          <w:tcPr>
            <w:tcW w:w="1930" w:type="dxa"/>
            <w:tcBorders>
              <w:top w:val="single" w:sz="4" w:space="0" w:color="auto"/>
              <w:left w:val="single" w:sz="4" w:space="0" w:color="auto"/>
              <w:bottom w:val="single" w:sz="4" w:space="0" w:color="auto"/>
              <w:right w:val="single" w:sz="4" w:space="0" w:color="auto"/>
            </w:tcBorders>
            <w:vAlign w:val="center"/>
          </w:tcPr>
          <w:p w14:paraId="047FFB7B" w14:textId="77777777" w:rsidR="000D4F98" w:rsidRPr="005C518D" w:rsidRDefault="000D4F98" w:rsidP="00D76910">
            <w:pPr>
              <w:pStyle w:val="NCDTableText"/>
              <w:spacing w:before="60" w:after="60"/>
            </w:pPr>
            <w:r>
              <w:t>3.49</w:t>
            </w:r>
          </w:p>
        </w:tc>
      </w:tr>
      <w:tr w:rsidR="000D4F98" w14:paraId="5B4C0951" w14:textId="77777777" w:rsidTr="00D76910">
        <w:trPr>
          <w:trHeight w:val="151"/>
          <w:jc w:val="center"/>
        </w:trPr>
        <w:tc>
          <w:tcPr>
            <w:tcW w:w="1930" w:type="dxa"/>
            <w:tcBorders>
              <w:top w:val="single" w:sz="4" w:space="0" w:color="auto"/>
              <w:left w:val="single" w:sz="4" w:space="0" w:color="auto"/>
              <w:bottom w:val="single" w:sz="4" w:space="0" w:color="auto"/>
              <w:right w:val="single" w:sz="4" w:space="0" w:color="auto"/>
            </w:tcBorders>
          </w:tcPr>
          <w:p w14:paraId="5C33FAD8" w14:textId="37B43486" w:rsidR="000D4F98" w:rsidRPr="005C518D" w:rsidRDefault="00401D57" w:rsidP="00D76910">
            <w:pPr>
              <w:pStyle w:val="NCDTableText"/>
              <w:spacing w:before="60" w:after="60"/>
              <w:rPr>
                <w:b/>
              </w:rPr>
            </w:pPr>
            <w:r w:rsidRPr="00401D57">
              <w:rPr>
                <w:b/>
              </w:rPr>
              <w:t xml:space="preserve">North Dakota </w:t>
            </w:r>
          </w:p>
        </w:tc>
        <w:tc>
          <w:tcPr>
            <w:tcW w:w="1930" w:type="dxa"/>
            <w:tcBorders>
              <w:top w:val="single" w:sz="4" w:space="0" w:color="auto"/>
              <w:left w:val="single" w:sz="4" w:space="0" w:color="auto"/>
              <w:bottom w:val="single" w:sz="4" w:space="0" w:color="auto"/>
              <w:right w:val="single" w:sz="4" w:space="0" w:color="auto"/>
            </w:tcBorders>
            <w:vAlign w:val="center"/>
          </w:tcPr>
          <w:p w14:paraId="512B16BF" w14:textId="77777777" w:rsidR="000D4F98" w:rsidRPr="005C518D" w:rsidRDefault="000D4F98" w:rsidP="00D76910">
            <w:pPr>
              <w:pStyle w:val="NCDTableText"/>
              <w:spacing w:before="60" w:after="60"/>
            </w:pPr>
            <w:r w:rsidRPr="005C518D">
              <w:t>2</w:t>
            </w:r>
            <w:r>
              <w:t>,</w:t>
            </w:r>
            <w:r w:rsidRPr="005C518D">
              <w:t>342</w:t>
            </w:r>
          </w:p>
        </w:tc>
        <w:tc>
          <w:tcPr>
            <w:tcW w:w="1930" w:type="dxa"/>
            <w:tcBorders>
              <w:top w:val="single" w:sz="4" w:space="0" w:color="auto"/>
              <w:left w:val="single" w:sz="4" w:space="0" w:color="auto"/>
              <w:bottom w:val="single" w:sz="4" w:space="0" w:color="auto"/>
              <w:right w:val="single" w:sz="4" w:space="0" w:color="auto"/>
            </w:tcBorders>
            <w:vAlign w:val="center"/>
          </w:tcPr>
          <w:p w14:paraId="7D1474E6" w14:textId="77777777" w:rsidR="000D4F98" w:rsidRPr="005C518D" w:rsidRDefault="000D4F98" w:rsidP="00D76910">
            <w:pPr>
              <w:pStyle w:val="NCDTableText"/>
              <w:spacing w:before="60" w:after="60"/>
            </w:pPr>
            <w:r w:rsidRPr="005C518D">
              <w:t>2</w:t>
            </w:r>
            <w:r>
              <w:t>,</w:t>
            </w:r>
            <w:r w:rsidRPr="005C518D">
              <w:t>342</w:t>
            </w:r>
          </w:p>
        </w:tc>
        <w:tc>
          <w:tcPr>
            <w:tcW w:w="1930" w:type="dxa"/>
            <w:tcBorders>
              <w:top w:val="single" w:sz="4" w:space="0" w:color="auto"/>
              <w:left w:val="single" w:sz="4" w:space="0" w:color="auto"/>
              <w:bottom w:val="single" w:sz="4" w:space="0" w:color="auto"/>
              <w:right w:val="single" w:sz="4" w:space="0" w:color="auto"/>
            </w:tcBorders>
            <w:vAlign w:val="center"/>
          </w:tcPr>
          <w:p w14:paraId="14D5A1C1" w14:textId="77777777" w:rsidR="000D4F98" w:rsidRPr="005C518D" w:rsidRDefault="000D4F98" w:rsidP="00D76910">
            <w:pPr>
              <w:pStyle w:val="NCDTableText"/>
              <w:spacing w:before="60" w:after="60"/>
            </w:pPr>
            <w:r w:rsidRPr="005C518D">
              <w:t>100</w:t>
            </w:r>
          </w:p>
        </w:tc>
        <w:tc>
          <w:tcPr>
            <w:tcW w:w="1930" w:type="dxa"/>
            <w:tcBorders>
              <w:top w:val="single" w:sz="4" w:space="0" w:color="auto"/>
              <w:left w:val="single" w:sz="4" w:space="0" w:color="auto"/>
              <w:bottom w:val="single" w:sz="4" w:space="0" w:color="auto"/>
              <w:right w:val="single" w:sz="4" w:space="0" w:color="auto"/>
            </w:tcBorders>
            <w:vAlign w:val="center"/>
          </w:tcPr>
          <w:p w14:paraId="62AB28E0" w14:textId="77777777" w:rsidR="000D4F98" w:rsidRPr="005C518D" w:rsidRDefault="000D4F98" w:rsidP="00D76910">
            <w:pPr>
              <w:pStyle w:val="NCDTableText"/>
              <w:spacing w:before="60" w:after="60"/>
            </w:pPr>
            <w:r>
              <w:t>6.33</w:t>
            </w:r>
          </w:p>
        </w:tc>
      </w:tr>
      <w:tr w:rsidR="000D4F98" w14:paraId="5056E62E" w14:textId="77777777" w:rsidTr="00D76910">
        <w:trPr>
          <w:trHeight w:val="151"/>
          <w:jc w:val="center"/>
        </w:trPr>
        <w:tc>
          <w:tcPr>
            <w:tcW w:w="1930" w:type="dxa"/>
            <w:tcBorders>
              <w:top w:val="single" w:sz="4" w:space="0" w:color="auto"/>
              <w:left w:val="single" w:sz="4" w:space="0" w:color="auto"/>
              <w:bottom w:val="single" w:sz="4" w:space="0" w:color="auto"/>
              <w:right w:val="single" w:sz="4" w:space="0" w:color="auto"/>
            </w:tcBorders>
          </w:tcPr>
          <w:p w14:paraId="0F0E5081" w14:textId="6C003832" w:rsidR="000D4F98" w:rsidRPr="005C518D" w:rsidRDefault="00401D57" w:rsidP="00D76910">
            <w:pPr>
              <w:pStyle w:val="NCDTableText"/>
              <w:spacing w:before="60" w:after="60"/>
              <w:rPr>
                <w:b/>
              </w:rPr>
            </w:pPr>
            <w:r w:rsidRPr="00401D57">
              <w:rPr>
                <w:b/>
              </w:rPr>
              <w:t xml:space="preserve">Ohio </w:t>
            </w:r>
          </w:p>
        </w:tc>
        <w:tc>
          <w:tcPr>
            <w:tcW w:w="1930" w:type="dxa"/>
            <w:tcBorders>
              <w:top w:val="single" w:sz="4" w:space="0" w:color="auto"/>
              <w:left w:val="single" w:sz="4" w:space="0" w:color="auto"/>
              <w:bottom w:val="single" w:sz="4" w:space="0" w:color="auto"/>
              <w:right w:val="single" w:sz="4" w:space="0" w:color="auto"/>
            </w:tcBorders>
            <w:vAlign w:val="center"/>
          </w:tcPr>
          <w:p w14:paraId="333323CE" w14:textId="77777777" w:rsidR="000D4F98" w:rsidRPr="005C518D" w:rsidRDefault="000D4F98" w:rsidP="00D76910">
            <w:pPr>
              <w:pStyle w:val="NCDTableText"/>
              <w:spacing w:before="60" w:after="60"/>
            </w:pPr>
            <w:r w:rsidRPr="005C518D">
              <w:t>38</w:t>
            </w:r>
            <w:r>
              <w:t>,</w:t>
            </w:r>
            <w:r w:rsidRPr="005C518D">
              <w:t>885</w:t>
            </w:r>
          </w:p>
        </w:tc>
        <w:tc>
          <w:tcPr>
            <w:tcW w:w="1930" w:type="dxa"/>
            <w:tcBorders>
              <w:top w:val="single" w:sz="4" w:space="0" w:color="auto"/>
              <w:left w:val="single" w:sz="4" w:space="0" w:color="auto"/>
              <w:bottom w:val="single" w:sz="4" w:space="0" w:color="auto"/>
              <w:right w:val="single" w:sz="4" w:space="0" w:color="auto"/>
            </w:tcBorders>
            <w:vAlign w:val="center"/>
          </w:tcPr>
          <w:p w14:paraId="4BF15F7D" w14:textId="77777777" w:rsidR="000D4F98" w:rsidRPr="005C518D" w:rsidRDefault="000D4F98" w:rsidP="00D76910">
            <w:pPr>
              <w:pStyle w:val="NCDTableText"/>
              <w:spacing w:before="60" w:after="60"/>
            </w:pPr>
            <w:r w:rsidRPr="005C518D">
              <w:t>64</w:t>
            </w:r>
            <w:r>
              <w:t>,</w:t>
            </w:r>
            <w:r w:rsidRPr="005C518D">
              <w:t>814</w:t>
            </w:r>
          </w:p>
        </w:tc>
        <w:tc>
          <w:tcPr>
            <w:tcW w:w="1930" w:type="dxa"/>
            <w:tcBorders>
              <w:top w:val="single" w:sz="4" w:space="0" w:color="auto"/>
              <w:left w:val="single" w:sz="4" w:space="0" w:color="auto"/>
              <w:bottom w:val="single" w:sz="4" w:space="0" w:color="auto"/>
              <w:right w:val="single" w:sz="4" w:space="0" w:color="auto"/>
            </w:tcBorders>
            <w:vAlign w:val="center"/>
          </w:tcPr>
          <w:p w14:paraId="05E92D75" w14:textId="77777777" w:rsidR="000D4F98" w:rsidRPr="005C518D" w:rsidRDefault="000D4F98" w:rsidP="00D76910">
            <w:pPr>
              <w:pStyle w:val="NCDTableText"/>
              <w:spacing w:before="60" w:after="60"/>
            </w:pPr>
            <w:r w:rsidRPr="005C518D">
              <w:t>60</w:t>
            </w:r>
          </w:p>
        </w:tc>
        <w:tc>
          <w:tcPr>
            <w:tcW w:w="1930" w:type="dxa"/>
            <w:tcBorders>
              <w:top w:val="single" w:sz="4" w:space="0" w:color="auto"/>
              <w:left w:val="single" w:sz="4" w:space="0" w:color="auto"/>
              <w:bottom w:val="single" w:sz="4" w:space="0" w:color="auto"/>
              <w:right w:val="single" w:sz="4" w:space="0" w:color="auto"/>
            </w:tcBorders>
            <w:vAlign w:val="center"/>
          </w:tcPr>
          <w:p w14:paraId="5D819C52" w14:textId="77777777" w:rsidR="000D4F98" w:rsidRPr="005C518D" w:rsidRDefault="000D4F98" w:rsidP="00D76910">
            <w:pPr>
              <w:pStyle w:val="NCDTableText"/>
              <w:spacing w:before="60" w:after="60"/>
            </w:pPr>
            <w:r w:rsidRPr="005C518D">
              <w:t>3.37</w:t>
            </w:r>
          </w:p>
        </w:tc>
      </w:tr>
      <w:tr w:rsidR="000D4F98" w14:paraId="6F0B0D75" w14:textId="77777777" w:rsidTr="00D76910">
        <w:trPr>
          <w:trHeight w:val="151"/>
          <w:jc w:val="center"/>
        </w:trPr>
        <w:tc>
          <w:tcPr>
            <w:tcW w:w="1930" w:type="dxa"/>
            <w:tcBorders>
              <w:top w:val="single" w:sz="4" w:space="0" w:color="auto"/>
              <w:left w:val="single" w:sz="4" w:space="0" w:color="auto"/>
              <w:bottom w:val="single" w:sz="4" w:space="0" w:color="auto"/>
              <w:right w:val="single" w:sz="4" w:space="0" w:color="auto"/>
            </w:tcBorders>
          </w:tcPr>
          <w:p w14:paraId="30C95E3C" w14:textId="14CE099D" w:rsidR="000D4F98" w:rsidRPr="005C518D" w:rsidRDefault="00401D57" w:rsidP="00D76910">
            <w:pPr>
              <w:pStyle w:val="NCDTableText"/>
              <w:spacing w:before="60" w:after="60"/>
              <w:rPr>
                <w:b/>
              </w:rPr>
            </w:pPr>
            <w:r w:rsidRPr="00401D57">
              <w:rPr>
                <w:b/>
              </w:rPr>
              <w:t xml:space="preserve">Oklahoma </w:t>
            </w:r>
          </w:p>
        </w:tc>
        <w:tc>
          <w:tcPr>
            <w:tcW w:w="1930" w:type="dxa"/>
            <w:tcBorders>
              <w:top w:val="single" w:sz="4" w:space="0" w:color="auto"/>
              <w:left w:val="single" w:sz="4" w:space="0" w:color="auto"/>
              <w:bottom w:val="single" w:sz="4" w:space="0" w:color="auto"/>
              <w:right w:val="single" w:sz="4" w:space="0" w:color="auto"/>
            </w:tcBorders>
            <w:vAlign w:val="center"/>
          </w:tcPr>
          <w:p w14:paraId="3830F060" w14:textId="77777777" w:rsidR="000D4F98" w:rsidRPr="005C518D" w:rsidRDefault="000D4F98" w:rsidP="00D76910">
            <w:pPr>
              <w:pStyle w:val="NCDTableText"/>
              <w:spacing w:before="60" w:after="60"/>
            </w:pPr>
            <w:r w:rsidRPr="005C518D">
              <w:t>10</w:t>
            </w:r>
            <w:r>
              <w:t>,</w:t>
            </w:r>
            <w:r w:rsidRPr="005C518D">
              <w:t>966</w:t>
            </w:r>
          </w:p>
        </w:tc>
        <w:tc>
          <w:tcPr>
            <w:tcW w:w="1930" w:type="dxa"/>
            <w:tcBorders>
              <w:top w:val="single" w:sz="4" w:space="0" w:color="auto"/>
              <w:left w:val="single" w:sz="4" w:space="0" w:color="auto"/>
              <w:bottom w:val="single" w:sz="4" w:space="0" w:color="auto"/>
              <w:right w:val="single" w:sz="4" w:space="0" w:color="auto"/>
            </w:tcBorders>
            <w:vAlign w:val="center"/>
          </w:tcPr>
          <w:p w14:paraId="48825EC7" w14:textId="77777777" w:rsidR="000D4F98" w:rsidRPr="005C518D" w:rsidRDefault="000D4F98" w:rsidP="00D76910">
            <w:pPr>
              <w:pStyle w:val="NCDTableText"/>
              <w:spacing w:before="60" w:after="60"/>
            </w:pPr>
            <w:r w:rsidRPr="005C518D">
              <w:t>10</w:t>
            </w:r>
            <w:r>
              <w:t>,</w:t>
            </w:r>
            <w:r w:rsidRPr="005C518D">
              <w:t>966</w:t>
            </w:r>
          </w:p>
        </w:tc>
        <w:tc>
          <w:tcPr>
            <w:tcW w:w="1930" w:type="dxa"/>
            <w:tcBorders>
              <w:top w:val="single" w:sz="4" w:space="0" w:color="auto"/>
              <w:left w:val="single" w:sz="4" w:space="0" w:color="auto"/>
              <w:bottom w:val="single" w:sz="4" w:space="0" w:color="auto"/>
              <w:right w:val="single" w:sz="4" w:space="0" w:color="auto"/>
            </w:tcBorders>
            <w:vAlign w:val="center"/>
          </w:tcPr>
          <w:p w14:paraId="4C7AD235" w14:textId="77777777" w:rsidR="000D4F98" w:rsidRPr="005C518D" w:rsidRDefault="000D4F98" w:rsidP="00D76910">
            <w:pPr>
              <w:pStyle w:val="NCDTableText"/>
              <w:spacing w:before="60" w:after="60"/>
            </w:pPr>
            <w:r w:rsidRPr="005C518D">
              <w:t>100</w:t>
            </w:r>
          </w:p>
        </w:tc>
        <w:tc>
          <w:tcPr>
            <w:tcW w:w="1930" w:type="dxa"/>
            <w:tcBorders>
              <w:top w:val="single" w:sz="4" w:space="0" w:color="auto"/>
              <w:left w:val="single" w:sz="4" w:space="0" w:color="auto"/>
              <w:bottom w:val="single" w:sz="4" w:space="0" w:color="auto"/>
              <w:right w:val="single" w:sz="4" w:space="0" w:color="auto"/>
            </w:tcBorders>
            <w:vAlign w:val="center"/>
          </w:tcPr>
          <w:p w14:paraId="1EDF13E5" w14:textId="77777777" w:rsidR="000D4F98" w:rsidRPr="005C518D" w:rsidRDefault="000D4F98" w:rsidP="00D76910">
            <w:pPr>
              <w:pStyle w:val="NCDTableText"/>
              <w:spacing w:before="60" w:after="60"/>
            </w:pPr>
            <w:r w:rsidRPr="005C518D">
              <w:t>3.12</w:t>
            </w:r>
          </w:p>
        </w:tc>
      </w:tr>
      <w:tr w:rsidR="000D4F98" w14:paraId="736558F9" w14:textId="77777777" w:rsidTr="00D76910">
        <w:trPr>
          <w:trHeight w:val="151"/>
          <w:jc w:val="center"/>
        </w:trPr>
        <w:tc>
          <w:tcPr>
            <w:tcW w:w="1930" w:type="dxa"/>
            <w:tcBorders>
              <w:top w:val="single" w:sz="4" w:space="0" w:color="auto"/>
              <w:left w:val="single" w:sz="4" w:space="0" w:color="auto"/>
              <w:bottom w:val="single" w:sz="4" w:space="0" w:color="auto"/>
              <w:right w:val="single" w:sz="4" w:space="0" w:color="auto"/>
            </w:tcBorders>
          </w:tcPr>
          <w:p w14:paraId="16103678" w14:textId="1273B0D0" w:rsidR="000D4F98" w:rsidRPr="005C518D" w:rsidRDefault="00401D57" w:rsidP="00D76910">
            <w:pPr>
              <w:pStyle w:val="NCDTableText"/>
              <w:spacing w:before="60" w:after="60"/>
              <w:rPr>
                <w:b/>
              </w:rPr>
            </w:pPr>
            <w:r w:rsidRPr="00401D57">
              <w:rPr>
                <w:b/>
              </w:rPr>
              <w:t xml:space="preserve">Oregon </w:t>
            </w:r>
          </w:p>
        </w:tc>
        <w:tc>
          <w:tcPr>
            <w:tcW w:w="1930" w:type="dxa"/>
            <w:tcBorders>
              <w:top w:val="single" w:sz="4" w:space="0" w:color="auto"/>
              <w:left w:val="single" w:sz="4" w:space="0" w:color="auto"/>
              <w:bottom w:val="single" w:sz="4" w:space="0" w:color="auto"/>
              <w:right w:val="single" w:sz="4" w:space="0" w:color="auto"/>
            </w:tcBorders>
            <w:vAlign w:val="center"/>
          </w:tcPr>
          <w:p w14:paraId="070661E7" w14:textId="77777777" w:rsidR="000D4F98" w:rsidRPr="005C518D" w:rsidRDefault="000D4F98" w:rsidP="00D76910">
            <w:pPr>
              <w:pStyle w:val="NCDTableText"/>
              <w:spacing w:before="60" w:after="60"/>
            </w:pPr>
            <w:r w:rsidRPr="005C518D">
              <w:t>10</w:t>
            </w:r>
            <w:r>
              <w:t>,</w:t>
            </w:r>
            <w:r w:rsidRPr="005C518D">
              <w:t>526</w:t>
            </w:r>
          </w:p>
        </w:tc>
        <w:tc>
          <w:tcPr>
            <w:tcW w:w="1930" w:type="dxa"/>
            <w:tcBorders>
              <w:top w:val="single" w:sz="4" w:space="0" w:color="auto"/>
              <w:left w:val="single" w:sz="4" w:space="0" w:color="auto"/>
              <w:bottom w:val="single" w:sz="4" w:space="0" w:color="auto"/>
              <w:right w:val="single" w:sz="4" w:space="0" w:color="auto"/>
            </w:tcBorders>
            <w:vAlign w:val="center"/>
          </w:tcPr>
          <w:p w14:paraId="1AE69943" w14:textId="77777777" w:rsidR="000D4F98" w:rsidRPr="005C518D" w:rsidRDefault="000D4F98" w:rsidP="00D76910">
            <w:pPr>
              <w:pStyle w:val="NCDTableText"/>
              <w:spacing w:before="60" w:after="60"/>
            </w:pPr>
            <w:r w:rsidRPr="005C518D">
              <w:t>10</w:t>
            </w:r>
            <w:r>
              <w:t>,</w:t>
            </w:r>
            <w:r w:rsidRPr="005C518D">
              <w:t>526</w:t>
            </w:r>
          </w:p>
        </w:tc>
        <w:tc>
          <w:tcPr>
            <w:tcW w:w="1930" w:type="dxa"/>
            <w:tcBorders>
              <w:top w:val="single" w:sz="4" w:space="0" w:color="auto"/>
              <w:left w:val="single" w:sz="4" w:space="0" w:color="auto"/>
              <w:bottom w:val="single" w:sz="4" w:space="0" w:color="auto"/>
              <w:right w:val="single" w:sz="4" w:space="0" w:color="auto"/>
            </w:tcBorders>
            <w:vAlign w:val="center"/>
          </w:tcPr>
          <w:p w14:paraId="1B92579D" w14:textId="77777777" w:rsidR="000D4F98" w:rsidRPr="005C518D" w:rsidRDefault="000D4F98" w:rsidP="00D76910">
            <w:pPr>
              <w:pStyle w:val="NCDTableText"/>
              <w:spacing w:before="60" w:after="60"/>
            </w:pPr>
            <w:r w:rsidRPr="005C518D">
              <w:t>100</w:t>
            </w:r>
          </w:p>
        </w:tc>
        <w:tc>
          <w:tcPr>
            <w:tcW w:w="1930" w:type="dxa"/>
            <w:tcBorders>
              <w:top w:val="single" w:sz="4" w:space="0" w:color="auto"/>
              <w:left w:val="single" w:sz="4" w:space="0" w:color="auto"/>
              <w:bottom w:val="single" w:sz="4" w:space="0" w:color="auto"/>
              <w:right w:val="single" w:sz="4" w:space="0" w:color="auto"/>
            </w:tcBorders>
            <w:vAlign w:val="center"/>
          </w:tcPr>
          <w:p w14:paraId="5837E552" w14:textId="77777777" w:rsidR="000D4F98" w:rsidRPr="005C518D" w:rsidRDefault="000D4F98" w:rsidP="00D76910">
            <w:pPr>
              <w:pStyle w:val="NCDTableText"/>
              <w:spacing w:before="60" w:after="60"/>
            </w:pPr>
            <w:r w:rsidRPr="005C518D">
              <w:t>1.46</w:t>
            </w:r>
          </w:p>
        </w:tc>
      </w:tr>
      <w:tr w:rsidR="000D4F98" w14:paraId="6BD3A4ED" w14:textId="77777777" w:rsidTr="00D76910">
        <w:trPr>
          <w:trHeight w:val="151"/>
          <w:jc w:val="center"/>
        </w:trPr>
        <w:tc>
          <w:tcPr>
            <w:tcW w:w="1930" w:type="dxa"/>
            <w:tcBorders>
              <w:top w:val="single" w:sz="4" w:space="0" w:color="auto"/>
              <w:left w:val="single" w:sz="4" w:space="0" w:color="auto"/>
              <w:bottom w:val="single" w:sz="4" w:space="0" w:color="auto"/>
              <w:right w:val="single" w:sz="4" w:space="0" w:color="auto"/>
            </w:tcBorders>
          </w:tcPr>
          <w:p w14:paraId="12132EAA" w14:textId="7409ACF3" w:rsidR="000D4F98" w:rsidRPr="005C518D" w:rsidRDefault="00401D57" w:rsidP="00D76910">
            <w:pPr>
              <w:pStyle w:val="NCDTableText"/>
              <w:spacing w:before="60" w:after="60"/>
              <w:rPr>
                <w:b/>
              </w:rPr>
            </w:pPr>
            <w:r w:rsidRPr="00401D57">
              <w:rPr>
                <w:b/>
              </w:rPr>
              <w:t xml:space="preserve">Pennsylvania </w:t>
            </w:r>
          </w:p>
        </w:tc>
        <w:tc>
          <w:tcPr>
            <w:tcW w:w="1930" w:type="dxa"/>
            <w:tcBorders>
              <w:top w:val="single" w:sz="4" w:space="0" w:color="auto"/>
              <w:left w:val="single" w:sz="4" w:space="0" w:color="auto"/>
              <w:bottom w:val="single" w:sz="4" w:space="0" w:color="auto"/>
              <w:right w:val="single" w:sz="4" w:space="0" w:color="auto"/>
            </w:tcBorders>
            <w:vAlign w:val="center"/>
          </w:tcPr>
          <w:p w14:paraId="04F1D9F2" w14:textId="77777777" w:rsidR="000D4F98" w:rsidRPr="005C518D" w:rsidRDefault="000D4F98" w:rsidP="00D76910">
            <w:pPr>
              <w:pStyle w:val="NCDTableText"/>
              <w:spacing w:before="60" w:after="60"/>
            </w:pPr>
            <w:r w:rsidRPr="005C518D">
              <w:t>38</w:t>
            </w:r>
            <w:r>
              <w:t>,</w:t>
            </w:r>
            <w:r w:rsidRPr="005C518D">
              <w:t>033</w:t>
            </w:r>
          </w:p>
        </w:tc>
        <w:tc>
          <w:tcPr>
            <w:tcW w:w="1930" w:type="dxa"/>
            <w:tcBorders>
              <w:top w:val="single" w:sz="4" w:space="0" w:color="auto"/>
              <w:left w:val="single" w:sz="4" w:space="0" w:color="auto"/>
              <w:bottom w:val="single" w:sz="4" w:space="0" w:color="auto"/>
              <w:right w:val="single" w:sz="4" w:space="0" w:color="auto"/>
            </w:tcBorders>
            <w:vAlign w:val="center"/>
          </w:tcPr>
          <w:p w14:paraId="4D42D681" w14:textId="77777777" w:rsidR="000D4F98" w:rsidRPr="005C518D" w:rsidRDefault="000D4F98" w:rsidP="00D76910">
            <w:pPr>
              <w:pStyle w:val="NCDTableText"/>
              <w:spacing w:before="60" w:after="60"/>
            </w:pPr>
            <w:r w:rsidRPr="005C518D">
              <w:t>63</w:t>
            </w:r>
            <w:r>
              <w:t>,</w:t>
            </w:r>
            <w:r w:rsidRPr="005C518D">
              <w:t>397</w:t>
            </w:r>
          </w:p>
        </w:tc>
        <w:tc>
          <w:tcPr>
            <w:tcW w:w="1930" w:type="dxa"/>
            <w:tcBorders>
              <w:top w:val="single" w:sz="4" w:space="0" w:color="auto"/>
              <w:left w:val="single" w:sz="4" w:space="0" w:color="auto"/>
              <w:bottom w:val="single" w:sz="4" w:space="0" w:color="auto"/>
              <w:right w:val="single" w:sz="4" w:space="0" w:color="auto"/>
            </w:tcBorders>
            <w:vAlign w:val="center"/>
          </w:tcPr>
          <w:p w14:paraId="182BF88B" w14:textId="77777777" w:rsidR="000D4F98" w:rsidRPr="005C518D" w:rsidRDefault="000D4F98" w:rsidP="00D76910">
            <w:pPr>
              <w:pStyle w:val="NCDTableText"/>
              <w:spacing w:before="60" w:after="60"/>
            </w:pPr>
            <w:r w:rsidRPr="005C518D">
              <w:t>60</w:t>
            </w:r>
          </w:p>
        </w:tc>
        <w:tc>
          <w:tcPr>
            <w:tcW w:w="1930" w:type="dxa"/>
            <w:tcBorders>
              <w:top w:val="single" w:sz="4" w:space="0" w:color="auto"/>
              <w:left w:val="single" w:sz="4" w:space="0" w:color="auto"/>
              <w:bottom w:val="single" w:sz="4" w:space="0" w:color="auto"/>
              <w:right w:val="single" w:sz="4" w:space="0" w:color="auto"/>
            </w:tcBorders>
            <w:vAlign w:val="center"/>
          </w:tcPr>
          <w:p w14:paraId="69EAB2A0" w14:textId="77777777" w:rsidR="000D4F98" w:rsidRPr="005C518D" w:rsidRDefault="000D4F98" w:rsidP="00D76910">
            <w:pPr>
              <w:pStyle w:val="NCDTableText"/>
              <w:spacing w:before="60" w:after="60"/>
            </w:pPr>
            <w:r w:rsidRPr="005C518D">
              <w:t>3.19</w:t>
            </w:r>
          </w:p>
        </w:tc>
      </w:tr>
      <w:tr w:rsidR="000D4F98" w14:paraId="514C55AF" w14:textId="77777777" w:rsidTr="00D76910">
        <w:trPr>
          <w:trHeight w:val="151"/>
          <w:jc w:val="center"/>
        </w:trPr>
        <w:tc>
          <w:tcPr>
            <w:tcW w:w="1930" w:type="dxa"/>
            <w:tcBorders>
              <w:top w:val="single" w:sz="4" w:space="0" w:color="auto"/>
              <w:left w:val="single" w:sz="4" w:space="0" w:color="auto"/>
              <w:bottom w:val="single" w:sz="4" w:space="0" w:color="auto"/>
              <w:right w:val="single" w:sz="4" w:space="0" w:color="auto"/>
            </w:tcBorders>
          </w:tcPr>
          <w:p w14:paraId="316AFB27" w14:textId="7231DCA3" w:rsidR="000D4F98" w:rsidRPr="005C518D" w:rsidRDefault="00401D57" w:rsidP="00D76910">
            <w:pPr>
              <w:pStyle w:val="NCDTableText"/>
              <w:spacing w:before="60" w:after="60"/>
              <w:rPr>
                <w:b/>
              </w:rPr>
            </w:pPr>
            <w:r w:rsidRPr="00401D57">
              <w:rPr>
                <w:b/>
              </w:rPr>
              <w:t xml:space="preserve">Rhode Island </w:t>
            </w:r>
          </w:p>
        </w:tc>
        <w:tc>
          <w:tcPr>
            <w:tcW w:w="1930" w:type="dxa"/>
            <w:tcBorders>
              <w:top w:val="single" w:sz="4" w:space="0" w:color="auto"/>
              <w:left w:val="single" w:sz="4" w:space="0" w:color="auto"/>
              <w:bottom w:val="single" w:sz="4" w:space="0" w:color="auto"/>
              <w:right w:val="single" w:sz="4" w:space="0" w:color="auto"/>
            </w:tcBorders>
            <w:vAlign w:val="center"/>
          </w:tcPr>
          <w:p w14:paraId="7031E5F3" w14:textId="77777777" w:rsidR="000D4F98" w:rsidRPr="005C518D" w:rsidRDefault="000D4F98" w:rsidP="00D76910">
            <w:pPr>
              <w:pStyle w:val="NCDTableText"/>
              <w:spacing w:before="60" w:after="60"/>
            </w:pPr>
            <w:r w:rsidRPr="005C518D">
              <w:t>5</w:t>
            </w:r>
            <w:r>
              <w:t>,</w:t>
            </w:r>
            <w:r w:rsidRPr="005C518D">
              <w:t>380</w:t>
            </w:r>
          </w:p>
        </w:tc>
        <w:tc>
          <w:tcPr>
            <w:tcW w:w="1930" w:type="dxa"/>
            <w:tcBorders>
              <w:top w:val="single" w:sz="4" w:space="0" w:color="auto"/>
              <w:left w:val="single" w:sz="4" w:space="0" w:color="auto"/>
              <w:bottom w:val="single" w:sz="4" w:space="0" w:color="auto"/>
              <w:right w:val="single" w:sz="4" w:space="0" w:color="auto"/>
            </w:tcBorders>
            <w:vAlign w:val="center"/>
          </w:tcPr>
          <w:p w14:paraId="454F92DD" w14:textId="77777777" w:rsidR="000D4F98" w:rsidRPr="005C518D" w:rsidRDefault="000D4F98" w:rsidP="00D76910">
            <w:pPr>
              <w:pStyle w:val="NCDTableText"/>
              <w:spacing w:before="60" w:after="60"/>
            </w:pPr>
            <w:r w:rsidRPr="005C518D">
              <w:t>5</w:t>
            </w:r>
            <w:r>
              <w:t>,</w:t>
            </w:r>
            <w:r w:rsidRPr="005C518D">
              <w:t>381</w:t>
            </w:r>
          </w:p>
        </w:tc>
        <w:tc>
          <w:tcPr>
            <w:tcW w:w="1930" w:type="dxa"/>
            <w:tcBorders>
              <w:top w:val="single" w:sz="4" w:space="0" w:color="auto"/>
              <w:left w:val="single" w:sz="4" w:space="0" w:color="auto"/>
              <w:bottom w:val="single" w:sz="4" w:space="0" w:color="auto"/>
              <w:right w:val="single" w:sz="4" w:space="0" w:color="auto"/>
            </w:tcBorders>
            <w:vAlign w:val="center"/>
          </w:tcPr>
          <w:p w14:paraId="18C1FE3B" w14:textId="77777777" w:rsidR="000D4F98" w:rsidRPr="005C518D" w:rsidRDefault="000D4F98" w:rsidP="00D76910">
            <w:pPr>
              <w:pStyle w:val="NCDTableText"/>
              <w:spacing w:before="60" w:after="60"/>
            </w:pPr>
            <w:r w:rsidRPr="005C518D">
              <w:t>100</w:t>
            </w:r>
          </w:p>
        </w:tc>
        <w:tc>
          <w:tcPr>
            <w:tcW w:w="1930" w:type="dxa"/>
            <w:tcBorders>
              <w:top w:val="single" w:sz="4" w:space="0" w:color="auto"/>
              <w:left w:val="single" w:sz="4" w:space="0" w:color="auto"/>
              <w:bottom w:val="single" w:sz="4" w:space="0" w:color="auto"/>
              <w:right w:val="single" w:sz="4" w:space="0" w:color="auto"/>
            </w:tcBorders>
            <w:vAlign w:val="center"/>
          </w:tcPr>
          <w:p w14:paraId="6542DE05" w14:textId="77777777" w:rsidR="000D4F98" w:rsidRPr="005C518D" w:rsidRDefault="000D4F98" w:rsidP="00D76910">
            <w:pPr>
              <w:pStyle w:val="NCDTableText"/>
              <w:spacing w:before="60" w:after="60"/>
            </w:pPr>
            <w:r w:rsidRPr="005C518D">
              <w:t>2.41</w:t>
            </w:r>
          </w:p>
        </w:tc>
      </w:tr>
      <w:tr w:rsidR="000D4F98" w14:paraId="5F66BD43" w14:textId="77777777" w:rsidTr="00D76910">
        <w:trPr>
          <w:trHeight w:val="151"/>
          <w:jc w:val="center"/>
        </w:trPr>
        <w:tc>
          <w:tcPr>
            <w:tcW w:w="1930" w:type="dxa"/>
            <w:tcBorders>
              <w:top w:val="single" w:sz="4" w:space="0" w:color="auto"/>
              <w:left w:val="single" w:sz="4" w:space="0" w:color="auto"/>
              <w:bottom w:val="single" w:sz="4" w:space="0" w:color="auto"/>
              <w:right w:val="single" w:sz="4" w:space="0" w:color="auto"/>
            </w:tcBorders>
          </w:tcPr>
          <w:p w14:paraId="787FFBAE" w14:textId="0B2E9D3B" w:rsidR="000D4F98" w:rsidRPr="005C518D" w:rsidRDefault="00401D57" w:rsidP="00D76910">
            <w:pPr>
              <w:pStyle w:val="NCDTableText"/>
              <w:spacing w:before="60" w:after="60"/>
              <w:rPr>
                <w:b/>
              </w:rPr>
            </w:pPr>
            <w:r w:rsidRPr="00401D57">
              <w:rPr>
                <w:b/>
              </w:rPr>
              <w:t xml:space="preserve">South Carolina </w:t>
            </w:r>
          </w:p>
        </w:tc>
        <w:tc>
          <w:tcPr>
            <w:tcW w:w="1930" w:type="dxa"/>
            <w:tcBorders>
              <w:top w:val="single" w:sz="4" w:space="0" w:color="auto"/>
              <w:left w:val="single" w:sz="4" w:space="0" w:color="auto"/>
              <w:bottom w:val="single" w:sz="4" w:space="0" w:color="auto"/>
              <w:right w:val="single" w:sz="4" w:space="0" w:color="auto"/>
            </w:tcBorders>
            <w:vAlign w:val="center"/>
          </w:tcPr>
          <w:p w14:paraId="60E72BA2" w14:textId="77777777" w:rsidR="000D4F98" w:rsidRPr="005C518D" w:rsidRDefault="000D4F98" w:rsidP="00D76910">
            <w:pPr>
              <w:pStyle w:val="NCDTableText"/>
              <w:spacing w:before="60" w:after="60"/>
            </w:pPr>
            <w:r w:rsidRPr="005C518D">
              <w:t>13</w:t>
            </w:r>
            <w:r>
              <w:t>,</w:t>
            </w:r>
            <w:r w:rsidRPr="005C518D">
              <w:t>186</w:t>
            </w:r>
          </w:p>
        </w:tc>
        <w:tc>
          <w:tcPr>
            <w:tcW w:w="1930" w:type="dxa"/>
            <w:tcBorders>
              <w:top w:val="single" w:sz="4" w:space="0" w:color="auto"/>
              <w:left w:val="single" w:sz="4" w:space="0" w:color="auto"/>
              <w:bottom w:val="single" w:sz="4" w:space="0" w:color="auto"/>
              <w:right w:val="single" w:sz="4" w:space="0" w:color="auto"/>
            </w:tcBorders>
            <w:vAlign w:val="center"/>
          </w:tcPr>
          <w:p w14:paraId="1F81D592" w14:textId="77777777" w:rsidR="000D4F98" w:rsidRPr="005C518D" w:rsidRDefault="000D4F98" w:rsidP="00D76910">
            <w:pPr>
              <w:pStyle w:val="NCDTableText"/>
              <w:spacing w:before="60" w:after="60"/>
            </w:pPr>
            <w:r w:rsidRPr="005C518D">
              <w:t>16</w:t>
            </w:r>
            <w:r>
              <w:t>,</w:t>
            </w:r>
            <w:r w:rsidRPr="005C518D">
              <w:t>482</w:t>
            </w:r>
          </w:p>
        </w:tc>
        <w:tc>
          <w:tcPr>
            <w:tcW w:w="1930" w:type="dxa"/>
            <w:tcBorders>
              <w:top w:val="single" w:sz="4" w:space="0" w:color="auto"/>
              <w:left w:val="single" w:sz="4" w:space="0" w:color="auto"/>
              <w:bottom w:val="single" w:sz="4" w:space="0" w:color="auto"/>
              <w:right w:val="single" w:sz="4" w:space="0" w:color="auto"/>
            </w:tcBorders>
            <w:vAlign w:val="center"/>
          </w:tcPr>
          <w:p w14:paraId="52EB1535" w14:textId="77777777" w:rsidR="000D4F98" w:rsidRPr="005C518D" w:rsidRDefault="000D4F98" w:rsidP="00D76910">
            <w:pPr>
              <w:pStyle w:val="NCDTableText"/>
              <w:spacing w:before="60" w:after="60"/>
            </w:pPr>
            <w:r w:rsidRPr="005C518D">
              <w:t>80</w:t>
            </w:r>
          </w:p>
        </w:tc>
        <w:tc>
          <w:tcPr>
            <w:tcW w:w="1930" w:type="dxa"/>
            <w:tcBorders>
              <w:top w:val="single" w:sz="4" w:space="0" w:color="auto"/>
              <w:left w:val="single" w:sz="4" w:space="0" w:color="auto"/>
              <w:bottom w:val="single" w:sz="4" w:space="0" w:color="auto"/>
              <w:right w:val="single" w:sz="4" w:space="0" w:color="auto"/>
            </w:tcBorders>
            <w:vAlign w:val="center"/>
          </w:tcPr>
          <w:p w14:paraId="1F9983EC" w14:textId="77777777" w:rsidR="000D4F98" w:rsidRPr="005C518D" w:rsidRDefault="000D4F98" w:rsidP="00D76910">
            <w:pPr>
              <w:pStyle w:val="NCDTableText"/>
              <w:spacing w:before="60" w:after="60"/>
            </w:pPr>
            <w:r w:rsidRPr="005C518D">
              <w:t>3.12</w:t>
            </w:r>
          </w:p>
        </w:tc>
      </w:tr>
      <w:tr w:rsidR="000D4F98" w14:paraId="6B5A40EB" w14:textId="77777777" w:rsidTr="00D76910">
        <w:trPr>
          <w:trHeight w:val="151"/>
          <w:jc w:val="center"/>
        </w:trPr>
        <w:tc>
          <w:tcPr>
            <w:tcW w:w="1930" w:type="dxa"/>
            <w:tcBorders>
              <w:top w:val="single" w:sz="4" w:space="0" w:color="auto"/>
              <w:left w:val="single" w:sz="4" w:space="0" w:color="auto"/>
              <w:bottom w:val="single" w:sz="4" w:space="0" w:color="auto"/>
              <w:right w:val="single" w:sz="4" w:space="0" w:color="auto"/>
            </w:tcBorders>
          </w:tcPr>
          <w:p w14:paraId="0377ACF4" w14:textId="744E8529" w:rsidR="000D4F98" w:rsidRPr="005C518D" w:rsidRDefault="00401D57" w:rsidP="00D76910">
            <w:pPr>
              <w:pStyle w:val="NCDTableText"/>
              <w:spacing w:before="60" w:after="60"/>
              <w:rPr>
                <w:b/>
              </w:rPr>
            </w:pPr>
            <w:r w:rsidRPr="00401D57">
              <w:rPr>
                <w:b/>
              </w:rPr>
              <w:t xml:space="preserve">South Dakota </w:t>
            </w:r>
          </w:p>
        </w:tc>
        <w:tc>
          <w:tcPr>
            <w:tcW w:w="1930" w:type="dxa"/>
            <w:tcBorders>
              <w:top w:val="single" w:sz="4" w:space="0" w:color="auto"/>
              <w:left w:val="single" w:sz="4" w:space="0" w:color="auto"/>
              <w:bottom w:val="single" w:sz="4" w:space="0" w:color="auto"/>
              <w:right w:val="single" w:sz="4" w:space="0" w:color="auto"/>
            </w:tcBorders>
            <w:vAlign w:val="center"/>
          </w:tcPr>
          <w:p w14:paraId="2132B88D" w14:textId="77777777" w:rsidR="000D4F98" w:rsidRPr="005C518D" w:rsidRDefault="000D4F98" w:rsidP="00D76910">
            <w:pPr>
              <w:pStyle w:val="NCDTableText"/>
              <w:spacing w:before="60" w:after="60"/>
            </w:pPr>
            <w:r w:rsidRPr="005C518D">
              <w:t>3</w:t>
            </w:r>
            <w:r>
              <w:t>,</w:t>
            </w:r>
            <w:r w:rsidRPr="005C518D">
              <w:t>683</w:t>
            </w:r>
          </w:p>
        </w:tc>
        <w:tc>
          <w:tcPr>
            <w:tcW w:w="1930" w:type="dxa"/>
            <w:tcBorders>
              <w:top w:val="single" w:sz="4" w:space="0" w:color="auto"/>
              <w:left w:val="single" w:sz="4" w:space="0" w:color="auto"/>
              <w:bottom w:val="single" w:sz="4" w:space="0" w:color="auto"/>
              <w:right w:val="single" w:sz="4" w:space="0" w:color="auto"/>
            </w:tcBorders>
            <w:vAlign w:val="center"/>
          </w:tcPr>
          <w:p w14:paraId="31DEBDA2" w14:textId="77777777" w:rsidR="000D4F98" w:rsidRPr="005C518D" w:rsidRDefault="000D4F98" w:rsidP="00D76910">
            <w:pPr>
              <w:pStyle w:val="NCDTableText"/>
              <w:spacing w:before="60" w:after="60"/>
            </w:pPr>
            <w:r w:rsidRPr="005C518D">
              <w:t>3</w:t>
            </w:r>
            <w:r>
              <w:t>,</w:t>
            </w:r>
            <w:r w:rsidRPr="005C518D">
              <w:t>684</w:t>
            </w:r>
          </w:p>
        </w:tc>
        <w:tc>
          <w:tcPr>
            <w:tcW w:w="1930" w:type="dxa"/>
            <w:tcBorders>
              <w:top w:val="single" w:sz="4" w:space="0" w:color="auto"/>
              <w:left w:val="single" w:sz="4" w:space="0" w:color="auto"/>
              <w:bottom w:val="single" w:sz="4" w:space="0" w:color="auto"/>
              <w:right w:val="single" w:sz="4" w:space="0" w:color="auto"/>
            </w:tcBorders>
            <w:vAlign w:val="center"/>
          </w:tcPr>
          <w:p w14:paraId="491DC379" w14:textId="77777777" w:rsidR="000D4F98" w:rsidRPr="005C518D" w:rsidRDefault="000D4F98" w:rsidP="00D76910">
            <w:pPr>
              <w:pStyle w:val="NCDTableText"/>
              <w:spacing w:before="60" w:after="60"/>
            </w:pPr>
            <w:r w:rsidRPr="005C518D">
              <w:t>100</w:t>
            </w:r>
          </w:p>
        </w:tc>
        <w:tc>
          <w:tcPr>
            <w:tcW w:w="1930" w:type="dxa"/>
            <w:tcBorders>
              <w:top w:val="single" w:sz="4" w:space="0" w:color="auto"/>
              <w:left w:val="single" w:sz="4" w:space="0" w:color="auto"/>
              <w:bottom w:val="single" w:sz="4" w:space="0" w:color="auto"/>
              <w:right w:val="single" w:sz="4" w:space="0" w:color="auto"/>
            </w:tcBorders>
            <w:vAlign w:val="center"/>
          </w:tcPr>
          <w:p w14:paraId="15E0C7B6" w14:textId="77777777" w:rsidR="000D4F98" w:rsidRPr="005C518D" w:rsidRDefault="000D4F98" w:rsidP="00D76910">
            <w:pPr>
              <w:pStyle w:val="NCDTableText"/>
              <w:spacing w:before="60" w:after="60"/>
            </w:pPr>
            <w:r w:rsidRPr="005C518D">
              <w:t>7.93</w:t>
            </w:r>
          </w:p>
        </w:tc>
      </w:tr>
      <w:tr w:rsidR="000D4F98" w14:paraId="2214942A" w14:textId="77777777" w:rsidTr="00D76910">
        <w:trPr>
          <w:trHeight w:val="151"/>
          <w:jc w:val="center"/>
        </w:trPr>
        <w:tc>
          <w:tcPr>
            <w:tcW w:w="1930" w:type="dxa"/>
            <w:tcBorders>
              <w:top w:val="single" w:sz="4" w:space="0" w:color="auto"/>
              <w:left w:val="single" w:sz="4" w:space="0" w:color="auto"/>
              <w:bottom w:val="single" w:sz="4" w:space="0" w:color="auto"/>
              <w:right w:val="single" w:sz="4" w:space="0" w:color="auto"/>
            </w:tcBorders>
          </w:tcPr>
          <w:p w14:paraId="0079733B" w14:textId="343292CF" w:rsidR="000D4F98" w:rsidRPr="005C518D" w:rsidRDefault="00401D57" w:rsidP="00D76910">
            <w:pPr>
              <w:pStyle w:val="NCDTableText"/>
              <w:spacing w:before="60" w:after="60"/>
              <w:rPr>
                <w:b/>
              </w:rPr>
            </w:pPr>
            <w:r w:rsidRPr="00401D57">
              <w:rPr>
                <w:b/>
              </w:rPr>
              <w:t xml:space="preserve">Tennessee </w:t>
            </w:r>
          </w:p>
        </w:tc>
        <w:tc>
          <w:tcPr>
            <w:tcW w:w="1930" w:type="dxa"/>
            <w:tcBorders>
              <w:top w:val="single" w:sz="4" w:space="0" w:color="auto"/>
              <w:left w:val="single" w:sz="4" w:space="0" w:color="auto"/>
              <w:bottom w:val="single" w:sz="4" w:space="0" w:color="auto"/>
              <w:right w:val="single" w:sz="4" w:space="0" w:color="auto"/>
            </w:tcBorders>
            <w:vAlign w:val="center"/>
          </w:tcPr>
          <w:p w14:paraId="4E465BA6" w14:textId="77777777" w:rsidR="000D4F98" w:rsidRPr="005C518D" w:rsidRDefault="000D4F98" w:rsidP="00D76910">
            <w:pPr>
              <w:pStyle w:val="NCDTableText"/>
              <w:spacing w:before="60" w:after="60"/>
            </w:pPr>
            <w:r w:rsidRPr="005C518D">
              <w:t>16</w:t>
            </w:r>
            <w:r>
              <w:t>,</w:t>
            </w:r>
            <w:r w:rsidRPr="005C518D">
              <w:t>114</w:t>
            </w:r>
          </w:p>
        </w:tc>
        <w:tc>
          <w:tcPr>
            <w:tcW w:w="1930" w:type="dxa"/>
            <w:tcBorders>
              <w:top w:val="single" w:sz="4" w:space="0" w:color="auto"/>
              <w:left w:val="single" w:sz="4" w:space="0" w:color="auto"/>
              <w:bottom w:val="single" w:sz="4" w:space="0" w:color="auto"/>
              <w:right w:val="single" w:sz="4" w:space="0" w:color="auto"/>
            </w:tcBorders>
            <w:vAlign w:val="center"/>
          </w:tcPr>
          <w:p w14:paraId="7C36D880" w14:textId="77777777" w:rsidR="000D4F98" w:rsidRPr="005C518D" w:rsidRDefault="000D4F98" w:rsidP="00D76910">
            <w:pPr>
              <w:pStyle w:val="NCDTableText"/>
              <w:spacing w:before="60" w:after="60"/>
            </w:pPr>
            <w:r w:rsidRPr="005C518D">
              <w:t>20</w:t>
            </w:r>
            <w:r>
              <w:t>,</w:t>
            </w:r>
            <w:r w:rsidRPr="005C518D">
              <w:t>144</w:t>
            </w:r>
          </w:p>
        </w:tc>
        <w:tc>
          <w:tcPr>
            <w:tcW w:w="1930" w:type="dxa"/>
            <w:tcBorders>
              <w:top w:val="single" w:sz="4" w:space="0" w:color="auto"/>
              <w:left w:val="single" w:sz="4" w:space="0" w:color="auto"/>
              <w:bottom w:val="single" w:sz="4" w:space="0" w:color="auto"/>
              <w:right w:val="single" w:sz="4" w:space="0" w:color="auto"/>
            </w:tcBorders>
            <w:vAlign w:val="center"/>
          </w:tcPr>
          <w:p w14:paraId="5F1CB310" w14:textId="77777777" w:rsidR="000D4F98" w:rsidRPr="005C518D" w:rsidRDefault="000D4F98" w:rsidP="00D76910">
            <w:pPr>
              <w:pStyle w:val="NCDTableText"/>
              <w:spacing w:before="60" w:after="60"/>
            </w:pPr>
            <w:r w:rsidRPr="005C518D">
              <w:t>80</w:t>
            </w:r>
          </w:p>
        </w:tc>
        <w:tc>
          <w:tcPr>
            <w:tcW w:w="1930" w:type="dxa"/>
            <w:tcBorders>
              <w:top w:val="single" w:sz="4" w:space="0" w:color="auto"/>
              <w:left w:val="single" w:sz="4" w:space="0" w:color="auto"/>
              <w:bottom w:val="single" w:sz="4" w:space="0" w:color="auto"/>
              <w:right w:val="single" w:sz="4" w:space="0" w:color="auto"/>
            </w:tcBorders>
            <w:vAlign w:val="center"/>
          </w:tcPr>
          <w:p w14:paraId="6B0E63B9" w14:textId="77777777" w:rsidR="000D4F98" w:rsidRPr="005C518D" w:rsidRDefault="000D4F98" w:rsidP="00D76910">
            <w:pPr>
              <w:pStyle w:val="NCDTableText"/>
              <w:spacing w:before="60" w:after="60"/>
            </w:pPr>
            <w:r w:rsidRPr="005C518D">
              <w:t>2.41</w:t>
            </w:r>
          </w:p>
        </w:tc>
      </w:tr>
      <w:tr w:rsidR="000D4F98" w14:paraId="602B9844" w14:textId="77777777" w:rsidTr="00D76910">
        <w:trPr>
          <w:trHeight w:val="151"/>
          <w:jc w:val="center"/>
        </w:trPr>
        <w:tc>
          <w:tcPr>
            <w:tcW w:w="1930" w:type="dxa"/>
            <w:tcBorders>
              <w:top w:val="single" w:sz="4" w:space="0" w:color="auto"/>
              <w:left w:val="single" w:sz="4" w:space="0" w:color="auto"/>
              <w:bottom w:val="single" w:sz="4" w:space="0" w:color="auto"/>
              <w:right w:val="single" w:sz="4" w:space="0" w:color="auto"/>
            </w:tcBorders>
          </w:tcPr>
          <w:p w14:paraId="0A84CE93" w14:textId="061D7787" w:rsidR="000D4F98" w:rsidRPr="005C518D" w:rsidRDefault="00401D57" w:rsidP="00D76910">
            <w:pPr>
              <w:pStyle w:val="NCDTableText"/>
              <w:spacing w:before="60" w:after="60"/>
              <w:rPr>
                <w:b/>
              </w:rPr>
            </w:pPr>
            <w:r w:rsidRPr="00401D57">
              <w:rPr>
                <w:b/>
              </w:rPr>
              <w:t xml:space="preserve">Texas </w:t>
            </w:r>
          </w:p>
        </w:tc>
        <w:tc>
          <w:tcPr>
            <w:tcW w:w="1930" w:type="dxa"/>
            <w:tcBorders>
              <w:top w:val="single" w:sz="4" w:space="0" w:color="auto"/>
              <w:left w:val="single" w:sz="4" w:space="0" w:color="auto"/>
              <w:bottom w:val="single" w:sz="4" w:space="0" w:color="auto"/>
              <w:right w:val="single" w:sz="4" w:space="0" w:color="auto"/>
            </w:tcBorders>
            <w:vAlign w:val="center"/>
          </w:tcPr>
          <w:p w14:paraId="23F5A38A" w14:textId="77777777" w:rsidR="000D4F98" w:rsidRPr="005C518D" w:rsidRDefault="000D4F98" w:rsidP="00D76910">
            <w:pPr>
              <w:pStyle w:val="NCDTableText"/>
              <w:spacing w:before="60" w:after="60"/>
            </w:pPr>
            <w:r w:rsidRPr="005C518D">
              <w:t>33</w:t>
            </w:r>
            <w:r>
              <w:t>,</w:t>
            </w:r>
            <w:r w:rsidRPr="005C518D">
              <w:t>230</w:t>
            </w:r>
          </w:p>
        </w:tc>
        <w:tc>
          <w:tcPr>
            <w:tcW w:w="1930" w:type="dxa"/>
            <w:tcBorders>
              <w:top w:val="single" w:sz="4" w:space="0" w:color="auto"/>
              <w:left w:val="single" w:sz="4" w:space="0" w:color="auto"/>
              <w:bottom w:val="single" w:sz="4" w:space="0" w:color="auto"/>
              <w:right w:val="single" w:sz="4" w:space="0" w:color="auto"/>
            </w:tcBorders>
            <w:vAlign w:val="center"/>
          </w:tcPr>
          <w:p w14:paraId="218F9936" w14:textId="77777777" w:rsidR="000D4F98" w:rsidRPr="005C518D" w:rsidRDefault="000D4F98" w:rsidP="00D76910">
            <w:pPr>
              <w:pStyle w:val="NCDTableText"/>
              <w:spacing w:before="60" w:after="60"/>
            </w:pPr>
            <w:r w:rsidRPr="005C518D">
              <w:t>55</w:t>
            </w:r>
            <w:r>
              <w:t>,</w:t>
            </w:r>
            <w:r w:rsidRPr="005C518D">
              <w:t>389</w:t>
            </w:r>
          </w:p>
        </w:tc>
        <w:tc>
          <w:tcPr>
            <w:tcW w:w="1930" w:type="dxa"/>
            <w:tcBorders>
              <w:top w:val="single" w:sz="4" w:space="0" w:color="auto"/>
              <w:left w:val="single" w:sz="4" w:space="0" w:color="auto"/>
              <w:bottom w:val="single" w:sz="4" w:space="0" w:color="auto"/>
              <w:right w:val="single" w:sz="4" w:space="0" w:color="auto"/>
            </w:tcBorders>
            <w:vAlign w:val="center"/>
          </w:tcPr>
          <w:p w14:paraId="1CF56950" w14:textId="77777777" w:rsidR="000D4F98" w:rsidRPr="005C518D" w:rsidRDefault="000D4F98" w:rsidP="00D76910">
            <w:pPr>
              <w:pStyle w:val="NCDTableText"/>
              <w:spacing w:before="60" w:after="60"/>
            </w:pPr>
            <w:r w:rsidRPr="005C518D">
              <w:t>60</w:t>
            </w:r>
          </w:p>
        </w:tc>
        <w:tc>
          <w:tcPr>
            <w:tcW w:w="1930" w:type="dxa"/>
            <w:tcBorders>
              <w:top w:val="single" w:sz="4" w:space="0" w:color="auto"/>
              <w:left w:val="single" w:sz="4" w:space="0" w:color="auto"/>
              <w:bottom w:val="single" w:sz="4" w:space="0" w:color="auto"/>
              <w:right w:val="single" w:sz="4" w:space="0" w:color="auto"/>
            </w:tcBorders>
            <w:vAlign w:val="center"/>
          </w:tcPr>
          <w:p w14:paraId="0DD5DA7D" w14:textId="77777777" w:rsidR="000D4F98" w:rsidRPr="005C518D" w:rsidRDefault="000D4F98" w:rsidP="00D76910">
            <w:pPr>
              <w:pStyle w:val="NCDTableText"/>
              <w:spacing w:before="60" w:after="60"/>
            </w:pPr>
            <w:r w:rsidRPr="005C518D">
              <w:t>3.52</w:t>
            </w:r>
          </w:p>
        </w:tc>
      </w:tr>
      <w:tr w:rsidR="000D4F98" w14:paraId="20B1468B" w14:textId="77777777" w:rsidTr="00D76910">
        <w:trPr>
          <w:trHeight w:val="151"/>
          <w:jc w:val="center"/>
        </w:trPr>
        <w:tc>
          <w:tcPr>
            <w:tcW w:w="1930" w:type="dxa"/>
            <w:tcBorders>
              <w:top w:val="single" w:sz="4" w:space="0" w:color="auto"/>
              <w:left w:val="single" w:sz="4" w:space="0" w:color="auto"/>
              <w:bottom w:val="single" w:sz="4" w:space="0" w:color="auto"/>
              <w:right w:val="single" w:sz="4" w:space="0" w:color="auto"/>
            </w:tcBorders>
          </w:tcPr>
          <w:p w14:paraId="037D6503" w14:textId="3E7A3CEA" w:rsidR="000D4F98" w:rsidRPr="005C518D" w:rsidRDefault="00401D57" w:rsidP="00D76910">
            <w:pPr>
              <w:pStyle w:val="NCDTableText"/>
              <w:spacing w:before="60" w:after="60"/>
              <w:rPr>
                <w:b/>
              </w:rPr>
            </w:pPr>
            <w:r w:rsidRPr="00401D57">
              <w:rPr>
                <w:b/>
              </w:rPr>
              <w:lastRenderedPageBreak/>
              <w:t xml:space="preserve">Utah </w:t>
            </w:r>
          </w:p>
        </w:tc>
        <w:tc>
          <w:tcPr>
            <w:tcW w:w="1930" w:type="dxa"/>
            <w:tcBorders>
              <w:top w:val="single" w:sz="4" w:space="0" w:color="auto"/>
              <w:left w:val="single" w:sz="4" w:space="0" w:color="auto"/>
              <w:bottom w:val="single" w:sz="4" w:space="0" w:color="auto"/>
              <w:right w:val="single" w:sz="4" w:space="0" w:color="auto"/>
            </w:tcBorders>
            <w:vAlign w:val="center"/>
          </w:tcPr>
          <w:p w14:paraId="7C98E4AD" w14:textId="77777777" w:rsidR="000D4F98" w:rsidRPr="005C518D" w:rsidRDefault="000D4F98" w:rsidP="00D76910">
            <w:pPr>
              <w:pStyle w:val="NCDTableText"/>
              <w:spacing w:before="60" w:after="60"/>
            </w:pPr>
            <w:r w:rsidRPr="005C518D">
              <w:t>7</w:t>
            </w:r>
            <w:r>
              <w:t>,</w:t>
            </w:r>
            <w:r w:rsidRPr="005C518D">
              <w:t>600</w:t>
            </w:r>
          </w:p>
        </w:tc>
        <w:tc>
          <w:tcPr>
            <w:tcW w:w="1930" w:type="dxa"/>
            <w:tcBorders>
              <w:top w:val="single" w:sz="4" w:space="0" w:color="auto"/>
              <w:left w:val="single" w:sz="4" w:space="0" w:color="auto"/>
              <w:bottom w:val="single" w:sz="4" w:space="0" w:color="auto"/>
              <w:right w:val="single" w:sz="4" w:space="0" w:color="auto"/>
            </w:tcBorders>
            <w:vAlign w:val="center"/>
          </w:tcPr>
          <w:p w14:paraId="1089B0B8" w14:textId="77777777" w:rsidR="000D4F98" w:rsidRPr="005C518D" w:rsidRDefault="000D4F98" w:rsidP="00D76910">
            <w:pPr>
              <w:pStyle w:val="NCDTableText"/>
              <w:spacing w:before="60" w:after="60"/>
            </w:pPr>
            <w:r w:rsidRPr="005C518D">
              <w:t>7</w:t>
            </w:r>
            <w:r>
              <w:t>,</w:t>
            </w:r>
            <w:r w:rsidRPr="005C518D">
              <w:t>600</w:t>
            </w:r>
          </w:p>
        </w:tc>
        <w:tc>
          <w:tcPr>
            <w:tcW w:w="1930" w:type="dxa"/>
            <w:tcBorders>
              <w:top w:val="single" w:sz="4" w:space="0" w:color="auto"/>
              <w:left w:val="single" w:sz="4" w:space="0" w:color="auto"/>
              <w:bottom w:val="single" w:sz="4" w:space="0" w:color="auto"/>
              <w:right w:val="single" w:sz="4" w:space="0" w:color="auto"/>
            </w:tcBorders>
            <w:vAlign w:val="center"/>
          </w:tcPr>
          <w:p w14:paraId="0D4D3DAA" w14:textId="77777777" w:rsidR="000D4F98" w:rsidRPr="005C518D" w:rsidRDefault="000D4F98" w:rsidP="00D76910">
            <w:pPr>
              <w:pStyle w:val="NCDTableText"/>
              <w:spacing w:before="60" w:after="60"/>
            </w:pPr>
            <w:r w:rsidRPr="005C518D">
              <w:t>100</w:t>
            </w:r>
          </w:p>
        </w:tc>
        <w:tc>
          <w:tcPr>
            <w:tcW w:w="1930" w:type="dxa"/>
            <w:tcBorders>
              <w:top w:val="single" w:sz="4" w:space="0" w:color="auto"/>
              <w:left w:val="single" w:sz="4" w:space="0" w:color="auto"/>
              <w:bottom w:val="single" w:sz="4" w:space="0" w:color="auto"/>
              <w:right w:val="single" w:sz="4" w:space="0" w:color="auto"/>
            </w:tcBorders>
            <w:vAlign w:val="center"/>
          </w:tcPr>
          <w:p w14:paraId="67436CC9" w14:textId="77777777" w:rsidR="000D4F98" w:rsidRPr="005C518D" w:rsidRDefault="000D4F98" w:rsidP="00D76910">
            <w:pPr>
              <w:pStyle w:val="NCDTableText"/>
              <w:spacing w:before="60" w:after="60"/>
            </w:pPr>
            <w:r w:rsidRPr="005C518D">
              <w:t>5.16</w:t>
            </w:r>
          </w:p>
        </w:tc>
      </w:tr>
      <w:tr w:rsidR="000D4F98" w14:paraId="1581162F" w14:textId="77777777" w:rsidTr="00D76910">
        <w:trPr>
          <w:trHeight w:val="151"/>
          <w:jc w:val="center"/>
        </w:trPr>
        <w:tc>
          <w:tcPr>
            <w:tcW w:w="1930" w:type="dxa"/>
            <w:tcBorders>
              <w:top w:val="single" w:sz="4" w:space="0" w:color="auto"/>
              <w:left w:val="single" w:sz="4" w:space="0" w:color="auto"/>
              <w:bottom w:val="single" w:sz="4" w:space="0" w:color="auto"/>
              <w:right w:val="single" w:sz="4" w:space="0" w:color="auto"/>
            </w:tcBorders>
          </w:tcPr>
          <w:p w14:paraId="4BEC0F13" w14:textId="49CB8F92" w:rsidR="000D4F98" w:rsidRPr="005C518D" w:rsidRDefault="00401D57" w:rsidP="00D76910">
            <w:pPr>
              <w:pStyle w:val="NCDTableText"/>
              <w:spacing w:before="60" w:after="60"/>
              <w:rPr>
                <w:b/>
              </w:rPr>
            </w:pPr>
            <w:r w:rsidRPr="00401D57">
              <w:rPr>
                <w:b/>
              </w:rPr>
              <w:t xml:space="preserve">Vermont </w:t>
            </w:r>
          </w:p>
        </w:tc>
        <w:tc>
          <w:tcPr>
            <w:tcW w:w="1930" w:type="dxa"/>
            <w:tcBorders>
              <w:top w:val="single" w:sz="4" w:space="0" w:color="auto"/>
              <w:left w:val="single" w:sz="4" w:space="0" w:color="auto"/>
              <w:bottom w:val="single" w:sz="4" w:space="0" w:color="auto"/>
              <w:right w:val="single" w:sz="4" w:space="0" w:color="auto"/>
            </w:tcBorders>
            <w:vAlign w:val="center"/>
          </w:tcPr>
          <w:p w14:paraId="3A0B17CE" w14:textId="77777777" w:rsidR="000D4F98" w:rsidRPr="005C518D" w:rsidRDefault="000D4F98" w:rsidP="00D76910">
            <w:pPr>
              <w:pStyle w:val="NCDTableText"/>
              <w:spacing w:before="60" w:after="60"/>
            </w:pPr>
            <w:r w:rsidRPr="005C518D">
              <w:t>4</w:t>
            </w:r>
            <w:r>
              <w:t>,</w:t>
            </w:r>
            <w:r w:rsidRPr="005C518D">
              <w:t>362</w:t>
            </w:r>
          </w:p>
        </w:tc>
        <w:tc>
          <w:tcPr>
            <w:tcW w:w="1930" w:type="dxa"/>
            <w:tcBorders>
              <w:top w:val="single" w:sz="4" w:space="0" w:color="auto"/>
              <w:left w:val="single" w:sz="4" w:space="0" w:color="auto"/>
              <w:bottom w:val="single" w:sz="4" w:space="0" w:color="auto"/>
              <w:right w:val="single" w:sz="4" w:space="0" w:color="auto"/>
            </w:tcBorders>
            <w:vAlign w:val="center"/>
          </w:tcPr>
          <w:p w14:paraId="569D13C0" w14:textId="77777777" w:rsidR="000D4F98" w:rsidRPr="005C518D" w:rsidRDefault="000D4F98" w:rsidP="00D76910">
            <w:pPr>
              <w:pStyle w:val="NCDTableText"/>
              <w:spacing w:before="60" w:after="60"/>
            </w:pPr>
            <w:r w:rsidRPr="005C518D">
              <w:t>4</w:t>
            </w:r>
            <w:r>
              <w:t>,</w:t>
            </w:r>
            <w:r w:rsidRPr="005C518D">
              <w:t>362</w:t>
            </w:r>
          </w:p>
        </w:tc>
        <w:tc>
          <w:tcPr>
            <w:tcW w:w="1930" w:type="dxa"/>
            <w:tcBorders>
              <w:top w:val="single" w:sz="4" w:space="0" w:color="auto"/>
              <w:left w:val="single" w:sz="4" w:space="0" w:color="auto"/>
              <w:bottom w:val="single" w:sz="4" w:space="0" w:color="auto"/>
              <w:right w:val="single" w:sz="4" w:space="0" w:color="auto"/>
            </w:tcBorders>
            <w:vAlign w:val="center"/>
          </w:tcPr>
          <w:p w14:paraId="630B8563" w14:textId="77777777" w:rsidR="000D4F98" w:rsidRPr="005C518D" w:rsidRDefault="000D4F98" w:rsidP="00D76910">
            <w:pPr>
              <w:pStyle w:val="NCDTableText"/>
              <w:spacing w:before="60" w:after="60"/>
            </w:pPr>
            <w:r w:rsidRPr="005C518D">
              <w:t>100</w:t>
            </w:r>
          </w:p>
        </w:tc>
        <w:tc>
          <w:tcPr>
            <w:tcW w:w="1930" w:type="dxa"/>
            <w:tcBorders>
              <w:top w:val="single" w:sz="4" w:space="0" w:color="auto"/>
              <w:left w:val="single" w:sz="4" w:space="0" w:color="auto"/>
              <w:bottom w:val="single" w:sz="4" w:space="0" w:color="auto"/>
              <w:right w:val="single" w:sz="4" w:space="0" w:color="auto"/>
            </w:tcBorders>
            <w:vAlign w:val="center"/>
          </w:tcPr>
          <w:p w14:paraId="4C092299" w14:textId="77777777" w:rsidR="000D4F98" w:rsidRPr="005C518D" w:rsidRDefault="000D4F98" w:rsidP="00D76910">
            <w:pPr>
              <w:pStyle w:val="NCDTableText"/>
              <w:spacing w:before="60" w:after="60"/>
            </w:pPr>
            <w:r w:rsidRPr="005C518D">
              <w:t>4.33</w:t>
            </w:r>
          </w:p>
        </w:tc>
      </w:tr>
      <w:tr w:rsidR="000D4F98" w14:paraId="7F8A749F" w14:textId="77777777" w:rsidTr="00D76910">
        <w:trPr>
          <w:trHeight w:val="151"/>
          <w:jc w:val="center"/>
        </w:trPr>
        <w:tc>
          <w:tcPr>
            <w:tcW w:w="1930" w:type="dxa"/>
            <w:tcBorders>
              <w:top w:val="single" w:sz="4" w:space="0" w:color="auto"/>
              <w:left w:val="single" w:sz="4" w:space="0" w:color="auto"/>
              <w:bottom w:val="single" w:sz="4" w:space="0" w:color="auto"/>
              <w:right w:val="single" w:sz="4" w:space="0" w:color="auto"/>
            </w:tcBorders>
          </w:tcPr>
          <w:p w14:paraId="143CD14F" w14:textId="54640CA5" w:rsidR="000D4F98" w:rsidRPr="005C518D" w:rsidRDefault="00401D57" w:rsidP="00D76910">
            <w:pPr>
              <w:pStyle w:val="NCDTableText"/>
              <w:spacing w:before="60" w:after="60"/>
              <w:rPr>
                <w:b/>
              </w:rPr>
            </w:pPr>
            <w:r w:rsidRPr="00401D57">
              <w:rPr>
                <w:b/>
              </w:rPr>
              <w:t xml:space="preserve">Virginia </w:t>
            </w:r>
          </w:p>
        </w:tc>
        <w:tc>
          <w:tcPr>
            <w:tcW w:w="1930" w:type="dxa"/>
            <w:tcBorders>
              <w:top w:val="single" w:sz="4" w:space="0" w:color="auto"/>
              <w:left w:val="single" w:sz="4" w:space="0" w:color="auto"/>
              <w:bottom w:val="single" w:sz="4" w:space="0" w:color="auto"/>
              <w:right w:val="single" w:sz="4" w:space="0" w:color="auto"/>
            </w:tcBorders>
            <w:vAlign w:val="center"/>
          </w:tcPr>
          <w:p w14:paraId="7C367B11" w14:textId="77777777" w:rsidR="000D4F98" w:rsidRPr="005C518D" w:rsidRDefault="000D4F98" w:rsidP="00D76910">
            <w:pPr>
              <w:pStyle w:val="NCDTableText"/>
              <w:spacing w:before="60" w:after="60"/>
            </w:pPr>
            <w:r w:rsidRPr="005C518D">
              <w:t>17</w:t>
            </w:r>
            <w:r>
              <w:t>,</w:t>
            </w:r>
            <w:r w:rsidRPr="005C518D">
              <w:t>816</w:t>
            </w:r>
          </w:p>
        </w:tc>
        <w:tc>
          <w:tcPr>
            <w:tcW w:w="1930" w:type="dxa"/>
            <w:tcBorders>
              <w:top w:val="single" w:sz="4" w:space="0" w:color="auto"/>
              <w:left w:val="single" w:sz="4" w:space="0" w:color="auto"/>
              <w:bottom w:val="single" w:sz="4" w:space="0" w:color="auto"/>
              <w:right w:val="single" w:sz="4" w:space="0" w:color="auto"/>
            </w:tcBorders>
            <w:vAlign w:val="center"/>
          </w:tcPr>
          <w:p w14:paraId="511C444B" w14:textId="77777777" w:rsidR="000D4F98" w:rsidRPr="005C518D" w:rsidRDefault="000D4F98" w:rsidP="00D76910">
            <w:pPr>
              <w:pStyle w:val="NCDTableText"/>
              <w:spacing w:before="60" w:after="60"/>
            </w:pPr>
            <w:r w:rsidRPr="005C518D">
              <w:t>22</w:t>
            </w:r>
            <w:r>
              <w:t>,</w:t>
            </w:r>
            <w:r w:rsidRPr="005C518D">
              <w:t>270</w:t>
            </w:r>
          </w:p>
        </w:tc>
        <w:tc>
          <w:tcPr>
            <w:tcW w:w="1930" w:type="dxa"/>
            <w:tcBorders>
              <w:top w:val="single" w:sz="4" w:space="0" w:color="auto"/>
              <w:left w:val="single" w:sz="4" w:space="0" w:color="auto"/>
              <w:bottom w:val="single" w:sz="4" w:space="0" w:color="auto"/>
              <w:right w:val="single" w:sz="4" w:space="0" w:color="auto"/>
            </w:tcBorders>
            <w:vAlign w:val="center"/>
          </w:tcPr>
          <w:p w14:paraId="4474DA85" w14:textId="77777777" w:rsidR="000D4F98" w:rsidRPr="005C518D" w:rsidRDefault="000D4F98" w:rsidP="00D76910">
            <w:pPr>
              <w:pStyle w:val="NCDTableText"/>
              <w:spacing w:before="60" w:after="60"/>
            </w:pPr>
            <w:r w:rsidRPr="005C518D">
              <w:t>80</w:t>
            </w:r>
          </w:p>
        </w:tc>
        <w:tc>
          <w:tcPr>
            <w:tcW w:w="1930" w:type="dxa"/>
            <w:tcBorders>
              <w:top w:val="single" w:sz="4" w:space="0" w:color="auto"/>
              <w:left w:val="single" w:sz="4" w:space="0" w:color="auto"/>
              <w:bottom w:val="single" w:sz="4" w:space="0" w:color="auto"/>
              <w:right w:val="single" w:sz="4" w:space="0" w:color="auto"/>
            </w:tcBorders>
            <w:vAlign w:val="center"/>
          </w:tcPr>
          <w:p w14:paraId="51F00206" w14:textId="77777777" w:rsidR="000D4F98" w:rsidRPr="005C518D" w:rsidRDefault="000D4F98" w:rsidP="00D76910">
            <w:pPr>
              <w:pStyle w:val="NCDTableText"/>
              <w:spacing w:before="60" w:after="60"/>
            </w:pPr>
            <w:r w:rsidRPr="005C518D">
              <w:t>4.51</w:t>
            </w:r>
          </w:p>
        </w:tc>
      </w:tr>
      <w:tr w:rsidR="000D4F98" w14:paraId="698C47D0" w14:textId="77777777" w:rsidTr="00D76910">
        <w:trPr>
          <w:trHeight w:val="151"/>
          <w:jc w:val="center"/>
        </w:trPr>
        <w:tc>
          <w:tcPr>
            <w:tcW w:w="1930" w:type="dxa"/>
            <w:tcBorders>
              <w:top w:val="single" w:sz="4" w:space="0" w:color="auto"/>
              <w:left w:val="single" w:sz="4" w:space="0" w:color="auto"/>
              <w:bottom w:val="single" w:sz="4" w:space="0" w:color="auto"/>
              <w:right w:val="single" w:sz="4" w:space="0" w:color="auto"/>
            </w:tcBorders>
          </w:tcPr>
          <w:p w14:paraId="7DA8ECCC" w14:textId="6CBC087A" w:rsidR="000D4F98" w:rsidRPr="005C518D" w:rsidRDefault="00401D57" w:rsidP="00D76910">
            <w:pPr>
              <w:pStyle w:val="NCDTableText"/>
              <w:spacing w:before="60" w:after="60"/>
              <w:rPr>
                <w:b/>
              </w:rPr>
            </w:pPr>
            <w:r w:rsidRPr="00401D57">
              <w:rPr>
                <w:b/>
              </w:rPr>
              <w:t xml:space="preserve">Washington </w:t>
            </w:r>
          </w:p>
        </w:tc>
        <w:tc>
          <w:tcPr>
            <w:tcW w:w="1930" w:type="dxa"/>
            <w:tcBorders>
              <w:top w:val="single" w:sz="4" w:space="0" w:color="auto"/>
              <w:left w:val="single" w:sz="4" w:space="0" w:color="auto"/>
              <w:bottom w:val="single" w:sz="4" w:space="0" w:color="auto"/>
              <w:right w:val="single" w:sz="4" w:space="0" w:color="auto"/>
            </w:tcBorders>
            <w:vAlign w:val="center"/>
          </w:tcPr>
          <w:p w14:paraId="549143AC" w14:textId="77777777" w:rsidR="000D4F98" w:rsidRPr="005C518D" w:rsidRDefault="000D4F98" w:rsidP="00D76910">
            <w:pPr>
              <w:pStyle w:val="NCDTableText"/>
              <w:spacing w:before="60" w:after="60"/>
            </w:pPr>
            <w:r w:rsidRPr="005C518D">
              <w:t>12</w:t>
            </w:r>
            <w:r>
              <w:t>,</w:t>
            </w:r>
            <w:r w:rsidRPr="005C518D">
              <w:t>559</w:t>
            </w:r>
          </w:p>
        </w:tc>
        <w:tc>
          <w:tcPr>
            <w:tcW w:w="1930" w:type="dxa"/>
            <w:tcBorders>
              <w:top w:val="single" w:sz="4" w:space="0" w:color="auto"/>
              <w:left w:val="single" w:sz="4" w:space="0" w:color="auto"/>
              <w:bottom w:val="single" w:sz="4" w:space="0" w:color="auto"/>
              <w:right w:val="single" w:sz="4" w:space="0" w:color="auto"/>
            </w:tcBorders>
            <w:vAlign w:val="center"/>
          </w:tcPr>
          <w:p w14:paraId="63DDF72C" w14:textId="77777777" w:rsidR="000D4F98" w:rsidRPr="005C518D" w:rsidRDefault="000D4F98" w:rsidP="00D76910">
            <w:pPr>
              <w:pStyle w:val="NCDTableText"/>
              <w:spacing w:before="60" w:after="60"/>
            </w:pPr>
            <w:r w:rsidRPr="005C518D">
              <w:t>15</w:t>
            </w:r>
            <w:r>
              <w:t>,</w:t>
            </w:r>
            <w:r w:rsidRPr="005C518D">
              <w:t>700</w:t>
            </w:r>
          </w:p>
        </w:tc>
        <w:tc>
          <w:tcPr>
            <w:tcW w:w="1930" w:type="dxa"/>
            <w:tcBorders>
              <w:top w:val="single" w:sz="4" w:space="0" w:color="auto"/>
              <w:left w:val="single" w:sz="4" w:space="0" w:color="auto"/>
              <w:bottom w:val="single" w:sz="4" w:space="0" w:color="auto"/>
              <w:right w:val="single" w:sz="4" w:space="0" w:color="auto"/>
            </w:tcBorders>
            <w:vAlign w:val="center"/>
          </w:tcPr>
          <w:p w14:paraId="55603D15" w14:textId="77777777" w:rsidR="000D4F98" w:rsidRPr="005C518D" w:rsidRDefault="000D4F98" w:rsidP="00D76910">
            <w:pPr>
              <w:pStyle w:val="NCDTableText"/>
              <w:spacing w:before="60" w:after="60"/>
            </w:pPr>
            <w:r w:rsidRPr="005C518D">
              <w:t>80</w:t>
            </w:r>
          </w:p>
        </w:tc>
        <w:tc>
          <w:tcPr>
            <w:tcW w:w="1930" w:type="dxa"/>
            <w:tcBorders>
              <w:top w:val="single" w:sz="4" w:space="0" w:color="auto"/>
              <w:left w:val="single" w:sz="4" w:space="0" w:color="auto"/>
              <w:bottom w:val="single" w:sz="4" w:space="0" w:color="auto"/>
              <w:right w:val="single" w:sz="4" w:space="0" w:color="auto"/>
            </w:tcBorders>
            <w:vAlign w:val="center"/>
          </w:tcPr>
          <w:p w14:paraId="68143042" w14:textId="77777777" w:rsidR="000D4F98" w:rsidRPr="005C518D" w:rsidRDefault="000D4F98" w:rsidP="00D76910">
            <w:pPr>
              <w:pStyle w:val="NCDTableText"/>
              <w:spacing w:before="60" w:after="60"/>
            </w:pPr>
            <w:r w:rsidRPr="005C518D">
              <w:t>1.32</w:t>
            </w:r>
          </w:p>
        </w:tc>
      </w:tr>
      <w:tr w:rsidR="000D4F98" w14:paraId="7CBC1103" w14:textId="77777777" w:rsidTr="00D76910">
        <w:trPr>
          <w:trHeight w:val="151"/>
          <w:jc w:val="center"/>
        </w:trPr>
        <w:tc>
          <w:tcPr>
            <w:tcW w:w="1930" w:type="dxa"/>
            <w:tcBorders>
              <w:top w:val="single" w:sz="4" w:space="0" w:color="auto"/>
              <w:left w:val="single" w:sz="4" w:space="0" w:color="auto"/>
              <w:bottom w:val="single" w:sz="4" w:space="0" w:color="auto"/>
              <w:right w:val="single" w:sz="4" w:space="0" w:color="auto"/>
            </w:tcBorders>
          </w:tcPr>
          <w:p w14:paraId="45ABEFB9" w14:textId="41553979" w:rsidR="000D4F98" w:rsidRPr="005C518D" w:rsidRDefault="00401D57" w:rsidP="00D76910">
            <w:pPr>
              <w:pStyle w:val="NCDTableText"/>
              <w:spacing w:before="60" w:after="60"/>
              <w:rPr>
                <w:b/>
              </w:rPr>
            </w:pPr>
            <w:r w:rsidRPr="00401D57">
              <w:rPr>
                <w:b/>
              </w:rPr>
              <w:t xml:space="preserve">West Virginia </w:t>
            </w:r>
          </w:p>
        </w:tc>
        <w:tc>
          <w:tcPr>
            <w:tcW w:w="1930" w:type="dxa"/>
            <w:tcBorders>
              <w:top w:val="single" w:sz="4" w:space="0" w:color="auto"/>
              <w:left w:val="single" w:sz="4" w:space="0" w:color="auto"/>
              <w:bottom w:val="single" w:sz="4" w:space="0" w:color="auto"/>
              <w:right w:val="single" w:sz="4" w:space="0" w:color="auto"/>
            </w:tcBorders>
            <w:vAlign w:val="center"/>
          </w:tcPr>
          <w:p w14:paraId="70185B07" w14:textId="77777777" w:rsidR="000D4F98" w:rsidRPr="005C518D" w:rsidRDefault="000D4F98" w:rsidP="00D76910">
            <w:pPr>
              <w:pStyle w:val="NCDTableText"/>
              <w:spacing w:before="60" w:after="60"/>
            </w:pPr>
            <w:r w:rsidRPr="005C518D">
              <w:t>7</w:t>
            </w:r>
            <w:r>
              <w:t>,</w:t>
            </w:r>
            <w:r w:rsidRPr="005C518D">
              <w:t>522</w:t>
            </w:r>
          </w:p>
        </w:tc>
        <w:tc>
          <w:tcPr>
            <w:tcW w:w="1930" w:type="dxa"/>
            <w:tcBorders>
              <w:top w:val="single" w:sz="4" w:space="0" w:color="auto"/>
              <w:left w:val="single" w:sz="4" w:space="0" w:color="auto"/>
              <w:bottom w:val="single" w:sz="4" w:space="0" w:color="auto"/>
              <w:right w:val="single" w:sz="4" w:space="0" w:color="auto"/>
            </w:tcBorders>
            <w:vAlign w:val="center"/>
          </w:tcPr>
          <w:p w14:paraId="71691F0A" w14:textId="77777777" w:rsidR="000D4F98" w:rsidRPr="005C518D" w:rsidRDefault="000D4F98" w:rsidP="00D76910">
            <w:pPr>
              <w:pStyle w:val="NCDTableText"/>
              <w:spacing w:before="60" w:after="60"/>
            </w:pPr>
            <w:r w:rsidRPr="005C518D">
              <w:t>7</w:t>
            </w:r>
            <w:r>
              <w:t>,</w:t>
            </w:r>
            <w:r w:rsidRPr="005C518D">
              <w:t>522</w:t>
            </w:r>
          </w:p>
        </w:tc>
        <w:tc>
          <w:tcPr>
            <w:tcW w:w="1930" w:type="dxa"/>
            <w:tcBorders>
              <w:top w:val="single" w:sz="4" w:space="0" w:color="auto"/>
              <w:left w:val="single" w:sz="4" w:space="0" w:color="auto"/>
              <w:bottom w:val="single" w:sz="4" w:space="0" w:color="auto"/>
              <w:right w:val="single" w:sz="4" w:space="0" w:color="auto"/>
            </w:tcBorders>
            <w:vAlign w:val="center"/>
          </w:tcPr>
          <w:p w14:paraId="68D8BA71" w14:textId="77777777" w:rsidR="000D4F98" w:rsidRPr="005C518D" w:rsidRDefault="000D4F98" w:rsidP="00D76910">
            <w:pPr>
              <w:pStyle w:val="NCDTableText"/>
              <w:spacing w:before="60" w:after="60"/>
            </w:pPr>
            <w:r w:rsidRPr="005C518D">
              <w:t>100</w:t>
            </w:r>
          </w:p>
        </w:tc>
        <w:tc>
          <w:tcPr>
            <w:tcW w:w="1930" w:type="dxa"/>
            <w:tcBorders>
              <w:top w:val="single" w:sz="4" w:space="0" w:color="auto"/>
              <w:left w:val="single" w:sz="4" w:space="0" w:color="auto"/>
              <w:bottom w:val="single" w:sz="4" w:space="0" w:color="auto"/>
              <w:right w:val="single" w:sz="4" w:space="0" w:color="auto"/>
            </w:tcBorders>
            <w:vAlign w:val="center"/>
          </w:tcPr>
          <w:p w14:paraId="5D756BF9" w14:textId="77777777" w:rsidR="000D4F98" w:rsidRPr="005C518D" w:rsidRDefault="000D4F98" w:rsidP="00D76910">
            <w:pPr>
              <w:pStyle w:val="NCDTableText"/>
              <w:spacing w:before="60" w:after="60"/>
            </w:pPr>
            <w:r w:rsidRPr="005C518D">
              <w:t>1.91</w:t>
            </w:r>
          </w:p>
        </w:tc>
      </w:tr>
      <w:tr w:rsidR="000D4F98" w14:paraId="1233D7F3" w14:textId="77777777" w:rsidTr="00D76910">
        <w:trPr>
          <w:trHeight w:val="151"/>
          <w:jc w:val="center"/>
        </w:trPr>
        <w:tc>
          <w:tcPr>
            <w:tcW w:w="1930" w:type="dxa"/>
            <w:tcBorders>
              <w:top w:val="single" w:sz="4" w:space="0" w:color="auto"/>
              <w:left w:val="single" w:sz="4" w:space="0" w:color="auto"/>
              <w:bottom w:val="single" w:sz="4" w:space="0" w:color="auto"/>
              <w:right w:val="single" w:sz="4" w:space="0" w:color="auto"/>
            </w:tcBorders>
          </w:tcPr>
          <w:p w14:paraId="55E58CF6" w14:textId="532F3671" w:rsidR="000D4F98" w:rsidRPr="005C518D" w:rsidRDefault="00401D57" w:rsidP="00D76910">
            <w:pPr>
              <w:pStyle w:val="NCDTableText"/>
              <w:spacing w:before="60" w:after="60"/>
              <w:rPr>
                <w:b/>
              </w:rPr>
            </w:pPr>
            <w:r w:rsidRPr="00401D57">
              <w:rPr>
                <w:b/>
              </w:rPr>
              <w:t xml:space="preserve">Wisconsin </w:t>
            </w:r>
          </w:p>
        </w:tc>
        <w:tc>
          <w:tcPr>
            <w:tcW w:w="1930" w:type="dxa"/>
            <w:tcBorders>
              <w:top w:val="single" w:sz="4" w:space="0" w:color="auto"/>
              <w:left w:val="single" w:sz="4" w:space="0" w:color="auto"/>
              <w:bottom w:val="single" w:sz="4" w:space="0" w:color="auto"/>
              <w:right w:val="single" w:sz="4" w:space="0" w:color="auto"/>
            </w:tcBorders>
            <w:vAlign w:val="center"/>
          </w:tcPr>
          <w:p w14:paraId="625D905B" w14:textId="77777777" w:rsidR="000D4F98" w:rsidRPr="005C518D" w:rsidRDefault="000D4F98" w:rsidP="00D76910">
            <w:pPr>
              <w:pStyle w:val="NCDTableText"/>
              <w:spacing w:before="60" w:after="60"/>
            </w:pPr>
            <w:r w:rsidRPr="005C518D">
              <w:t>14</w:t>
            </w:r>
            <w:r>
              <w:t>,</w:t>
            </w:r>
            <w:r w:rsidRPr="005C518D">
              <w:t>632</w:t>
            </w:r>
          </w:p>
        </w:tc>
        <w:tc>
          <w:tcPr>
            <w:tcW w:w="1930" w:type="dxa"/>
            <w:tcBorders>
              <w:top w:val="single" w:sz="4" w:space="0" w:color="auto"/>
              <w:left w:val="single" w:sz="4" w:space="0" w:color="auto"/>
              <w:bottom w:val="single" w:sz="4" w:space="0" w:color="auto"/>
              <w:right w:val="single" w:sz="4" w:space="0" w:color="auto"/>
            </w:tcBorders>
            <w:vAlign w:val="center"/>
          </w:tcPr>
          <w:p w14:paraId="3A77EED7" w14:textId="77777777" w:rsidR="000D4F98" w:rsidRPr="005C518D" w:rsidRDefault="000D4F98" w:rsidP="00D76910">
            <w:pPr>
              <w:pStyle w:val="NCDTableText"/>
              <w:spacing w:before="60" w:after="60"/>
            </w:pPr>
            <w:r w:rsidRPr="005C518D">
              <w:t>18</w:t>
            </w:r>
            <w:r>
              <w:t>,</w:t>
            </w:r>
            <w:r w:rsidRPr="005C518D">
              <w:t>291</w:t>
            </w:r>
          </w:p>
        </w:tc>
        <w:tc>
          <w:tcPr>
            <w:tcW w:w="1930" w:type="dxa"/>
            <w:tcBorders>
              <w:top w:val="single" w:sz="4" w:space="0" w:color="auto"/>
              <w:left w:val="single" w:sz="4" w:space="0" w:color="auto"/>
              <w:bottom w:val="single" w:sz="4" w:space="0" w:color="auto"/>
              <w:right w:val="single" w:sz="4" w:space="0" w:color="auto"/>
            </w:tcBorders>
            <w:vAlign w:val="center"/>
          </w:tcPr>
          <w:p w14:paraId="26128AA5" w14:textId="77777777" w:rsidR="000D4F98" w:rsidRPr="005C518D" w:rsidRDefault="000D4F98" w:rsidP="00D76910">
            <w:pPr>
              <w:pStyle w:val="NCDTableText"/>
              <w:spacing w:before="60" w:after="60"/>
            </w:pPr>
            <w:r>
              <w:t>80</w:t>
            </w:r>
          </w:p>
        </w:tc>
        <w:tc>
          <w:tcPr>
            <w:tcW w:w="1930" w:type="dxa"/>
            <w:tcBorders>
              <w:top w:val="single" w:sz="4" w:space="0" w:color="auto"/>
              <w:left w:val="single" w:sz="4" w:space="0" w:color="auto"/>
              <w:bottom w:val="single" w:sz="4" w:space="0" w:color="auto"/>
              <w:right w:val="single" w:sz="4" w:space="0" w:color="auto"/>
            </w:tcBorders>
            <w:vAlign w:val="center"/>
          </w:tcPr>
          <w:p w14:paraId="305D9BEE" w14:textId="77777777" w:rsidR="000D4F98" w:rsidRPr="005C518D" w:rsidRDefault="000D4F98" w:rsidP="00D76910">
            <w:pPr>
              <w:pStyle w:val="NCDTableText"/>
              <w:spacing w:before="60" w:after="60"/>
            </w:pPr>
            <w:r w:rsidRPr="005C518D">
              <w:t>2.50</w:t>
            </w:r>
          </w:p>
        </w:tc>
      </w:tr>
      <w:tr w:rsidR="000D4F98" w14:paraId="0098C458" w14:textId="77777777" w:rsidTr="00D76910">
        <w:trPr>
          <w:trHeight w:val="151"/>
          <w:jc w:val="center"/>
        </w:trPr>
        <w:tc>
          <w:tcPr>
            <w:tcW w:w="1930" w:type="dxa"/>
            <w:tcBorders>
              <w:top w:val="single" w:sz="4" w:space="0" w:color="auto"/>
              <w:left w:val="single" w:sz="4" w:space="0" w:color="auto"/>
              <w:bottom w:val="single" w:sz="4" w:space="0" w:color="auto"/>
              <w:right w:val="single" w:sz="4" w:space="0" w:color="auto"/>
            </w:tcBorders>
          </w:tcPr>
          <w:p w14:paraId="69F03AA0" w14:textId="2947DFAD" w:rsidR="000D4F98" w:rsidRPr="005C518D" w:rsidRDefault="00401D57" w:rsidP="00D76910">
            <w:pPr>
              <w:pStyle w:val="NCDTableText"/>
              <w:spacing w:before="60" w:after="60"/>
              <w:rPr>
                <w:b/>
              </w:rPr>
            </w:pPr>
            <w:r w:rsidRPr="00401D57">
              <w:rPr>
                <w:b/>
              </w:rPr>
              <w:t xml:space="preserve">Wyoming </w:t>
            </w:r>
          </w:p>
        </w:tc>
        <w:tc>
          <w:tcPr>
            <w:tcW w:w="1930" w:type="dxa"/>
            <w:tcBorders>
              <w:top w:val="single" w:sz="4" w:space="0" w:color="auto"/>
              <w:left w:val="single" w:sz="4" w:space="0" w:color="auto"/>
              <w:bottom w:val="single" w:sz="4" w:space="0" w:color="auto"/>
              <w:right w:val="single" w:sz="4" w:space="0" w:color="auto"/>
            </w:tcBorders>
            <w:vAlign w:val="center"/>
          </w:tcPr>
          <w:p w14:paraId="4005F28D" w14:textId="77777777" w:rsidR="000D4F98" w:rsidRPr="005C518D" w:rsidRDefault="000D4F98" w:rsidP="00D76910">
            <w:pPr>
              <w:pStyle w:val="NCDTableText"/>
              <w:spacing w:before="60" w:after="60"/>
            </w:pPr>
            <w:r w:rsidRPr="005C518D">
              <w:t>2</w:t>
            </w:r>
            <w:r>
              <w:t>,</w:t>
            </w:r>
            <w:r w:rsidRPr="005C518D">
              <w:t>960</w:t>
            </w:r>
          </w:p>
        </w:tc>
        <w:tc>
          <w:tcPr>
            <w:tcW w:w="1930" w:type="dxa"/>
            <w:tcBorders>
              <w:top w:val="single" w:sz="4" w:space="0" w:color="auto"/>
              <w:left w:val="single" w:sz="4" w:space="0" w:color="auto"/>
              <w:bottom w:val="single" w:sz="4" w:space="0" w:color="auto"/>
              <w:right w:val="single" w:sz="4" w:space="0" w:color="auto"/>
            </w:tcBorders>
            <w:vAlign w:val="center"/>
          </w:tcPr>
          <w:p w14:paraId="3F36F0AD" w14:textId="77777777" w:rsidR="000D4F98" w:rsidRPr="005C518D" w:rsidRDefault="000D4F98" w:rsidP="00D76910">
            <w:pPr>
              <w:pStyle w:val="NCDTableText"/>
              <w:spacing w:before="60" w:after="60"/>
            </w:pPr>
            <w:r w:rsidRPr="005C518D">
              <w:t>2</w:t>
            </w:r>
            <w:r>
              <w:t>,</w:t>
            </w:r>
            <w:r w:rsidRPr="005C518D">
              <w:t>960</w:t>
            </w:r>
          </w:p>
        </w:tc>
        <w:tc>
          <w:tcPr>
            <w:tcW w:w="1930" w:type="dxa"/>
            <w:tcBorders>
              <w:top w:val="single" w:sz="4" w:space="0" w:color="auto"/>
              <w:left w:val="single" w:sz="4" w:space="0" w:color="auto"/>
              <w:bottom w:val="single" w:sz="4" w:space="0" w:color="auto"/>
              <w:right w:val="single" w:sz="4" w:space="0" w:color="auto"/>
            </w:tcBorders>
            <w:vAlign w:val="center"/>
          </w:tcPr>
          <w:p w14:paraId="39BBF471" w14:textId="77777777" w:rsidR="000D4F98" w:rsidRPr="005C518D" w:rsidRDefault="000D4F98" w:rsidP="00D76910">
            <w:pPr>
              <w:pStyle w:val="NCDTableText"/>
              <w:spacing w:before="60" w:after="60"/>
            </w:pPr>
            <w:r>
              <w:t>100</w:t>
            </w:r>
          </w:p>
        </w:tc>
        <w:tc>
          <w:tcPr>
            <w:tcW w:w="1930" w:type="dxa"/>
            <w:tcBorders>
              <w:top w:val="single" w:sz="4" w:space="0" w:color="auto"/>
              <w:left w:val="single" w:sz="4" w:space="0" w:color="auto"/>
              <w:bottom w:val="single" w:sz="4" w:space="0" w:color="auto"/>
              <w:right w:val="single" w:sz="4" w:space="0" w:color="auto"/>
            </w:tcBorders>
            <w:vAlign w:val="center"/>
          </w:tcPr>
          <w:p w14:paraId="7A9D537C" w14:textId="77777777" w:rsidR="000D4F98" w:rsidRPr="005C518D" w:rsidRDefault="000D4F98" w:rsidP="00D76910">
            <w:pPr>
              <w:pStyle w:val="NCDTableText"/>
              <w:spacing w:before="60" w:after="60"/>
            </w:pPr>
            <w:r w:rsidRPr="005C518D">
              <w:t>11.01</w:t>
            </w:r>
          </w:p>
        </w:tc>
      </w:tr>
    </w:tbl>
    <w:p w14:paraId="57D1F7C3" w14:textId="77777777" w:rsidR="00D76910" w:rsidRDefault="00D76910" w:rsidP="00D76910">
      <w:pPr>
        <w:pStyle w:val="Heading1"/>
      </w:pPr>
      <w:bookmarkStart w:id="238" w:name="_Toc83650954"/>
    </w:p>
    <w:p w14:paraId="7C95ACBC" w14:textId="77777777" w:rsidR="00D76910" w:rsidRDefault="00D76910">
      <w:pPr>
        <w:spacing w:after="160" w:line="259" w:lineRule="auto"/>
        <w:rPr>
          <w:rFonts w:cs="Arial"/>
          <w:b/>
          <w:sz w:val="36"/>
          <w:szCs w:val="32"/>
        </w:rPr>
      </w:pPr>
      <w:r>
        <w:br w:type="page"/>
      </w:r>
    </w:p>
    <w:p w14:paraId="3D501041" w14:textId="3AE67E93" w:rsidR="000D4F98" w:rsidRPr="00537483" w:rsidRDefault="000D4F98" w:rsidP="00D76910">
      <w:pPr>
        <w:pStyle w:val="Heading1"/>
      </w:pPr>
      <w:bookmarkStart w:id="239" w:name="_Toc95237064"/>
      <w:r>
        <w:lastRenderedPageBreak/>
        <w:t xml:space="preserve">Appendix F: Developmental Disabilities Agency Leader Questionnaire Responses </w:t>
      </w:r>
      <w:r w:rsidR="004E689B">
        <w:br/>
      </w:r>
      <w:r>
        <w:t>About Barriers to Oral Health</w:t>
      </w:r>
      <w:bookmarkEnd w:id="238"/>
      <w:bookmarkEnd w:id="239"/>
    </w:p>
    <w:p w14:paraId="12CA0494" w14:textId="77777777" w:rsidR="000D4F98" w:rsidRPr="00537483" w:rsidRDefault="000D4F98" w:rsidP="00D76910">
      <w:pPr>
        <w:pStyle w:val="NCDBodyText"/>
        <w:spacing w:line="240" w:lineRule="auto"/>
      </w:pPr>
      <w:r w:rsidRPr="0037774F">
        <w:t xml:space="preserve">The </w:t>
      </w:r>
      <w:r>
        <w:t>following</w:t>
      </w:r>
      <w:r w:rsidRPr="0037774F">
        <w:t xml:space="preserve"> table shows which states responded to the Developmental Disability Agency Questionnaire and the types of issues they cited within the questionnaire as barriers to oral health care for adults with intellectual and developmental disabilities (I/DD) in their state. The original question text was: “Q12 From your perspective, what are the main barriers to oral health care for adults with I/DD in your state?</w:t>
      </w:r>
      <w:r>
        <w:t>”</w:t>
      </w:r>
    </w:p>
    <w:p w14:paraId="6B1E4F18" w14:textId="77777777" w:rsidR="000D4F98" w:rsidRPr="00537483" w:rsidRDefault="000D4F98" w:rsidP="000D4F98">
      <w:pPr>
        <w:spacing w:line="240" w:lineRule="auto"/>
      </w:pPr>
    </w:p>
    <w:tbl>
      <w:tblPr>
        <w:tblStyle w:val="TableGrid"/>
        <w:tblW w:w="9360" w:type="dxa"/>
        <w:jc w:val="center"/>
        <w:tblLayout w:type="fixed"/>
        <w:tblLook w:val="04A0" w:firstRow="1" w:lastRow="0" w:firstColumn="1" w:lastColumn="0" w:noHBand="0" w:noVBand="1"/>
        <w:tblCaption w:val="Responses to DD Question about Barriers to Oral Health"/>
        <w:tblDescription w:val="The columns of this tables displays every state and D.C., whether they responded to the questionnaire, and whether they cited a particular category of barriers in their answer to the question about barriers to oral health care for adults with I/DD in their state. The columns from left to right are, state, responded (Y/N), Transportation, Medicaid Coverage, Funding, Lack of providers trained to work with IDD patients, Lack of providers accepting Medicaid, Reimbursement Rate, Specialized Care, Accessibility, Indivdiual-level/Psycho-social barriers."/>
      </w:tblPr>
      <w:tblGrid>
        <w:gridCol w:w="898"/>
        <w:gridCol w:w="904"/>
        <w:gridCol w:w="1078"/>
        <w:gridCol w:w="810"/>
        <w:gridCol w:w="586"/>
        <w:gridCol w:w="825"/>
        <w:gridCol w:w="825"/>
        <w:gridCol w:w="825"/>
        <w:gridCol w:w="905"/>
        <w:gridCol w:w="987"/>
        <w:gridCol w:w="717"/>
      </w:tblGrid>
      <w:tr w:rsidR="00D76910" w:rsidRPr="00D76910" w14:paraId="35F95485" w14:textId="77777777" w:rsidTr="00D76910">
        <w:trPr>
          <w:trHeight w:val="314"/>
          <w:tblHeader/>
          <w:jc w:val="center"/>
        </w:trPr>
        <w:tc>
          <w:tcPr>
            <w:tcW w:w="898" w:type="dxa"/>
            <w:vAlign w:val="bottom"/>
            <w:hideMark/>
          </w:tcPr>
          <w:p w14:paraId="04CD47CE" w14:textId="6EE4BE13" w:rsidR="000D4F98" w:rsidRPr="00D76910" w:rsidRDefault="000D4F98" w:rsidP="00D76910">
            <w:pPr>
              <w:pStyle w:val="NCDTableHeader"/>
              <w:rPr>
                <w:sz w:val="12"/>
                <w:szCs w:val="12"/>
              </w:rPr>
            </w:pPr>
            <w:r w:rsidRPr="00D76910">
              <w:rPr>
                <w:sz w:val="12"/>
                <w:szCs w:val="12"/>
              </w:rPr>
              <w:t>State</w:t>
            </w:r>
          </w:p>
        </w:tc>
        <w:tc>
          <w:tcPr>
            <w:tcW w:w="904" w:type="dxa"/>
            <w:vAlign w:val="bottom"/>
            <w:hideMark/>
          </w:tcPr>
          <w:p w14:paraId="52485585" w14:textId="585CC40E" w:rsidR="000D4F98" w:rsidRPr="00D76910" w:rsidRDefault="000D4F98" w:rsidP="00D76910">
            <w:pPr>
              <w:pStyle w:val="NCDTableHeader"/>
              <w:jc w:val="center"/>
              <w:rPr>
                <w:sz w:val="12"/>
                <w:szCs w:val="12"/>
              </w:rPr>
            </w:pPr>
            <w:r w:rsidRPr="00D76910">
              <w:rPr>
                <w:sz w:val="12"/>
                <w:szCs w:val="12"/>
              </w:rPr>
              <w:t>Responded</w:t>
            </w:r>
          </w:p>
        </w:tc>
        <w:tc>
          <w:tcPr>
            <w:tcW w:w="1078" w:type="dxa"/>
            <w:vAlign w:val="bottom"/>
            <w:hideMark/>
          </w:tcPr>
          <w:p w14:paraId="3C05A52F" w14:textId="79DA2F2A" w:rsidR="000D4F98" w:rsidRPr="00D76910" w:rsidRDefault="000D4F98" w:rsidP="00D76910">
            <w:pPr>
              <w:pStyle w:val="NCDTableHeader"/>
              <w:jc w:val="center"/>
              <w:rPr>
                <w:sz w:val="12"/>
                <w:szCs w:val="12"/>
              </w:rPr>
            </w:pPr>
            <w:r w:rsidRPr="00D76910">
              <w:rPr>
                <w:sz w:val="12"/>
                <w:szCs w:val="12"/>
              </w:rPr>
              <w:t>Lack of Transportation</w:t>
            </w:r>
          </w:p>
        </w:tc>
        <w:tc>
          <w:tcPr>
            <w:tcW w:w="810" w:type="dxa"/>
            <w:vAlign w:val="bottom"/>
            <w:hideMark/>
          </w:tcPr>
          <w:p w14:paraId="3F9EDC0F" w14:textId="4250558B" w:rsidR="000D4F98" w:rsidRPr="00D76910" w:rsidRDefault="000D4F98" w:rsidP="00D76910">
            <w:pPr>
              <w:pStyle w:val="NCDTableHeader"/>
              <w:jc w:val="center"/>
              <w:rPr>
                <w:sz w:val="12"/>
                <w:szCs w:val="12"/>
              </w:rPr>
            </w:pPr>
            <w:r w:rsidRPr="00D76910">
              <w:rPr>
                <w:sz w:val="12"/>
                <w:szCs w:val="12"/>
              </w:rPr>
              <w:t>Medicaid Coverage Limits</w:t>
            </w:r>
          </w:p>
        </w:tc>
        <w:tc>
          <w:tcPr>
            <w:tcW w:w="586" w:type="dxa"/>
            <w:vAlign w:val="bottom"/>
            <w:hideMark/>
          </w:tcPr>
          <w:p w14:paraId="4C6CF913" w14:textId="1EEE95EE" w:rsidR="000D4F98" w:rsidRPr="00D76910" w:rsidRDefault="000D4F98" w:rsidP="00D76910">
            <w:pPr>
              <w:pStyle w:val="NCDTableHeader"/>
              <w:jc w:val="center"/>
              <w:rPr>
                <w:sz w:val="12"/>
                <w:szCs w:val="12"/>
              </w:rPr>
            </w:pPr>
            <w:r w:rsidRPr="00D76910">
              <w:rPr>
                <w:sz w:val="12"/>
                <w:szCs w:val="12"/>
              </w:rPr>
              <w:t>Lack of Funds</w:t>
            </w:r>
          </w:p>
        </w:tc>
        <w:tc>
          <w:tcPr>
            <w:tcW w:w="825" w:type="dxa"/>
            <w:vAlign w:val="bottom"/>
            <w:hideMark/>
          </w:tcPr>
          <w:p w14:paraId="0B9C2EA3" w14:textId="41FA9C89" w:rsidR="000D4F98" w:rsidRPr="00D76910" w:rsidRDefault="000D4F98" w:rsidP="00D76910">
            <w:pPr>
              <w:pStyle w:val="NCDTableHeader"/>
              <w:jc w:val="center"/>
              <w:rPr>
                <w:sz w:val="12"/>
                <w:szCs w:val="12"/>
              </w:rPr>
            </w:pPr>
            <w:r w:rsidRPr="00D76910">
              <w:rPr>
                <w:sz w:val="12"/>
                <w:szCs w:val="12"/>
              </w:rPr>
              <w:t>Lack of Providers Trained to Work with Patients with I/DD</w:t>
            </w:r>
          </w:p>
        </w:tc>
        <w:tc>
          <w:tcPr>
            <w:tcW w:w="825" w:type="dxa"/>
            <w:vAlign w:val="bottom"/>
            <w:hideMark/>
          </w:tcPr>
          <w:p w14:paraId="01B5E9CD" w14:textId="4653FBC7" w:rsidR="000D4F98" w:rsidRPr="00D76910" w:rsidRDefault="000D4F98" w:rsidP="00D76910">
            <w:pPr>
              <w:pStyle w:val="NCDTableHeader"/>
              <w:jc w:val="center"/>
              <w:rPr>
                <w:sz w:val="12"/>
                <w:szCs w:val="12"/>
              </w:rPr>
            </w:pPr>
            <w:r w:rsidRPr="00D76910">
              <w:rPr>
                <w:sz w:val="12"/>
                <w:szCs w:val="12"/>
              </w:rPr>
              <w:t>Lack of Providers Who Accept Medicaid</w:t>
            </w:r>
          </w:p>
        </w:tc>
        <w:tc>
          <w:tcPr>
            <w:tcW w:w="825" w:type="dxa"/>
            <w:vAlign w:val="bottom"/>
            <w:hideMark/>
          </w:tcPr>
          <w:p w14:paraId="3AD714FF" w14:textId="1EEECA20" w:rsidR="000D4F98" w:rsidRPr="00D76910" w:rsidRDefault="000D4F98" w:rsidP="00D76910">
            <w:pPr>
              <w:pStyle w:val="NCDTableHeader"/>
              <w:jc w:val="center"/>
              <w:rPr>
                <w:sz w:val="12"/>
                <w:szCs w:val="12"/>
              </w:rPr>
            </w:pPr>
            <w:r w:rsidRPr="00D76910">
              <w:rPr>
                <w:sz w:val="12"/>
                <w:szCs w:val="12"/>
              </w:rPr>
              <w:t>Low Reimbursement Rate</w:t>
            </w:r>
          </w:p>
        </w:tc>
        <w:tc>
          <w:tcPr>
            <w:tcW w:w="905" w:type="dxa"/>
            <w:vAlign w:val="bottom"/>
            <w:hideMark/>
          </w:tcPr>
          <w:p w14:paraId="684D44F7" w14:textId="49CCF661" w:rsidR="000D4F98" w:rsidRPr="00D76910" w:rsidRDefault="000D4F98" w:rsidP="00D76910">
            <w:pPr>
              <w:pStyle w:val="NCDTableHeader"/>
              <w:jc w:val="center"/>
              <w:rPr>
                <w:sz w:val="12"/>
                <w:szCs w:val="12"/>
              </w:rPr>
            </w:pPr>
            <w:r w:rsidRPr="00D76910">
              <w:rPr>
                <w:sz w:val="12"/>
                <w:szCs w:val="12"/>
              </w:rPr>
              <w:t>Specialized Care</w:t>
            </w:r>
          </w:p>
        </w:tc>
        <w:tc>
          <w:tcPr>
            <w:tcW w:w="987" w:type="dxa"/>
            <w:vAlign w:val="bottom"/>
            <w:hideMark/>
          </w:tcPr>
          <w:p w14:paraId="775BAFC3" w14:textId="5714CF63" w:rsidR="000D4F98" w:rsidRPr="00D76910" w:rsidRDefault="000D4F98" w:rsidP="00D76910">
            <w:pPr>
              <w:pStyle w:val="NCDTableHeader"/>
              <w:jc w:val="center"/>
              <w:rPr>
                <w:sz w:val="12"/>
                <w:szCs w:val="12"/>
              </w:rPr>
            </w:pPr>
            <w:r w:rsidRPr="00D76910">
              <w:rPr>
                <w:sz w:val="12"/>
                <w:szCs w:val="12"/>
              </w:rPr>
              <w:t>Accessibility</w:t>
            </w:r>
          </w:p>
        </w:tc>
        <w:tc>
          <w:tcPr>
            <w:tcW w:w="717" w:type="dxa"/>
            <w:vAlign w:val="bottom"/>
            <w:hideMark/>
          </w:tcPr>
          <w:p w14:paraId="1372CB98" w14:textId="4020EAB2" w:rsidR="000D4F98" w:rsidRPr="00D76910" w:rsidRDefault="000D4F98" w:rsidP="00D76910">
            <w:pPr>
              <w:pStyle w:val="NCDTableHeader"/>
              <w:jc w:val="center"/>
              <w:rPr>
                <w:sz w:val="12"/>
                <w:szCs w:val="12"/>
              </w:rPr>
            </w:pPr>
            <w:r w:rsidRPr="00D76910">
              <w:rPr>
                <w:sz w:val="12"/>
                <w:szCs w:val="12"/>
              </w:rPr>
              <w:t>Psychosocial Barriers</w:t>
            </w:r>
          </w:p>
        </w:tc>
      </w:tr>
      <w:tr w:rsidR="00D76910" w:rsidRPr="00D76910" w14:paraId="73CE5C6C" w14:textId="77777777" w:rsidTr="00D76910">
        <w:trPr>
          <w:trHeight w:val="314"/>
          <w:jc w:val="center"/>
        </w:trPr>
        <w:tc>
          <w:tcPr>
            <w:tcW w:w="898" w:type="dxa"/>
            <w:hideMark/>
          </w:tcPr>
          <w:p w14:paraId="392C450A" w14:textId="77777777" w:rsidR="000D4F98" w:rsidRPr="00D76910" w:rsidRDefault="000D4F98" w:rsidP="00D76910">
            <w:pPr>
              <w:pStyle w:val="NCDTableText"/>
            </w:pPr>
            <w:r w:rsidRPr="00D76910">
              <w:t>AL</w:t>
            </w:r>
          </w:p>
        </w:tc>
        <w:tc>
          <w:tcPr>
            <w:tcW w:w="904" w:type="dxa"/>
            <w:hideMark/>
          </w:tcPr>
          <w:p w14:paraId="7261587C" w14:textId="77777777" w:rsidR="000D4F98" w:rsidRPr="00D76910" w:rsidRDefault="000D4F98" w:rsidP="00A51250">
            <w:pPr>
              <w:pStyle w:val="NCDTableText"/>
              <w:jc w:val="center"/>
            </w:pPr>
            <w:r w:rsidRPr="00D76910">
              <w:t>N</w:t>
            </w:r>
          </w:p>
        </w:tc>
        <w:tc>
          <w:tcPr>
            <w:tcW w:w="1078" w:type="dxa"/>
            <w:hideMark/>
          </w:tcPr>
          <w:p w14:paraId="1B8C94AB" w14:textId="77777777" w:rsidR="000D4F98" w:rsidRPr="00D76910" w:rsidRDefault="000D4F98" w:rsidP="00A51250">
            <w:pPr>
              <w:pStyle w:val="NCDTableText"/>
              <w:jc w:val="center"/>
            </w:pPr>
            <w:r w:rsidRPr="00D76910">
              <w:t>—</w:t>
            </w:r>
          </w:p>
        </w:tc>
        <w:tc>
          <w:tcPr>
            <w:tcW w:w="810" w:type="dxa"/>
            <w:hideMark/>
          </w:tcPr>
          <w:p w14:paraId="7B30351E" w14:textId="77777777" w:rsidR="000D4F98" w:rsidRPr="00D76910" w:rsidRDefault="000D4F98" w:rsidP="00A51250">
            <w:pPr>
              <w:pStyle w:val="NCDTableText"/>
              <w:jc w:val="center"/>
            </w:pPr>
            <w:r w:rsidRPr="00D76910">
              <w:t>—</w:t>
            </w:r>
          </w:p>
        </w:tc>
        <w:tc>
          <w:tcPr>
            <w:tcW w:w="586" w:type="dxa"/>
            <w:hideMark/>
          </w:tcPr>
          <w:p w14:paraId="0372A74E" w14:textId="77777777" w:rsidR="000D4F98" w:rsidRPr="00D76910" w:rsidRDefault="000D4F98" w:rsidP="00A51250">
            <w:pPr>
              <w:pStyle w:val="NCDTableText"/>
              <w:jc w:val="center"/>
            </w:pPr>
            <w:r w:rsidRPr="00D76910">
              <w:t>—</w:t>
            </w:r>
          </w:p>
        </w:tc>
        <w:tc>
          <w:tcPr>
            <w:tcW w:w="825" w:type="dxa"/>
            <w:hideMark/>
          </w:tcPr>
          <w:p w14:paraId="608901EC" w14:textId="77777777" w:rsidR="000D4F98" w:rsidRPr="00D76910" w:rsidRDefault="000D4F98" w:rsidP="00A51250">
            <w:pPr>
              <w:pStyle w:val="NCDTableText"/>
              <w:jc w:val="center"/>
            </w:pPr>
            <w:r w:rsidRPr="00D76910">
              <w:t>—</w:t>
            </w:r>
          </w:p>
        </w:tc>
        <w:tc>
          <w:tcPr>
            <w:tcW w:w="825" w:type="dxa"/>
            <w:hideMark/>
          </w:tcPr>
          <w:p w14:paraId="031BA97C" w14:textId="77777777" w:rsidR="000D4F98" w:rsidRPr="00D76910" w:rsidRDefault="000D4F98" w:rsidP="00A51250">
            <w:pPr>
              <w:pStyle w:val="NCDTableText"/>
              <w:jc w:val="center"/>
            </w:pPr>
            <w:r w:rsidRPr="00D76910">
              <w:t>—</w:t>
            </w:r>
          </w:p>
        </w:tc>
        <w:tc>
          <w:tcPr>
            <w:tcW w:w="825" w:type="dxa"/>
            <w:hideMark/>
          </w:tcPr>
          <w:p w14:paraId="574198FE" w14:textId="77777777" w:rsidR="000D4F98" w:rsidRPr="00D76910" w:rsidRDefault="000D4F98" w:rsidP="00A51250">
            <w:pPr>
              <w:pStyle w:val="NCDTableText"/>
              <w:jc w:val="center"/>
            </w:pPr>
            <w:r w:rsidRPr="00D76910">
              <w:t>—</w:t>
            </w:r>
          </w:p>
        </w:tc>
        <w:tc>
          <w:tcPr>
            <w:tcW w:w="905" w:type="dxa"/>
            <w:hideMark/>
          </w:tcPr>
          <w:p w14:paraId="0A9722CB" w14:textId="77777777" w:rsidR="000D4F98" w:rsidRPr="00D76910" w:rsidRDefault="000D4F98" w:rsidP="00A51250">
            <w:pPr>
              <w:pStyle w:val="NCDTableText"/>
              <w:jc w:val="center"/>
            </w:pPr>
            <w:r w:rsidRPr="00D76910">
              <w:t>—</w:t>
            </w:r>
          </w:p>
        </w:tc>
        <w:tc>
          <w:tcPr>
            <w:tcW w:w="987" w:type="dxa"/>
            <w:hideMark/>
          </w:tcPr>
          <w:p w14:paraId="631E7A0B" w14:textId="77777777" w:rsidR="000D4F98" w:rsidRPr="00D76910" w:rsidRDefault="000D4F98" w:rsidP="00A51250">
            <w:pPr>
              <w:pStyle w:val="NCDTableText"/>
              <w:jc w:val="center"/>
            </w:pPr>
            <w:r w:rsidRPr="00D76910">
              <w:t>—</w:t>
            </w:r>
          </w:p>
        </w:tc>
        <w:tc>
          <w:tcPr>
            <w:tcW w:w="717" w:type="dxa"/>
            <w:hideMark/>
          </w:tcPr>
          <w:p w14:paraId="233CEFF5" w14:textId="77777777" w:rsidR="000D4F98" w:rsidRPr="00D76910" w:rsidRDefault="000D4F98" w:rsidP="00A51250">
            <w:pPr>
              <w:pStyle w:val="NCDTableText"/>
              <w:jc w:val="center"/>
            </w:pPr>
            <w:r w:rsidRPr="00D76910">
              <w:t>—</w:t>
            </w:r>
          </w:p>
        </w:tc>
      </w:tr>
      <w:tr w:rsidR="00D76910" w:rsidRPr="00D76910" w14:paraId="7625DCBD" w14:textId="77777777" w:rsidTr="00D76910">
        <w:trPr>
          <w:trHeight w:val="314"/>
          <w:jc w:val="center"/>
        </w:trPr>
        <w:tc>
          <w:tcPr>
            <w:tcW w:w="898" w:type="dxa"/>
            <w:hideMark/>
          </w:tcPr>
          <w:p w14:paraId="4EBC93F1" w14:textId="77777777" w:rsidR="000D4F98" w:rsidRPr="00D76910" w:rsidRDefault="000D4F98" w:rsidP="00D76910">
            <w:pPr>
              <w:pStyle w:val="NCDTableText"/>
            </w:pPr>
            <w:r w:rsidRPr="00D76910">
              <w:t>AK</w:t>
            </w:r>
          </w:p>
        </w:tc>
        <w:tc>
          <w:tcPr>
            <w:tcW w:w="904" w:type="dxa"/>
            <w:hideMark/>
          </w:tcPr>
          <w:p w14:paraId="3384765E" w14:textId="77777777" w:rsidR="000D4F98" w:rsidRPr="00D76910" w:rsidRDefault="000D4F98" w:rsidP="00A51250">
            <w:pPr>
              <w:pStyle w:val="NCDTableText"/>
              <w:jc w:val="center"/>
            </w:pPr>
            <w:r w:rsidRPr="00D76910">
              <w:t>Y</w:t>
            </w:r>
          </w:p>
        </w:tc>
        <w:tc>
          <w:tcPr>
            <w:tcW w:w="1078" w:type="dxa"/>
            <w:hideMark/>
          </w:tcPr>
          <w:p w14:paraId="7BBDCA9D" w14:textId="77777777" w:rsidR="000D4F98" w:rsidRPr="00D76910" w:rsidRDefault="000D4F98" w:rsidP="00A51250">
            <w:pPr>
              <w:pStyle w:val="NCDTableText"/>
              <w:jc w:val="center"/>
            </w:pPr>
            <w:r w:rsidRPr="00D76910">
              <w:t>—</w:t>
            </w:r>
          </w:p>
        </w:tc>
        <w:tc>
          <w:tcPr>
            <w:tcW w:w="810" w:type="dxa"/>
            <w:hideMark/>
          </w:tcPr>
          <w:p w14:paraId="3B12DA67" w14:textId="77777777" w:rsidR="000D4F98" w:rsidRPr="00D76910" w:rsidRDefault="000D4F98" w:rsidP="00A51250">
            <w:pPr>
              <w:pStyle w:val="NCDTableText"/>
              <w:jc w:val="center"/>
            </w:pPr>
            <w:r w:rsidRPr="00D76910">
              <w:t>—</w:t>
            </w:r>
          </w:p>
        </w:tc>
        <w:tc>
          <w:tcPr>
            <w:tcW w:w="586" w:type="dxa"/>
            <w:hideMark/>
          </w:tcPr>
          <w:p w14:paraId="5D517483" w14:textId="77777777" w:rsidR="000D4F98" w:rsidRPr="00D76910" w:rsidRDefault="000D4F98" w:rsidP="00A51250">
            <w:pPr>
              <w:pStyle w:val="NCDTableText"/>
              <w:jc w:val="center"/>
            </w:pPr>
            <w:r w:rsidRPr="00D76910">
              <w:t>—</w:t>
            </w:r>
          </w:p>
        </w:tc>
        <w:tc>
          <w:tcPr>
            <w:tcW w:w="825" w:type="dxa"/>
            <w:hideMark/>
          </w:tcPr>
          <w:p w14:paraId="18EFB04A" w14:textId="77777777" w:rsidR="000D4F98" w:rsidRPr="00D76910" w:rsidRDefault="000D4F98" w:rsidP="00A51250">
            <w:pPr>
              <w:pStyle w:val="NCDTableText"/>
              <w:jc w:val="center"/>
            </w:pPr>
            <w:r w:rsidRPr="00D76910">
              <w:t>—</w:t>
            </w:r>
          </w:p>
        </w:tc>
        <w:tc>
          <w:tcPr>
            <w:tcW w:w="825" w:type="dxa"/>
            <w:hideMark/>
          </w:tcPr>
          <w:p w14:paraId="3E4AD389" w14:textId="77777777" w:rsidR="000D4F98" w:rsidRPr="00D76910" w:rsidRDefault="000D4F98" w:rsidP="00A51250">
            <w:pPr>
              <w:pStyle w:val="NCDTableText"/>
              <w:jc w:val="center"/>
            </w:pPr>
            <w:r w:rsidRPr="00D76910">
              <w:t>—</w:t>
            </w:r>
          </w:p>
        </w:tc>
        <w:tc>
          <w:tcPr>
            <w:tcW w:w="825" w:type="dxa"/>
            <w:hideMark/>
          </w:tcPr>
          <w:p w14:paraId="57A201A4" w14:textId="77777777" w:rsidR="000D4F98" w:rsidRPr="00D76910" w:rsidRDefault="000D4F98" w:rsidP="00A51250">
            <w:pPr>
              <w:pStyle w:val="NCDTableText"/>
              <w:jc w:val="center"/>
            </w:pPr>
            <w:r w:rsidRPr="00D76910">
              <w:t>—</w:t>
            </w:r>
          </w:p>
        </w:tc>
        <w:tc>
          <w:tcPr>
            <w:tcW w:w="905" w:type="dxa"/>
            <w:hideMark/>
          </w:tcPr>
          <w:p w14:paraId="7D25C65E" w14:textId="77777777" w:rsidR="000D4F98" w:rsidRPr="00D76910" w:rsidRDefault="000D4F98" w:rsidP="00A51250">
            <w:pPr>
              <w:pStyle w:val="NCDTableText"/>
              <w:jc w:val="center"/>
            </w:pPr>
            <w:r w:rsidRPr="00D76910">
              <w:t>—</w:t>
            </w:r>
          </w:p>
        </w:tc>
        <w:tc>
          <w:tcPr>
            <w:tcW w:w="987" w:type="dxa"/>
            <w:hideMark/>
          </w:tcPr>
          <w:p w14:paraId="2D380387" w14:textId="77777777" w:rsidR="000D4F98" w:rsidRPr="00D76910" w:rsidRDefault="000D4F98" w:rsidP="00A51250">
            <w:pPr>
              <w:pStyle w:val="NCDTableText"/>
              <w:jc w:val="center"/>
            </w:pPr>
            <w:r w:rsidRPr="00D76910">
              <w:t>—</w:t>
            </w:r>
          </w:p>
        </w:tc>
        <w:tc>
          <w:tcPr>
            <w:tcW w:w="717" w:type="dxa"/>
            <w:hideMark/>
          </w:tcPr>
          <w:p w14:paraId="58EC23CA" w14:textId="77777777" w:rsidR="000D4F98" w:rsidRPr="00D76910" w:rsidRDefault="000D4F98" w:rsidP="00A51250">
            <w:pPr>
              <w:pStyle w:val="NCDTableText"/>
              <w:jc w:val="center"/>
            </w:pPr>
            <w:r w:rsidRPr="00D76910">
              <w:t>—</w:t>
            </w:r>
          </w:p>
        </w:tc>
      </w:tr>
      <w:tr w:rsidR="00D76910" w:rsidRPr="00D76910" w14:paraId="6176A4AC" w14:textId="77777777" w:rsidTr="00D76910">
        <w:trPr>
          <w:trHeight w:val="314"/>
          <w:jc w:val="center"/>
        </w:trPr>
        <w:tc>
          <w:tcPr>
            <w:tcW w:w="898" w:type="dxa"/>
            <w:hideMark/>
          </w:tcPr>
          <w:p w14:paraId="25922F21" w14:textId="77777777" w:rsidR="000D4F98" w:rsidRPr="00D76910" w:rsidRDefault="000D4F98" w:rsidP="00D76910">
            <w:pPr>
              <w:pStyle w:val="NCDTableText"/>
            </w:pPr>
            <w:r w:rsidRPr="00D76910">
              <w:t>AZ</w:t>
            </w:r>
          </w:p>
        </w:tc>
        <w:tc>
          <w:tcPr>
            <w:tcW w:w="904" w:type="dxa"/>
            <w:hideMark/>
          </w:tcPr>
          <w:p w14:paraId="7426D130" w14:textId="77777777" w:rsidR="000D4F98" w:rsidRPr="00D76910" w:rsidRDefault="000D4F98" w:rsidP="00A51250">
            <w:pPr>
              <w:pStyle w:val="NCDTableText"/>
              <w:jc w:val="center"/>
            </w:pPr>
            <w:r w:rsidRPr="00D76910">
              <w:t>Y</w:t>
            </w:r>
          </w:p>
        </w:tc>
        <w:tc>
          <w:tcPr>
            <w:tcW w:w="1078" w:type="dxa"/>
            <w:hideMark/>
          </w:tcPr>
          <w:p w14:paraId="1034143A" w14:textId="77777777" w:rsidR="000D4F98" w:rsidRPr="00D76910" w:rsidRDefault="000D4F98" w:rsidP="00A51250">
            <w:pPr>
              <w:pStyle w:val="NCDTableText"/>
              <w:jc w:val="center"/>
            </w:pPr>
            <w:r w:rsidRPr="00D76910">
              <w:t>Y</w:t>
            </w:r>
          </w:p>
        </w:tc>
        <w:tc>
          <w:tcPr>
            <w:tcW w:w="810" w:type="dxa"/>
            <w:hideMark/>
          </w:tcPr>
          <w:p w14:paraId="38F8BD3A" w14:textId="77777777" w:rsidR="000D4F98" w:rsidRPr="00D76910" w:rsidRDefault="000D4F98" w:rsidP="00A51250">
            <w:pPr>
              <w:pStyle w:val="NCDTableText"/>
              <w:jc w:val="center"/>
            </w:pPr>
            <w:r w:rsidRPr="00D76910">
              <w:t>Y</w:t>
            </w:r>
          </w:p>
        </w:tc>
        <w:tc>
          <w:tcPr>
            <w:tcW w:w="586" w:type="dxa"/>
            <w:hideMark/>
          </w:tcPr>
          <w:p w14:paraId="398030D7" w14:textId="77777777" w:rsidR="000D4F98" w:rsidRPr="00D76910" w:rsidRDefault="000D4F98" w:rsidP="00A51250">
            <w:pPr>
              <w:pStyle w:val="NCDTableText"/>
              <w:jc w:val="center"/>
            </w:pPr>
            <w:r w:rsidRPr="00D76910">
              <w:t>—</w:t>
            </w:r>
          </w:p>
        </w:tc>
        <w:tc>
          <w:tcPr>
            <w:tcW w:w="825" w:type="dxa"/>
            <w:hideMark/>
          </w:tcPr>
          <w:p w14:paraId="05DE689F" w14:textId="77777777" w:rsidR="000D4F98" w:rsidRPr="00D76910" w:rsidRDefault="000D4F98" w:rsidP="00A51250">
            <w:pPr>
              <w:pStyle w:val="NCDTableText"/>
              <w:jc w:val="center"/>
            </w:pPr>
            <w:r w:rsidRPr="00D76910">
              <w:t>—</w:t>
            </w:r>
          </w:p>
        </w:tc>
        <w:tc>
          <w:tcPr>
            <w:tcW w:w="825" w:type="dxa"/>
            <w:hideMark/>
          </w:tcPr>
          <w:p w14:paraId="40605E4C" w14:textId="77777777" w:rsidR="000D4F98" w:rsidRPr="00D76910" w:rsidRDefault="000D4F98" w:rsidP="00A51250">
            <w:pPr>
              <w:pStyle w:val="NCDTableText"/>
              <w:jc w:val="center"/>
            </w:pPr>
            <w:r w:rsidRPr="00D76910">
              <w:t>—</w:t>
            </w:r>
          </w:p>
        </w:tc>
        <w:tc>
          <w:tcPr>
            <w:tcW w:w="825" w:type="dxa"/>
            <w:hideMark/>
          </w:tcPr>
          <w:p w14:paraId="4C0E6ED6" w14:textId="77777777" w:rsidR="000D4F98" w:rsidRPr="00D76910" w:rsidRDefault="000D4F98" w:rsidP="00A51250">
            <w:pPr>
              <w:pStyle w:val="NCDTableText"/>
              <w:jc w:val="center"/>
            </w:pPr>
            <w:r w:rsidRPr="00D76910">
              <w:t>—</w:t>
            </w:r>
          </w:p>
        </w:tc>
        <w:tc>
          <w:tcPr>
            <w:tcW w:w="905" w:type="dxa"/>
            <w:hideMark/>
          </w:tcPr>
          <w:p w14:paraId="60BEF0CA" w14:textId="77777777" w:rsidR="000D4F98" w:rsidRPr="00D76910" w:rsidRDefault="000D4F98" w:rsidP="00A51250">
            <w:pPr>
              <w:pStyle w:val="NCDTableText"/>
              <w:jc w:val="center"/>
            </w:pPr>
            <w:r w:rsidRPr="00D76910">
              <w:t>Y</w:t>
            </w:r>
          </w:p>
        </w:tc>
        <w:tc>
          <w:tcPr>
            <w:tcW w:w="987" w:type="dxa"/>
            <w:hideMark/>
          </w:tcPr>
          <w:p w14:paraId="1828688D" w14:textId="77777777" w:rsidR="000D4F98" w:rsidRPr="00D76910" w:rsidRDefault="000D4F98" w:rsidP="00A51250">
            <w:pPr>
              <w:pStyle w:val="NCDTableText"/>
              <w:jc w:val="center"/>
            </w:pPr>
            <w:r w:rsidRPr="00D76910">
              <w:t>—</w:t>
            </w:r>
          </w:p>
        </w:tc>
        <w:tc>
          <w:tcPr>
            <w:tcW w:w="717" w:type="dxa"/>
            <w:hideMark/>
          </w:tcPr>
          <w:p w14:paraId="613FA3AA" w14:textId="77777777" w:rsidR="000D4F98" w:rsidRPr="00D76910" w:rsidRDefault="000D4F98" w:rsidP="00A51250">
            <w:pPr>
              <w:pStyle w:val="NCDTableText"/>
              <w:jc w:val="center"/>
            </w:pPr>
            <w:r w:rsidRPr="00D76910">
              <w:t>Y</w:t>
            </w:r>
          </w:p>
        </w:tc>
      </w:tr>
      <w:tr w:rsidR="00D76910" w:rsidRPr="00D76910" w14:paraId="6FEFCB07" w14:textId="77777777" w:rsidTr="00D76910">
        <w:trPr>
          <w:trHeight w:val="314"/>
          <w:jc w:val="center"/>
        </w:trPr>
        <w:tc>
          <w:tcPr>
            <w:tcW w:w="898" w:type="dxa"/>
            <w:hideMark/>
          </w:tcPr>
          <w:p w14:paraId="1F983440" w14:textId="77777777" w:rsidR="000D4F98" w:rsidRPr="00D76910" w:rsidRDefault="000D4F98" w:rsidP="00D76910">
            <w:pPr>
              <w:pStyle w:val="NCDTableText"/>
            </w:pPr>
            <w:r w:rsidRPr="00D76910">
              <w:t>AR</w:t>
            </w:r>
          </w:p>
        </w:tc>
        <w:tc>
          <w:tcPr>
            <w:tcW w:w="904" w:type="dxa"/>
            <w:hideMark/>
          </w:tcPr>
          <w:p w14:paraId="2D1945F4" w14:textId="77777777" w:rsidR="000D4F98" w:rsidRPr="00D76910" w:rsidRDefault="000D4F98" w:rsidP="00A51250">
            <w:pPr>
              <w:pStyle w:val="NCDTableText"/>
              <w:jc w:val="center"/>
            </w:pPr>
            <w:r w:rsidRPr="00D76910">
              <w:t>N</w:t>
            </w:r>
          </w:p>
        </w:tc>
        <w:tc>
          <w:tcPr>
            <w:tcW w:w="1078" w:type="dxa"/>
            <w:hideMark/>
          </w:tcPr>
          <w:p w14:paraId="3D9D7F27" w14:textId="77777777" w:rsidR="000D4F98" w:rsidRPr="00D76910" w:rsidRDefault="000D4F98" w:rsidP="00A51250">
            <w:pPr>
              <w:pStyle w:val="NCDTableText"/>
              <w:jc w:val="center"/>
            </w:pPr>
            <w:r w:rsidRPr="00D76910">
              <w:t>—</w:t>
            </w:r>
          </w:p>
        </w:tc>
        <w:tc>
          <w:tcPr>
            <w:tcW w:w="810" w:type="dxa"/>
            <w:hideMark/>
          </w:tcPr>
          <w:p w14:paraId="5E23C904" w14:textId="77777777" w:rsidR="000D4F98" w:rsidRPr="00D76910" w:rsidRDefault="000D4F98" w:rsidP="00A51250">
            <w:pPr>
              <w:pStyle w:val="NCDTableText"/>
              <w:jc w:val="center"/>
            </w:pPr>
            <w:r w:rsidRPr="00D76910">
              <w:t>—</w:t>
            </w:r>
          </w:p>
        </w:tc>
        <w:tc>
          <w:tcPr>
            <w:tcW w:w="586" w:type="dxa"/>
            <w:hideMark/>
          </w:tcPr>
          <w:p w14:paraId="1DE39418" w14:textId="77777777" w:rsidR="000D4F98" w:rsidRPr="00D76910" w:rsidRDefault="000D4F98" w:rsidP="00A51250">
            <w:pPr>
              <w:pStyle w:val="NCDTableText"/>
              <w:jc w:val="center"/>
            </w:pPr>
            <w:r w:rsidRPr="00D76910">
              <w:t>—</w:t>
            </w:r>
          </w:p>
        </w:tc>
        <w:tc>
          <w:tcPr>
            <w:tcW w:w="825" w:type="dxa"/>
            <w:hideMark/>
          </w:tcPr>
          <w:p w14:paraId="3EB516F0" w14:textId="77777777" w:rsidR="000D4F98" w:rsidRPr="00D76910" w:rsidRDefault="000D4F98" w:rsidP="00A51250">
            <w:pPr>
              <w:pStyle w:val="NCDTableText"/>
              <w:jc w:val="center"/>
            </w:pPr>
            <w:r w:rsidRPr="00D76910">
              <w:t>—</w:t>
            </w:r>
          </w:p>
        </w:tc>
        <w:tc>
          <w:tcPr>
            <w:tcW w:w="825" w:type="dxa"/>
            <w:hideMark/>
          </w:tcPr>
          <w:p w14:paraId="443DD432" w14:textId="77777777" w:rsidR="000D4F98" w:rsidRPr="00D76910" w:rsidRDefault="000D4F98" w:rsidP="00A51250">
            <w:pPr>
              <w:pStyle w:val="NCDTableText"/>
              <w:jc w:val="center"/>
            </w:pPr>
            <w:r w:rsidRPr="00D76910">
              <w:t>—</w:t>
            </w:r>
          </w:p>
        </w:tc>
        <w:tc>
          <w:tcPr>
            <w:tcW w:w="825" w:type="dxa"/>
            <w:hideMark/>
          </w:tcPr>
          <w:p w14:paraId="1302684B" w14:textId="77777777" w:rsidR="000D4F98" w:rsidRPr="00D76910" w:rsidRDefault="000D4F98" w:rsidP="00A51250">
            <w:pPr>
              <w:pStyle w:val="NCDTableText"/>
              <w:jc w:val="center"/>
            </w:pPr>
            <w:r w:rsidRPr="00D76910">
              <w:t>—</w:t>
            </w:r>
          </w:p>
        </w:tc>
        <w:tc>
          <w:tcPr>
            <w:tcW w:w="905" w:type="dxa"/>
            <w:hideMark/>
          </w:tcPr>
          <w:p w14:paraId="5E67CED3" w14:textId="77777777" w:rsidR="000D4F98" w:rsidRPr="00D76910" w:rsidRDefault="000D4F98" w:rsidP="00A51250">
            <w:pPr>
              <w:pStyle w:val="NCDTableText"/>
              <w:jc w:val="center"/>
            </w:pPr>
            <w:r w:rsidRPr="00D76910">
              <w:t>—</w:t>
            </w:r>
          </w:p>
        </w:tc>
        <w:tc>
          <w:tcPr>
            <w:tcW w:w="987" w:type="dxa"/>
            <w:hideMark/>
          </w:tcPr>
          <w:p w14:paraId="4F765CBA" w14:textId="77777777" w:rsidR="000D4F98" w:rsidRPr="00D76910" w:rsidRDefault="000D4F98" w:rsidP="00A51250">
            <w:pPr>
              <w:pStyle w:val="NCDTableText"/>
              <w:jc w:val="center"/>
            </w:pPr>
            <w:r w:rsidRPr="00D76910">
              <w:t>—</w:t>
            </w:r>
          </w:p>
        </w:tc>
        <w:tc>
          <w:tcPr>
            <w:tcW w:w="717" w:type="dxa"/>
            <w:hideMark/>
          </w:tcPr>
          <w:p w14:paraId="0AD030E0" w14:textId="77777777" w:rsidR="000D4F98" w:rsidRPr="00D76910" w:rsidRDefault="000D4F98" w:rsidP="00A51250">
            <w:pPr>
              <w:pStyle w:val="NCDTableText"/>
              <w:jc w:val="center"/>
            </w:pPr>
            <w:r w:rsidRPr="00D76910">
              <w:t>—</w:t>
            </w:r>
          </w:p>
        </w:tc>
      </w:tr>
      <w:tr w:rsidR="00D76910" w:rsidRPr="00D76910" w14:paraId="1492854E" w14:textId="77777777" w:rsidTr="00D76910">
        <w:trPr>
          <w:trHeight w:val="314"/>
          <w:jc w:val="center"/>
        </w:trPr>
        <w:tc>
          <w:tcPr>
            <w:tcW w:w="898" w:type="dxa"/>
            <w:hideMark/>
          </w:tcPr>
          <w:p w14:paraId="5D4CBA96" w14:textId="77777777" w:rsidR="000D4F98" w:rsidRPr="00D76910" w:rsidRDefault="000D4F98" w:rsidP="00D76910">
            <w:pPr>
              <w:pStyle w:val="NCDTableText"/>
            </w:pPr>
            <w:r w:rsidRPr="00D76910">
              <w:t>CA</w:t>
            </w:r>
          </w:p>
        </w:tc>
        <w:tc>
          <w:tcPr>
            <w:tcW w:w="904" w:type="dxa"/>
            <w:hideMark/>
          </w:tcPr>
          <w:p w14:paraId="639EEDAC" w14:textId="77777777" w:rsidR="000D4F98" w:rsidRPr="00D76910" w:rsidRDefault="000D4F98" w:rsidP="00A51250">
            <w:pPr>
              <w:pStyle w:val="NCDTableText"/>
              <w:jc w:val="center"/>
            </w:pPr>
            <w:r w:rsidRPr="00D76910">
              <w:t>N</w:t>
            </w:r>
          </w:p>
        </w:tc>
        <w:tc>
          <w:tcPr>
            <w:tcW w:w="1078" w:type="dxa"/>
            <w:hideMark/>
          </w:tcPr>
          <w:p w14:paraId="6310CFE0" w14:textId="77777777" w:rsidR="000D4F98" w:rsidRPr="00D76910" w:rsidRDefault="000D4F98" w:rsidP="00A51250">
            <w:pPr>
              <w:pStyle w:val="NCDTableText"/>
              <w:jc w:val="center"/>
            </w:pPr>
            <w:r w:rsidRPr="00D76910">
              <w:t>—</w:t>
            </w:r>
          </w:p>
        </w:tc>
        <w:tc>
          <w:tcPr>
            <w:tcW w:w="810" w:type="dxa"/>
            <w:hideMark/>
          </w:tcPr>
          <w:p w14:paraId="1703AFE6" w14:textId="77777777" w:rsidR="000D4F98" w:rsidRPr="00D76910" w:rsidRDefault="000D4F98" w:rsidP="00A51250">
            <w:pPr>
              <w:pStyle w:val="NCDTableText"/>
              <w:jc w:val="center"/>
            </w:pPr>
            <w:r w:rsidRPr="00D76910">
              <w:t>—</w:t>
            </w:r>
          </w:p>
        </w:tc>
        <w:tc>
          <w:tcPr>
            <w:tcW w:w="586" w:type="dxa"/>
            <w:hideMark/>
          </w:tcPr>
          <w:p w14:paraId="037FD723" w14:textId="77777777" w:rsidR="000D4F98" w:rsidRPr="00D76910" w:rsidRDefault="000D4F98" w:rsidP="00A51250">
            <w:pPr>
              <w:pStyle w:val="NCDTableText"/>
              <w:jc w:val="center"/>
            </w:pPr>
            <w:r w:rsidRPr="00D76910">
              <w:t>—</w:t>
            </w:r>
          </w:p>
        </w:tc>
        <w:tc>
          <w:tcPr>
            <w:tcW w:w="825" w:type="dxa"/>
            <w:hideMark/>
          </w:tcPr>
          <w:p w14:paraId="5A6CFF41" w14:textId="77777777" w:rsidR="000D4F98" w:rsidRPr="00D76910" w:rsidRDefault="000D4F98" w:rsidP="00A51250">
            <w:pPr>
              <w:pStyle w:val="NCDTableText"/>
              <w:jc w:val="center"/>
            </w:pPr>
            <w:r w:rsidRPr="00D76910">
              <w:t>—</w:t>
            </w:r>
          </w:p>
        </w:tc>
        <w:tc>
          <w:tcPr>
            <w:tcW w:w="825" w:type="dxa"/>
            <w:hideMark/>
          </w:tcPr>
          <w:p w14:paraId="22893A88" w14:textId="77777777" w:rsidR="000D4F98" w:rsidRPr="00D76910" w:rsidRDefault="000D4F98" w:rsidP="00A51250">
            <w:pPr>
              <w:pStyle w:val="NCDTableText"/>
              <w:jc w:val="center"/>
            </w:pPr>
            <w:r w:rsidRPr="00D76910">
              <w:t>—</w:t>
            </w:r>
          </w:p>
        </w:tc>
        <w:tc>
          <w:tcPr>
            <w:tcW w:w="825" w:type="dxa"/>
            <w:hideMark/>
          </w:tcPr>
          <w:p w14:paraId="059725B0" w14:textId="77777777" w:rsidR="000D4F98" w:rsidRPr="00D76910" w:rsidRDefault="000D4F98" w:rsidP="00A51250">
            <w:pPr>
              <w:pStyle w:val="NCDTableText"/>
              <w:jc w:val="center"/>
            </w:pPr>
            <w:r w:rsidRPr="00D76910">
              <w:t>—</w:t>
            </w:r>
          </w:p>
        </w:tc>
        <w:tc>
          <w:tcPr>
            <w:tcW w:w="905" w:type="dxa"/>
            <w:hideMark/>
          </w:tcPr>
          <w:p w14:paraId="128D7FD9" w14:textId="77777777" w:rsidR="000D4F98" w:rsidRPr="00D76910" w:rsidRDefault="000D4F98" w:rsidP="00A51250">
            <w:pPr>
              <w:pStyle w:val="NCDTableText"/>
              <w:jc w:val="center"/>
            </w:pPr>
            <w:r w:rsidRPr="00D76910">
              <w:t>—</w:t>
            </w:r>
          </w:p>
        </w:tc>
        <w:tc>
          <w:tcPr>
            <w:tcW w:w="987" w:type="dxa"/>
            <w:hideMark/>
          </w:tcPr>
          <w:p w14:paraId="596E5011" w14:textId="77777777" w:rsidR="000D4F98" w:rsidRPr="00D76910" w:rsidRDefault="000D4F98" w:rsidP="00A51250">
            <w:pPr>
              <w:pStyle w:val="NCDTableText"/>
              <w:jc w:val="center"/>
            </w:pPr>
            <w:r w:rsidRPr="00D76910">
              <w:t>—</w:t>
            </w:r>
          </w:p>
        </w:tc>
        <w:tc>
          <w:tcPr>
            <w:tcW w:w="717" w:type="dxa"/>
            <w:hideMark/>
          </w:tcPr>
          <w:p w14:paraId="78028AC4" w14:textId="77777777" w:rsidR="000D4F98" w:rsidRPr="00D76910" w:rsidRDefault="000D4F98" w:rsidP="00A51250">
            <w:pPr>
              <w:pStyle w:val="NCDTableText"/>
              <w:jc w:val="center"/>
            </w:pPr>
            <w:r w:rsidRPr="00D76910">
              <w:t>—</w:t>
            </w:r>
          </w:p>
        </w:tc>
      </w:tr>
      <w:tr w:rsidR="00D76910" w:rsidRPr="00D76910" w14:paraId="787F837B" w14:textId="77777777" w:rsidTr="00D76910">
        <w:trPr>
          <w:trHeight w:val="314"/>
          <w:jc w:val="center"/>
        </w:trPr>
        <w:tc>
          <w:tcPr>
            <w:tcW w:w="898" w:type="dxa"/>
            <w:hideMark/>
          </w:tcPr>
          <w:p w14:paraId="5410BDCD" w14:textId="77777777" w:rsidR="000D4F98" w:rsidRPr="00D76910" w:rsidRDefault="000D4F98" w:rsidP="00D76910">
            <w:pPr>
              <w:pStyle w:val="NCDTableText"/>
            </w:pPr>
            <w:r w:rsidRPr="00D76910">
              <w:t>CO</w:t>
            </w:r>
          </w:p>
        </w:tc>
        <w:tc>
          <w:tcPr>
            <w:tcW w:w="904" w:type="dxa"/>
            <w:hideMark/>
          </w:tcPr>
          <w:p w14:paraId="214E51B8" w14:textId="77777777" w:rsidR="000D4F98" w:rsidRPr="00D76910" w:rsidRDefault="000D4F98" w:rsidP="00A51250">
            <w:pPr>
              <w:pStyle w:val="NCDTableText"/>
              <w:jc w:val="center"/>
            </w:pPr>
            <w:r w:rsidRPr="00D76910">
              <w:t>Y</w:t>
            </w:r>
          </w:p>
        </w:tc>
        <w:tc>
          <w:tcPr>
            <w:tcW w:w="1078" w:type="dxa"/>
            <w:hideMark/>
          </w:tcPr>
          <w:p w14:paraId="54A1B711" w14:textId="77777777" w:rsidR="000D4F98" w:rsidRPr="00D76910" w:rsidRDefault="000D4F98" w:rsidP="00A51250">
            <w:pPr>
              <w:pStyle w:val="NCDTableText"/>
              <w:jc w:val="center"/>
            </w:pPr>
            <w:r w:rsidRPr="00D76910">
              <w:t>—</w:t>
            </w:r>
          </w:p>
        </w:tc>
        <w:tc>
          <w:tcPr>
            <w:tcW w:w="810" w:type="dxa"/>
            <w:hideMark/>
          </w:tcPr>
          <w:p w14:paraId="5AF8DBFE" w14:textId="77777777" w:rsidR="000D4F98" w:rsidRPr="00D76910" w:rsidRDefault="000D4F98" w:rsidP="00A51250">
            <w:pPr>
              <w:pStyle w:val="NCDTableText"/>
              <w:jc w:val="center"/>
            </w:pPr>
            <w:r w:rsidRPr="00D76910">
              <w:t>—</w:t>
            </w:r>
          </w:p>
        </w:tc>
        <w:tc>
          <w:tcPr>
            <w:tcW w:w="586" w:type="dxa"/>
            <w:hideMark/>
          </w:tcPr>
          <w:p w14:paraId="181C90CB" w14:textId="77777777" w:rsidR="000D4F98" w:rsidRPr="00D76910" w:rsidRDefault="000D4F98" w:rsidP="00A51250">
            <w:pPr>
              <w:pStyle w:val="NCDTableText"/>
              <w:jc w:val="center"/>
            </w:pPr>
            <w:r w:rsidRPr="00D76910">
              <w:t>—</w:t>
            </w:r>
          </w:p>
        </w:tc>
        <w:tc>
          <w:tcPr>
            <w:tcW w:w="825" w:type="dxa"/>
            <w:hideMark/>
          </w:tcPr>
          <w:p w14:paraId="1AEB7658" w14:textId="77777777" w:rsidR="000D4F98" w:rsidRPr="00D76910" w:rsidRDefault="000D4F98" w:rsidP="00A51250">
            <w:pPr>
              <w:pStyle w:val="NCDTableText"/>
              <w:jc w:val="center"/>
            </w:pPr>
            <w:r w:rsidRPr="00D76910">
              <w:t>Y</w:t>
            </w:r>
          </w:p>
        </w:tc>
        <w:tc>
          <w:tcPr>
            <w:tcW w:w="825" w:type="dxa"/>
            <w:hideMark/>
          </w:tcPr>
          <w:p w14:paraId="5627C318" w14:textId="77777777" w:rsidR="000D4F98" w:rsidRPr="00D76910" w:rsidRDefault="000D4F98" w:rsidP="00A51250">
            <w:pPr>
              <w:pStyle w:val="NCDTableText"/>
              <w:jc w:val="center"/>
            </w:pPr>
            <w:r w:rsidRPr="00D76910">
              <w:t>Y</w:t>
            </w:r>
          </w:p>
        </w:tc>
        <w:tc>
          <w:tcPr>
            <w:tcW w:w="825" w:type="dxa"/>
            <w:hideMark/>
          </w:tcPr>
          <w:p w14:paraId="4E74413D" w14:textId="77777777" w:rsidR="000D4F98" w:rsidRPr="00D76910" w:rsidRDefault="000D4F98" w:rsidP="00A51250">
            <w:pPr>
              <w:pStyle w:val="NCDTableText"/>
              <w:jc w:val="center"/>
            </w:pPr>
            <w:r w:rsidRPr="00D76910">
              <w:t>—</w:t>
            </w:r>
          </w:p>
        </w:tc>
        <w:tc>
          <w:tcPr>
            <w:tcW w:w="905" w:type="dxa"/>
            <w:hideMark/>
          </w:tcPr>
          <w:p w14:paraId="5CF7B2FA" w14:textId="77777777" w:rsidR="000D4F98" w:rsidRPr="00D76910" w:rsidRDefault="000D4F98" w:rsidP="00A51250">
            <w:pPr>
              <w:pStyle w:val="NCDTableText"/>
              <w:jc w:val="center"/>
            </w:pPr>
            <w:r w:rsidRPr="00D76910">
              <w:t>—</w:t>
            </w:r>
          </w:p>
        </w:tc>
        <w:tc>
          <w:tcPr>
            <w:tcW w:w="987" w:type="dxa"/>
            <w:hideMark/>
          </w:tcPr>
          <w:p w14:paraId="2599F74A" w14:textId="77777777" w:rsidR="000D4F98" w:rsidRPr="00D76910" w:rsidRDefault="000D4F98" w:rsidP="00A51250">
            <w:pPr>
              <w:pStyle w:val="NCDTableText"/>
              <w:jc w:val="center"/>
            </w:pPr>
            <w:r w:rsidRPr="00D76910">
              <w:t>—</w:t>
            </w:r>
          </w:p>
        </w:tc>
        <w:tc>
          <w:tcPr>
            <w:tcW w:w="717" w:type="dxa"/>
            <w:hideMark/>
          </w:tcPr>
          <w:p w14:paraId="1EB09CE3" w14:textId="77777777" w:rsidR="000D4F98" w:rsidRPr="00D76910" w:rsidRDefault="000D4F98" w:rsidP="00A51250">
            <w:pPr>
              <w:pStyle w:val="NCDTableText"/>
              <w:jc w:val="center"/>
            </w:pPr>
            <w:r w:rsidRPr="00D76910">
              <w:t>—</w:t>
            </w:r>
          </w:p>
        </w:tc>
      </w:tr>
      <w:tr w:rsidR="00D76910" w:rsidRPr="00D76910" w14:paraId="25C99D0C" w14:textId="77777777" w:rsidTr="00D76910">
        <w:trPr>
          <w:trHeight w:val="314"/>
          <w:jc w:val="center"/>
        </w:trPr>
        <w:tc>
          <w:tcPr>
            <w:tcW w:w="898" w:type="dxa"/>
            <w:hideMark/>
          </w:tcPr>
          <w:p w14:paraId="4EE40FC7" w14:textId="77777777" w:rsidR="000D4F98" w:rsidRPr="00D76910" w:rsidRDefault="000D4F98" w:rsidP="00D76910">
            <w:pPr>
              <w:pStyle w:val="NCDTableText"/>
            </w:pPr>
            <w:r w:rsidRPr="00D76910">
              <w:t>CT</w:t>
            </w:r>
          </w:p>
        </w:tc>
        <w:tc>
          <w:tcPr>
            <w:tcW w:w="904" w:type="dxa"/>
            <w:hideMark/>
          </w:tcPr>
          <w:p w14:paraId="1E3E1625" w14:textId="77777777" w:rsidR="000D4F98" w:rsidRPr="00D76910" w:rsidRDefault="000D4F98" w:rsidP="00A51250">
            <w:pPr>
              <w:pStyle w:val="NCDTableText"/>
              <w:jc w:val="center"/>
            </w:pPr>
            <w:r w:rsidRPr="00D76910">
              <w:t>Y</w:t>
            </w:r>
          </w:p>
        </w:tc>
        <w:tc>
          <w:tcPr>
            <w:tcW w:w="1078" w:type="dxa"/>
            <w:hideMark/>
          </w:tcPr>
          <w:p w14:paraId="4EE43C8B" w14:textId="77777777" w:rsidR="000D4F98" w:rsidRPr="00D76910" w:rsidRDefault="000D4F98" w:rsidP="00A51250">
            <w:pPr>
              <w:pStyle w:val="NCDTableText"/>
              <w:jc w:val="center"/>
            </w:pPr>
            <w:r w:rsidRPr="00D76910">
              <w:t>—</w:t>
            </w:r>
          </w:p>
        </w:tc>
        <w:tc>
          <w:tcPr>
            <w:tcW w:w="810" w:type="dxa"/>
            <w:hideMark/>
          </w:tcPr>
          <w:p w14:paraId="24F375B1" w14:textId="77777777" w:rsidR="000D4F98" w:rsidRPr="00D76910" w:rsidRDefault="000D4F98" w:rsidP="00A51250">
            <w:pPr>
              <w:pStyle w:val="NCDTableText"/>
              <w:jc w:val="center"/>
            </w:pPr>
            <w:r w:rsidRPr="00D76910">
              <w:t>—</w:t>
            </w:r>
          </w:p>
        </w:tc>
        <w:tc>
          <w:tcPr>
            <w:tcW w:w="586" w:type="dxa"/>
            <w:hideMark/>
          </w:tcPr>
          <w:p w14:paraId="2AF6CEEF" w14:textId="77777777" w:rsidR="000D4F98" w:rsidRPr="00D76910" w:rsidRDefault="000D4F98" w:rsidP="00A51250">
            <w:pPr>
              <w:pStyle w:val="NCDTableText"/>
              <w:jc w:val="center"/>
            </w:pPr>
            <w:r w:rsidRPr="00D76910">
              <w:t>—</w:t>
            </w:r>
          </w:p>
        </w:tc>
        <w:tc>
          <w:tcPr>
            <w:tcW w:w="825" w:type="dxa"/>
            <w:hideMark/>
          </w:tcPr>
          <w:p w14:paraId="596D732D" w14:textId="77777777" w:rsidR="000D4F98" w:rsidRPr="00D76910" w:rsidRDefault="000D4F98" w:rsidP="00A51250">
            <w:pPr>
              <w:pStyle w:val="NCDTableText"/>
              <w:jc w:val="center"/>
            </w:pPr>
            <w:r w:rsidRPr="00D76910">
              <w:t>—</w:t>
            </w:r>
          </w:p>
        </w:tc>
        <w:tc>
          <w:tcPr>
            <w:tcW w:w="825" w:type="dxa"/>
            <w:hideMark/>
          </w:tcPr>
          <w:p w14:paraId="56E862B5" w14:textId="77777777" w:rsidR="000D4F98" w:rsidRPr="00D76910" w:rsidRDefault="000D4F98" w:rsidP="00A51250">
            <w:pPr>
              <w:pStyle w:val="NCDTableText"/>
              <w:jc w:val="center"/>
            </w:pPr>
            <w:r w:rsidRPr="00D76910">
              <w:t>—</w:t>
            </w:r>
          </w:p>
        </w:tc>
        <w:tc>
          <w:tcPr>
            <w:tcW w:w="825" w:type="dxa"/>
            <w:hideMark/>
          </w:tcPr>
          <w:p w14:paraId="2C1FA008" w14:textId="77777777" w:rsidR="000D4F98" w:rsidRPr="00D76910" w:rsidRDefault="000D4F98" w:rsidP="00A51250">
            <w:pPr>
              <w:pStyle w:val="NCDTableText"/>
              <w:jc w:val="center"/>
            </w:pPr>
            <w:r w:rsidRPr="00D76910">
              <w:t>—</w:t>
            </w:r>
          </w:p>
        </w:tc>
        <w:tc>
          <w:tcPr>
            <w:tcW w:w="905" w:type="dxa"/>
            <w:hideMark/>
          </w:tcPr>
          <w:p w14:paraId="544B2A6C" w14:textId="77777777" w:rsidR="000D4F98" w:rsidRPr="00D76910" w:rsidRDefault="000D4F98" w:rsidP="00A51250">
            <w:pPr>
              <w:pStyle w:val="NCDTableText"/>
              <w:jc w:val="center"/>
            </w:pPr>
            <w:r w:rsidRPr="00D76910">
              <w:t>Y</w:t>
            </w:r>
          </w:p>
        </w:tc>
        <w:tc>
          <w:tcPr>
            <w:tcW w:w="987" w:type="dxa"/>
            <w:hideMark/>
          </w:tcPr>
          <w:p w14:paraId="62A75111" w14:textId="77777777" w:rsidR="000D4F98" w:rsidRPr="00D76910" w:rsidRDefault="000D4F98" w:rsidP="00A51250">
            <w:pPr>
              <w:pStyle w:val="NCDTableText"/>
              <w:jc w:val="center"/>
            </w:pPr>
            <w:r w:rsidRPr="00D76910">
              <w:t>—</w:t>
            </w:r>
          </w:p>
        </w:tc>
        <w:tc>
          <w:tcPr>
            <w:tcW w:w="717" w:type="dxa"/>
            <w:hideMark/>
          </w:tcPr>
          <w:p w14:paraId="47DDDF3A" w14:textId="77777777" w:rsidR="000D4F98" w:rsidRPr="00D76910" w:rsidRDefault="000D4F98" w:rsidP="00A51250">
            <w:pPr>
              <w:pStyle w:val="NCDTableText"/>
              <w:jc w:val="center"/>
            </w:pPr>
            <w:r w:rsidRPr="00D76910">
              <w:t>—</w:t>
            </w:r>
          </w:p>
        </w:tc>
      </w:tr>
      <w:tr w:rsidR="00D76910" w:rsidRPr="00D76910" w14:paraId="384345F1" w14:textId="77777777" w:rsidTr="00D76910">
        <w:trPr>
          <w:trHeight w:val="314"/>
          <w:jc w:val="center"/>
        </w:trPr>
        <w:tc>
          <w:tcPr>
            <w:tcW w:w="898" w:type="dxa"/>
            <w:hideMark/>
          </w:tcPr>
          <w:p w14:paraId="429A9B31" w14:textId="77777777" w:rsidR="000D4F98" w:rsidRPr="00D76910" w:rsidRDefault="000D4F98" w:rsidP="00D76910">
            <w:pPr>
              <w:pStyle w:val="NCDTableText"/>
            </w:pPr>
            <w:r w:rsidRPr="00D76910">
              <w:t>DE</w:t>
            </w:r>
          </w:p>
        </w:tc>
        <w:tc>
          <w:tcPr>
            <w:tcW w:w="904" w:type="dxa"/>
            <w:hideMark/>
          </w:tcPr>
          <w:p w14:paraId="40408BBB" w14:textId="77777777" w:rsidR="000D4F98" w:rsidRPr="00D76910" w:rsidRDefault="000D4F98" w:rsidP="00A51250">
            <w:pPr>
              <w:pStyle w:val="NCDTableText"/>
              <w:jc w:val="center"/>
            </w:pPr>
            <w:r w:rsidRPr="00D76910">
              <w:t>N</w:t>
            </w:r>
          </w:p>
        </w:tc>
        <w:tc>
          <w:tcPr>
            <w:tcW w:w="1078" w:type="dxa"/>
            <w:hideMark/>
          </w:tcPr>
          <w:p w14:paraId="073D521D" w14:textId="77777777" w:rsidR="000D4F98" w:rsidRPr="00D76910" w:rsidRDefault="000D4F98" w:rsidP="00A51250">
            <w:pPr>
              <w:pStyle w:val="NCDTableText"/>
              <w:jc w:val="center"/>
            </w:pPr>
            <w:r w:rsidRPr="00D76910">
              <w:t>—</w:t>
            </w:r>
          </w:p>
        </w:tc>
        <w:tc>
          <w:tcPr>
            <w:tcW w:w="810" w:type="dxa"/>
            <w:hideMark/>
          </w:tcPr>
          <w:p w14:paraId="5683D975" w14:textId="77777777" w:rsidR="000D4F98" w:rsidRPr="00D76910" w:rsidRDefault="000D4F98" w:rsidP="00A51250">
            <w:pPr>
              <w:pStyle w:val="NCDTableText"/>
              <w:jc w:val="center"/>
            </w:pPr>
            <w:r w:rsidRPr="00D76910">
              <w:t>—</w:t>
            </w:r>
          </w:p>
        </w:tc>
        <w:tc>
          <w:tcPr>
            <w:tcW w:w="586" w:type="dxa"/>
            <w:hideMark/>
          </w:tcPr>
          <w:p w14:paraId="1B3A3CD1" w14:textId="77777777" w:rsidR="000D4F98" w:rsidRPr="00D76910" w:rsidRDefault="000D4F98" w:rsidP="00A51250">
            <w:pPr>
              <w:pStyle w:val="NCDTableText"/>
              <w:jc w:val="center"/>
            </w:pPr>
            <w:r w:rsidRPr="00D76910">
              <w:t>—</w:t>
            </w:r>
          </w:p>
        </w:tc>
        <w:tc>
          <w:tcPr>
            <w:tcW w:w="825" w:type="dxa"/>
            <w:hideMark/>
          </w:tcPr>
          <w:p w14:paraId="243BD334" w14:textId="77777777" w:rsidR="000D4F98" w:rsidRPr="00D76910" w:rsidRDefault="000D4F98" w:rsidP="00A51250">
            <w:pPr>
              <w:pStyle w:val="NCDTableText"/>
              <w:jc w:val="center"/>
            </w:pPr>
            <w:r w:rsidRPr="00D76910">
              <w:t>—</w:t>
            </w:r>
          </w:p>
        </w:tc>
        <w:tc>
          <w:tcPr>
            <w:tcW w:w="825" w:type="dxa"/>
            <w:hideMark/>
          </w:tcPr>
          <w:p w14:paraId="26222AFD" w14:textId="77777777" w:rsidR="000D4F98" w:rsidRPr="00D76910" w:rsidRDefault="000D4F98" w:rsidP="00A51250">
            <w:pPr>
              <w:pStyle w:val="NCDTableText"/>
              <w:jc w:val="center"/>
            </w:pPr>
            <w:r w:rsidRPr="00D76910">
              <w:t>—</w:t>
            </w:r>
          </w:p>
        </w:tc>
        <w:tc>
          <w:tcPr>
            <w:tcW w:w="825" w:type="dxa"/>
            <w:hideMark/>
          </w:tcPr>
          <w:p w14:paraId="07D7EF20" w14:textId="77777777" w:rsidR="000D4F98" w:rsidRPr="00D76910" w:rsidRDefault="000D4F98" w:rsidP="00A51250">
            <w:pPr>
              <w:pStyle w:val="NCDTableText"/>
              <w:jc w:val="center"/>
            </w:pPr>
            <w:r w:rsidRPr="00D76910">
              <w:t>—</w:t>
            </w:r>
          </w:p>
        </w:tc>
        <w:tc>
          <w:tcPr>
            <w:tcW w:w="905" w:type="dxa"/>
            <w:hideMark/>
          </w:tcPr>
          <w:p w14:paraId="01FD4F7B" w14:textId="77777777" w:rsidR="000D4F98" w:rsidRPr="00D76910" w:rsidRDefault="000D4F98" w:rsidP="00A51250">
            <w:pPr>
              <w:pStyle w:val="NCDTableText"/>
              <w:jc w:val="center"/>
            </w:pPr>
            <w:r w:rsidRPr="00D76910">
              <w:t>—</w:t>
            </w:r>
          </w:p>
        </w:tc>
        <w:tc>
          <w:tcPr>
            <w:tcW w:w="987" w:type="dxa"/>
            <w:hideMark/>
          </w:tcPr>
          <w:p w14:paraId="6DDEE5A4" w14:textId="77777777" w:rsidR="000D4F98" w:rsidRPr="00D76910" w:rsidRDefault="000D4F98" w:rsidP="00A51250">
            <w:pPr>
              <w:pStyle w:val="NCDTableText"/>
              <w:jc w:val="center"/>
            </w:pPr>
            <w:r w:rsidRPr="00D76910">
              <w:t>—</w:t>
            </w:r>
          </w:p>
        </w:tc>
        <w:tc>
          <w:tcPr>
            <w:tcW w:w="717" w:type="dxa"/>
            <w:hideMark/>
          </w:tcPr>
          <w:p w14:paraId="1B1CBB1F" w14:textId="77777777" w:rsidR="000D4F98" w:rsidRPr="00D76910" w:rsidRDefault="000D4F98" w:rsidP="00A51250">
            <w:pPr>
              <w:pStyle w:val="NCDTableText"/>
              <w:jc w:val="center"/>
            </w:pPr>
            <w:r w:rsidRPr="00D76910">
              <w:t>—</w:t>
            </w:r>
          </w:p>
        </w:tc>
      </w:tr>
      <w:tr w:rsidR="00D76910" w:rsidRPr="00D76910" w14:paraId="23C0E3D9" w14:textId="77777777" w:rsidTr="00D76910">
        <w:trPr>
          <w:trHeight w:val="314"/>
          <w:jc w:val="center"/>
        </w:trPr>
        <w:tc>
          <w:tcPr>
            <w:tcW w:w="898" w:type="dxa"/>
            <w:hideMark/>
          </w:tcPr>
          <w:p w14:paraId="07DEF271" w14:textId="77777777" w:rsidR="000D4F98" w:rsidRPr="00D76910" w:rsidRDefault="000D4F98" w:rsidP="00D76910">
            <w:pPr>
              <w:pStyle w:val="NCDTableText"/>
            </w:pPr>
            <w:r w:rsidRPr="00D76910">
              <w:t xml:space="preserve">DC </w:t>
            </w:r>
          </w:p>
        </w:tc>
        <w:tc>
          <w:tcPr>
            <w:tcW w:w="904" w:type="dxa"/>
            <w:hideMark/>
          </w:tcPr>
          <w:p w14:paraId="0F077BE5" w14:textId="77777777" w:rsidR="000D4F98" w:rsidRPr="00D76910" w:rsidRDefault="000D4F98" w:rsidP="00A51250">
            <w:pPr>
              <w:pStyle w:val="NCDTableText"/>
              <w:jc w:val="center"/>
            </w:pPr>
            <w:r w:rsidRPr="00D76910">
              <w:t>Y</w:t>
            </w:r>
          </w:p>
        </w:tc>
        <w:tc>
          <w:tcPr>
            <w:tcW w:w="1078" w:type="dxa"/>
            <w:hideMark/>
          </w:tcPr>
          <w:p w14:paraId="2D28C56D" w14:textId="77777777" w:rsidR="000D4F98" w:rsidRPr="00D76910" w:rsidRDefault="000D4F98" w:rsidP="00A51250">
            <w:pPr>
              <w:pStyle w:val="NCDTableText"/>
              <w:jc w:val="center"/>
            </w:pPr>
            <w:r w:rsidRPr="00D76910">
              <w:t>—</w:t>
            </w:r>
          </w:p>
        </w:tc>
        <w:tc>
          <w:tcPr>
            <w:tcW w:w="810" w:type="dxa"/>
            <w:hideMark/>
          </w:tcPr>
          <w:p w14:paraId="102ABA25" w14:textId="77777777" w:rsidR="000D4F98" w:rsidRPr="00D76910" w:rsidRDefault="000D4F98" w:rsidP="00A51250">
            <w:pPr>
              <w:pStyle w:val="NCDTableText"/>
              <w:jc w:val="center"/>
            </w:pPr>
            <w:r w:rsidRPr="00D76910">
              <w:t>—</w:t>
            </w:r>
          </w:p>
        </w:tc>
        <w:tc>
          <w:tcPr>
            <w:tcW w:w="586" w:type="dxa"/>
            <w:hideMark/>
          </w:tcPr>
          <w:p w14:paraId="5233E539" w14:textId="77777777" w:rsidR="000D4F98" w:rsidRPr="00D76910" w:rsidRDefault="000D4F98" w:rsidP="00A51250">
            <w:pPr>
              <w:pStyle w:val="NCDTableText"/>
              <w:jc w:val="center"/>
            </w:pPr>
            <w:r w:rsidRPr="00D76910">
              <w:t>—</w:t>
            </w:r>
          </w:p>
        </w:tc>
        <w:tc>
          <w:tcPr>
            <w:tcW w:w="825" w:type="dxa"/>
            <w:hideMark/>
          </w:tcPr>
          <w:p w14:paraId="2BED95FF" w14:textId="77777777" w:rsidR="000D4F98" w:rsidRPr="00D76910" w:rsidRDefault="000D4F98" w:rsidP="00A51250">
            <w:pPr>
              <w:pStyle w:val="NCDTableText"/>
              <w:jc w:val="center"/>
            </w:pPr>
            <w:r w:rsidRPr="00D76910">
              <w:t>—</w:t>
            </w:r>
          </w:p>
        </w:tc>
        <w:tc>
          <w:tcPr>
            <w:tcW w:w="825" w:type="dxa"/>
            <w:hideMark/>
          </w:tcPr>
          <w:p w14:paraId="54A02CC1" w14:textId="77777777" w:rsidR="000D4F98" w:rsidRPr="00D76910" w:rsidRDefault="000D4F98" w:rsidP="00A51250">
            <w:pPr>
              <w:pStyle w:val="NCDTableText"/>
              <w:jc w:val="center"/>
            </w:pPr>
            <w:r w:rsidRPr="00D76910">
              <w:t>—</w:t>
            </w:r>
          </w:p>
        </w:tc>
        <w:tc>
          <w:tcPr>
            <w:tcW w:w="825" w:type="dxa"/>
            <w:hideMark/>
          </w:tcPr>
          <w:p w14:paraId="1FE1CF24" w14:textId="77777777" w:rsidR="000D4F98" w:rsidRPr="00D76910" w:rsidRDefault="000D4F98" w:rsidP="00A51250">
            <w:pPr>
              <w:pStyle w:val="NCDTableText"/>
              <w:jc w:val="center"/>
            </w:pPr>
            <w:r w:rsidRPr="00D76910">
              <w:t>—</w:t>
            </w:r>
          </w:p>
        </w:tc>
        <w:tc>
          <w:tcPr>
            <w:tcW w:w="905" w:type="dxa"/>
            <w:hideMark/>
          </w:tcPr>
          <w:p w14:paraId="34D4688D" w14:textId="77777777" w:rsidR="000D4F98" w:rsidRPr="00D76910" w:rsidRDefault="000D4F98" w:rsidP="00A51250">
            <w:pPr>
              <w:pStyle w:val="NCDTableText"/>
              <w:jc w:val="center"/>
            </w:pPr>
            <w:r w:rsidRPr="00D76910">
              <w:t>Y</w:t>
            </w:r>
          </w:p>
        </w:tc>
        <w:tc>
          <w:tcPr>
            <w:tcW w:w="987" w:type="dxa"/>
            <w:hideMark/>
          </w:tcPr>
          <w:p w14:paraId="53BBC635" w14:textId="77777777" w:rsidR="000D4F98" w:rsidRPr="00D76910" w:rsidRDefault="000D4F98" w:rsidP="00A51250">
            <w:pPr>
              <w:pStyle w:val="NCDTableText"/>
              <w:jc w:val="center"/>
            </w:pPr>
            <w:r w:rsidRPr="00D76910">
              <w:t>—</w:t>
            </w:r>
          </w:p>
        </w:tc>
        <w:tc>
          <w:tcPr>
            <w:tcW w:w="717" w:type="dxa"/>
            <w:hideMark/>
          </w:tcPr>
          <w:p w14:paraId="65AFC90D" w14:textId="77777777" w:rsidR="000D4F98" w:rsidRPr="00D76910" w:rsidRDefault="000D4F98" w:rsidP="00A51250">
            <w:pPr>
              <w:pStyle w:val="NCDTableText"/>
              <w:jc w:val="center"/>
            </w:pPr>
            <w:r w:rsidRPr="00D76910">
              <w:t>Y</w:t>
            </w:r>
          </w:p>
        </w:tc>
      </w:tr>
      <w:tr w:rsidR="00D76910" w:rsidRPr="00D76910" w14:paraId="06FF4F39" w14:textId="77777777" w:rsidTr="00D76910">
        <w:trPr>
          <w:trHeight w:val="314"/>
          <w:jc w:val="center"/>
        </w:trPr>
        <w:tc>
          <w:tcPr>
            <w:tcW w:w="898" w:type="dxa"/>
            <w:hideMark/>
          </w:tcPr>
          <w:p w14:paraId="39F1B36E" w14:textId="77777777" w:rsidR="000D4F98" w:rsidRPr="00D76910" w:rsidRDefault="000D4F98" w:rsidP="00D76910">
            <w:pPr>
              <w:pStyle w:val="NCDTableText"/>
            </w:pPr>
            <w:r w:rsidRPr="00D76910">
              <w:t>FL</w:t>
            </w:r>
          </w:p>
        </w:tc>
        <w:tc>
          <w:tcPr>
            <w:tcW w:w="904" w:type="dxa"/>
            <w:hideMark/>
          </w:tcPr>
          <w:p w14:paraId="087D5443" w14:textId="77777777" w:rsidR="000D4F98" w:rsidRPr="00D76910" w:rsidRDefault="000D4F98" w:rsidP="00A51250">
            <w:pPr>
              <w:pStyle w:val="NCDTableText"/>
              <w:jc w:val="center"/>
            </w:pPr>
            <w:r w:rsidRPr="00D76910">
              <w:t>Y</w:t>
            </w:r>
          </w:p>
        </w:tc>
        <w:tc>
          <w:tcPr>
            <w:tcW w:w="1078" w:type="dxa"/>
            <w:hideMark/>
          </w:tcPr>
          <w:p w14:paraId="4B1644E3" w14:textId="77777777" w:rsidR="000D4F98" w:rsidRPr="00D76910" w:rsidRDefault="000D4F98" w:rsidP="00A51250">
            <w:pPr>
              <w:pStyle w:val="NCDTableText"/>
              <w:jc w:val="center"/>
            </w:pPr>
            <w:r w:rsidRPr="00D76910">
              <w:t>—</w:t>
            </w:r>
          </w:p>
        </w:tc>
        <w:tc>
          <w:tcPr>
            <w:tcW w:w="810" w:type="dxa"/>
            <w:hideMark/>
          </w:tcPr>
          <w:p w14:paraId="305D9B4C" w14:textId="77777777" w:rsidR="000D4F98" w:rsidRPr="00D76910" w:rsidRDefault="000D4F98" w:rsidP="00A51250">
            <w:pPr>
              <w:pStyle w:val="NCDTableText"/>
              <w:jc w:val="center"/>
            </w:pPr>
            <w:r w:rsidRPr="00D76910">
              <w:t>—</w:t>
            </w:r>
          </w:p>
        </w:tc>
        <w:tc>
          <w:tcPr>
            <w:tcW w:w="586" w:type="dxa"/>
            <w:hideMark/>
          </w:tcPr>
          <w:p w14:paraId="121B7C7E" w14:textId="77777777" w:rsidR="000D4F98" w:rsidRPr="00D76910" w:rsidRDefault="000D4F98" w:rsidP="00A51250">
            <w:pPr>
              <w:pStyle w:val="NCDTableText"/>
              <w:jc w:val="center"/>
            </w:pPr>
            <w:r w:rsidRPr="00D76910">
              <w:t>—</w:t>
            </w:r>
          </w:p>
        </w:tc>
        <w:tc>
          <w:tcPr>
            <w:tcW w:w="825" w:type="dxa"/>
            <w:hideMark/>
          </w:tcPr>
          <w:p w14:paraId="4383A4FF" w14:textId="77777777" w:rsidR="000D4F98" w:rsidRPr="00D76910" w:rsidRDefault="000D4F98" w:rsidP="00A51250">
            <w:pPr>
              <w:pStyle w:val="NCDTableText"/>
              <w:jc w:val="center"/>
            </w:pPr>
            <w:r w:rsidRPr="00D76910">
              <w:t>Y</w:t>
            </w:r>
          </w:p>
        </w:tc>
        <w:tc>
          <w:tcPr>
            <w:tcW w:w="825" w:type="dxa"/>
            <w:hideMark/>
          </w:tcPr>
          <w:p w14:paraId="2C5D9F75" w14:textId="77777777" w:rsidR="000D4F98" w:rsidRPr="00D76910" w:rsidRDefault="000D4F98" w:rsidP="00A51250">
            <w:pPr>
              <w:pStyle w:val="NCDTableText"/>
              <w:jc w:val="center"/>
            </w:pPr>
            <w:r w:rsidRPr="00D76910">
              <w:t>—</w:t>
            </w:r>
          </w:p>
        </w:tc>
        <w:tc>
          <w:tcPr>
            <w:tcW w:w="825" w:type="dxa"/>
            <w:hideMark/>
          </w:tcPr>
          <w:p w14:paraId="1EBB16A9" w14:textId="77777777" w:rsidR="000D4F98" w:rsidRPr="00D76910" w:rsidRDefault="000D4F98" w:rsidP="00A51250">
            <w:pPr>
              <w:pStyle w:val="NCDTableText"/>
              <w:jc w:val="center"/>
            </w:pPr>
            <w:r w:rsidRPr="00D76910">
              <w:t>—</w:t>
            </w:r>
          </w:p>
        </w:tc>
        <w:tc>
          <w:tcPr>
            <w:tcW w:w="905" w:type="dxa"/>
            <w:hideMark/>
          </w:tcPr>
          <w:p w14:paraId="0A610BFE" w14:textId="77777777" w:rsidR="000D4F98" w:rsidRPr="00D76910" w:rsidRDefault="000D4F98" w:rsidP="00A51250">
            <w:pPr>
              <w:pStyle w:val="NCDTableText"/>
              <w:jc w:val="center"/>
            </w:pPr>
            <w:r w:rsidRPr="00D76910">
              <w:t>Y</w:t>
            </w:r>
          </w:p>
        </w:tc>
        <w:tc>
          <w:tcPr>
            <w:tcW w:w="987" w:type="dxa"/>
            <w:hideMark/>
          </w:tcPr>
          <w:p w14:paraId="4815C466" w14:textId="77777777" w:rsidR="000D4F98" w:rsidRPr="00D76910" w:rsidRDefault="000D4F98" w:rsidP="00A51250">
            <w:pPr>
              <w:pStyle w:val="NCDTableText"/>
              <w:jc w:val="center"/>
            </w:pPr>
            <w:r w:rsidRPr="00D76910">
              <w:t>—</w:t>
            </w:r>
          </w:p>
        </w:tc>
        <w:tc>
          <w:tcPr>
            <w:tcW w:w="717" w:type="dxa"/>
            <w:hideMark/>
          </w:tcPr>
          <w:p w14:paraId="061C4E95" w14:textId="77777777" w:rsidR="000D4F98" w:rsidRPr="00D76910" w:rsidRDefault="000D4F98" w:rsidP="00A51250">
            <w:pPr>
              <w:pStyle w:val="NCDTableText"/>
              <w:jc w:val="center"/>
            </w:pPr>
            <w:r w:rsidRPr="00D76910">
              <w:t>—</w:t>
            </w:r>
          </w:p>
        </w:tc>
      </w:tr>
      <w:tr w:rsidR="00D76910" w:rsidRPr="00D76910" w14:paraId="3CC25DCA" w14:textId="77777777" w:rsidTr="00D76910">
        <w:trPr>
          <w:trHeight w:val="314"/>
          <w:jc w:val="center"/>
        </w:trPr>
        <w:tc>
          <w:tcPr>
            <w:tcW w:w="898" w:type="dxa"/>
            <w:hideMark/>
          </w:tcPr>
          <w:p w14:paraId="0B8EEDD1" w14:textId="77777777" w:rsidR="000D4F98" w:rsidRPr="00D76910" w:rsidRDefault="000D4F98" w:rsidP="00D76910">
            <w:pPr>
              <w:pStyle w:val="NCDTableText"/>
            </w:pPr>
            <w:r w:rsidRPr="00D76910">
              <w:t xml:space="preserve">GA </w:t>
            </w:r>
          </w:p>
        </w:tc>
        <w:tc>
          <w:tcPr>
            <w:tcW w:w="904" w:type="dxa"/>
            <w:hideMark/>
          </w:tcPr>
          <w:p w14:paraId="05460F92" w14:textId="77777777" w:rsidR="000D4F98" w:rsidRPr="00D76910" w:rsidRDefault="000D4F98" w:rsidP="00A51250">
            <w:pPr>
              <w:pStyle w:val="NCDTableText"/>
              <w:jc w:val="center"/>
            </w:pPr>
            <w:r w:rsidRPr="00D76910">
              <w:t>Y</w:t>
            </w:r>
          </w:p>
        </w:tc>
        <w:tc>
          <w:tcPr>
            <w:tcW w:w="1078" w:type="dxa"/>
            <w:hideMark/>
          </w:tcPr>
          <w:p w14:paraId="6BD000B2" w14:textId="77777777" w:rsidR="000D4F98" w:rsidRPr="00D76910" w:rsidRDefault="000D4F98" w:rsidP="00A51250">
            <w:pPr>
              <w:pStyle w:val="NCDTableText"/>
              <w:jc w:val="center"/>
            </w:pPr>
            <w:r w:rsidRPr="00D76910">
              <w:t>—</w:t>
            </w:r>
          </w:p>
        </w:tc>
        <w:tc>
          <w:tcPr>
            <w:tcW w:w="810" w:type="dxa"/>
            <w:hideMark/>
          </w:tcPr>
          <w:p w14:paraId="25B79065" w14:textId="77777777" w:rsidR="000D4F98" w:rsidRPr="00D76910" w:rsidRDefault="000D4F98" w:rsidP="00A51250">
            <w:pPr>
              <w:pStyle w:val="NCDTableText"/>
              <w:jc w:val="center"/>
            </w:pPr>
            <w:r w:rsidRPr="00D76910">
              <w:t>Y</w:t>
            </w:r>
          </w:p>
        </w:tc>
        <w:tc>
          <w:tcPr>
            <w:tcW w:w="586" w:type="dxa"/>
            <w:hideMark/>
          </w:tcPr>
          <w:p w14:paraId="0E2B438B" w14:textId="77777777" w:rsidR="000D4F98" w:rsidRPr="00D76910" w:rsidRDefault="000D4F98" w:rsidP="00A51250">
            <w:pPr>
              <w:pStyle w:val="NCDTableText"/>
              <w:jc w:val="center"/>
            </w:pPr>
            <w:r w:rsidRPr="00D76910">
              <w:t>—</w:t>
            </w:r>
          </w:p>
        </w:tc>
        <w:tc>
          <w:tcPr>
            <w:tcW w:w="825" w:type="dxa"/>
            <w:hideMark/>
          </w:tcPr>
          <w:p w14:paraId="2CCADE99" w14:textId="77777777" w:rsidR="000D4F98" w:rsidRPr="00D76910" w:rsidRDefault="000D4F98" w:rsidP="00A51250">
            <w:pPr>
              <w:pStyle w:val="NCDTableText"/>
              <w:jc w:val="center"/>
            </w:pPr>
            <w:r w:rsidRPr="00D76910">
              <w:t>—</w:t>
            </w:r>
          </w:p>
        </w:tc>
        <w:tc>
          <w:tcPr>
            <w:tcW w:w="825" w:type="dxa"/>
            <w:hideMark/>
          </w:tcPr>
          <w:p w14:paraId="7DCA68C6" w14:textId="77777777" w:rsidR="000D4F98" w:rsidRPr="00D76910" w:rsidRDefault="000D4F98" w:rsidP="00A51250">
            <w:pPr>
              <w:pStyle w:val="NCDTableText"/>
              <w:jc w:val="center"/>
            </w:pPr>
            <w:r w:rsidRPr="00D76910">
              <w:t>—</w:t>
            </w:r>
          </w:p>
        </w:tc>
        <w:tc>
          <w:tcPr>
            <w:tcW w:w="825" w:type="dxa"/>
            <w:hideMark/>
          </w:tcPr>
          <w:p w14:paraId="592261EC" w14:textId="77777777" w:rsidR="000D4F98" w:rsidRPr="00D76910" w:rsidRDefault="000D4F98" w:rsidP="00A51250">
            <w:pPr>
              <w:pStyle w:val="NCDTableText"/>
              <w:jc w:val="center"/>
            </w:pPr>
            <w:r w:rsidRPr="00D76910">
              <w:t>—</w:t>
            </w:r>
          </w:p>
        </w:tc>
        <w:tc>
          <w:tcPr>
            <w:tcW w:w="905" w:type="dxa"/>
            <w:hideMark/>
          </w:tcPr>
          <w:p w14:paraId="17138D74" w14:textId="77777777" w:rsidR="000D4F98" w:rsidRPr="00D76910" w:rsidRDefault="000D4F98" w:rsidP="00A51250">
            <w:pPr>
              <w:pStyle w:val="NCDTableText"/>
              <w:jc w:val="center"/>
            </w:pPr>
            <w:r w:rsidRPr="00D76910">
              <w:t>—</w:t>
            </w:r>
          </w:p>
        </w:tc>
        <w:tc>
          <w:tcPr>
            <w:tcW w:w="987" w:type="dxa"/>
            <w:hideMark/>
          </w:tcPr>
          <w:p w14:paraId="64265223" w14:textId="77777777" w:rsidR="000D4F98" w:rsidRPr="00D76910" w:rsidRDefault="000D4F98" w:rsidP="00A51250">
            <w:pPr>
              <w:pStyle w:val="NCDTableText"/>
              <w:jc w:val="center"/>
            </w:pPr>
            <w:r w:rsidRPr="00D76910">
              <w:t>—</w:t>
            </w:r>
          </w:p>
        </w:tc>
        <w:tc>
          <w:tcPr>
            <w:tcW w:w="717" w:type="dxa"/>
            <w:hideMark/>
          </w:tcPr>
          <w:p w14:paraId="2D29EEFE" w14:textId="77777777" w:rsidR="000D4F98" w:rsidRPr="00D76910" w:rsidRDefault="000D4F98" w:rsidP="00A51250">
            <w:pPr>
              <w:pStyle w:val="NCDTableText"/>
              <w:jc w:val="center"/>
            </w:pPr>
            <w:r w:rsidRPr="00D76910">
              <w:t>—</w:t>
            </w:r>
          </w:p>
        </w:tc>
      </w:tr>
      <w:tr w:rsidR="00D76910" w:rsidRPr="00D76910" w14:paraId="2541ADF9" w14:textId="77777777" w:rsidTr="00D76910">
        <w:trPr>
          <w:trHeight w:val="314"/>
          <w:jc w:val="center"/>
        </w:trPr>
        <w:tc>
          <w:tcPr>
            <w:tcW w:w="898" w:type="dxa"/>
            <w:hideMark/>
          </w:tcPr>
          <w:p w14:paraId="0794EE38" w14:textId="77777777" w:rsidR="000D4F98" w:rsidRPr="00D76910" w:rsidRDefault="000D4F98" w:rsidP="00D76910">
            <w:pPr>
              <w:pStyle w:val="NCDTableText"/>
            </w:pPr>
            <w:r w:rsidRPr="00D76910">
              <w:t>HI</w:t>
            </w:r>
          </w:p>
        </w:tc>
        <w:tc>
          <w:tcPr>
            <w:tcW w:w="904" w:type="dxa"/>
            <w:hideMark/>
          </w:tcPr>
          <w:p w14:paraId="77839A08" w14:textId="77777777" w:rsidR="000D4F98" w:rsidRPr="00D76910" w:rsidRDefault="000D4F98" w:rsidP="00A51250">
            <w:pPr>
              <w:pStyle w:val="NCDTableText"/>
              <w:jc w:val="center"/>
            </w:pPr>
            <w:r w:rsidRPr="00D76910">
              <w:t>Y</w:t>
            </w:r>
          </w:p>
        </w:tc>
        <w:tc>
          <w:tcPr>
            <w:tcW w:w="1078" w:type="dxa"/>
            <w:hideMark/>
          </w:tcPr>
          <w:p w14:paraId="0EB90DE2" w14:textId="77777777" w:rsidR="000D4F98" w:rsidRPr="00D76910" w:rsidRDefault="000D4F98" w:rsidP="00A51250">
            <w:pPr>
              <w:pStyle w:val="NCDTableText"/>
              <w:jc w:val="center"/>
            </w:pPr>
            <w:r w:rsidRPr="00D76910">
              <w:t>—</w:t>
            </w:r>
          </w:p>
        </w:tc>
        <w:tc>
          <w:tcPr>
            <w:tcW w:w="810" w:type="dxa"/>
            <w:hideMark/>
          </w:tcPr>
          <w:p w14:paraId="6C565D02" w14:textId="77777777" w:rsidR="000D4F98" w:rsidRPr="00D76910" w:rsidRDefault="000D4F98" w:rsidP="00A51250">
            <w:pPr>
              <w:pStyle w:val="NCDTableText"/>
              <w:jc w:val="center"/>
            </w:pPr>
            <w:r w:rsidRPr="00D76910">
              <w:t>Y</w:t>
            </w:r>
          </w:p>
        </w:tc>
        <w:tc>
          <w:tcPr>
            <w:tcW w:w="586" w:type="dxa"/>
            <w:hideMark/>
          </w:tcPr>
          <w:p w14:paraId="483B01A0" w14:textId="77777777" w:rsidR="000D4F98" w:rsidRPr="00D76910" w:rsidRDefault="000D4F98" w:rsidP="00A51250">
            <w:pPr>
              <w:pStyle w:val="NCDTableText"/>
              <w:jc w:val="center"/>
            </w:pPr>
            <w:r w:rsidRPr="00D76910">
              <w:t>—</w:t>
            </w:r>
          </w:p>
        </w:tc>
        <w:tc>
          <w:tcPr>
            <w:tcW w:w="825" w:type="dxa"/>
            <w:hideMark/>
          </w:tcPr>
          <w:p w14:paraId="1ABA202F" w14:textId="77777777" w:rsidR="000D4F98" w:rsidRPr="00D76910" w:rsidRDefault="000D4F98" w:rsidP="00A51250">
            <w:pPr>
              <w:pStyle w:val="NCDTableText"/>
              <w:jc w:val="center"/>
            </w:pPr>
            <w:r w:rsidRPr="00D76910">
              <w:t>Y</w:t>
            </w:r>
          </w:p>
        </w:tc>
        <w:tc>
          <w:tcPr>
            <w:tcW w:w="825" w:type="dxa"/>
            <w:hideMark/>
          </w:tcPr>
          <w:p w14:paraId="7171625E" w14:textId="77777777" w:rsidR="000D4F98" w:rsidRPr="00D76910" w:rsidRDefault="000D4F98" w:rsidP="00A51250">
            <w:pPr>
              <w:pStyle w:val="NCDTableText"/>
              <w:jc w:val="center"/>
            </w:pPr>
            <w:r w:rsidRPr="00D76910">
              <w:t>—</w:t>
            </w:r>
          </w:p>
        </w:tc>
        <w:tc>
          <w:tcPr>
            <w:tcW w:w="825" w:type="dxa"/>
            <w:hideMark/>
          </w:tcPr>
          <w:p w14:paraId="25D7B24D" w14:textId="77777777" w:rsidR="000D4F98" w:rsidRPr="00D76910" w:rsidRDefault="000D4F98" w:rsidP="00A51250">
            <w:pPr>
              <w:pStyle w:val="NCDTableText"/>
              <w:jc w:val="center"/>
            </w:pPr>
            <w:r w:rsidRPr="00D76910">
              <w:t>—</w:t>
            </w:r>
          </w:p>
        </w:tc>
        <w:tc>
          <w:tcPr>
            <w:tcW w:w="905" w:type="dxa"/>
            <w:hideMark/>
          </w:tcPr>
          <w:p w14:paraId="5EDFFB14" w14:textId="77777777" w:rsidR="000D4F98" w:rsidRPr="00D76910" w:rsidRDefault="000D4F98" w:rsidP="00A51250">
            <w:pPr>
              <w:pStyle w:val="NCDTableText"/>
              <w:jc w:val="center"/>
            </w:pPr>
            <w:r w:rsidRPr="00D76910">
              <w:t>Y</w:t>
            </w:r>
          </w:p>
        </w:tc>
        <w:tc>
          <w:tcPr>
            <w:tcW w:w="987" w:type="dxa"/>
            <w:hideMark/>
          </w:tcPr>
          <w:p w14:paraId="51B01691" w14:textId="77777777" w:rsidR="000D4F98" w:rsidRPr="00D76910" w:rsidRDefault="000D4F98" w:rsidP="00A51250">
            <w:pPr>
              <w:pStyle w:val="NCDTableText"/>
              <w:jc w:val="center"/>
            </w:pPr>
            <w:r w:rsidRPr="00D76910">
              <w:t>—</w:t>
            </w:r>
          </w:p>
        </w:tc>
        <w:tc>
          <w:tcPr>
            <w:tcW w:w="717" w:type="dxa"/>
            <w:hideMark/>
          </w:tcPr>
          <w:p w14:paraId="6B5E8C85" w14:textId="77777777" w:rsidR="000D4F98" w:rsidRPr="00D76910" w:rsidRDefault="000D4F98" w:rsidP="00A51250">
            <w:pPr>
              <w:pStyle w:val="NCDTableText"/>
              <w:jc w:val="center"/>
            </w:pPr>
            <w:r w:rsidRPr="00D76910">
              <w:t>—</w:t>
            </w:r>
          </w:p>
        </w:tc>
      </w:tr>
      <w:tr w:rsidR="00D76910" w:rsidRPr="00D76910" w14:paraId="0F51B771" w14:textId="77777777" w:rsidTr="00D76910">
        <w:trPr>
          <w:trHeight w:val="314"/>
          <w:jc w:val="center"/>
        </w:trPr>
        <w:tc>
          <w:tcPr>
            <w:tcW w:w="898" w:type="dxa"/>
            <w:hideMark/>
          </w:tcPr>
          <w:p w14:paraId="63BBF342" w14:textId="77777777" w:rsidR="000D4F98" w:rsidRPr="00D76910" w:rsidRDefault="000D4F98" w:rsidP="00D76910">
            <w:pPr>
              <w:pStyle w:val="NCDTableText"/>
            </w:pPr>
            <w:r w:rsidRPr="00D76910">
              <w:t>ID</w:t>
            </w:r>
          </w:p>
        </w:tc>
        <w:tc>
          <w:tcPr>
            <w:tcW w:w="904" w:type="dxa"/>
            <w:hideMark/>
          </w:tcPr>
          <w:p w14:paraId="3C7027F5" w14:textId="77777777" w:rsidR="000D4F98" w:rsidRPr="00D76910" w:rsidRDefault="000D4F98" w:rsidP="00A51250">
            <w:pPr>
              <w:pStyle w:val="NCDTableText"/>
              <w:jc w:val="center"/>
            </w:pPr>
            <w:r w:rsidRPr="00D76910">
              <w:t>Y</w:t>
            </w:r>
          </w:p>
        </w:tc>
        <w:tc>
          <w:tcPr>
            <w:tcW w:w="1078" w:type="dxa"/>
            <w:hideMark/>
          </w:tcPr>
          <w:p w14:paraId="35B9BAF2" w14:textId="77777777" w:rsidR="000D4F98" w:rsidRPr="00D76910" w:rsidRDefault="000D4F98" w:rsidP="00A51250">
            <w:pPr>
              <w:pStyle w:val="NCDTableText"/>
              <w:jc w:val="center"/>
            </w:pPr>
            <w:r w:rsidRPr="00D76910">
              <w:t>—</w:t>
            </w:r>
          </w:p>
        </w:tc>
        <w:tc>
          <w:tcPr>
            <w:tcW w:w="810" w:type="dxa"/>
            <w:hideMark/>
          </w:tcPr>
          <w:p w14:paraId="3145A0B2" w14:textId="77777777" w:rsidR="000D4F98" w:rsidRPr="00D76910" w:rsidRDefault="000D4F98" w:rsidP="00A51250">
            <w:pPr>
              <w:pStyle w:val="NCDTableText"/>
              <w:jc w:val="center"/>
            </w:pPr>
            <w:r w:rsidRPr="00D76910">
              <w:t>—</w:t>
            </w:r>
          </w:p>
        </w:tc>
        <w:tc>
          <w:tcPr>
            <w:tcW w:w="586" w:type="dxa"/>
            <w:hideMark/>
          </w:tcPr>
          <w:p w14:paraId="57328AC7" w14:textId="77777777" w:rsidR="000D4F98" w:rsidRPr="00D76910" w:rsidRDefault="000D4F98" w:rsidP="00A51250">
            <w:pPr>
              <w:pStyle w:val="NCDTableText"/>
              <w:jc w:val="center"/>
            </w:pPr>
            <w:r w:rsidRPr="00D76910">
              <w:t>—</w:t>
            </w:r>
          </w:p>
        </w:tc>
        <w:tc>
          <w:tcPr>
            <w:tcW w:w="825" w:type="dxa"/>
            <w:hideMark/>
          </w:tcPr>
          <w:p w14:paraId="4902E463" w14:textId="77777777" w:rsidR="000D4F98" w:rsidRPr="00D76910" w:rsidRDefault="000D4F98" w:rsidP="00A51250">
            <w:pPr>
              <w:pStyle w:val="NCDTableText"/>
              <w:jc w:val="center"/>
            </w:pPr>
            <w:r w:rsidRPr="00D76910">
              <w:t>—</w:t>
            </w:r>
          </w:p>
        </w:tc>
        <w:tc>
          <w:tcPr>
            <w:tcW w:w="825" w:type="dxa"/>
            <w:hideMark/>
          </w:tcPr>
          <w:p w14:paraId="0F00799E" w14:textId="77777777" w:rsidR="000D4F98" w:rsidRPr="00D76910" w:rsidRDefault="000D4F98" w:rsidP="00A51250">
            <w:pPr>
              <w:pStyle w:val="NCDTableText"/>
              <w:jc w:val="center"/>
            </w:pPr>
            <w:r w:rsidRPr="00D76910">
              <w:t>—</w:t>
            </w:r>
          </w:p>
        </w:tc>
        <w:tc>
          <w:tcPr>
            <w:tcW w:w="825" w:type="dxa"/>
            <w:hideMark/>
          </w:tcPr>
          <w:p w14:paraId="20465919" w14:textId="77777777" w:rsidR="000D4F98" w:rsidRPr="00D76910" w:rsidRDefault="000D4F98" w:rsidP="00A51250">
            <w:pPr>
              <w:pStyle w:val="NCDTableText"/>
              <w:jc w:val="center"/>
            </w:pPr>
            <w:r w:rsidRPr="00D76910">
              <w:t>Y</w:t>
            </w:r>
          </w:p>
        </w:tc>
        <w:tc>
          <w:tcPr>
            <w:tcW w:w="905" w:type="dxa"/>
            <w:hideMark/>
          </w:tcPr>
          <w:p w14:paraId="45D4DE7C" w14:textId="77777777" w:rsidR="000D4F98" w:rsidRPr="00D76910" w:rsidRDefault="000D4F98" w:rsidP="00A51250">
            <w:pPr>
              <w:pStyle w:val="NCDTableText"/>
              <w:jc w:val="center"/>
            </w:pPr>
            <w:r w:rsidRPr="00D76910">
              <w:t>Y</w:t>
            </w:r>
          </w:p>
        </w:tc>
        <w:tc>
          <w:tcPr>
            <w:tcW w:w="987" w:type="dxa"/>
            <w:hideMark/>
          </w:tcPr>
          <w:p w14:paraId="1268230D" w14:textId="77777777" w:rsidR="000D4F98" w:rsidRPr="00D76910" w:rsidRDefault="000D4F98" w:rsidP="00A51250">
            <w:pPr>
              <w:pStyle w:val="NCDTableText"/>
              <w:jc w:val="center"/>
            </w:pPr>
            <w:r w:rsidRPr="00D76910">
              <w:t>—</w:t>
            </w:r>
          </w:p>
        </w:tc>
        <w:tc>
          <w:tcPr>
            <w:tcW w:w="717" w:type="dxa"/>
            <w:hideMark/>
          </w:tcPr>
          <w:p w14:paraId="401561B2" w14:textId="77777777" w:rsidR="000D4F98" w:rsidRPr="00D76910" w:rsidRDefault="000D4F98" w:rsidP="00A51250">
            <w:pPr>
              <w:pStyle w:val="NCDTableText"/>
              <w:jc w:val="center"/>
            </w:pPr>
            <w:r w:rsidRPr="00D76910">
              <w:t>—</w:t>
            </w:r>
          </w:p>
        </w:tc>
      </w:tr>
      <w:tr w:rsidR="00D76910" w:rsidRPr="00D76910" w14:paraId="2F047B10" w14:textId="77777777" w:rsidTr="00D76910">
        <w:trPr>
          <w:trHeight w:val="314"/>
          <w:jc w:val="center"/>
        </w:trPr>
        <w:tc>
          <w:tcPr>
            <w:tcW w:w="898" w:type="dxa"/>
            <w:hideMark/>
          </w:tcPr>
          <w:p w14:paraId="4CF7325B" w14:textId="77777777" w:rsidR="000D4F98" w:rsidRPr="00D76910" w:rsidRDefault="000D4F98" w:rsidP="00D76910">
            <w:pPr>
              <w:pStyle w:val="NCDTableText"/>
            </w:pPr>
            <w:r w:rsidRPr="00D76910">
              <w:t>IL</w:t>
            </w:r>
          </w:p>
        </w:tc>
        <w:tc>
          <w:tcPr>
            <w:tcW w:w="904" w:type="dxa"/>
            <w:hideMark/>
          </w:tcPr>
          <w:p w14:paraId="4253B1C3" w14:textId="77777777" w:rsidR="000D4F98" w:rsidRPr="00D76910" w:rsidRDefault="000D4F98" w:rsidP="00A51250">
            <w:pPr>
              <w:pStyle w:val="NCDTableText"/>
              <w:jc w:val="center"/>
            </w:pPr>
            <w:r w:rsidRPr="00D76910">
              <w:t>N</w:t>
            </w:r>
          </w:p>
        </w:tc>
        <w:tc>
          <w:tcPr>
            <w:tcW w:w="1078" w:type="dxa"/>
            <w:hideMark/>
          </w:tcPr>
          <w:p w14:paraId="1FD7647A" w14:textId="77777777" w:rsidR="000D4F98" w:rsidRPr="00D76910" w:rsidRDefault="000D4F98" w:rsidP="00A51250">
            <w:pPr>
              <w:pStyle w:val="NCDTableText"/>
              <w:jc w:val="center"/>
            </w:pPr>
            <w:r w:rsidRPr="00D76910">
              <w:t>—</w:t>
            </w:r>
          </w:p>
        </w:tc>
        <w:tc>
          <w:tcPr>
            <w:tcW w:w="810" w:type="dxa"/>
            <w:hideMark/>
          </w:tcPr>
          <w:p w14:paraId="25365F9C" w14:textId="77777777" w:rsidR="000D4F98" w:rsidRPr="00D76910" w:rsidRDefault="000D4F98" w:rsidP="00A51250">
            <w:pPr>
              <w:pStyle w:val="NCDTableText"/>
              <w:jc w:val="center"/>
            </w:pPr>
            <w:r w:rsidRPr="00D76910">
              <w:t>—</w:t>
            </w:r>
          </w:p>
        </w:tc>
        <w:tc>
          <w:tcPr>
            <w:tcW w:w="586" w:type="dxa"/>
            <w:hideMark/>
          </w:tcPr>
          <w:p w14:paraId="31FE9B7F" w14:textId="77777777" w:rsidR="000D4F98" w:rsidRPr="00D76910" w:rsidRDefault="000D4F98" w:rsidP="00A51250">
            <w:pPr>
              <w:pStyle w:val="NCDTableText"/>
              <w:jc w:val="center"/>
            </w:pPr>
            <w:r w:rsidRPr="00D76910">
              <w:t>—</w:t>
            </w:r>
          </w:p>
        </w:tc>
        <w:tc>
          <w:tcPr>
            <w:tcW w:w="825" w:type="dxa"/>
            <w:hideMark/>
          </w:tcPr>
          <w:p w14:paraId="0FA016FB" w14:textId="77777777" w:rsidR="000D4F98" w:rsidRPr="00D76910" w:rsidRDefault="000D4F98" w:rsidP="00A51250">
            <w:pPr>
              <w:pStyle w:val="NCDTableText"/>
              <w:jc w:val="center"/>
            </w:pPr>
            <w:r w:rsidRPr="00D76910">
              <w:t>—</w:t>
            </w:r>
          </w:p>
        </w:tc>
        <w:tc>
          <w:tcPr>
            <w:tcW w:w="825" w:type="dxa"/>
            <w:hideMark/>
          </w:tcPr>
          <w:p w14:paraId="0B9E455F" w14:textId="77777777" w:rsidR="000D4F98" w:rsidRPr="00D76910" w:rsidRDefault="000D4F98" w:rsidP="00A51250">
            <w:pPr>
              <w:pStyle w:val="NCDTableText"/>
              <w:jc w:val="center"/>
            </w:pPr>
            <w:r w:rsidRPr="00D76910">
              <w:t>—</w:t>
            </w:r>
          </w:p>
        </w:tc>
        <w:tc>
          <w:tcPr>
            <w:tcW w:w="825" w:type="dxa"/>
            <w:hideMark/>
          </w:tcPr>
          <w:p w14:paraId="51D80B1A" w14:textId="77777777" w:rsidR="000D4F98" w:rsidRPr="00D76910" w:rsidRDefault="000D4F98" w:rsidP="00A51250">
            <w:pPr>
              <w:pStyle w:val="NCDTableText"/>
              <w:jc w:val="center"/>
            </w:pPr>
            <w:r w:rsidRPr="00D76910">
              <w:t>—</w:t>
            </w:r>
          </w:p>
        </w:tc>
        <w:tc>
          <w:tcPr>
            <w:tcW w:w="905" w:type="dxa"/>
            <w:hideMark/>
          </w:tcPr>
          <w:p w14:paraId="682ECA1F" w14:textId="77777777" w:rsidR="000D4F98" w:rsidRPr="00D76910" w:rsidRDefault="000D4F98" w:rsidP="00A51250">
            <w:pPr>
              <w:pStyle w:val="NCDTableText"/>
              <w:jc w:val="center"/>
            </w:pPr>
            <w:r w:rsidRPr="00D76910">
              <w:t>—</w:t>
            </w:r>
          </w:p>
        </w:tc>
        <w:tc>
          <w:tcPr>
            <w:tcW w:w="987" w:type="dxa"/>
            <w:hideMark/>
          </w:tcPr>
          <w:p w14:paraId="660CF3C2" w14:textId="77777777" w:rsidR="000D4F98" w:rsidRPr="00D76910" w:rsidRDefault="000D4F98" w:rsidP="00A51250">
            <w:pPr>
              <w:pStyle w:val="NCDTableText"/>
              <w:jc w:val="center"/>
            </w:pPr>
            <w:r w:rsidRPr="00D76910">
              <w:t>—</w:t>
            </w:r>
          </w:p>
        </w:tc>
        <w:tc>
          <w:tcPr>
            <w:tcW w:w="717" w:type="dxa"/>
            <w:hideMark/>
          </w:tcPr>
          <w:p w14:paraId="19F033EB" w14:textId="77777777" w:rsidR="000D4F98" w:rsidRPr="00D76910" w:rsidRDefault="000D4F98" w:rsidP="00A51250">
            <w:pPr>
              <w:pStyle w:val="NCDTableText"/>
              <w:jc w:val="center"/>
            </w:pPr>
            <w:r w:rsidRPr="00D76910">
              <w:t>—</w:t>
            </w:r>
          </w:p>
        </w:tc>
      </w:tr>
      <w:tr w:rsidR="00D76910" w:rsidRPr="00D76910" w14:paraId="03F6C091" w14:textId="77777777" w:rsidTr="00D76910">
        <w:trPr>
          <w:trHeight w:val="314"/>
          <w:jc w:val="center"/>
        </w:trPr>
        <w:tc>
          <w:tcPr>
            <w:tcW w:w="898" w:type="dxa"/>
            <w:hideMark/>
          </w:tcPr>
          <w:p w14:paraId="59F1F398" w14:textId="77777777" w:rsidR="000D4F98" w:rsidRPr="00D76910" w:rsidRDefault="000D4F98" w:rsidP="00D76910">
            <w:pPr>
              <w:pStyle w:val="NCDTableText"/>
            </w:pPr>
            <w:r w:rsidRPr="00D76910">
              <w:t>IN</w:t>
            </w:r>
          </w:p>
        </w:tc>
        <w:tc>
          <w:tcPr>
            <w:tcW w:w="904" w:type="dxa"/>
            <w:hideMark/>
          </w:tcPr>
          <w:p w14:paraId="321B05CE" w14:textId="77777777" w:rsidR="000D4F98" w:rsidRPr="00D76910" w:rsidRDefault="000D4F98" w:rsidP="00A51250">
            <w:pPr>
              <w:pStyle w:val="NCDTableText"/>
              <w:jc w:val="center"/>
            </w:pPr>
            <w:r w:rsidRPr="00D76910">
              <w:t>N</w:t>
            </w:r>
          </w:p>
        </w:tc>
        <w:tc>
          <w:tcPr>
            <w:tcW w:w="1078" w:type="dxa"/>
            <w:hideMark/>
          </w:tcPr>
          <w:p w14:paraId="51BA85C7" w14:textId="77777777" w:rsidR="000D4F98" w:rsidRPr="00D76910" w:rsidRDefault="000D4F98" w:rsidP="00A51250">
            <w:pPr>
              <w:pStyle w:val="NCDTableText"/>
              <w:jc w:val="center"/>
            </w:pPr>
            <w:r w:rsidRPr="00D76910">
              <w:t>—</w:t>
            </w:r>
          </w:p>
        </w:tc>
        <w:tc>
          <w:tcPr>
            <w:tcW w:w="810" w:type="dxa"/>
            <w:hideMark/>
          </w:tcPr>
          <w:p w14:paraId="7BAB0A3E" w14:textId="77777777" w:rsidR="000D4F98" w:rsidRPr="00D76910" w:rsidRDefault="000D4F98" w:rsidP="00A51250">
            <w:pPr>
              <w:pStyle w:val="NCDTableText"/>
              <w:jc w:val="center"/>
            </w:pPr>
            <w:r w:rsidRPr="00D76910">
              <w:t>—</w:t>
            </w:r>
          </w:p>
        </w:tc>
        <w:tc>
          <w:tcPr>
            <w:tcW w:w="586" w:type="dxa"/>
            <w:hideMark/>
          </w:tcPr>
          <w:p w14:paraId="6BB4DC64" w14:textId="77777777" w:rsidR="000D4F98" w:rsidRPr="00D76910" w:rsidRDefault="000D4F98" w:rsidP="00A51250">
            <w:pPr>
              <w:pStyle w:val="NCDTableText"/>
              <w:jc w:val="center"/>
            </w:pPr>
            <w:r w:rsidRPr="00D76910">
              <w:t>—</w:t>
            </w:r>
          </w:p>
        </w:tc>
        <w:tc>
          <w:tcPr>
            <w:tcW w:w="825" w:type="dxa"/>
            <w:hideMark/>
          </w:tcPr>
          <w:p w14:paraId="1477C983" w14:textId="77777777" w:rsidR="000D4F98" w:rsidRPr="00D76910" w:rsidRDefault="000D4F98" w:rsidP="00A51250">
            <w:pPr>
              <w:pStyle w:val="NCDTableText"/>
              <w:jc w:val="center"/>
            </w:pPr>
            <w:r w:rsidRPr="00D76910">
              <w:t>—</w:t>
            </w:r>
          </w:p>
        </w:tc>
        <w:tc>
          <w:tcPr>
            <w:tcW w:w="825" w:type="dxa"/>
            <w:hideMark/>
          </w:tcPr>
          <w:p w14:paraId="527A70B1" w14:textId="77777777" w:rsidR="000D4F98" w:rsidRPr="00D76910" w:rsidRDefault="000D4F98" w:rsidP="00A51250">
            <w:pPr>
              <w:pStyle w:val="NCDTableText"/>
              <w:jc w:val="center"/>
            </w:pPr>
            <w:r w:rsidRPr="00D76910">
              <w:t>—</w:t>
            </w:r>
          </w:p>
        </w:tc>
        <w:tc>
          <w:tcPr>
            <w:tcW w:w="825" w:type="dxa"/>
            <w:hideMark/>
          </w:tcPr>
          <w:p w14:paraId="3E4228CB" w14:textId="77777777" w:rsidR="000D4F98" w:rsidRPr="00D76910" w:rsidRDefault="000D4F98" w:rsidP="00A51250">
            <w:pPr>
              <w:pStyle w:val="NCDTableText"/>
              <w:jc w:val="center"/>
            </w:pPr>
            <w:r w:rsidRPr="00D76910">
              <w:t>—</w:t>
            </w:r>
          </w:p>
        </w:tc>
        <w:tc>
          <w:tcPr>
            <w:tcW w:w="905" w:type="dxa"/>
            <w:hideMark/>
          </w:tcPr>
          <w:p w14:paraId="0B23BC35" w14:textId="77777777" w:rsidR="000D4F98" w:rsidRPr="00D76910" w:rsidRDefault="000D4F98" w:rsidP="00A51250">
            <w:pPr>
              <w:pStyle w:val="NCDTableText"/>
              <w:jc w:val="center"/>
            </w:pPr>
            <w:r w:rsidRPr="00D76910">
              <w:t>—</w:t>
            </w:r>
          </w:p>
        </w:tc>
        <w:tc>
          <w:tcPr>
            <w:tcW w:w="987" w:type="dxa"/>
            <w:hideMark/>
          </w:tcPr>
          <w:p w14:paraId="74F7E32A" w14:textId="77777777" w:rsidR="000D4F98" w:rsidRPr="00D76910" w:rsidRDefault="000D4F98" w:rsidP="00A51250">
            <w:pPr>
              <w:pStyle w:val="NCDTableText"/>
              <w:jc w:val="center"/>
            </w:pPr>
            <w:r w:rsidRPr="00D76910">
              <w:t>—</w:t>
            </w:r>
          </w:p>
        </w:tc>
        <w:tc>
          <w:tcPr>
            <w:tcW w:w="717" w:type="dxa"/>
            <w:hideMark/>
          </w:tcPr>
          <w:p w14:paraId="64D2BF03" w14:textId="77777777" w:rsidR="000D4F98" w:rsidRPr="00D76910" w:rsidRDefault="000D4F98" w:rsidP="00A51250">
            <w:pPr>
              <w:pStyle w:val="NCDTableText"/>
              <w:jc w:val="center"/>
            </w:pPr>
            <w:r w:rsidRPr="00D76910">
              <w:t>—</w:t>
            </w:r>
          </w:p>
        </w:tc>
      </w:tr>
      <w:tr w:rsidR="00D76910" w:rsidRPr="00D76910" w14:paraId="4F0391FA" w14:textId="77777777" w:rsidTr="00D76910">
        <w:trPr>
          <w:trHeight w:val="314"/>
          <w:jc w:val="center"/>
        </w:trPr>
        <w:tc>
          <w:tcPr>
            <w:tcW w:w="898" w:type="dxa"/>
            <w:hideMark/>
          </w:tcPr>
          <w:p w14:paraId="2C46326D" w14:textId="77777777" w:rsidR="000D4F98" w:rsidRPr="00D76910" w:rsidRDefault="000D4F98" w:rsidP="00D76910">
            <w:pPr>
              <w:pStyle w:val="NCDTableText"/>
            </w:pPr>
            <w:r w:rsidRPr="00D76910">
              <w:t>IA</w:t>
            </w:r>
          </w:p>
        </w:tc>
        <w:tc>
          <w:tcPr>
            <w:tcW w:w="904" w:type="dxa"/>
            <w:hideMark/>
          </w:tcPr>
          <w:p w14:paraId="1C093879" w14:textId="77777777" w:rsidR="000D4F98" w:rsidRPr="00D76910" w:rsidRDefault="000D4F98" w:rsidP="00A51250">
            <w:pPr>
              <w:pStyle w:val="NCDTableText"/>
              <w:jc w:val="center"/>
            </w:pPr>
            <w:r w:rsidRPr="00D76910">
              <w:t>Y</w:t>
            </w:r>
          </w:p>
        </w:tc>
        <w:tc>
          <w:tcPr>
            <w:tcW w:w="1078" w:type="dxa"/>
            <w:hideMark/>
          </w:tcPr>
          <w:p w14:paraId="28C82844" w14:textId="77777777" w:rsidR="000D4F98" w:rsidRPr="00D76910" w:rsidRDefault="000D4F98" w:rsidP="00A51250">
            <w:pPr>
              <w:pStyle w:val="NCDTableText"/>
              <w:jc w:val="center"/>
            </w:pPr>
            <w:r w:rsidRPr="00D76910">
              <w:t>Y</w:t>
            </w:r>
          </w:p>
        </w:tc>
        <w:tc>
          <w:tcPr>
            <w:tcW w:w="810" w:type="dxa"/>
            <w:hideMark/>
          </w:tcPr>
          <w:p w14:paraId="21BD75EC" w14:textId="77777777" w:rsidR="000D4F98" w:rsidRPr="00D76910" w:rsidRDefault="000D4F98" w:rsidP="00A51250">
            <w:pPr>
              <w:pStyle w:val="NCDTableText"/>
              <w:jc w:val="center"/>
            </w:pPr>
            <w:r w:rsidRPr="00D76910">
              <w:t>—</w:t>
            </w:r>
          </w:p>
        </w:tc>
        <w:tc>
          <w:tcPr>
            <w:tcW w:w="586" w:type="dxa"/>
            <w:hideMark/>
          </w:tcPr>
          <w:p w14:paraId="7C61A191" w14:textId="77777777" w:rsidR="000D4F98" w:rsidRPr="00D76910" w:rsidRDefault="000D4F98" w:rsidP="00A51250">
            <w:pPr>
              <w:pStyle w:val="NCDTableText"/>
              <w:jc w:val="center"/>
            </w:pPr>
            <w:r w:rsidRPr="00D76910">
              <w:t>—</w:t>
            </w:r>
          </w:p>
        </w:tc>
        <w:tc>
          <w:tcPr>
            <w:tcW w:w="825" w:type="dxa"/>
            <w:hideMark/>
          </w:tcPr>
          <w:p w14:paraId="488038C7" w14:textId="77777777" w:rsidR="000D4F98" w:rsidRPr="00D76910" w:rsidRDefault="000D4F98" w:rsidP="00A51250">
            <w:pPr>
              <w:pStyle w:val="NCDTableText"/>
              <w:jc w:val="center"/>
            </w:pPr>
            <w:r w:rsidRPr="00D76910">
              <w:t>—</w:t>
            </w:r>
          </w:p>
        </w:tc>
        <w:tc>
          <w:tcPr>
            <w:tcW w:w="825" w:type="dxa"/>
            <w:hideMark/>
          </w:tcPr>
          <w:p w14:paraId="7A0F02EE" w14:textId="77777777" w:rsidR="000D4F98" w:rsidRPr="00D76910" w:rsidRDefault="000D4F98" w:rsidP="00A51250">
            <w:pPr>
              <w:pStyle w:val="NCDTableText"/>
              <w:jc w:val="center"/>
            </w:pPr>
            <w:r w:rsidRPr="00D76910">
              <w:t>Y</w:t>
            </w:r>
          </w:p>
        </w:tc>
        <w:tc>
          <w:tcPr>
            <w:tcW w:w="825" w:type="dxa"/>
            <w:hideMark/>
          </w:tcPr>
          <w:p w14:paraId="2CF06018" w14:textId="77777777" w:rsidR="000D4F98" w:rsidRPr="00D76910" w:rsidRDefault="000D4F98" w:rsidP="00A51250">
            <w:pPr>
              <w:pStyle w:val="NCDTableText"/>
              <w:jc w:val="center"/>
            </w:pPr>
            <w:r w:rsidRPr="00D76910">
              <w:t>—</w:t>
            </w:r>
          </w:p>
        </w:tc>
        <w:tc>
          <w:tcPr>
            <w:tcW w:w="905" w:type="dxa"/>
            <w:hideMark/>
          </w:tcPr>
          <w:p w14:paraId="1CA34752" w14:textId="77777777" w:rsidR="000D4F98" w:rsidRPr="00D76910" w:rsidRDefault="000D4F98" w:rsidP="00A51250">
            <w:pPr>
              <w:pStyle w:val="NCDTableText"/>
              <w:jc w:val="center"/>
            </w:pPr>
            <w:r w:rsidRPr="00D76910">
              <w:t>Y</w:t>
            </w:r>
          </w:p>
        </w:tc>
        <w:tc>
          <w:tcPr>
            <w:tcW w:w="987" w:type="dxa"/>
            <w:hideMark/>
          </w:tcPr>
          <w:p w14:paraId="3EF3DD05" w14:textId="77777777" w:rsidR="000D4F98" w:rsidRPr="00D76910" w:rsidRDefault="000D4F98" w:rsidP="00A51250">
            <w:pPr>
              <w:pStyle w:val="NCDTableText"/>
              <w:jc w:val="center"/>
            </w:pPr>
            <w:r w:rsidRPr="00D76910">
              <w:t>—</w:t>
            </w:r>
          </w:p>
        </w:tc>
        <w:tc>
          <w:tcPr>
            <w:tcW w:w="717" w:type="dxa"/>
            <w:hideMark/>
          </w:tcPr>
          <w:p w14:paraId="2C72E68E" w14:textId="77777777" w:rsidR="000D4F98" w:rsidRPr="00D76910" w:rsidRDefault="000D4F98" w:rsidP="00A51250">
            <w:pPr>
              <w:pStyle w:val="NCDTableText"/>
              <w:jc w:val="center"/>
            </w:pPr>
            <w:r w:rsidRPr="00D76910">
              <w:t>—</w:t>
            </w:r>
          </w:p>
        </w:tc>
      </w:tr>
      <w:tr w:rsidR="00D76910" w:rsidRPr="00D76910" w14:paraId="15753E81" w14:textId="77777777" w:rsidTr="00D76910">
        <w:trPr>
          <w:trHeight w:val="314"/>
          <w:jc w:val="center"/>
        </w:trPr>
        <w:tc>
          <w:tcPr>
            <w:tcW w:w="898" w:type="dxa"/>
            <w:hideMark/>
          </w:tcPr>
          <w:p w14:paraId="57040D18" w14:textId="77777777" w:rsidR="000D4F98" w:rsidRPr="00D76910" w:rsidRDefault="000D4F98" w:rsidP="00D76910">
            <w:pPr>
              <w:pStyle w:val="NCDTableText"/>
            </w:pPr>
            <w:r w:rsidRPr="00D76910">
              <w:t xml:space="preserve">KS </w:t>
            </w:r>
          </w:p>
        </w:tc>
        <w:tc>
          <w:tcPr>
            <w:tcW w:w="904" w:type="dxa"/>
            <w:hideMark/>
          </w:tcPr>
          <w:p w14:paraId="5177336D" w14:textId="77777777" w:rsidR="000D4F98" w:rsidRPr="00D76910" w:rsidRDefault="000D4F98" w:rsidP="00A51250">
            <w:pPr>
              <w:pStyle w:val="NCDTableText"/>
              <w:jc w:val="center"/>
            </w:pPr>
            <w:r w:rsidRPr="00D76910">
              <w:t>N</w:t>
            </w:r>
          </w:p>
        </w:tc>
        <w:tc>
          <w:tcPr>
            <w:tcW w:w="1078" w:type="dxa"/>
            <w:hideMark/>
          </w:tcPr>
          <w:p w14:paraId="64FCB10A" w14:textId="77777777" w:rsidR="000D4F98" w:rsidRPr="00D76910" w:rsidRDefault="000D4F98" w:rsidP="00A51250">
            <w:pPr>
              <w:pStyle w:val="NCDTableText"/>
              <w:jc w:val="center"/>
            </w:pPr>
            <w:r w:rsidRPr="00D76910">
              <w:t>—</w:t>
            </w:r>
          </w:p>
        </w:tc>
        <w:tc>
          <w:tcPr>
            <w:tcW w:w="810" w:type="dxa"/>
            <w:hideMark/>
          </w:tcPr>
          <w:p w14:paraId="4D20C1AC" w14:textId="77777777" w:rsidR="000D4F98" w:rsidRPr="00D76910" w:rsidRDefault="000D4F98" w:rsidP="00A51250">
            <w:pPr>
              <w:pStyle w:val="NCDTableText"/>
              <w:jc w:val="center"/>
            </w:pPr>
            <w:r w:rsidRPr="00D76910">
              <w:t>—</w:t>
            </w:r>
          </w:p>
        </w:tc>
        <w:tc>
          <w:tcPr>
            <w:tcW w:w="586" w:type="dxa"/>
            <w:hideMark/>
          </w:tcPr>
          <w:p w14:paraId="7CB2B2AE" w14:textId="77777777" w:rsidR="000D4F98" w:rsidRPr="00D76910" w:rsidRDefault="000D4F98" w:rsidP="00A51250">
            <w:pPr>
              <w:pStyle w:val="NCDTableText"/>
              <w:jc w:val="center"/>
            </w:pPr>
            <w:r w:rsidRPr="00D76910">
              <w:t>—</w:t>
            </w:r>
          </w:p>
        </w:tc>
        <w:tc>
          <w:tcPr>
            <w:tcW w:w="825" w:type="dxa"/>
            <w:hideMark/>
          </w:tcPr>
          <w:p w14:paraId="6E7DBD30" w14:textId="77777777" w:rsidR="000D4F98" w:rsidRPr="00D76910" w:rsidRDefault="000D4F98" w:rsidP="00A51250">
            <w:pPr>
              <w:pStyle w:val="NCDTableText"/>
              <w:jc w:val="center"/>
            </w:pPr>
            <w:r w:rsidRPr="00D76910">
              <w:t>—</w:t>
            </w:r>
          </w:p>
        </w:tc>
        <w:tc>
          <w:tcPr>
            <w:tcW w:w="825" w:type="dxa"/>
            <w:hideMark/>
          </w:tcPr>
          <w:p w14:paraId="68CFBD91" w14:textId="77777777" w:rsidR="000D4F98" w:rsidRPr="00D76910" w:rsidRDefault="000D4F98" w:rsidP="00A51250">
            <w:pPr>
              <w:pStyle w:val="NCDTableText"/>
              <w:jc w:val="center"/>
            </w:pPr>
            <w:r w:rsidRPr="00D76910">
              <w:t>—</w:t>
            </w:r>
          </w:p>
        </w:tc>
        <w:tc>
          <w:tcPr>
            <w:tcW w:w="825" w:type="dxa"/>
            <w:hideMark/>
          </w:tcPr>
          <w:p w14:paraId="04A84982" w14:textId="77777777" w:rsidR="000D4F98" w:rsidRPr="00D76910" w:rsidRDefault="000D4F98" w:rsidP="00A51250">
            <w:pPr>
              <w:pStyle w:val="NCDTableText"/>
              <w:jc w:val="center"/>
            </w:pPr>
            <w:r w:rsidRPr="00D76910">
              <w:t>—</w:t>
            </w:r>
          </w:p>
        </w:tc>
        <w:tc>
          <w:tcPr>
            <w:tcW w:w="905" w:type="dxa"/>
            <w:hideMark/>
          </w:tcPr>
          <w:p w14:paraId="4718ADEF" w14:textId="77777777" w:rsidR="000D4F98" w:rsidRPr="00D76910" w:rsidRDefault="000D4F98" w:rsidP="00A51250">
            <w:pPr>
              <w:pStyle w:val="NCDTableText"/>
              <w:jc w:val="center"/>
            </w:pPr>
            <w:r w:rsidRPr="00D76910">
              <w:t>—</w:t>
            </w:r>
          </w:p>
        </w:tc>
        <w:tc>
          <w:tcPr>
            <w:tcW w:w="987" w:type="dxa"/>
            <w:hideMark/>
          </w:tcPr>
          <w:p w14:paraId="18D57C06" w14:textId="77777777" w:rsidR="000D4F98" w:rsidRPr="00D76910" w:rsidRDefault="000D4F98" w:rsidP="00A51250">
            <w:pPr>
              <w:pStyle w:val="NCDTableText"/>
              <w:jc w:val="center"/>
            </w:pPr>
            <w:r w:rsidRPr="00D76910">
              <w:t>—</w:t>
            </w:r>
          </w:p>
        </w:tc>
        <w:tc>
          <w:tcPr>
            <w:tcW w:w="717" w:type="dxa"/>
            <w:hideMark/>
          </w:tcPr>
          <w:p w14:paraId="5103AF9F" w14:textId="77777777" w:rsidR="000D4F98" w:rsidRPr="00D76910" w:rsidRDefault="000D4F98" w:rsidP="00A51250">
            <w:pPr>
              <w:pStyle w:val="NCDTableText"/>
              <w:jc w:val="center"/>
            </w:pPr>
            <w:r w:rsidRPr="00D76910">
              <w:t>—</w:t>
            </w:r>
          </w:p>
        </w:tc>
      </w:tr>
      <w:tr w:rsidR="00D76910" w:rsidRPr="00D76910" w14:paraId="2D75E0C0" w14:textId="77777777" w:rsidTr="00D76910">
        <w:trPr>
          <w:trHeight w:val="314"/>
          <w:jc w:val="center"/>
        </w:trPr>
        <w:tc>
          <w:tcPr>
            <w:tcW w:w="898" w:type="dxa"/>
            <w:hideMark/>
          </w:tcPr>
          <w:p w14:paraId="4DEBA93D" w14:textId="77777777" w:rsidR="000D4F98" w:rsidRPr="00D76910" w:rsidRDefault="000D4F98" w:rsidP="00D76910">
            <w:pPr>
              <w:pStyle w:val="NCDTableText"/>
            </w:pPr>
            <w:r w:rsidRPr="00D76910">
              <w:t>KY</w:t>
            </w:r>
          </w:p>
        </w:tc>
        <w:tc>
          <w:tcPr>
            <w:tcW w:w="904" w:type="dxa"/>
            <w:hideMark/>
          </w:tcPr>
          <w:p w14:paraId="64C862D9" w14:textId="77777777" w:rsidR="000D4F98" w:rsidRPr="00D76910" w:rsidRDefault="000D4F98" w:rsidP="00A51250">
            <w:pPr>
              <w:pStyle w:val="NCDTableText"/>
              <w:jc w:val="center"/>
            </w:pPr>
            <w:r w:rsidRPr="00D76910">
              <w:t>N</w:t>
            </w:r>
          </w:p>
        </w:tc>
        <w:tc>
          <w:tcPr>
            <w:tcW w:w="1078" w:type="dxa"/>
            <w:hideMark/>
          </w:tcPr>
          <w:p w14:paraId="768508ED" w14:textId="77777777" w:rsidR="000D4F98" w:rsidRPr="00D76910" w:rsidRDefault="000D4F98" w:rsidP="00A51250">
            <w:pPr>
              <w:pStyle w:val="NCDTableText"/>
              <w:jc w:val="center"/>
            </w:pPr>
            <w:r w:rsidRPr="00D76910">
              <w:t>—</w:t>
            </w:r>
          </w:p>
        </w:tc>
        <w:tc>
          <w:tcPr>
            <w:tcW w:w="810" w:type="dxa"/>
            <w:hideMark/>
          </w:tcPr>
          <w:p w14:paraId="68B47417" w14:textId="77777777" w:rsidR="000D4F98" w:rsidRPr="00D76910" w:rsidRDefault="000D4F98" w:rsidP="00A51250">
            <w:pPr>
              <w:pStyle w:val="NCDTableText"/>
              <w:jc w:val="center"/>
            </w:pPr>
            <w:r w:rsidRPr="00D76910">
              <w:t>—</w:t>
            </w:r>
          </w:p>
        </w:tc>
        <w:tc>
          <w:tcPr>
            <w:tcW w:w="586" w:type="dxa"/>
            <w:hideMark/>
          </w:tcPr>
          <w:p w14:paraId="6DD68A44" w14:textId="77777777" w:rsidR="000D4F98" w:rsidRPr="00D76910" w:rsidRDefault="000D4F98" w:rsidP="00A51250">
            <w:pPr>
              <w:pStyle w:val="NCDTableText"/>
              <w:jc w:val="center"/>
            </w:pPr>
            <w:r w:rsidRPr="00D76910">
              <w:t>—</w:t>
            </w:r>
          </w:p>
        </w:tc>
        <w:tc>
          <w:tcPr>
            <w:tcW w:w="825" w:type="dxa"/>
            <w:hideMark/>
          </w:tcPr>
          <w:p w14:paraId="5A8352D4" w14:textId="77777777" w:rsidR="000D4F98" w:rsidRPr="00D76910" w:rsidRDefault="000D4F98" w:rsidP="00A51250">
            <w:pPr>
              <w:pStyle w:val="NCDTableText"/>
              <w:jc w:val="center"/>
            </w:pPr>
            <w:r w:rsidRPr="00D76910">
              <w:t>—</w:t>
            </w:r>
          </w:p>
        </w:tc>
        <w:tc>
          <w:tcPr>
            <w:tcW w:w="825" w:type="dxa"/>
            <w:hideMark/>
          </w:tcPr>
          <w:p w14:paraId="7B0D8014" w14:textId="77777777" w:rsidR="000D4F98" w:rsidRPr="00D76910" w:rsidRDefault="000D4F98" w:rsidP="00A51250">
            <w:pPr>
              <w:pStyle w:val="NCDTableText"/>
              <w:jc w:val="center"/>
            </w:pPr>
            <w:r w:rsidRPr="00D76910">
              <w:t>—</w:t>
            </w:r>
          </w:p>
        </w:tc>
        <w:tc>
          <w:tcPr>
            <w:tcW w:w="825" w:type="dxa"/>
            <w:hideMark/>
          </w:tcPr>
          <w:p w14:paraId="4FF78324" w14:textId="77777777" w:rsidR="000D4F98" w:rsidRPr="00D76910" w:rsidRDefault="000D4F98" w:rsidP="00A51250">
            <w:pPr>
              <w:pStyle w:val="NCDTableText"/>
              <w:jc w:val="center"/>
            </w:pPr>
            <w:r w:rsidRPr="00D76910">
              <w:t>—</w:t>
            </w:r>
          </w:p>
        </w:tc>
        <w:tc>
          <w:tcPr>
            <w:tcW w:w="905" w:type="dxa"/>
            <w:hideMark/>
          </w:tcPr>
          <w:p w14:paraId="656EC9ED" w14:textId="77777777" w:rsidR="000D4F98" w:rsidRPr="00D76910" w:rsidRDefault="000D4F98" w:rsidP="00A51250">
            <w:pPr>
              <w:pStyle w:val="NCDTableText"/>
              <w:jc w:val="center"/>
            </w:pPr>
            <w:r w:rsidRPr="00D76910">
              <w:t>—</w:t>
            </w:r>
          </w:p>
        </w:tc>
        <w:tc>
          <w:tcPr>
            <w:tcW w:w="987" w:type="dxa"/>
            <w:hideMark/>
          </w:tcPr>
          <w:p w14:paraId="66457EBC" w14:textId="77777777" w:rsidR="000D4F98" w:rsidRPr="00D76910" w:rsidRDefault="000D4F98" w:rsidP="00A51250">
            <w:pPr>
              <w:pStyle w:val="NCDTableText"/>
              <w:jc w:val="center"/>
            </w:pPr>
            <w:r w:rsidRPr="00D76910">
              <w:t>—</w:t>
            </w:r>
          </w:p>
        </w:tc>
        <w:tc>
          <w:tcPr>
            <w:tcW w:w="717" w:type="dxa"/>
            <w:hideMark/>
          </w:tcPr>
          <w:p w14:paraId="131BD2E2" w14:textId="77777777" w:rsidR="000D4F98" w:rsidRPr="00D76910" w:rsidRDefault="000D4F98" w:rsidP="00A51250">
            <w:pPr>
              <w:pStyle w:val="NCDTableText"/>
              <w:jc w:val="center"/>
            </w:pPr>
            <w:r w:rsidRPr="00D76910">
              <w:t>—</w:t>
            </w:r>
          </w:p>
        </w:tc>
      </w:tr>
      <w:tr w:rsidR="00D76910" w:rsidRPr="00D76910" w14:paraId="4E4EE490" w14:textId="77777777" w:rsidTr="00D76910">
        <w:trPr>
          <w:trHeight w:val="314"/>
          <w:jc w:val="center"/>
        </w:trPr>
        <w:tc>
          <w:tcPr>
            <w:tcW w:w="898" w:type="dxa"/>
            <w:hideMark/>
          </w:tcPr>
          <w:p w14:paraId="1E3BE584" w14:textId="77777777" w:rsidR="000D4F98" w:rsidRPr="00D76910" w:rsidRDefault="000D4F98" w:rsidP="00D76910">
            <w:pPr>
              <w:pStyle w:val="NCDTableText"/>
            </w:pPr>
            <w:r w:rsidRPr="00D76910">
              <w:lastRenderedPageBreak/>
              <w:t>LA</w:t>
            </w:r>
          </w:p>
        </w:tc>
        <w:tc>
          <w:tcPr>
            <w:tcW w:w="904" w:type="dxa"/>
            <w:hideMark/>
          </w:tcPr>
          <w:p w14:paraId="7AE0C288" w14:textId="77777777" w:rsidR="000D4F98" w:rsidRPr="00D76910" w:rsidRDefault="000D4F98" w:rsidP="00A51250">
            <w:pPr>
              <w:pStyle w:val="NCDTableText"/>
              <w:jc w:val="center"/>
            </w:pPr>
            <w:r w:rsidRPr="00D76910">
              <w:t>Y</w:t>
            </w:r>
          </w:p>
        </w:tc>
        <w:tc>
          <w:tcPr>
            <w:tcW w:w="1078" w:type="dxa"/>
            <w:hideMark/>
          </w:tcPr>
          <w:p w14:paraId="1B93C37C" w14:textId="77777777" w:rsidR="000D4F98" w:rsidRPr="00D76910" w:rsidRDefault="000D4F98" w:rsidP="00A51250">
            <w:pPr>
              <w:pStyle w:val="NCDTableText"/>
              <w:jc w:val="center"/>
            </w:pPr>
            <w:r w:rsidRPr="00D76910">
              <w:t>—</w:t>
            </w:r>
          </w:p>
        </w:tc>
        <w:tc>
          <w:tcPr>
            <w:tcW w:w="810" w:type="dxa"/>
            <w:hideMark/>
          </w:tcPr>
          <w:p w14:paraId="0EBF2B11" w14:textId="77777777" w:rsidR="000D4F98" w:rsidRPr="00D76910" w:rsidRDefault="000D4F98" w:rsidP="00A51250">
            <w:pPr>
              <w:pStyle w:val="NCDTableText"/>
              <w:jc w:val="center"/>
            </w:pPr>
            <w:r w:rsidRPr="00D76910">
              <w:t>—</w:t>
            </w:r>
          </w:p>
        </w:tc>
        <w:tc>
          <w:tcPr>
            <w:tcW w:w="586" w:type="dxa"/>
            <w:hideMark/>
          </w:tcPr>
          <w:p w14:paraId="56E3D56F" w14:textId="77777777" w:rsidR="000D4F98" w:rsidRPr="00D76910" w:rsidRDefault="000D4F98" w:rsidP="00A51250">
            <w:pPr>
              <w:pStyle w:val="NCDTableText"/>
              <w:jc w:val="center"/>
            </w:pPr>
            <w:r w:rsidRPr="00D76910">
              <w:t>—</w:t>
            </w:r>
          </w:p>
        </w:tc>
        <w:tc>
          <w:tcPr>
            <w:tcW w:w="825" w:type="dxa"/>
            <w:hideMark/>
          </w:tcPr>
          <w:p w14:paraId="7D7FEE3E" w14:textId="77777777" w:rsidR="000D4F98" w:rsidRPr="00D76910" w:rsidRDefault="000D4F98" w:rsidP="00A51250">
            <w:pPr>
              <w:pStyle w:val="NCDTableText"/>
              <w:jc w:val="center"/>
            </w:pPr>
            <w:r w:rsidRPr="00D76910">
              <w:t>Y</w:t>
            </w:r>
          </w:p>
        </w:tc>
        <w:tc>
          <w:tcPr>
            <w:tcW w:w="825" w:type="dxa"/>
            <w:hideMark/>
          </w:tcPr>
          <w:p w14:paraId="2FE3C872" w14:textId="77777777" w:rsidR="000D4F98" w:rsidRPr="00D76910" w:rsidRDefault="000D4F98" w:rsidP="00A51250">
            <w:pPr>
              <w:pStyle w:val="NCDTableText"/>
              <w:jc w:val="center"/>
            </w:pPr>
            <w:r w:rsidRPr="00D76910">
              <w:t>—</w:t>
            </w:r>
          </w:p>
        </w:tc>
        <w:tc>
          <w:tcPr>
            <w:tcW w:w="825" w:type="dxa"/>
            <w:hideMark/>
          </w:tcPr>
          <w:p w14:paraId="508D83EC" w14:textId="77777777" w:rsidR="000D4F98" w:rsidRPr="00D76910" w:rsidRDefault="000D4F98" w:rsidP="00A51250">
            <w:pPr>
              <w:pStyle w:val="NCDTableText"/>
              <w:jc w:val="center"/>
            </w:pPr>
            <w:r w:rsidRPr="00D76910">
              <w:t>Y</w:t>
            </w:r>
          </w:p>
        </w:tc>
        <w:tc>
          <w:tcPr>
            <w:tcW w:w="905" w:type="dxa"/>
            <w:hideMark/>
          </w:tcPr>
          <w:p w14:paraId="600ACBA6" w14:textId="77777777" w:rsidR="000D4F98" w:rsidRPr="00D76910" w:rsidRDefault="000D4F98" w:rsidP="00A51250">
            <w:pPr>
              <w:pStyle w:val="NCDTableText"/>
              <w:jc w:val="center"/>
            </w:pPr>
            <w:r w:rsidRPr="00D76910">
              <w:t>Y</w:t>
            </w:r>
          </w:p>
        </w:tc>
        <w:tc>
          <w:tcPr>
            <w:tcW w:w="987" w:type="dxa"/>
            <w:hideMark/>
          </w:tcPr>
          <w:p w14:paraId="1933941F" w14:textId="77777777" w:rsidR="000D4F98" w:rsidRPr="00D76910" w:rsidRDefault="000D4F98" w:rsidP="00A51250">
            <w:pPr>
              <w:pStyle w:val="NCDTableText"/>
              <w:jc w:val="center"/>
            </w:pPr>
            <w:r w:rsidRPr="00D76910">
              <w:t>—</w:t>
            </w:r>
          </w:p>
        </w:tc>
        <w:tc>
          <w:tcPr>
            <w:tcW w:w="717" w:type="dxa"/>
            <w:hideMark/>
          </w:tcPr>
          <w:p w14:paraId="6AC6238E" w14:textId="77777777" w:rsidR="000D4F98" w:rsidRPr="00D76910" w:rsidRDefault="000D4F98" w:rsidP="00A51250">
            <w:pPr>
              <w:pStyle w:val="NCDTableText"/>
              <w:jc w:val="center"/>
            </w:pPr>
            <w:r w:rsidRPr="00D76910">
              <w:t>—</w:t>
            </w:r>
          </w:p>
        </w:tc>
      </w:tr>
      <w:tr w:rsidR="00D76910" w:rsidRPr="00D76910" w14:paraId="1B43E8EA" w14:textId="77777777" w:rsidTr="00D76910">
        <w:trPr>
          <w:trHeight w:val="314"/>
          <w:jc w:val="center"/>
        </w:trPr>
        <w:tc>
          <w:tcPr>
            <w:tcW w:w="898" w:type="dxa"/>
            <w:hideMark/>
          </w:tcPr>
          <w:p w14:paraId="43A34A65" w14:textId="77777777" w:rsidR="000D4F98" w:rsidRPr="00D76910" w:rsidRDefault="000D4F98" w:rsidP="00D76910">
            <w:pPr>
              <w:pStyle w:val="NCDTableText"/>
            </w:pPr>
            <w:r w:rsidRPr="00D76910">
              <w:t xml:space="preserve">ME </w:t>
            </w:r>
          </w:p>
        </w:tc>
        <w:tc>
          <w:tcPr>
            <w:tcW w:w="904" w:type="dxa"/>
            <w:hideMark/>
          </w:tcPr>
          <w:p w14:paraId="6A69D59D" w14:textId="77777777" w:rsidR="000D4F98" w:rsidRPr="00D76910" w:rsidRDefault="000D4F98" w:rsidP="00A51250">
            <w:pPr>
              <w:pStyle w:val="NCDTableText"/>
              <w:jc w:val="center"/>
            </w:pPr>
            <w:r w:rsidRPr="00D76910">
              <w:t>N</w:t>
            </w:r>
          </w:p>
        </w:tc>
        <w:tc>
          <w:tcPr>
            <w:tcW w:w="1078" w:type="dxa"/>
            <w:hideMark/>
          </w:tcPr>
          <w:p w14:paraId="7934C877" w14:textId="77777777" w:rsidR="000D4F98" w:rsidRPr="00D76910" w:rsidRDefault="000D4F98" w:rsidP="00A51250">
            <w:pPr>
              <w:pStyle w:val="NCDTableText"/>
              <w:jc w:val="center"/>
            </w:pPr>
            <w:r w:rsidRPr="00D76910">
              <w:t>—</w:t>
            </w:r>
          </w:p>
        </w:tc>
        <w:tc>
          <w:tcPr>
            <w:tcW w:w="810" w:type="dxa"/>
            <w:hideMark/>
          </w:tcPr>
          <w:p w14:paraId="78FB74AA" w14:textId="77777777" w:rsidR="000D4F98" w:rsidRPr="00D76910" w:rsidRDefault="000D4F98" w:rsidP="00A51250">
            <w:pPr>
              <w:pStyle w:val="NCDTableText"/>
              <w:jc w:val="center"/>
            </w:pPr>
            <w:r w:rsidRPr="00D76910">
              <w:t>—</w:t>
            </w:r>
          </w:p>
        </w:tc>
        <w:tc>
          <w:tcPr>
            <w:tcW w:w="586" w:type="dxa"/>
            <w:hideMark/>
          </w:tcPr>
          <w:p w14:paraId="61B78C20" w14:textId="77777777" w:rsidR="000D4F98" w:rsidRPr="00D76910" w:rsidRDefault="000D4F98" w:rsidP="00A51250">
            <w:pPr>
              <w:pStyle w:val="NCDTableText"/>
              <w:jc w:val="center"/>
            </w:pPr>
            <w:r w:rsidRPr="00D76910">
              <w:t>—</w:t>
            </w:r>
          </w:p>
        </w:tc>
        <w:tc>
          <w:tcPr>
            <w:tcW w:w="825" w:type="dxa"/>
            <w:hideMark/>
          </w:tcPr>
          <w:p w14:paraId="598796E4" w14:textId="77777777" w:rsidR="000D4F98" w:rsidRPr="00D76910" w:rsidRDefault="000D4F98" w:rsidP="00A51250">
            <w:pPr>
              <w:pStyle w:val="NCDTableText"/>
              <w:jc w:val="center"/>
            </w:pPr>
            <w:r w:rsidRPr="00D76910">
              <w:t>—</w:t>
            </w:r>
          </w:p>
        </w:tc>
        <w:tc>
          <w:tcPr>
            <w:tcW w:w="825" w:type="dxa"/>
            <w:hideMark/>
          </w:tcPr>
          <w:p w14:paraId="41B49EEA" w14:textId="77777777" w:rsidR="000D4F98" w:rsidRPr="00D76910" w:rsidRDefault="000D4F98" w:rsidP="00A51250">
            <w:pPr>
              <w:pStyle w:val="NCDTableText"/>
              <w:jc w:val="center"/>
            </w:pPr>
            <w:r w:rsidRPr="00D76910">
              <w:t>—</w:t>
            </w:r>
          </w:p>
        </w:tc>
        <w:tc>
          <w:tcPr>
            <w:tcW w:w="825" w:type="dxa"/>
            <w:hideMark/>
          </w:tcPr>
          <w:p w14:paraId="49415B09" w14:textId="77777777" w:rsidR="000D4F98" w:rsidRPr="00D76910" w:rsidRDefault="000D4F98" w:rsidP="00A51250">
            <w:pPr>
              <w:pStyle w:val="NCDTableText"/>
              <w:jc w:val="center"/>
            </w:pPr>
            <w:r w:rsidRPr="00D76910">
              <w:t>—</w:t>
            </w:r>
          </w:p>
        </w:tc>
        <w:tc>
          <w:tcPr>
            <w:tcW w:w="905" w:type="dxa"/>
            <w:hideMark/>
          </w:tcPr>
          <w:p w14:paraId="6B4E54EA" w14:textId="77777777" w:rsidR="000D4F98" w:rsidRPr="00D76910" w:rsidRDefault="000D4F98" w:rsidP="00A51250">
            <w:pPr>
              <w:pStyle w:val="NCDTableText"/>
              <w:jc w:val="center"/>
            </w:pPr>
            <w:r w:rsidRPr="00D76910">
              <w:t>—</w:t>
            </w:r>
          </w:p>
        </w:tc>
        <w:tc>
          <w:tcPr>
            <w:tcW w:w="987" w:type="dxa"/>
            <w:hideMark/>
          </w:tcPr>
          <w:p w14:paraId="371C7D62" w14:textId="77777777" w:rsidR="000D4F98" w:rsidRPr="00D76910" w:rsidRDefault="000D4F98" w:rsidP="00A51250">
            <w:pPr>
              <w:pStyle w:val="NCDTableText"/>
              <w:jc w:val="center"/>
            </w:pPr>
            <w:r w:rsidRPr="00D76910">
              <w:t>—</w:t>
            </w:r>
          </w:p>
        </w:tc>
        <w:tc>
          <w:tcPr>
            <w:tcW w:w="717" w:type="dxa"/>
            <w:hideMark/>
          </w:tcPr>
          <w:p w14:paraId="5B02F37D" w14:textId="77777777" w:rsidR="000D4F98" w:rsidRPr="00D76910" w:rsidRDefault="000D4F98" w:rsidP="00A51250">
            <w:pPr>
              <w:pStyle w:val="NCDTableText"/>
              <w:jc w:val="center"/>
            </w:pPr>
            <w:r w:rsidRPr="00D76910">
              <w:t>—</w:t>
            </w:r>
          </w:p>
        </w:tc>
      </w:tr>
      <w:tr w:rsidR="00D76910" w:rsidRPr="00D76910" w14:paraId="4B55DBF4" w14:textId="77777777" w:rsidTr="00D76910">
        <w:trPr>
          <w:trHeight w:val="314"/>
          <w:jc w:val="center"/>
        </w:trPr>
        <w:tc>
          <w:tcPr>
            <w:tcW w:w="898" w:type="dxa"/>
            <w:hideMark/>
          </w:tcPr>
          <w:p w14:paraId="174B1F12" w14:textId="77777777" w:rsidR="000D4F98" w:rsidRPr="00D76910" w:rsidRDefault="000D4F98" w:rsidP="00D76910">
            <w:pPr>
              <w:pStyle w:val="NCDTableText"/>
            </w:pPr>
            <w:r w:rsidRPr="00D76910">
              <w:t>MD</w:t>
            </w:r>
          </w:p>
        </w:tc>
        <w:tc>
          <w:tcPr>
            <w:tcW w:w="904" w:type="dxa"/>
            <w:hideMark/>
          </w:tcPr>
          <w:p w14:paraId="37F3A2A6" w14:textId="77777777" w:rsidR="000D4F98" w:rsidRPr="00D76910" w:rsidRDefault="000D4F98" w:rsidP="00A51250">
            <w:pPr>
              <w:pStyle w:val="NCDTableText"/>
              <w:jc w:val="center"/>
            </w:pPr>
            <w:r w:rsidRPr="00D76910">
              <w:t>Y</w:t>
            </w:r>
          </w:p>
        </w:tc>
        <w:tc>
          <w:tcPr>
            <w:tcW w:w="1078" w:type="dxa"/>
            <w:hideMark/>
          </w:tcPr>
          <w:p w14:paraId="18B37B1F" w14:textId="77777777" w:rsidR="000D4F98" w:rsidRPr="00D76910" w:rsidRDefault="000D4F98" w:rsidP="00A51250">
            <w:pPr>
              <w:pStyle w:val="NCDTableText"/>
              <w:jc w:val="center"/>
            </w:pPr>
            <w:r w:rsidRPr="00D76910">
              <w:t>—</w:t>
            </w:r>
          </w:p>
        </w:tc>
        <w:tc>
          <w:tcPr>
            <w:tcW w:w="810" w:type="dxa"/>
            <w:hideMark/>
          </w:tcPr>
          <w:p w14:paraId="38870C4F" w14:textId="77777777" w:rsidR="000D4F98" w:rsidRPr="00D76910" w:rsidRDefault="000D4F98" w:rsidP="00A51250">
            <w:pPr>
              <w:pStyle w:val="NCDTableText"/>
              <w:jc w:val="center"/>
            </w:pPr>
            <w:r w:rsidRPr="00D76910">
              <w:t>—</w:t>
            </w:r>
          </w:p>
        </w:tc>
        <w:tc>
          <w:tcPr>
            <w:tcW w:w="586" w:type="dxa"/>
            <w:hideMark/>
          </w:tcPr>
          <w:p w14:paraId="2FF00772" w14:textId="77777777" w:rsidR="000D4F98" w:rsidRPr="00D76910" w:rsidRDefault="000D4F98" w:rsidP="00A51250">
            <w:pPr>
              <w:pStyle w:val="NCDTableText"/>
              <w:jc w:val="center"/>
            </w:pPr>
            <w:r w:rsidRPr="00D76910">
              <w:t>Y</w:t>
            </w:r>
          </w:p>
        </w:tc>
        <w:tc>
          <w:tcPr>
            <w:tcW w:w="825" w:type="dxa"/>
            <w:hideMark/>
          </w:tcPr>
          <w:p w14:paraId="265A649A" w14:textId="77777777" w:rsidR="000D4F98" w:rsidRPr="00D76910" w:rsidRDefault="000D4F98" w:rsidP="00A51250">
            <w:pPr>
              <w:pStyle w:val="NCDTableText"/>
              <w:jc w:val="center"/>
            </w:pPr>
            <w:r w:rsidRPr="00D76910">
              <w:t>Y</w:t>
            </w:r>
          </w:p>
        </w:tc>
        <w:tc>
          <w:tcPr>
            <w:tcW w:w="825" w:type="dxa"/>
            <w:hideMark/>
          </w:tcPr>
          <w:p w14:paraId="74D226A8" w14:textId="77777777" w:rsidR="000D4F98" w:rsidRPr="00D76910" w:rsidRDefault="000D4F98" w:rsidP="00A51250">
            <w:pPr>
              <w:pStyle w:val="NCDTableText"/>
              <w:jc w:val="center"/>
            </w:pPr>
            <w:r w:rsidRPr="00D76910">
              <w:t>—</w:t>
            </w:r>
          </w:p>
        </w:tc>
        <w:tc>
          <w:tcPr>
            <w:tcW w:w="825" w:type="dxa"/>
            <w:hideMark/>
          </w:tcPr>
          <w:p w14:paraId="3D21FC82" w14:textId="77777777" w:rsidR="000D4F98" w:rsidRPr="00D76910" w:rsidRDefault="000D4F98" w:rsidP="00A51250">
            <w:pPr>
              <w:pStyle w:val="NCDTableText"/>
              <w:jc w:val="center"/>
            </w:pPr>
            <w:r w:rsidRPr="00D76910">
              <w:t>—</w:t>
            </w:r>
          </w:p>
        </w:tc>
        <w:tc>
          <w:tcPr>
            <w:tcW w:w="905" w:type="dxa"/>
            <w:hideMark/>
          </w:tcPr>
          <w:p w14:paraId="5BE0DC45" w14:textId="77777777" w:rsidR="000D4F98" w:rsidRPr="00D76910" w:rsidRDefault="000D4F98" w:rsidP="00A51250">
            <w:pPr>
              <w:pStyle w:val="NCDTableText"/>
              <w:jc w:val="center"/>
            </w:pPr>
            <w:r w:rsidRPr="00D76910">
              <w:t>—</w:t>
            </w:r>
          </w:p>
        </w:tc>
        <w:tc>
          <w:tcPr>
            <w:tcW w:w="987" w:type="dxa"/>
            <w:hideMark/>
          </w:tcPr>
          <w:p w14:paraId="5C6F2320" w14:textId="77777777" w:rsidR="000D4F98" w:rsidRPr="00D76910" w:rsidRDefault="000D4F98" w:rsidP="00A51250">
            <w:pPr>
              <w:pStyle w:val="NCDTableText"/>
              <w:jc w:val="center"/>
            </w:pPr>
            <w:r w:rsidRPr="00D76910">
              <w:t>—</w:t>
            </w:r>
          </w:p>
        </w:tc>
        <w:tc>
          <w:tcPr>
            <w:tcW w:w="717" w:type="dxa"/>
            <w:hideMark/>
          </w:tcPr>
          <w:p w14:paraId="2EA35738" w14:textId="77777777" w:rsidR="000D4F98" w:rsidRPr="00D76910" w:rsidRDefault="000D4F98" w:rsidP="00A51250">
            <w:pPr>
              <w:pStyle w:val="NCDTableText"/>
              <w:jc w:val="center"/>
            </w:pPr>
            <w:r w:rsidRPr="00D76910">
              <w:t>—</w:t>
            </w:r>
          </w:p>
        </w:tc>
      </w:tr>
      <w:tr w:rsidR="00D76910" w:rsidRPr="00D76910" w14:paraId="782E5381" w14:textId="77777777" w:rsidTr="00D76910">
        <w:trPr>
          <w:trHeight w:val="314"/>
          <w:jc w:val="center"/>
        </w:trPr>
        <w:tc>
          <w:tcPr>
            <w:tcW w:w="898" w:type="dxa"/>
            <w:hideMark/>
          </w:tcPr>
          <w:p w14:paraId="37E40CF6" w14:textId="77777777" w:rsidR="000D4F98" w:rsidRPr="00D76910" w:rsidRDefault="000D4F98" w:rsidP="00D76910">
            <w:pPr>
              <w:pStyle w:val="NCDTableText"/>
            </w:pPr>
            <w:r w:rsidRPr="00D76910">
              <w:t>MA</w:t>
            </w:r>
          </w:p>
        </w:tc>
        <w:tc>
          <w:tcPr>
            <w:tcW w:w="904" w:type="dxa"/>
            <w:hideMark/>
          </w:tcPr>
          <w:p w14:paraId="42D213BB" w14:textId="77777777" w:rsidR="000D4F98" w:rsidRPr="00D76910" w:rsidRDefault="000D4F98" w:rsidP="00A51250">
            <w:pPr>
              <w:pStyle w:val="NCDTableText"/>
              <w:jc w:val="center"/>
            </w:pPr>
            <w:r w:rsidRPr="00D76910">
              <w:t>N</w:t>
            </w:r>
          </w:p>
        </w:tc>
        <w:tc>
          <w:tcPr>
            <w:tcW w:w="1078" w:type="dxa"/>
            <w:hideMark/>
          </w:tcPr>
          <w:p w14:paraId="104BC906" w14:textId="77777777" w:rsidR="000D4F98" w:rsidRPr="00D76910" w:rsidRDefault="000D4F98" w:rsidP="00A51250">
            <w:pPr>
              <w:pStyle w:val="NCDTableText"/>
              <w:jc w:val="center"/>
            </w:pPr>
            <w:r w:rsidRPr="00D76910">
              <w:t>—</w:t>
            </w:r>
          </w:p>
        </w:tc>
        <w:tc>
          <w:tcPr>
            <w:tcW w:w="810" w:type="dxa"/>
            <w:hideMark/>
          </w:tcPr>
          <w:p w14:paraId="466BA7B9" w14:textId="77777777" w:rsidR="000D4F98" w:rsidRPr="00D76910" w:rsidRDefault="000D4F98" w:rsidP="00A51250">
            <w:pPr>
              <w:pStyle w:val="NCDTableText"/>
              <w:jc w:val="center"/>
            </w:pPr>
            <w:r w:rsidRPr="00D76910">
              <w:t>—</w:t>
            </w:r>
          </w:p>
        </w:tc>
        <w:tc>
          <w:tcPr>
            <w:tcW w:w="586" w:type="dxa"/>
            <w:hideMark/>
          </w:tcPr>
          <w:p w14:paraId="2B0E350E" w14:textId="77777777" w:rsidR="000D4F98" w:rsidRPr="00D76910" w:rsidRDefault="000D4F98" w:rsidP="00A51250">
            <w:pPr>
              <w:pStyle w:val="NCDTableText"/>
              <w:jc w:val="center"/>
            </w:pPr>
            <w:r w:rsidRPr="00D76910">
              <w:t>—</w:t>
            </w:r>
          </w:p>
        </w:tc>
        <w:tc>
          <w:tcPr>
            <w:tcW w:w="825" w:type="dxa"/>
            <w:hideMark/>
          </w:tcPr>
          <w:p w14:paraId="5B16338D" w14:textId="77777777" w:rsidR="000D4F98" w:rsidRPr="00D76910" w:rsidRDefault="000D4F98" w:rsidP="00A51250">
            <w:pPr>
              <w:pStyle w:val="NCDTableText"/>
              <w:jc w:val="center"/>
            </w:pPr>
            <w:r w:rsidRPr="00D76910">
              <w:t>—</w:t>
            </w:r>
          </w:p>
        </w:tc>
        <w:tc>
          <w:tcPr>
            <w:tcW w:w="825" w:type="dxa"/>
            <w:hideMark/>
          </w:tcPr>
          <w:p w14:paraId="7DC47D6A" w14:textId="77777777" w:rsidR="000D4F98" w:rsidRPr="00D76910" w:rsidRDefault="000D4F98" w:rsidP="00A51250">
            <w:pPr>
              <w:pStyle w:val="NCDTableText"/>
              <w:jc w:val="center"/>
            </w:pPr>
            <w:r w:rsidRPr="00D76910">
              <w:t>—</w:t>
            </w:r>
          </w:p>
        </w:tc>
        <w:tc>
          <w:tcPr>
            <w:tcW w:w="825" w:type="dxa"/>
            <w:hideMark/>
          </w:tcPr>
          <w:p w14:paraId="760C3980" w14:textId="77777777" w:rsidR="000D4F98" w:rsidRPr="00D76910" w:rsidRDefault="000D4F98" w:rsidP="00A51250">
            <w:pPr>
              <w:pStyle w:val="NCDTableText"/>
              <w:jc w:val="center"/>
            </w:pPr>
            <w:r w:rsidRPr="00D76910">
              <w:t>—</w:t>
            </w:r>
          </w:p>
        </w:tc>
        <w:tc>
          <w:tcPr>
            <w:tcW w:w="905" w:type="dxa"/>
            <w:hideMark/>
          </w:tcPr>
          <w:p w14:paraId="4E06D637" w14:textId="77777777" w:rsidR="000D4F98" w:rsidRPr="00D76910" w:rsidRDefault="000D4F98" w:rsidP="00A51250">
            <w:pPr>
              <w:pStyle w:val="NCDTableText"/>
              <w:jc w:val="center"/>
            </w:pPr>
            <w:r w:rsidRPr="00D76910">
              <w:t>—</w:t>
            </w:r>
          </w:p>
        </w:tc>
        <w:tc>
          <w:tcPr>
            <w:tcW w:w="987" w:type="dxa"/>
            <w:hideMark/>
          </w:tcPr>
          <w:p w14:paraId="7754D96A" w14:textId="77777777" w:rsidR="000D4F98" w:rsidRPr="00D76910" w:rsidRDefault="000D4F98" w:rsidP="00A51250">
            <w:pPr>
              <w:pStyle w:val="NCDTableText"/>
              <w:jc w:val="center"/>
            </w:pPr>
            <w:r w:rsidRPr="00D76910">
              <w:t>—</w:t>
            </w:r>
          </w:p>
        </w:tc>
        <w:tc>
          <w:tcPr>
            <w:tcW w:w="717" w:type="dxa"/>
            <w:hideMark/>
          </w:tcPr>
          <w:p w14:paraId="0D25A4C2" w14:textId="77777777" w:rsidR="000D4F98" w:rsidRPr="00D76910" w:rsidRDefault="000D4F98" w:rsidP="00A51250">
            <w:pPr>
              <w:pStyle w:val="NCDTableText"/>
              <w:jc w:val="center"/>
            </w:pPr>
            <w:r w:rsidRPr="00D76910">
              <w:t>—</w:t>
            </w:r>
          </w:p>
        </w:tc>
      </w:tr>
      <w:tr w:rsidR="00D76910" w:rsidRPr="00D76910" w14:paraId="38E877AF" w14:textId="77777777" w:rsidTr="00D76910">
        <w:trPr>
          <w:trHeight w:val="314"/>
          <w:jc w:val="center"/>
        </w:trPr>
        <w:tc>
          <w:tcPr>
            <w:tcW w:w="898" w:type="dxa"/>
            <w:hideMark/>
          </w:tcPr>
          <w:p w14:paraId="24468270" w14:textId="77777777" w:rsidR="000D4F98" w:rsidRPr="00D76910" w:rsidRDefault="000D4F98" w:rsidP="00D76910">
            <w:pPr>
              <w:pStyle w:val="NCDTableText"/>
            </w:pPr>
            <w:r w:rsidRPr="00D76910">
              <w:t>MI</w:t>
            </w:r>
          </w:p>
        </w:tc>
        <w:tc>
          <w:tcPr>
            <w:tcW w:w="904" w:type="dxa"/>
            <w:hideMark/>
          </w:tcPr>
          <w:p w14:paraId="4006BEDB" w14:textId="77777777" w:rsidR="000D4F98" w:rsidRPr="00D76910" w:rsidRDefault="000D4F98" w:rsidP="00A51250">
            <w:pPr>
              <w:pStyle w:val="NCDTableText"/>
              <w:jc w:val="center"/>
            </w:pPr>
            <w:r w:rsidRPr="00D76910">
              <w:t>N</w:t>
            </w:r>
          </w:p>
        </w:tc>
        <w:tc>
          <w:tcPr>
            <w:tcW w:w="1078" w:type="dxa"/>
            <w:hideMark/>
          </w:tcPr>
          <w:p w14:paraId="5DD4ABED" w14:textId="77777777" w:rsidR="000D4F98" w:rsidRPr="00D76910" w:rsidRDefault="000D4F98" w:rsidP="00A51250">
            <w:pPr>
              <w:pStyle w:val="NCDTableText"/>
              <w:jc w:val="center"/>
            </w:pPr>
            <w:r w:rsidRPr="00D76910">
              <w:t>—</w:t>
            </w:r>
          </w:p>
        </w:tc>
        <w:tc>
          <w:tcPr>
            <w:tcW w:w="810" w:type="dxa"/>
            <w:hideMark/>
          </w:tcPr>
          <w:p w14:paraId="42D4912B" w14:textId="77777777" w:rsidR="000D4F98" w:rsidRPr="00D76910" w:rsidRDefault="000D4F98" w:rsidP="00A51250">
            <w:pPr>
              <w:pStyle w:val="NCDTableText"/>
              <w:jc w:val="center"/>
            </w:pPr>
            <w:r w:rsidRPr="00D76910">
              <w:t>—</w:t>
            </w:r>
          </w:p>
        </w:tc>
        <w:tc>
          <w:tcPr>
            <w:tcW w:w="586" w:type="dxa"/>
            <w:hideMark/>
          </w:tcPr>
          <w:p w14:paraId="6FD1F1F0" w14:textId="77777777" w:rsidR="000D4F98" w:rsidRPr="00D76910" w:rsidRDefault="000D4F98" w:rsidP="00A51250">
            <w:pPr>
              <w:pStyle w:val="NCDTableText"/>
              <w:jc w:val="center"/>
            </w:pPr>
            <w:r w:rsidRPr="00D76910">
              <w:t>—</w:t>
            </w:r>
          </w:p>
        </w:tc>
        <w:tc>
          <w:tcPr>
            <w:tcW w:w="825" w:type="dxa"/>
            <w:hideMark/>
          </w:tcPr>
          <w:p w14:paraId="643B83CA" w14:textId="77777777" w:rsidR="000D4F98" w:rsidRPr="00D76910" w:rsidRDefault="000D4F98" w:rsidP="00A51250">
            <w:pPr>
              <w:pStyle w:val="NCDTableText"/>
              <w:jc w:val="center"/>
            </w:pPr>
            <w:r w:rsidRPr="00D76910">
              <w:t>—</w:t>
            </w:r>
          </w:p>
        </w:tc>
        <w:tc>
          <w:tcPr>
            <w:tcW w:w="825" w:type="dxa"/>
            <w:hideMark/>
          </w:tcPr>
          <w:p w14:paraId="5A3BC31C" w14:textId="77777777" w:rsidR="000D4F98" w:rsidRPr="00D76910" w:rsidRDefault="000D4F98" w:rsidP="00A51250">
            <w:pPr>
              <w:pStyle w:val="NCDTableText"/>
              <w:jc w:val="center"/>
            </w:pPr>
            <w:r w:rsidRPr="00D76910">
              <w:t>—</w:t>
            </w:r>
          </w:p>
        </w:tc>
        <w:tc>
          <w:tcPr>
            <w:tcW w:w="825" w:type="dxa"/>
            <w:hideMark/>
          </w:tcPr>
          <w:p w14:paraId="41B8E423" w14:textId="77777777" w:rsidR="000D4F98" w:rsidRPr="00D76910" w:rsidRDefault="000D4F98" w:rsidP="00A51250">
            <w:pPr>
              <w:pStyle w:val="NCDTableText"/>
              <w:jc w:val="center"/>
            </w:pPr>
            <w:r w:rsidRPr="00D76910">
              <w:t>—</w:t>
            </w:r>
          </w:p>
        </w:tc>
        <w:tc>
          <w:tcPr>
            <w:tcW w:w="905" w:type="dxa"/>
            <w:hideMark/>
          </w:tcPr>
          <w:p w14:paraId="6D14D9D2" w14:textId="77777777" w:rsidR="000D4F98" w:rsidRPr="00D76910" w:rsidRDefault="000D4F98" w:rsidP="00A51250">
            <w:pPr>
              <w:pStyle w:val="NCDTableText"/>
              <w:jc w:val="center"/>
            </w:pPr>
            <w:r w:rsidRPr="00D76910">
              <w:t>—</w:t>
            </w:r>
          </w:p>
        </w:tc>
        <w:tc>
          <w:tcPr>
            <w:tcW w:w="987" w:type="dxa"/>
            <w:hideMark/>
          </w:tcPr>
          <w:p w14:paraId="53F53597" w14:textId="77777777" w:rsidR="000D4F98" w:rsidRPr="00D76910" w:rsidRDefault="000D4F98" w:rsidP="00A51250">
            <w:pPr>
              <w:pStyle w:val="NCDTableText"/>
              <w:jc w:val="center"/>
            </w:pPr>
            <w:r w:rsidRPr="00D76910">
              <w:t>—</w:t>
            </w:r>
          </w:p>
        </w:tc>
        <w:tc>
          <w:tcPr>
            <w:tcW w:w="717" w:type="dxa"/>
            <w:hideMark/>
          </w:tcPr>
          <w:p w14:paraId="0115B5B4" w14:textId="77777777" w:rsidR="000D4F98" w:rsidRPr="00D76910" w:rsidRDefault="000D4F98" w:rsidP="00A51250">
            <w:pPr>
              <w:pStyle w:val="NCDTableText"/>
              <w:jc w:val="center"/>
            </w:pPr>
            <w:r w:rsidRPr="00D76910">
              <w:t>—</w:t>
            </w:r>
          </w:p>
        </w:tc>
      </w:tr>
      <w:tr w:rsidR="00D76910" w:rsidRPr="00D76910" w14:paraId="543CB6DB" w14:textId="77777777" w:rsidTr="00D76910">
        <w:trPr>
          <w:trHeight w:val="314"/>
          <w:jc w:val="center"/>
        </w:trPr>
        <w:tc>
          <w:tcPr>
            <w:tcW w:w="898" w:type="dxa"/>
            <w:hideMark/>
          </w:tcPr>
          <w:p w14:paraId="49443E61" w14:textId="77777777" w:rsidR="000D4F98" w:rsidRPr="00D76910" w:rsidRDefault="000D4F98" w:rsidP="00D76910">
            <w:pPr>
              <w:pStyle w:val="NCDTableText"/>
            </w:pPr>
            <w:r w:rsidRPr="00D76910">
              <w:t xml:space="preserve">MN </w:t>
            </w:r>
          </w:p>
        </w:tc>
        <w:tc>
          <w:tcPr>
            <w:tcW w:w="904" w:type="dxa"/>
            <w:hideMark/>
          </w:tcPr>
          <w:p w14:paraId="5A19F151" w14:textId="77777777" w:rsidR="000D4F98" w:rsidRPr="00D76910" w:rsidRDefault="000D4F98" w:rsidP="00A51250">
            <w:pPr>
              <w:pStyle w:val="NCDTableText"/>
              <w:jc w:val="center"/>
            </w:pPr>
            <w:r w:rsidRPr="00D76910">
              <w:t>N</w:t>
            </w:r>
          </w:p>
        </w:tc>
        <w:tc>
          <w:tcPr>
            <w:tcW w:w="1078" w:type="dxa"/>
            <w:hideMark/>
          </w:tcPr>
          <w:p w14:paraId="304BA7B7" w14:textId="77777777" w:rsidR="000D4F98" w:rsidRPr="00D76910" w:rsidRDefault="000D4F98" w:rsidP="00A51250">
            <w:pPr>
              <w:pStyle w:val="NCDTableText"/>
              <w:jc w:val="center"/>
            </w:pPr>
            <w:r w:rsidRPr="00D76910">
              <w:t>—</w:t>
            </w:r>
          </w:p>
        </w:tc>
        <w:tc>
          <w:tcPr>
            <w:tcW w:w="810" w:type="dxa"/>
            <w:hideMark/>
          </w:tcPr>
          <w:p w14:paraId="616DD18C" w14:textId="77777777" w:rsidR="000D4F98" w:rsidRPr="00D76910" w:rsidRDefault="000D4F98" w:rsidP="00A51250">
            <w:pPr>
              <w:pStyle w:val="NCDTableText"/>
              <w:jc w:val="center"/>
            </w:pPr>
            <w:r w:rsidRPr="00D76910">
              <w:t>—</w:t>
            </w:r>
          </w:p>
        </w:tc>
        <w:tc>
          <w:tcPr>
            <w:tcW w:w="586" w:type="dxa"/>
            <w:hideMark/>
          </w:tcPr>
          <w:p w14:paraId="4D0CDF4B" w14:textId="77777777" w:rsidR="000D4F98" w:rsidRPr="00D76910" w:rsidRDefault="000D4F98" w:rsidP="00A51250">
            <w:pPr>
              <w:pStyle w:val="NCDTableText"/>
              <w:jc w:val="center"/>
            </w:pPr>
            <w:r w:rsidRPr="00D76910">
              <w:t>—</w:t>
            </w:r>
          </w:p>
        </w:tc>
        <w:tc>
          <w:tcPr>
            <w:tcW w:w="825" w:type="dxa"/>
            <w:hideMark/>
          </w:tcPr>
          <w:p w14:paraId="01DF2E9F" w14:textId="77777777" w:rsidR="000D4F98" w:rsidRPr="00D76910" w:rsidRDefault="000D4F98" w:rsidP="00A51250">
            <w:pPr>
              <w:pStyle w:val="NCDTableText"/>
              <w:jc w:val="center"/>
            </w:pPr>
            <w:r w:rsidRPr="00D76910">
              <w:t>—</w:t>
            </w:r>
          </w:p>
        </w:tc>
        <w:tc>
          <w:tcPr>
            <w:tcW w:w="825" w:type="dxa"/>
            <w:hideMark/>
          </w:tcPr>
          <w:p w14:paraId="6A0C2C3A" w14:textId="77777777" w:rsidR="000D4F98" w:rsidRPr="00D76910" w:rsidRDefault="000D4F98" w:rsidP="00A51250">
            <w:pPr>
              <w:pStyle w:val="NCDTableText"/>
              <w:jc w:val="center"/>
            </w:pPr>
            <w:r w:rsidRPr="00D76910">
              <w:t>—</w:t>
            </w:r>
          </w:p>
        </w:tc>
        <w:tc>
          <w:tcPr>
            <w:tcW w:w="825" w:type="dxa"/>
            <w:hideMark/>
          </w:tcPr>
          <w:p w14:paraId="70099C30" w14:textId="77777777" w:rsidR="000D4F98" w:rsidRPr="00D76910" w:rsidRDefault="000D4F98" w:rsidP="00A51250">
            <w:pPr>
              <w:pStyle w:val="NCDTableText"/>
              <w:jc w:val="center"/>
            </w:pPr>
            <w:r w:rsidRPr="00D76910">
              <w:t>—</w:t>
            </w:r>
          </w:p>
        </w:tc>
        <w:tc>
          <w:tcPr>
            <w:tcW w:w="905" w:type="dxa"/>
            <w:hideMark/>
          </w:tcPr>
          <w:p w14:paraId="3BB9DC97" w14:textId="77777777" w:rsidR="000D4F98" w:rsidRPr="00D76910" w:rsidRDefault="000D4F98" w:rsidP="00A51250">
            <w:pPr>
              <w:pStyle w:val="NCDTableText"/>
              <w:jc w:val="center"/>
            </w:pPr>
            <w:r w:rsidRPr="00D76910">
              <w:t>—</w:t>
            </w:r>
          </w:p>
        </w:tc>
        <w:tc>
          <w:tcPr>
            <w:tcW w:w="987" w:type="dxa"/>
            <w:hideMark/>
          </w:tcPr>
          <w:p w14:paraId="64507022" w14:textId="77777777" w:rsidR="000D4F98" w:rsidRPr="00D76910" w:rsidRDefault="000D4F98" w:rsidP="00A51250">
            <w:pPr>
              <w:pStyle w:val="NCDTableText"/>
              <w:jc w:val="center"/>
            </w:pPr>
            <w:r w:rsidRPr="00D76910">
              <w:t>—</w:t>
            </w:r>
          </w:p>
        </w:tc>
        <w:tc>
          <w:tcPr>
            <w:tcW w:w="717" w:type="dxa"/>
            <w:hideMark/>
          </w:tcPr>
          <w:p w14:paraId="7CEABC0A" w14:textId="77777777" w:rsidR="000D4F98" w:rsidRPr="00D76910" w:rsidRDefault="000D4F98" w:rsidP="00A51250">
            <w:pPr>
              <w:pStyle w:val="NCDTableText"/>
              <w:jc w:val="center"/>
            </w:pPr>
            <w:r w:rsidRPr="00D76910">
              <w:t>—</w:t>
            </w:r>
          </w:p>
        </w:tc>
      </w:tr>
      <w:tr w:rsidR="00D76910" w:rsidRPr="00D76910" w14:paraId="019F1111" w14:textId="77777777" w:rsidTr="00D76910">
        <w:trPr>
          <w:trHeight w:val="314"/>
          <w:jc w:val="center"/>
        </w:trPr>
        <w:tc>
          <w:tcPr>
            <w:tcW w:w="898" w:type="dxa"/>
            <w:hideMark/>
          </w:tcPr>
          <w:p w14:paraId="383FC6B3" w14:textId="77777777" w:rsidR="000D4F98" w:rsidRPr="00D76910" w:rsidRDefault="000D4F98" w:rsidP="00D76910">
            <w:pPr>
              <w:pStyle w:val="NCDTableText"/>
            </w:pPr>
            <w:r w:rsidRPr="00D76910">
              <w:t>MS</w:t>
            </w:r>
          </w:p>
        </w:tc>
        <w:tc>
          <w:tcPr>
            <w:tcW w:w="904" w:type="dxa"/>
            <w:hideMark/>
          </w:tcPr>
          <w:p w14:paraId="01B6A463" w14:textId="77777777" w:rsidR="000D4F98" w:rsidRPr="00D76910" w:rsidRDefault="000D4F98" w:rsidP="00A51250">
            <w:pPr>
              <w:pStyle w:val="NCDTableText"/>
              <w:jc w:val="center"/>
            </w:pPr>
            <w:r w:rsidRPr="00D76910">
              <w:t>N</w:t>
            </w:r>
          </w:p>
        </w:tc>
        <w:tc>
          <w:tcPr>
            <w:tcW w:w="1078" w:type="dxa"/>
            <w:hideMark/>
          </w:tcPr>
          <w:p w14:paraId="56CD17E5" w14:textId="77777777" w:rsidR="000D4F98" w:rsidRPr="00D76910" w:rsidRDefault="000D4F98" w:rsidP="00A51250">
            <w:pPr>
              <w:pStyle w:val="NCDTableText"/>
              <w:jc w:val="center"/>
            </w:pPr>
            <w:r w:rsidRPr="00D76910">
              <w:t>—</w:t>
            </w:r>
          </w:p>
        </w:tc>
        <w:tc>
          <w:tcPr>
            <w:tcW w:w="810" w:type="dxa"/>
            <w:hideMark/>
          </w:tcPr>
          <w:p w14:paraId="151A934C" w14:textId="77777777" w:rsidR="000D4F98" w:rsidRPr="00D76910" w:rsidRDefault="000D4F98" w:rsidP="00A51250">
            <w:pPr>
              <w:pStyle w:val="NCDTableText"/>
              <w:jc w:val="center"/>
            </w:pPr>
            <w:r w:rsidRPr="00D76910">
              <w:t>—</w:t>
            </w:r>
          </w:p>
        </w:tc>
        <w:tc>
          <w:tcPr>
            <w:tcW w:w="586" w:type="dxa"/>
            <w:hideMark/>
          </w:tcPr>
          <w:p w14:paraId="379192B1" w14:textId="77777777" w:rsidR="000D4F98" w:rsidRPr="00D76910" w:rsidRDefault="000D4F98" w:rsidP="00A51250">
            <w:pPr>
              <w:pStyle w:val="NCDTableText"/>
              <w:jc w:val="center"/>
            </w:pPr>
            <w:r w:rsidRPr="00D76910">
              <w:t>—</w:t>
            </w:r>
          </w:p>
        </w:tc>
        <w:tc>
          <w:tcPr>
            <w:tcW w:w="825" w:type="dxa"/>
            <w:hideMark/>
          </w:tcPr>
          <w:p w14:paraId="66B56019" w14:textId="77777777" w:rsidR="000D4F98" w:rsidRPr="00D76910" w:rsidRDefault="000D4F98" w:rsidP="00A51250">
            <w:pPr>
              <w:pStyle w:val="NCDTableText"/>
              <w:jc w:val="center"/>
            </w:pPr>
            <w:r w:rsidRPr="00D76910">
              <w:t>—</w:t>
            </w:r>
          </w:p>
        </w:tc>
        <w:tc>
          <w:tcPr>
            <w:tcW w:w="825" w:type="dxa"/>
            <w:hideMark/>
          </w:tcPr>
          <w:p w14:paraId="57348A14" w14:textId="77777777" w:rsidR="000D4F98" w:rsidRPr="00D76910" w:rsidRDefault="000D4F98" w:rsidP="00A51250">
            <w:pPr>
              <w:pStyle w:val="NCDTableText"/>
              <w:jc w:val="center"/>
            </w:pPr>
            <w:r w:rsidRPr="00D76910">
              <w:t>—</w:t>
            </w:r>
          </w:p>
        </w:tc>
        <w:tc>
          <w:tcPr>
            <w:tcW w:w="825" w:type="dxa"/>
            <w:hideMark/>
          </w:tcPr>
          <w:p w14:paraId="15A209CB" w14:textId="77777777" w:rsidR="000D4F98" w:rsidRPr="00D76910" w:rsidRDefault="000D4F98" w:rsidP="00A51250">
            <w:pPr>
              <w:pStyle w:val="NCDTableText"/>
              <w:jc w:val="center"/>
            </w:pPr>
            <w:r w:rsidRPr="00D76910">
              <w:t>—</w:t>
            </w:r>
          </w:p>
        </w:tc>
        <w:tc>
          <w:tcPr>
            <w:tcW w:w="905" w:type="dxa"/>
            <w:hideMark/>
          </w:tcPr>
          <w:p w14:paraId="045E7323" w14:textId="77777777" w:rsidR="000D4F98" w:rsidRPr="00D76910" w:rsidRDefault="000D4F98" w:rsidP="00A51250">
            <w:pPr>
              <w:pStyle w:val="NCDTableText"/>
              <w:jc w:val="center"/>
            </w:pPr>
            <w:r w:rsidRPr="00D76910">
              <w:t>—</w:t>
            </w:r>
          </w:p>
        </w:tc>
        <w:tc>
          <w:tcPr>
            <w:tcW w:w="987" w:type="dxa"/>
            <w:hideMark/>
          </w:tcPr>
          <w:p w14:paraId="3673B6A5" w14:textId="77777777" w:rsidR="000D4F98" w:rsidRPr="00D76910" w:rsidRDefault="000D4F98" w:rsidP="00A51250">
            <w:pPr>
              <w:pStyle w:val="NCDTableText"/>
              <w:jc w:val="center"/>
            </w:pPr>
            <w:r w:rsidRPr="00D76910">
              <w:t>—</w:t>
            </w:r>
          </w:p>
        </w:tc>
        <w:tc>
          <w:tcPr>
            <w:tcW w:w="717" w:type="dxa"/>
            <w:hideMark/>
          </w:tcPr>
          <w:p w14:paraId="1032A2DF" w14:textId="77777777" w:rsidR="000D4F98" w:rsidRPr="00D76910" w:rsidRDefault="000D4F98" w:rsidP="00A51250">
            <w:pPr>
              <w:pStyle w:val="NCDTableText"/>
              <w:jc w:val="center"/>
            </w:pPr>
            <w:r w:rsidRPr="00D76910">
              <w:t>—</w:t>
            </w:r>
          </w:p>
        </w:tc>
      </w:tr>
      <w:tr w:rsidR="00D76910" w:rsidRPr="00D76910" w14:paraId="471BE7FD" w14:textId="77777777" w:rsidTr="00D76910">
        <w:trPr>
          <w:trHeight w:val="314"/>
          <w:jc w:val="center"/>
        </w:trPr>
        <w:tc>
          <w:tcPr>
            <w:tcW w:w="898" w:type="dxa"/>
            <w:hideMark/>
          </w:tcPr>
          <w:p w14:paraId="4E5E7AAA" w14:textId="77777777" w:rsidR="000D4F98" w:rsidRPr="00D76910" w:rsidRDefault="000D4F98" w:rsidP="00D76910">
            <w:pPr>
              <w:pStyle w:val="NCDTableText"/>
            </w:pPr>
            <w:r w:rsidRPr="00D76910">
              <w:t>MO</w:t>
            </w:r>
          </w:p>
        </w:tc>
        <w:tc>
          <w:tcPr>
            <w:tcW w:w="904" w:type="dxa"/>
            <w:hideMark/>
          </w:tcPr>
          <w:p w14:paraId="19949C29" w14:textId="77777777" w:rsidR="000D4F98" w:rsidRPr="00D76910" w:rsidRDefault="000D4F98" w:rsidP="00A51250">
            <w:pPr>
              <w:pStyle w:val="NCDTableText"/>
              <w:jc w:val="center"/>
            </w:pPr>
            <w:r w:rsidRPr="00D76910">
              <w:t>Y</w:t>
            </w:r>
          </w:p>
        </w:tc>
        <w:tc>
          <w:tcPr>
            <w:tcW w:w="1078" w:type="dxa"/>
            <w:hideMark/>
          </w:tcPr>
          <w:p w14:paraId="75378C03" w14:textId="77777777" w:rsidR="000D4F98" w:rsidRPr="00D76910" w:rsidRDefault="000D4F98" w:rsidP="00A51250">
            <w:pPr>
              <w:pStyle w:val="NCDTableText"/>
              <w:jc w:val="center"/>
            </w:pPr>
            <w:r w:rsidRPr="00D76910">
              <w:t>—</w:t>
            </w:r>
          </w:p>
        </w:tc>
        <w:tc>
          <w:tcPr>
            <w:tcW w:w="810" w:type="dxa"/>
            <w:hideMark/>
          </w:tcPr>
          <w:p w14:paraId="6F0334FD" w14:textId="77777777" w:rsidR="000D4F98" w:rsidRPr="00D76910" w:rsidRDefault="000D4F98" w:rsidP="00A51250">
            <w:pPr>
              <w:pStyle w:val="NCDTableText"/>
              <w:jc w:val="center"/>
            </w:pPr>
            <w:r w:rsidRPr="00D76910">
              <w:t>—</w:t>
            </w:r>
          </w:p>
        </w:tc>
        <w:tc>
          <w:tcPr>
            <w:tcW w:w="586" w:type="dxa"/>
            <w:hideMark/>
          </w:tcPr>
          <w:p w14:paraId="6914CF4F" w14:textId="77777777" w:rsidR="000D4F98" w:rsidRPr="00D76910" w:rsidRDefault="000D4F98" w:rsidP="00A51250">
            <w:pPr>
              <w:pStyle w:val="NCDTableText"/>
              <w:jc w:val="center"/>
            </w:pPr>
            <w:r w:rsidRPr="00D76910">
              <w:t>—</w:t>
            </w:r>
          </w:p>
        </w:tc>
        <w:tc>
          <w:tcPr>
            <w:tcW w:w="825" w:type="dxa"/>
            <w:hideMark/>
          </w:tcPr>
          <w:p w14:paraId="5E61FE36" w14:textId="77777777" w:rsidR="000D4F98" w:rsidRPr="00D76910" w:rsidRDefault="000D4F98" w:rsidP="00A51250">
            <w:pPr>
              <w:pStyle w:val="NCDTableText"/>
              <w:jc w:val="center"/>
            </w:pPr>
            <w:r w:rsidRPr="00D76910">
              <w:t>—</w:t>
            </w:r>
          </w:p>
        </w:tc>
        <w:tc>
          <w:tcPr>
            <w:tcW w:w="825" w:type="dxa"/>
            <w:hideMark/>
          </w:tcPr>
          <w:p w14:paraId="706248C3" w14:textId="77777777" w:rsidR="000D4F98" w:rsidRPr="00D76910" w:rsidRDefault="000D4F98" w:rsidP="00A51250">
            <w:pPr>
              <w:pStyle w:val="NCDTableText"/>
              <w:jc w:val="center"/>
            </w:pPr>
            <w:r w:rsidRPr="00D76910">
              <w:t>Y</w:t>
            </w:r>
          </w:p>
        </w:tc>
        <w:tc>
          <w:tcPr>
            <w:tcW w:w="825" w:type="dxa"/>
            <w:hideMark/>
          </w:tcPr>
          <w:p w14:paraId="058E574E" w14:textId="77777777" w:rsidR="000D4F98" w:rsidRPr="00D76910" w:rsidRDefault="000D4F98" w:rsidP="00A51250">
            <w:pPr>
              <w:pStyle w:val="NCDTableText"/>
              <w:jc w:val="center"/>
            </w:pPr>
            <w:r w:rsidRPr="00D76910">
              <w:t>—</w:t>
            </w:r>
          </w:p>
        </w:tc>
        <w:tc>
          <w:tcPr>
            <w:tcW w:w="905" w:type="dxa"/>
            <w:hideMark/>
          </w:tcPr>
          <w:p w14:paraId="40B8058E" w14:textId="77777777" w:rsidR="000D4F98" w:rsidRPr="00D76910" w:rsidRDefault="000D4F98" w:rsidP="00A51250">
            <w:pPr>
              <w:pStyle w:val="NCDTableText"/>
              <w:jc w:val="center"/>
            </w:pPr>
            <w:r w:rsidRPr="00D76910">
              <w:t>—</w:t>
            </w:r>
          </w:p>
        </w:tc>
        <w:tc>
          <w:tcPr>
            <w:tcW w:w="987" w:type="dxa"/>
            <w:hideMark/>
          </w:tcPr>
          <w:p w14:paraId="6EB9F798" w14:textId="77777777" w:rsidR="000D4F98" w:rsidRPr="00D76910" w:rsidRDefault="000D4F98" w:rsidP="00A51250">
            <w:pPr>
              <w:pStyle w:val="NCDTableText"/>
              <w:jc w:val="center"/>
            </w:pPr>
            <w:r w:rsidRPr="00D76910">
              <w:t>—</w:t>
            </w:r>
          </w:p>
        </w:tc>
        <w:tc>
          <w:tcPr>
            <w:tcW w:w="717" w:type="dxa"/>
            <w:hideMark/>
          </w:tcPr>
          <w:p w14:paraId="6F5C6858" w14:textId="77777777" w:rsidR="000D4F98" w:rsidRPr="00D76910" w:rsidRDefault="000D4F98" w:rsidP="00A51250">
            <w:pPr>
              <w:pStyle w:val="NCDTableText"/>
              <w:jc w:val="center"/>
            </w:pPr>
            <w:r w:rsidRPr="00D76910">
              <w:t>—</w:t>
            </w:r>
          </w:p>
        </w:tc>
      </w:tr>
      <w:tr w:rsidR="00D76910" w:rsidRPr="00D76910" w14:paraId="25C5E8D7" w14:textId="77777777" w:rsidTr="00D76910">
        <w:trPr>
          <w:trHeight w:val="314"/>
          <w:jc w:val="center"/>
        </w:trPr>
        <w:tc>
          <w:tcPr>
            <w:tcW w:w="898" w:type="dxa"/>
            <w:hideMark/>
          </w:tcPr>
          <w:p w14:paraId="149F9DAB" w14:textId="77777777" w:rsidR="000D4F98" w:rsidRPr="00D76910" w:rsidRDefault="000D4F98" w:rsidP="00D76910">
            <w:pPr>
              <w:pStyle w:val="NCDTableText"/>
            </w:pPr>
            <w:r w:rsidRPr="00D76910">
              <w:t>MT</w:t>
            </w:r>
          </w:p>
        </w:tc>
        <w:tc>
          <w:tcPr>
            <w:tcW w:w="904" w:type="dxa"/>
            <w:hideMark/>
          </w:tcPr>
          <w:p w14:paraId="4A706AE8" w14:textId="77777777" w:rsidR="000D4F98" w:rsidRPr="00D76910" w:rsidRDefault="000D4F98" w:rsidP="00A51250">
            <w:pPr>
              <w:pStyle w:val="NCDTableText"/>
              <w:jc w:val="center"/>
            </w:pPr>
            <w:r w:rsidRPr="00D76910">
              <w:t>N</w:t>
            </w:r>
          </w:p>
        </w:tc>
        <w:tc>
          <w:tcPr>
            <w:tcW w:w="1078" w:type="dxa"/>
            <w:hideMark/>
          </w:tcPr>
          <w:p w14:paraId="55C2328D" w14:textId="77777777" w:rsidR="000D4F98" w:rsidRPr="00D76910" w:rsidRDefault="000D4F98" w:rsidP="00A51250">
            <w:pPr>
              <w:pStyle w:val="NCDTableText"/>
              <w:jc w:val="center"/>
            </w:pPr>
            <w:r w:rsidRPr="00D76910">
              <w:t>—</w:t>
            </w:r>
          </w:p>
        </w:tc>
        <w:tc>
          <w:tcPr>
            <w:tcW w:w="810" w:type="dxa"/>
            <w:hideMark/>
          </w:tcPr>
          <w:p w14:paraId="161A371F" w14:textId="77777777" w:rsidR="000D4F98" w:rsidRPr="00D76910" w:rsidRDefault="000D4F98" w:rsidP="00A51250">
            <w:pPr>
              <w:pStyle w:val="NCDTableText"/>
              <w:jc w:val="center"/>
            </w:pPr>
            <w:r w:rsidRPr="00D76910">
              <w:t>—</w:t>
            </w:r>
          </w:p>
        </w:tc>
        <w:tc>
          <w:tcPr>
            <w:tcW w:w="586" w:type="dxa"/>
            <w:hideMark/>
          </w:tcPr>
          <w:p w14:paraId="06C16952" w14:textId="77777777" w:rsidR="000D4F98" w:rsidRPr="00D76910" w:rsidRDefault="000D4F98" w:rsidP="00A51250">
            <w:pPr>
              <w:pStyle w:val="NCDTableText"/>
              <w:jc w:val="center"/>
            </w:pPr>
            <w:r w:rsidRPr="00D76910">
              <w:t>—</w:t>
            </w:r>
          </w:p>
        </w:tc>
        <w:tc>
          <w:tcPr>
            <w:tcW w:w="825" w:type="dxa"/>
            <w:hideMark/>
          </w:tcPr>
          <w:p w14:paraId="44F22616" w14:textId="77777777" w:rsidR="000D4F98" w:rsidRPr="00D76910" w:rsidRDefault="000D4F98" w:rsidP="00A51250">
            <w:pPr>
              <w:pStyle w:val="NCDTableText"/>
              <w:jc w:val="center"/>
            </w:pPr>
            <w:r w:rsidRPr="00D76910">
              <w:t>—</w:t>
            </w:r>
          </w:p>
        </w:tc>
        <w:tc>
          <w:tcPr>
            <w:tcW w:w="825" w:type="dxa"/>
            <w:hideMark/>
          </w:tcPr>
          <w:p w14:paraId="18ABF5C8" w14:textId="77777777" w:rsidR="000D4F98" w:rsidRPr="00D76910" w:rsidRDefault="000D4F98" w:rsidP="00A51250">
            <w:pPr>
              <w:pStyle w:val="NCDTableText"/>
              <w:jc w:val="center"/>
            </w:pPr>
            <w:r w:rsidRPr="00D76910">
              <w:t>—</w:t>
            </w:r>
          </w:p>
        </w:tc>
        <w:tc>
          <w:tcPr>
            <w:tcW w:w="825" w:type="dxa"/>
            <w:hideMark/>
          </w:tcPr>
          <w:p w14:paraId="1800C0B1" w14:textId="77777777" w:rsidR="000D4F98" w:rsidRPr="00D76910" w:rsidRDefault="000D4F98" w:rsidP="00A51250">
            <w:pPr>
              <w:pStyle w:val="NCDTableText"/>
              <w:jc w:val="center"/>
            </w:pPr>
            <w:r w:rsidRPr="00D76910">
              <w:t>—</w:t>
            </w:r>
          </w:p>
        </w:tc>
        <w:tc>
          <w:tcPr>
            <w:tcW w:w="905" w:type="dxa"/>
            <w:hideMark/>
          </w:tcPr>
          <w:p w14:paraId="6FED0144" w14:textId="77777777" w:rsidR="000D4F98" w:rsidRPr="00D76910" w:rsidRDefault="000D4F98" w:rsidP="00A51250">
            <w:pPr>
              <w:pStyle w:val="NCDTableText"/>
              <w:jc w:val="center"/>
            </w:pPr>
            <w:r w:rsidRPr="00D76910">
              <w:t>—</w:t>
            </w:r>
          </w:p>
        </w:tc>
        <w:tc>
          <w:tcPr>
            <w:tcW w:w="987" w:type="dxa"/>
            <w:hideMark/>
          </w:tcPr>
          <w:p w14:paraId="72568C08" w14:textId="77777777" w:rsidR="000D4F98" w:rsidRPr="00D76910" w:rsidRDefault="000D4F98" w:rsidP="00A51250">
            <w:pPr>
              <w:pStyle w:val="NCDTableText"/>
              <w:jc w:val="center"/>
            </w:pPr>
            <w:r w:rsidRPr="00D76910">
              <w:t>—</w:t>
            </w:r>
          </w:p>
        </w:tc>
        <w:tc>
          <w:tcPr>
            <w:tcW w:w="717" w:type="dxa"/>
            <w:hideMark/>
          </w:tcPr>
          <w:p w14:paraId="7D46F22F" w14:textId="77777777" w:rsidR="000D4F98" w:rsidRPr="00D76910" w:rsidRDefault="000D4F98" w:rsidP="00A51250">
            <w:pPr>
              <w:pStyle w:val="NCDTableText"/>
              <w:jc w:val="center"/>
            </w:pPr>
            <w:r w:rsidRPr="00D76910">
              <w:t>—</w:t>
            </w:r>
          </w:p>
        </w:tc>
      </w:tr>
      <w:tr w:rsidR="00D76910" w:rsidRPr="00D76910" w14:paraId="348A83BC" w14:textId="77777777" w:rsidTr="00D76910">
        <w:trPr>
          <w:trHeight w:val="314"/>
          <w:jc w:val="center"/>
        </w:trPr>
        <w:tc>
          <w:tcPr>
            <w:tcW w:w="898" w:type="dxa"/>
            <w:hideMark/>
          </w:tcPr>
          <w:p w14:paraId="34824C02" w14:textId="77777777" w:rsidR="000D4F98" w:rsidRPr="00D76910" w:rsidRDefault="000D4F98" w:rsidP="00D76910">
            <w:pPr>
              <w:pStyle w:val="NCDTableText"/>
            </w:pPr>
            <w:r w:rsidRPr="00D76910">
              <w:t>NE</w:t>
            </w:r>
          </w:p>
        </w:tc>
        <w:tc>
          <w:tcPr>
            <w:tcW w:w="904" w:type="dxa"/>
            <w:hideMark/>
          </w:tcPr>
          <w:p w14:paraId="05AAC2A5" w14:textId="77777777" w:rsidR="000D4F98" w:rsidRPr="00D76910" w:rsidRDefault="000D4F98" w:rsidP="00A51250">
            <w:pPr>
              <w:pStyle w:val="NCDTableText"/>
              <w:jc w:val="center"/>
            </w:pPr>
            <w:r w:rsidRPr="00D76910">
              <w:t>Y</w:t>
            </w:r>
          </w:p>
        </w:tc>
        <w:tc>
          <w:tcPr>
            <w:tcW w:w="1078" w:type="dxa"/>
            <w:hideMark/>
          </w:tcPr>
          <w:p w14:paraId="02F9E639" w14:textId="77777777" w:rsidR="000D4F98" w:rsidRPr="00D76910" w:rsidRDefault="000D4F98" w:rsidP="00A51250">
            <w:pPr>
              <w:pStyle w:val="NCDTableText"/>
              <w:jc w:val="center"/>
            </w:pPr>
            <w:r w:rsidRPr="00D76910">
              <w:t>—</w:t>
            </w:r>
          </w:p>
        </w:tc>
        <w:tc>
          <w:tcPr>
            <w:tcW w:w="810" w:type="dxa"/>
            <w:hideMark/>
          </w:tcPr>
          <w:p w14:paraId="4801C79D" w14:textId="77777777" w:rsidR="000D4F98" w:rsidRPr="00D76910" w:rsidRDefault="000D4F98" w:rsidP="00A51250">
            <w:pPr>
              <w:pStyle w:val="NCDTableText"/>
              <w:jc w:val="center"/>
            </w:pPr>
            <w:r w:rsidRPr="00D76910">
              <w:t>—</w:t>
            </w:r>
          </w:p>
        </w:tc>
        <w:tc>
          <w:tcPr>
            <w:tcW w:w="586" w:type="dxa"/>
            <w:hideMark/>
          </w:tcPr>
          <w:p w14:paraId="0753A0A4" w14:textId="77777777" w:rsidR="000D4F98" w:rsidRPr="00D76910" w:rsidRDefault="000D4F98" w:rsidP="00A51250">
            <w:pPr>
              <w:pStyle w:val="NCDTableText"/>
              <w:jc w:val="center"/>
            </w:pPr>
            <w:r w:rsidRPr="00D76910">
              <w:t>—</w:t>
            </w:r>
          </w:p>
        </w:tc>
        <w:tc>
          <w:tcPr>
            <w:tcW w:w="825" w:type="dxa"/>
            <w:hideMark/>
          </w:tcPr>
          <w:p w14:paraId="2E466C73" w14:textId="77777777" w:rsidR="000D4F98" w:rsidRPr="00D76910" w:rsidRDefault="000D4F98" w:rsidP="00A51250">
            <w:pPr>
              <w:pStyle w:val="NCDTableText"/>
              <w:jc w:val="center"/>
            </w:pPr>
            <w:r w:rsidRPr="00D76910">
              <w:t>—</w:t>
            </w:r>
          </w:p>
        </w:tc>
        <w:tc>
          <w:tcPr>
            <w:tcW w:w="825" w:type="dxa"/>
            <w:hideMark/>
          </w:tcPr>
          <w:p w14:paraId="5EBB4C72" w14:textId="77777777" w:rsidR="000D4F98" w:rsidRPr="00D76910" w:rsidRDefault="000D4F98" w:rsidP="00A51250">
            <w:pPr>
              <w:pStyle w:val="NCDTableText"/>
              <w:jc w:val="center"/>
            </w:pPr>
            <w:r w:rsidRPr="00D76910">
              <w:t>—</w:t>
            </w:r>
          </w:p>
        </w:tc>
        <w:tc>
          <w:tcPr>
            <w:tcW w:w="825" w:type="dxa"/>
            <w:hideMark/>
          </w:tcPr>
          <w:p w14:paraId="527094FE" w14:textId="77777777" w:rsidR="000D4F98" w:rsidRPr="00D76910" w:rsidRDefault="000D4F98" w:rsidP="00A51250">
            <w:pPr>
              <w:pStyle w:val="NCDTableText"/>
              <w:jc w:val="center"/>
            </w:pPr>
            <w:r w:rsidRPr="00D76910">
              <w:t>—</w:t>
            </w:r>
          </w:p>
        </w:tc>
        <w:tc>
          <w:tcPr>
            <w:tcW w:w="905" w:type="dxa"/>
            <w:hideMark/>
          </w:tcPr>
          <w:p w14:paraId="4410BD79" w14:textId="77777777" w:rsidR="000D4F98" w:rsidRPr="00D76910" w:rsidRDefault="000D4F98" w:rsidP="00A51250">
            <w:pPr>
              <w:pStyle w:val="NCDTableText"/>
              <w:jc w:val="center"/>
            </w:pPr>
            <w:r w:rsidRPr="00D76910">
              <w:t>—</w:t>
            </w:r>
          </w:p>
        </w:tc>
        <w:tc>
          <w:tcPr>
            <w:tcW w:w="987" w:type="dxa"/>
            <w:hideMark/>
          </w:tcPr>
          <w:p w14:paraId="5141A5B2" w14:textId="77777777" w:rsidR="000D4F98" w:rsidRPr="00D76910" w:rsidRDefault="000D4F98" w:rsidP="00A51250">
            <w:pPr>
              <w:pStyle w:val="NCDTableText"/>
              <w:jc w:val="center"/>
            </w:pPr>
            <w:r w:rsidRPr="00D76910">
              <w:t>—</w:t>
            </w:r>
          </w:p>
        </w:tc>
        <w:tc>
          <w:tcPr>
            <w:tcW w:w="717" w:type="dxa"/>
            <w:hideMark/>
          </w:tcPr>
          <w:p w14:paraId="5E7E763A" w14:textId="77777777" w:rsidR="000D4F98" w:rsidRPr="00D76910" w:rsidRDefault="000D4F98" w:rsidP="00A51250">
            <w:pPr>
              <w:pStyle w:val="NCDTableText"/>
              <w:jc w:val="center"/>
            </w:pPr>
            <w:r w:rsidRPr="00D76910">
              <w:t>Y</w:t>
            </w:r>
          </w:p>
        </w:tc>
      </w:tr>
      <w:tr w:rsidR="00D76910" w:rsidRPr="00D76910" w14:paraId="30B1B231" w14:textId="77777777" w:rsidTr="00D76910">
        <w:trPr>
          <w:trHeight w:val="314"/>
          <w:jc w:val="center"/>
        </w:trPr>
        <w:tc>
          <w:tcPr>
            <w:tcW w:w="898" w:type="dxa"/>
            <w:hideMark/>
          </w:tcPr>
          <w:p w14:paraId="40EC9605" w14:textId="77777777" w:rsidR="000D4F98" w:rsidRPr="00D76910" w:rsidRDefault="000D4F98" w:rsidP="00D76910">
            <w:pPr>
              <w:pStyle w:val="NCDTableText"/>
            </w:pPr>
            <w:r w:rsidRPr="00D76910">
              <w:t xml:space="preserve">NV </w:t>
            </w:r>
          </w:p>
        </w:tc>
        <w:tc>
          <w:tcPr>
            <w:tcW w:w="904" w:type="dxa"/>
            <w:hideMark/>
          </w:tcPr>
          <w:p w14:paraId="4F4405AC" w14:textId="77777777" w:rsidR="000D4F98" w:rsidRPr="00D76910" w:rsidRDefault="000D4F98" w:rsidP="00A51250">
            <w:pPr>
              <w:pStyle w:val="NCDTableText"/>
              <w:jc w:val="center"/>
            </w:pPr>
            <w:r w:rsidRPr="00D76910">
              <w:t>Y</w:t>
            </w:r>
          </w:p>
        </w:tc>
        <w:tc>
          <w:tcPr>
            <w:tcW w:w="1078" w:type="dxa"/>
            <w:hideMark/>
          </w:tcPr>
          <w:p w14:paraId="7F9A78BD" w14:textId="77777777" w:rsidR="000D4F98" w:rsidRPr="00D76910" w:rsidRDefault="000D4F98" w:rsidP="00A51250">
            <w:pPr>
              <w:pStyle w:val="NCDTableText"/>
              <w:jc w:val="center"/>
            </w:pPr>
            <w:r w:rsidRPr="00D76910">
              <w:t>—</w:t>
            </w:r>
          </w:p>
        </w:tc>
        <w:tc>
          <w:tcPr>
            <w:tcW w:w="810" w:type="dxa"/>
            <w:hideMark/>
          </w:tcPr>
          <w:p w14:paraId="6416E205" w14:textId="77777777" w:rsidR="000D4F98" w:rsidRPr="00D76910" w:rsidRDefault="000D4F98" w:rsidP="00A51250">
            <w:pPr>
              <w:pStyle w:val="NCDTableText"/>
              <w:jc w:val="center"/>
            </w:pPr>
            <w:r w:rsidRPr="00D76910">
              <w:t>Y</w:t>
            </w:r>
          </w:p>
        </w:tc>
        <w:tc>
          <w:tcPr>
            <w:tcW w:w="586" w:type="dxa"/>
            <w:hideMark/>
          </w:tcPr>
          <w:p w14:paraId="5CE9C14A" w14:textId="77777777" w:rsidR="000D4F98" w:rsidRPr="00D76910" w:rsidRDefault="000D4F98" w:rsidP="00A51250">
            <w:pPr>
              <w:pStyle w:val="NCDTableText"/>
              <w:jc w:val="center"/>
            </w:pPr>
            <w:r w:rsidRPr="00D76910">
              <w:t>—</w:t>
            </w:r>
          </w:p>
        </w:tc>
        <w:tc>
          <w:tcPr>
            <w:tcW w:w="825" w:type="dxa"/>
            <w:hideMark/>
          </w:tcPr>
          <w:p w14:paraId="0EA92E2B" w14:textId="77777777" w:rsidR="000D4F98" w:rsidRPr="00D76910" w:rsidRDefault="000D4F98" w:rsidP="00A51250">
            <w:pPr>
              <w:pStyle w:val="NCDTableText"/>
              <w:jc w:val="center"/>
            </w:pPr>
            <w:r w:rsidRPr="00D76910">
              <w:t>Y</w:t>
            </w:r>
          </w:p>
        </w:tc>
        <w:tc>
          <w:tcPr>
            <w:tcW w:w="825" w:type="dxa"/>
            <w:hideMark/>
          </w:tcPr>
          <w:p w14:paraId="0B5CEBE2" w14:textId="77777777" w:rsidR="000D4F98" w:rsidRPr="00D76910" w:rsidRDefault="000D4F98" w:rsidP="00A51250">
            <w:pPr>
              <w:pStyle w:val="NCDTableText"/>
              <w:jc w:val="center"/>
            </w:pPr>
            <w:r w:rsidRPr="00D76910">
              <w:t>Y</w:t>
            </w:r>
          </w:p>
        </w:tc>
        <w:tc>
          <w:tcPr>
            <w:tcW w:w="825" w:type="dxa"/>
            <w:hideMark/>
          </w:tcPr>
          <w:p w14:paraId="06D202CA" w14:textId="77777777" w:rsidR="000D4F98" w:rsidRPr="00D76910" w:rsidRDefault="000D4F98" w:rsidP="00A51250">
            <w:pPr>
              <w:pStyle w:val="NCDTableText"/>
              <w:jc w:val="center"/>
            </w:pPr>
            <w:r w:rsidRPr="00D76910">
              <w:t>—</w:t>
            </w:r>
          </w:p>
        </w:tc>
        <w:tc>
          <w:tcPr>
            <w:tcW w:w="905" w:type="dxa"/>
            <w:hideMark/>
          </w:tcPr>
          <w:p w14:paraId="41C1B003" w14:textId="77777777" w:rsidR="000D4F98" w:rsidRPr="00D76910" w:rsidRDefault="000D4F98" w:rsidP="00A51250">
            <w:pPr>
              <w:pStyle w:val="NCDTableText"/>
              <w:jc w:val="center"/>
            </w:pPr>
            <w:r w:rsidRPr="00D76910">
              <w:t>—</w:t>
            </w:r>
          </w:p>
        </w:tc>
        <w:tc>
          <w:tcPr>
            <w:tcW w:w="987" w:type="dxa"/>
            <w:hideMark/>
          </w:tcPr>
          <w:p w14:paraId="3E8A3882" w14:textId="77777777" w:rsidR="000D4F98" w:rsidRPr="00D76910" w:rsidRDefault="000D4F98" w:rsidP="00A51250">
            <w:pPr>
              <w:pStyle w:val="NCDTableText"/>
              <w:jc w:val="center"/>
            </w:pPr>
            <w:r w:rsidRPr="00D76910">
              <w:t>—</w:t>
            </w:r>
          </w:p>
        </w:tc>
        <w:tc>
          <w:tcPr>
            <w:tcW w:w="717" w:type="dxa"/>
            <w:hideMark/>
          </w:tcPr>
          <w:p w14:paraId="57A6AFC3" w14:textId="77777777" w:rsidR="000D4F98" w:rsidRPr="00D76910" w:rsidRDefault="000D4F98" w:rsidP="00A51250">
            <w:pPr>
              <w:pStyle w:val="NCDTableText"/>
              <w:jc w:val="center"/>
            </w:pPr>
            <w:r w:rsidRPr="00D76910">
              <w:t>—</w:t>
            </w:r>
          </w:p>
        </w:tc>
      </w:tr>
      <w:tr w:rsidR="00D76910" w:rsidRPr="00D76910" w14:paraId="167A5BD0" w14:textId="77777777" w:rsidTr="00D76910">
        <w:trPr>
          <w:trHeight w:val="314"/>
          <w:jc w:val="center"/>
        </w:trPr>
        <w:tc>
          <w:tcPr>
            <w:tcW w:w="898" w:type="dxa"/>
            <w:hideMark/>
          </w:tcPr>
          <w:p w14:paraId="2C0DE049" w14:textId="77777777" w:rsidR="000D4F98" w:rsidRPr="00D76910" w:rsidRDefault="000D4F98" w:rsidP="00D76910">
            <w:pPr>
              <w:pStyle w:val="NCDTableText"/>
            </w:pPr>
            <w:r w:rsidRPr="00D76910">
              <w:t xml:space="preserve">NH </w:t>
            </w:r>
          </w:p>
        </w:tc>
        <w:tc>
          <w:tcPr>
            <w:tcW w:w="904" w:type="dxa"/>
            <w:hideMark/>
          </w:tcPr>
          <w:p w14:paraId="2B622C3C" w14:textId="77777777" w:rsidR="000D4F98" w:rsidRPr="00D76910" w:rsidRDefault="000D4F98" w:rsidP="00A51250">
            <w:pPr>
              <w:pStyle w:val="NCDTableText"/>
              <w:jc w:val="center"/>
            </w:pPr>
            <w:r w:rsidRPr="00D76910">
              <w:t>Y</w:t>
            </w:r>
          </w:p>
        </w:tc>
        <w:tc>
          <w:tcPr>
            <w:tcW w:w="1078" w:type="dxa"/>
            <w:hideMark/>
          </w:tcPr>
          <w:p w14:paraId="7047B9DC" w14:textId="77777777" w:rsidR="000D4F98" w:rsidRPr="00D76910" w:rsidRDefault="000D4F98" w:rsidP="00A51250">
            <w:pPr>
              <w:pStyle w:val="NCDTableText"/>
              <w:jc w:val="center"/>
            </w:pPr>
            <w:r w:rsidRPr="00D76910">
              <w:t>—</w:t>
            </w:r>
          </w:p>
        </w:tc>
        <w:tc>
          <w:tcPr>
            <w:tcW w:w="810" w:type="dxa"/>
            <w:hideMark/>
          </w:tcPr>
          <w:p w14:paraId="0AB21261" w14:textId="77777777" w:rsidR="000D4F98" w:rsidRPr="00D76910" w:rsidRDefault="000D4F98" w:rsidP="00A51250">
            <w:pPr>
              <w:pStyle w:val="NCDTableText"/>
              <w:jc w:val="center"/>
            </w:pPr>
            <w:r w:rsidRPr="00D76910">
              <w:t>—</w:t>
            </w:r>
          </w:p>
        </w:tc>
        <w:tc>
          <w:tcPr>
            <w:tcW w:w="586" w:type="dxa"/>
            <w:hideMark/>
          </w:tcPr>
          <w:p w14:paraId="6C77C477" w14:textId="77777777" w:rsidR="000D4F98" w:rsidRPr="00D76910" w:rsidRDefault="000D4F98" w:rsidP="00A51250">
            <w:pPr>
              <w:pStyle w:val="NCDTableText"/>
              <w:jc w:val="center"/>
            </w:pPr>
            <w:r w:rsidRPr="00D76910">
              <w:t>Y</w:t>
            </w:r>
          </w:p>
        </w:tc>
        <w:tc>
          <w:tcPr>
            <w:tcW w:w="825" w:type="dxa"/>
            <w:hideMark/>
          </w:tcPr>
          <w:p w14:paraId="49B8F008" w14:textId="77777777" w:rsidR="000D4F98" w:rsidRPr="00D76910" w:rsidRDefault="000D4F98" w:rsidP="00A51250">
            <w:pPr>
              <w:pStyle w:val="NCDTableText"/>
              <w:jc w:val="center"/>
            </w:pPr>
            <w:r w:rsidRPr="00D76910">
              <w:t>—</w:t>
            </w:r>
          </w:p>
        </w:tc>
        <w:tc>
          <w:tcPr>
            <w:tcW w:w="825" w:type="dxa"/>
            <w:hideMark/>
          </w:tcPr>
          <w:p w14:paraId="56DD44D6" w14:textId="77777777" w:rsidR="000D4F98" w:rsidRPr="00D76910" w:rsidRDefault="000D4F98" w:rsidP="00A51250">
            <w:pPr>
              <w:pStyle w:val="NCDTableText"/>
              <w:jc w:val="center"/>
            </w:pPr>
            <w:r w:rsidRPr="00D76910">
              <w:t>—</w:t>
            </w:r>
          </w:p>
        </w:tc>
        <w:tc>
          <w:tcPr>
            <w:tcW w:w="825" w:type="dxa"/>
            <w:hideMark/>
          </w:tcPr>
          <w:p w14:paraId="01A6AF18" w14:textId="77777777" w:rsidR="000D4F98" w:rsidRPr="00D76910" w:rsidRDefault="000D4F98" w:rsidP="00A51250">
            <w:pPr>
              <w:pStyle w:val="NCDTableText"/>
              <w:jc w:val="center"/>
            </w:pPr>
            <w:r w:rsidRPr="00D76910">
              <w:t>—</w:t>
            </w:r>
          </w:p>
        </w:tc>
        <w:tc>
          <w:tcPr>
            <w:tcW w:w="905" w:type="dxa"/>
            <w:hideMark/>
          </w:tcPr>
          <w:p w14:paraId="7297EE07" w14:textId="77777777" w:rsidR="000D4F98" w:rsidRPr="00D76910" w:rsidRDefault="000D4F98" w:rsidP="00A51250">
            <w:pPr>
              <w:pStyle w:val="NCDTableText"/>
              <w:jc w:val="center"/>
            </w:pPr>
            <w:r w:rsidRPr="00D76910">
              <w:t>—</w:t>
            </w:r>
          </w:p>
        </w:tc>
        <w:tc>
          <w:tcPr>
            <w:tcW w:w="987" w:type="dxa"/>
            <w:hideMark/>
          </w:tcPr>
          <w:p w14:paraId="4993793B" w14:textId="77777777" w:rsidR="000D4F98" w:rsidRPr="00D76910" w:rsidRDefault="000D4F98" w:rsidP="00A51250">
            <w:pPr>
              <w:pStyle w:val="NCDTableText"/>
              <w:jc w:val="center"/>
            </w:pPr>
            <w:r w:rsidRPr="00D76910">
              <w:t>—</w:t>
            </w:r>
          </w:p>
        </w:tc>
        <w:tc>
          <w:tcPr>
            <w:tcW w:w="717" w:type="dxa"/>
            <w:hideMark/>
          </w:tcPr>
          <w:p w14:paraId="399EA706" w14:textId="77777777" w:rsidR="000D4F98" w:rsidRPr="00D76910" w:rsidRDefault="000D4F98" w:rsidP="00A51250">
            <w:pPr>
              <w:pStyle w:val="NCDTableText"/>
              <w:jc w:val="center"/>
            </w:pPr>
            <w:r w:rsidRPr="00D76910">
              <w:t>—</w:t>
            </w:r>
          </w:p>
        </w:tc>
      </w:tr>
      <w:tr w:rsidR="00D76910" w:rsidRPr="00D76910" w14:paraId="7AE65ED5" w14:textId="77777777" w:rsidTr="00D76910">
        <w:trPr>
          <w:trHeight w:val="314"/>
          <w:jc w:val="center"/>
        </w:trPr>
        <w:tc>
          <w:tcPr>
            <w:tcW w:w="898" w:type="dxa"/>
            <w:hideMark/>
          </w:tcPr>
          <w:p w14:paraId="6F20EABD" w14:textId="77777777" w:rsidR="000D4F98" w:rsidRPr="00D76910" w:rsidRDefault="000D4F98" w:rsidP="00D76910">
            <w:pPr>
              <w:pStyle w:val="NCDTableText"/>
            </w:pPr>
            <w:r w:rsidRPr="00D76910">
              <w:t xml:space="preserve">NJ </w:t>
            </w:r>
          </w:p>
        </w:tc>
        <w:tc>
          <w:tcPr>
            <w:tcW w:w="904" w:type="dxa"/>
            <w:hideMark/>
          </w:tcPr>
          <w:p w14:paraId="5CDA4CFE" w14:textId="77777777" w:rsidR="000D4F98" w:rsidRPr="00D76910" w:rsidRDefault="000D4F98" w:rsidP="00A51250">
            <w:pPr>
              <w:pStyle w:val="NCDTableText"/>
              <w:jc w:val="center"/>
            </w:pPr>
            <w:r w:rsidRPr="00D76910">
              <w:t>Y</w:t>
            </w:r>
          </w:p>
        </w:tc>
        <w:tc>
          <w:tcPr>
            <w:tcW w:w="1078" w:type="dxa"/>
            <w:hideMark/>
          </w:tcPr>
          <w:p w14:paraId="3DC8A189" w14:textId="77777777" w:rsidR="000D4F98" w:rsidRPr="00D76910" w:rsidRDefault="000D4F98" w:rsidP="00A51250">
            <w:pPr>
              <w:pStyle w:val="NCDTableText"/>
              <w:jc w:val="center"/>
            </w:pPr>
            <w:r w:rsidRPr="00D76910">
              <w:t>—</w:t>
            </w:r>
          </w:p>
        </w:tc>
        <w:tc>
          <w:tcPr>
            <w:tcW w:w="810" w:type="dxa"/>
            <w:hideMark/>
          </w:tcPr>
          <w:p w14:paraId="54E9E8DF" w14:textId="77777777" w:rsidR="000D4F98" w:rsidRPr="00D76910" w:rsidRDefault="000D4F98" w:rsidP="00A51250">
            <w:pPr>
              <w:pStyle w:val="NCDTableText"/>
              <w:jc w:val="center"/>
            </w:pPr>
            <w:r w:rsidRPr="00D76910">
              <w:t>—</w:t>
            </w:r>
          </w:p>
        </w:tc>
        <w:tc>
          <w:tcPr>
            <w:tcW w:w="586" w:type="dxa"/>
            <w:hideMark/>
          </w:tcPr>
          <w:p w14:paraId="2C97A6A1" w14:textId="77777777" w:rsidR="000D4F98" w:rsidRPr="00D76910" w:rsidRDefault="000D4F98" w:rsidP="00A51250">
            <w:pPr>
              <w:pStyle w:val="NCDTableText"/>
              <w:jc w:val="center"/>
            </w:pPr>
            <w:r w:rsidRPr="00D76910">
              <w:t>—</w:t>
            </w:r>
          </w:p>
        </w:tc>
        <w:tc>
          <w:tcPr>
            <w:tcW w:w="825" w:type="dxa"/>
            <w:hideMark/>
          </w:tcPr>
          <w:p w14:paraId="50E02C61" w14:textId="77777777" w:rsidR="000D4F98" w:rsidRPr="00D76910" w:rsidRDefault="000D4F98" w:rsidP="00A51250">
            <w:pPr>
              <w:pStyle w:val="NCDTableText"/>
              <w:jc w:val="center"/>
            </w:pPr>
            <w:r w:rsidRPr="00D76910">
              <w:t>—</w:t>
            </w:r>
          </w:p>
        </w:tc>
        <w:tc>
          <w:tcPr>
            <w:tcW w:w="825" w:type="dxa"/>
            <w:hideMark/>
          </w:tcPr>
          <w:p w14:paraId="4313606D" w14:textId="77777777" w:rsidR="000D4F98" w:rsidRPr="00D76910" w:rsidRDefault="000D4F98" w:rsidP="00A51250">
            <w:pPr>
              <w:pStyle w:val="NCDTableText"/>
              <w:jc w:val="center"/>
            </w:pPr>
            <w:r w:rsidRPr="00D76910">
              <w:t>Y</w:t>
            </w:r>
          </w:p>
        </w:tc>
        <w:tc>
          <w:tcPr>
            <w:tcW w:w="825" w:type="dxa"/>
            <w:hideMark/>
          </w:tcPr>
          <w:p w14:paraId="5967119C" w14:textId="77777777" w:rsidR="000D4F98" w:rsidRPr="00D76910" w:rsidRDefault="000D4F98" w:rsidP="00A51250">
            <w:pPr>
              <w:pStyle w:val="NCDTableText"/>
              <w:jc w:val="center"/>
            </w:pPr>
            <w:r w:rsidRPr="00D76910">
              <w:t>—</w:t>
            </w:r>
          </w:p>
        </w:tc>
        <w:tc>
          <w:tcPr>
            <w:tcW w:w="905" w:type="dxa"/>
            <w:hideMark/>
          </w:tcPr>
          <w:p w14:paraId="621B699B" w14:textId="77777777" w:rsidR="000D4F98" w:rsidRPr="00D76910" w:rsidRDefault="000D4F98" w:rsidP="00A51250">
            <w:pPr>
              <w:pStyle w:val="NCDTableText"/>
              <w:jc w:val="center"/>
            </w:pPr>
            <w:r w:rsidRPr="00D76910">
              <w:t>—</w:t>
            </w:r>
          </w:p>
        </w:tc>
        <w:tc>
          <w:tcPr>
            <w:tcW w:w="987" w:type="dxa"/>
            <w:hideMark/>
          </w:tcPr>
          <w:p w14:paraId="50AF5AA4" w14:textId="77777777" w:rsidR="000D4F98" w:rsidRPr="00D76910" w:rsidRDefault="000D4F98" w:rsidP="00A51250">
            <w:pPr>
              <w:pStyle w:val="NCDTableText"/>
              <w:jc w:val="center"/>
            </w:pPr>
            <w:r w:rsidRPr="00D76910">
              <w:t>—</w:t>
            </w:r>
          </w:p>
        </w:tc>
        <w:tc>
          <w:tcPr>
            <w:tcW w:w="717" w:type="dxa"/>
            <w:hideMark/>
          </w:tcPr>
          <w:p w14:paraId="72351EAA" w14:textId="77777777" w:rsidR="000D4F98" w:rsidRPr="00D76910" w:rsidRDefault="000D4F98" w:rsidP="00A51250">
            <w:pPr>
              <w:pStyle w:val="NCDTableText"/>
              <w:jc w:val="center"/>
            </w:pPr>
            <w:r w:rsidRPr="00D76910">
              <w:t>—</w:t>
            </w:r>
          </w:p>
        </w:tc>
      </w:tr>
      <w:tr w:rsidR="00D76910" w:rsidRPr="00D76910" w14:paraId="09426C86" w14:textId="77777777" w:rsidTr="00D76910">
        <w:trPr>
          <w:trHeight w:val="314"/>
          <w:jc w:val="center"/>
        </w:trPr>
        <w:tc>
          <w:tcPr>
            <w:tcW w:w="898" w:type="dxa"/>
            <w:hideMark/>
          </w:tcPr>
          <w:p w14:paraId="72D113FA" w14:textId="77777777" w:rsidR="000D4F98" w:rsidRPr="00D76910" w:rsidRDefault="000D4F98" w:rsidP="00D76910">
            <w:pPr>
              <w:pStyle w:val="NCDTableText"/>
            </w:pPr>
            <w:r w:rsidRPr="00D76910">
              <w:t xml:space="preserve">NM </w:t>
            </w:r>
          </w:p>
        </w:tc>
        <w:tc>
          <w:tcPr>
            <w:tcW w:w="904" w:type="dxa"/>
            <w:hideMark/>
          </w:tcPr>
          <w:p w14:paraId="59F84EBC" w14:textId="77777777" w:rsidR="000D4F98" w:rsidRPr="00D76910" w:rsidRDefault="000D4F98" w:rsidP="00A51250">
            <w:pPr>
              <w:pStyle w:val="NCDTableText"/>
              <w:jc w:val="center"/>
            </w:pPr>
            <w:r w:rsidRPr="00D76910">
              <w:t>N</w:t>
            </w:r>
          </w:p>
        </w:tc>
        <w:tc>
          <w:tcPr>
            <w:tcW w:w="1078" w:type="dxa"/>
            <w:hideMark/>
          </w:tcPr>
          <w:p w14:paraId="25F17850" w14:textId="77777777" w:rsidR="000D4F98" w:rsidRPr="00D76910" w:rsidRDefault="000D4F98" w:rsidP="00A51250">
            <w:pPr>
              <w:pStyle w:val="NCDTableText"/>
              <w:jc w:val="center"/>
            </w:pPr>
            <w:r w:rsidRPr="00D76910">
              <w:t>—</w:t>
            </w:r>
          </w:p>
        </w:tc>
        <w:tc>
          <w:tcPr>
            <w:tcW w:w="810" w:type="dxa"/>
            <w:hideMark/>
          </w:tcPr>
          <w:p w14:paraId="3BA14BC3" w14:textId="77777777" w:rsidR="000D4F98" w:rsidRPr="00D76910" w:rsidRDefault="000D4F98" w:rsidP="00A51250">
            <w:pPr>
              <w:pStyle w:val="NCDTableText"/>
              <w:jc w:val="center"/>
            </w:pPr>
            <w:r w:rsidRPr="00D76910">
              <w:t>—</w:t>
            </w:r>
          </w:p>
        </w:tc>
        <w:tc>
          <w:tcPr>
            <w:tcW w:w="586" w:type="dxa"/>
            <w:hideMark/>
          </w:tcPr>
          <w:p w14:paraId="35E4423F" w14:textId="77777777" w:rsidR="000D4F98" w:rsidRPr="00D76910" w:rsidRDefault="000D4F98" w:rsidP="00A51250">
            <w:pPr>
              <w:pStyle w:val="NCDTableText"/>
              <w:jc w:val="center"/>
            </w:pPr>
            <w:r w:rsidRPr="00D76910">
              <w:t>—</w:t>
            </w:r>
          </w:p>
        </w:tc>
        <w:tc>
          <w:tcPr>
            <w:tcW w:w="825" w:type="dxa"/>
            <w:hideMark/>
          </w:tcPr>
          <w:p w14:paraId="10CE2C87" w14:textId="77777777" w:rsidR="000D4F98" w:rsidRPr="00D76910" w:rsidRDefault="000D4F98" w:rsidP="00A51250">
            <w:pPr>
              <w:pStyle w:val="NCDTableText"/>
              <w:jc w:val="center"/>
            </w:pPr>
            <w:r w:rsidRPr="00D76910">
              <w:t>—</w:t>
            </w:r>
          </w:p>
        </w:tc>
        <w:tc>
          <w:tcPr>
            <w:tcW w:w="825" w:type="dxa"/>
            <w:hideMark/>
          </w:tcPr>
          <w:p w14:paraId="508EEF04" w14:textId="77777777" w:rsidR="000D4F98" w:rsidRPr="00D76910" w:rsidRDefault="000D4F98" w:rsidP="00A51250">
            <w:pPr>
              <w:pStyle w:val="NCDTableText"/>
              <w:jc w:val="center"/>
            </w:pPr>
            <w:r w:rsidRPr="00D76910">
              <w:t>—</w:t>
            </w:r>
          </w:p>
        </w:tc>
        <w:tc>
          <w:tcPr>
            <w:tcW w:w="825" w:type="dxa"/>
            <w:hideMark/>
          </w:tcPr>
          <w:p w14:paraId="16743A3B" w14:textId="77777777" w:rsidR="000D4F98" w:rsidRPr="00D76910" w:rsidRDefault="000D4F98" w:rsidP="00A51250">
            <w:pPr>
              <w:pStyle w:val="NCDTableText"/>
              <w:jc w:val="center"/>
            </w:pPr>
            <w:r w:rsidRPr="00D76910">
              <w:t>—</w:t>
            </w:r>
          </w:p>
        </w:tc>
        <w:tc>
          <w:tcPr>
            <w:tcW w:w="905" w:type="dxa"/>
            <w:hideMark/>
          </w:tcPr>
          <w:p w14:paraId="03EAB1BE" w14:textId="77777777" w:rsidR="000D4F98" w:rsidRPr="00D76910" w:rsidRDefault="000D4F98" w:rsidP="00A51250">
            <w:pPr>
              <w:pStyle w:val="NCDTableText"/>
              <w:jc w:val="center"/>
            </w:pPr>
            <w:r w:rsidRPr="00D76910">
              <w:t>—</w:t>
            </w:r>
          </w:p>
        </w:tc>
        <w:tc>
          <w:tcPr>
            <w:tcW w:w="987" w:type="dxa"/>
            <w:hideMark/>
          </w:tcPr>
          <w:p w14:paraId="5DB1845D" w14:textId="77777777" w:rsidR="000D4F98" w:rsidRPr="00D76910" w:rsidRDefault="000D4F98" w:rsidP="00A51250">
            <w:pPr>
              <w:pStyle w:val="NCDTableText"/>
              <w:jc w:val="center"/>
            </w:pPr>
            <w:r w:rsidRPr="00D76910">
              <w:t>—</w:t>
            </w:r>
          </w:p>
        </w:tc>
        <w:tc>
          <w:tcPr>
            <w:tcW w:w="717" w:type="dxa"/>
            <w:hideMark/>
          </w:tcPr>
          <w:p w14:paraId="7E2FC26B" w14:textId="77777777" w:rsidR="000D4F98" w:rsidRPr="00D76910" w:rsidRDefault="000D4F98" w:rsidP="00A51250">
            <w:pPr>
              <w:pStyle w:val="NCDTableText"/>
              <w:jc w:val="center"/>
            </w:pPr>
            <w:r w:rsidRPr="00D76910">
              <w:t>—</w:t>
            </w:r>
          </w:p>
        </w:tc>
      </w:tr>
      <w:tr w:rsidR="00D76910" w:rsidRPr="00D76910" w14:paraId="6A3CD188" w14:textId="77777777" w:rsidTr="00D76910">
        <w:trPr>
          <w:trHeight w:val="314"/>
          <w:jc w:val="center"/>
        </w:trPr>
        <w:tc>
          <w:tcPr>
            <w:tcW w:w="898" w:type="dxa"/>
            <w:hideMark/>
          </w:tcPr>
          <w:p w14:paraId="544A0880" w14:textId="77777777" w:rsidR="000D4F98" w:rsidRPr="00D76910" w:rsidRDefault="000D4F98" w:rsidP="00D76910">
            <w:pPr>
              <w:pStyle w:val="NCDTableText"/>
            </w:pPr>
            <w:r w:rsidRPr="00D76910">
              <w:t xml:space="preserve">NY </w:t>
            </w:r>
          </w:p>
        </w:tc>
        <w:tc>
          <w:tcPr>
            <w:tcW w:w="904" w:type="dxa"/>
            <w:hideMark/>
          </w:tcPr>
          <w:p w14:paraId="3734FCB4" w14:textId="77777777" w:rsidR="000D4F98" w:rsidRPr="00D76910" w:rsidRDefault="000D4F98" w:rsidP="00A51250">
            <w:pPr>
              <w:pStyle w:val="NCDTableText"/>
              <w:jc w:val="center"/>
            </w:pPr>
            <w:r w:rsidRPr="00D76910">
              <w:t>Y</w:t>
            </w:r>
          </w:p>
        </w:tc>
        <w:tc>
          <w:tcPr>
            <w:tcW w:w="1078" w:type="dxa"/>
            <w:hideMark/>
          </w:tcPr>
          <w:p w14:paraId="06CF55F1" w14:textId="77777777" w:rsidR="000D4F98" w:rsidRPr="00D76910" w:rsidRDefault="000D4F98" w:rsidP="00A51250">
            <w:pPr>
              <w:pStyle w:val="NCDTableText"/>
              <w:jc w:val="center"/>
            </w:pPr>
            <w:r w:rsidRPr="00D76910">
              <w:t>—</w:t>
            </w:r>
          </w:p>
        </w:tc>
        <w:tc>
          <w:tcPr>
            <w:tcW w:w="810" w:type="dxa"/>
            <w:hideMark/>
          </w:tcPr>
          <w:p w14:paraId="5B20BC24" w14:textId="77777777" w:rsidR="000D4F98" w:rsidRPr="00D76910" w:rsidRDefault="000D4F98" w:rsidP="00A51250">
            <w:pPr>
              <w:pStyle w:val="NCDTableText"/>
              <w:jc w:val="center"/>
            </w:pPr>
            <w:r w:rsidRPr="00D76910">
              <w:t>—</w:t>
            </w:r>
          </w:p>
        </w:tc>
        <w:tc>
          <w:tcPr>
            <w:tcW w:w="586" w:type="dxa"/>
            <w:hideMark/>
          </w:tcPr>
          <w:p w14:paraId="11DE96C2" w14:textId="77777777" w:rsidR="000D4F98" w:rsidRPr="00D76910" w:rsidRDefault="000D4F98" w:rsidP="00A51250">
            <w:pPr>
              <w:pStyle w:val="NCDTableText"/>
              <w:jc w:val="center"/>
            </w:pPr>
            <w:r w:rsidRPr="00D76910">
              <w:t>—</w:t>
            </w:r>
          </w:p>
        </w:tc>
        <w:tc>
          <w:tcPr>
            <w:tcW w:w="825" w:type="dxa"/>
            <w:hideMark/>
          </w:tcPr>
          <w:p w14:paraId="234A569D" w14:textId="77777777" w:rsidR="000D4F98" w:rsidRPr="00D76910" w:rsidRDefault="000D4F98" w:rsidP="00A51250">
            <w:pPr>
              <w:pStyle w:val="NCDTableText"/>
              <w:jc w:val="center"/>
            </w:pPr>
            <w:r w:rsidRPr="00D76910">
              <w:t>Y</w:t>
            </w:r>
          </w:p>
        </w:tc>
        <w:tc>
          <w:tcPr>
            <w:tcW w:w="825" w:type="dxa"/>
            <w:hideMark/>
          </w:tcPr>
          <w:p w14:paraId="75E9791B" w14:textId="77777777" w:rsidR="000D4F98" w:rsidRPr="00D76910" w:rsidRDefault="000D4F98" w:rsidP="00A51250">
            <w:pPr>
              <w:pStyle w:val="NCDTableText"/>
              <w:jc w:val="center"/>
            </w:pPr>
            <w:r w:rsidRPr="00D76910">
              <w:t>Y</w:t>
            </w:r>
          </w:p>
        </w:tc>
        <w:tc>
          <w:tcPr>
            <w:tcW w:w="825" w:type="dxa"/>
            <w:hideMark/>
          </w:tcPr>
          <w:p w14:paraId="18D80A3B" w14:textId="77777777" w:rsidR="000D4F98" w:rsidRPr="00D76910" w:rsidRDefault="000D4F98" w:rsidP="00A51250">
            <w:pPr>
              <w:pStyle w:val="NCDTableText"/>
              <w:jc w:val="center"/>
            </w:pPr>
            <w:r w:rsidRPr="00D76910">
              <w:t>—</w:t>
            </w:r>
          </w:p>
        </w:tc>
        <w:tc>
          <w:tcPr>
            <w:tcW w:w="905" w:type="dxa"/>
            <w:hideMark/>
          </w:tcPr>
          <w:p w14:paraId="330D31DB" w14:textId="77777777" w:rsidR="000D4F98" w:rsidRPr="00D76910" w:rsidRDefault="000D4F98" w:rsidP="00A51250">
            <w:pPr>
              <w:pStyle w:val="NCDTableText"/>
              <w:jc w:val="center"/>
            </w:pPr>
            <w:r w:rsidRPr="00D76910">
              <w:t>—</w:t>
            </w:r>
          </w:p>
        </w:tc>
        <w:tc>
          <w:tcPr>
            <w:tcW w:w="987" w:type="dxa"/>
            <w:hideMark/>
          </w:tcPr>
          <w:p w14:paraId="1C3E6FC9" w14:textId="77777777" w:rsidR="000D4F98" w:rsidRPr="00D76910" w:rsidRDefault="000D4F98" w:rsidP="00A51250">
            <w:pPr>
              <w:pStyle w:val="NCDTableText"/>
              <w:jc w:val="center"/>
            </w:pPr>
            <w:r w:rsidRPr="00D76910">
              <w:t>—</w:t>
            </w:r>
          </w:p>
        </w:tc>
        <w:tc>
          <w:tcPr>
            <w:tcW w:w="717" w:type="dxa"/>
            <w:hideMark/>
          </w:tcPr>
          <w:p w14:paraId="2253219A" w14:textId="77777777" w:rsidR="000D4F98" w:rsidRPr="00D76910" w:rsidRDefault="000D4F98" w:rsidP="00A51250">
            <w:pPr>
              <w:pStyle w:val="NCDTableText"/>
              <w:jc w:val="center"/>
            </w:pPr>
            <w:r w:rsidRPr="00D76910">
              <w:t>—</w:t>
            </w:r>
          </w:p>
        </w:tc>
      </w:tr>
      <w:tr w:rsidR="00D76910" w:rsidRPr="00D76910" w14:paraId="645744BB" w14:textId="77777777" w:rsidTr="00D76910">
        <w:trPr>
          <w:trHeight w:val="314"/>
          <w:jc w:val="center"/>
        </w:trPr>
        <w:tc>
          <w:tcPr>
            <w:tcW w:w="898" w:type="dxa"/>
            <w:hideMark/>
          </w:tcPr>
          <w:p w14:paraId="3A3F3E46" w14:textId="77777777" w:rsidR="000D4F98" w:rsidRPr="00D76910" w:rsidRDefault="000D4F98" w:rsidP="00D76910">
            <w:pPr>
              <w:pStyle w:val="NCDTableText"/>
            </w:pPr>
            <w:r w:rsidRPr="00D76910">
              <w:t xml:space="preserve">NC </w:t>
            </w:r>
          </w:p>
        </w:tc>
        <w:tc>
          <w:tcPr>
            <w:tcW w:w="904" w:type="dxa"/>
            <w:hideMark/>
          </w:tcPr>
          <w:p w14:paraId="2744E48A" w14:textId="77777777" w:rsidR="000D4F98" w:rsidRPr="00D76910" w:rsidRDefault="000D4F98" w:rsidP="00A51250">
            <w:pPr>
              <w:pStyle w:val="NCDTableText"/>
              <w:jc w:val="center"/>
            </w:pPr>
            <w:r w:rsidRPr="00D76910">
              <w:t>Y</w:t>
            </w:r>
          </w:p>
        </w:tc>
        <w:tc>
          <w:tcPr>
            <w:tcW w:w="1078" w:type="dxa"/>
            <w:hideMark/>
          </w:tcPr>
          <w:p w14:paraId="19004532" w14:textId="77777777" w:rsidR="000D4F98" w:rsidRPr="00D76910" w:rsidRDefault="000D4F98" w:rsidP="00A51250">
            <w:pPr>
              <w:pStyle w:val="NCDTableText"/>
              <w:jc w:val="center"/>
            </w:pPr>
            <w:r w:rsidRPr="00D76910">
              <w:t>—</w:t>
            </w:r>
          </w:p>
        </w:tc>
        <w:tc>
          <w:tcPr>
            <w:tcW w:w="810" w:type="dxa"/>
            <w:hideMark/>
          </w:tcPr>
          <w:p w14:paraId="3A6B5872" w14:textId="77777777" w:rsidR="000D4F98" w:rsidRPr="00D76910" w:rsidRDefault="000D4F98" w:rsidP="00A51250">
            <w:pPr>
              <w:pStyle w:val="NCDTableText"/>
              <w:jc w:val="center"/>
            </w:pPr>
            <w:r w:rsidRPr="00D76910">
              <w:t>—</w:t>
            </w:r>
          </w:p>
        </w:tc>
        <w:tc>
          <w:tcPr>
            <w:tcW w:w="586" w:type="dxa"/>
            <w:hideMark/>
          </w:tcPr>
          <w:p w14:paraId="432CD99E" w14:textId="77777777" w:rsidR="000D4F98" w:rsidRPr="00D76910" w:rsidRDefault="000D4F98" w:rsidP="00A51250">
            <w:pPr>
              <w:pStyle w:val="NCDTableText"/>
              <w:jc w:val="center"/>
            </w:pPr>
            <w:r w:rsidRPr="00D76910">
              <w:t>—</w:t>
            </w:r>
          </w:p>
        </w:tc>
        <w:tc>
          <w:tcPr>
            <w:tcW w:w="825" w:type="dxa"/>
            <w:hideMark/>
          </w:tcPr>
          <w:p w14:paraId="2AA551D3" w14:textId="77777777" w:rsidR="000D4F98" w:rsidRPr="00D76910" w:rsidRDefault="000D4F98" w:rsidP="00A51250">
            <w:pPr>
              <w:pStyle w:val="NCDTableText"/>
              <w:jc w:val="center"/>
            </w:pPr>
            <w:r w:rsidRPr="00D76910">
              <w:t>Y</w:t>
            </w:r>
          </w:p>
        </w:tc>
        <w:tc>
          <w:tcPr>
            <w:tcW w:w="825" w:type="dxa"/>
            <w:hideMark/>
          </w:tcPr>
          <w:p w14:paraId="2340D3CF" w14:textId="77777777" w:rsidR="000D4F98" w:rsidRPr="00D76910" w:rsidRDefault="000D4F98" w:rsidP="00A51250">
            <w:pPr>
              <w:pStyle w:val="NCDTableText"/>
              <w:jc w:val="center"/>
            </w:pPr>
            <w:r w:rsidRPr="00D76910">
              <w:t>—</w:t>
            </w:r>
          </w:p>
        </w:tc>
        <w:tc>
          <w:tcPr>
            <w:tcW w:w="825" w:type="dxa"/>
            <w:hideMark/>
          </w:tcPr>
          <w:p w14:paraId="090A82F8" w14:textId="77777777" w:rsidR="000D4F98" w:rsidRPr="00D76910" w:rsidRDefault="000D4F98" w:rsidP="00A51250">
            <w:pPr>
              <w:pStyle w:val="NCDTableText"/>
              <w:jc w:val="center"/>
            </w:pPr>
            <w:r w:rsidRPr="00D76910">
              <w:t>—</w:t>
            </w:r>
          </w:p>
        </w:tc>
        <w:tc>
          <w:tcPr>
            <w:tcW w:w="905" w:type="dxa"/>
            <w:hideMark/>
          </w:tcPr>
          <w:p w14:paraId="734F249B" w14:textId="77777777" w:rsidR="000D4F98" w:rsidRPr="00D76910" w:rsidRDefault="000D4F98" w:rsidP="00A51250">
            <w:pPr>
              <w:pStyle w:val="NCDTableText"/>
              <w:jc w:val="center"/>
            </w:pPr>
            <w:r w:rsidRPr="00D76910">
              <w:t>—</w:t>
            </w:r>
          </w:p>
        </w:tc>
        <w:tc>
          <w:tcPr>
            <w:tcW w:w="987" w:type="dxa"/>
            <w:hideMark/>
          </w:tcPr>
          <w:p w14:paraId="3E3C3735" w14:textId="77777777" w:rsidR="000D4F98" w:rsidRPr="00D76910" w:rsidRDefault="000D4F98" w:rsidP="00A51250">
            <w:pPr>
              <w:pStyle w:val="NCDTableText"/>
              <w:jc w:val="center"/>
            </w:pPr>
            <w:r w:rsidRPr="00D76910">
              <w:t>—</w:t>
            </w:r>
          </w:p>
        </w:tc>
        <w:tc>
          <w:tcPr>
            <w:tcW w:w="717" w:type="dxa"/>
            <w:hideMark/>
          </w:tcPr>
          <w:p w14:paraId="271ED17C" w14:textId="77777777" w:rsidR="000D4F98" w:rsidRPr="00D76910" w:rsidRDefault="000D4F98" w:rsidP="00A51250">
            <w:pPr>
              <w:pStyle w:val="NCDTableText"/>
              <w:jc w:val="center"/>
            </w:pPr>
            <w:r w:rsidRPr="00D76910">
              <w:t>—</w:t>
            </w:r>
          </w:p>
        </w:tc>
      </w:tr>
      <w:tr w:rsidR="00D76910" w:rsidRPr="00D76910" w14:paraId="0D3C9F11" w14:textId="77777777" w:rsidTr="00D76910">
        <w:trPr>
          <w:trHeight w:val="314"/>
          <w:jc w:val="center"/>
        </w:trPr>
        <w:tc>
          <w:tcPr>
            <w:tcW w:w="898" w:type="dxa"/>
            <w:hideMark/>
          </w:tcPr>
          <w:p w14:paraId="02F4AD1A" w14:textId="77777777" w:rsidR="000D4F98" w:rsidRPr="00D76910" w:rsidRDefault="000D4F98" w:rsidP="00D76910">
            <w:pPr>
              <w:pStyle w:val="NCDTableText"/>
            </w:pPr>
            <w:r w:rsidRPr="00D76910">
              <w:t>ND</w:t>
            </w:r>
          </w:p>
        </w:tc>
        <w:tc>
          <w:tcPr>
            <w:tcW w:w="904" w:type="dxa"/>
            <w:hideMark/>
          </w:tcPr>
          <w:p w14:paraId="7FA178E3" w14:textId="77777777" w:rsidR="000D4F98" w:rsidRPr="00D76910" w:rsidRDefault="000D4F98" w:rsidP="00A51250">
            <w:pPr>
              <w:pStyle w:val="NCDTableText"/>
              <w:jc w:val="center"/>
            </w:pPr>
            <w:r w:rsidRPr="00D76910">
              <w:t>N</w:t>
            </w:r>
          </w:p>
        </w:tc>
        <w:tc>
          <w:tcPr>
            <w:tcW w:w="1078" w:type="dxa"/>
            <w:hideMark/>
          </w:tcPr>
          <w:p w14:paraId="70A79061" w14:textId="77777777" w:rsidR="000D4F98" w:rsidRPr="00D76910" w:rsidRDefault="000D4F98" w:rsidP="00A51250">
            <w:pPr>
              <w:pStyle w:val="NCDTableText"/>
              <w:jc w:val="center"/>
            </w:pPr>
            <w:r w:rsidRPr="00D76910">
              <w:t>—</w:t>
            </w:r>
          </w:p>
        </w:tc>
        <w:tc>
          <w:tcPr>
            <w:tcW w:w="810" w:type="dxa"/>
            <w:hideMark/>
          </w:tcPr>
          <w:p w14:paraId="675ACA01" w14:textId="77777777" w:rsidR="000D4F98" w:rsidRPr="00D76910" w:rsidRDefault="000D4F98" w:rsidP="00A51250">
            <w:pPr>
              <w:pStyle w:val="NCDTableText"/>
              <w:jc w:val="center"/>
            </w:pPr>
            <w:r w:rsidRPr="00D76910">
              <w:t>—</w:t>
            </w:r>
          </w:p>
        </w:tc>
        <w:tc>
          <w:tcPr>
            <w:tcW w:w="586" w:type="dxa"/>
            <w:hideMark/>
          </w:tcPr>
          <w:p w14:paraId="21047071" w14:textId="77777777" w:rsidR="000D4F98" w:rsidRPr="00D76910" w:rsidRDefault="000D4F98" w:rsidP="00A51250">
            <w:pPr>
              <w:pStyle w:val="NCDTableText"/>
              <w:jc w:val="center"/>
            </w:pPr>
            <w:r w:rsidRPr="00D76910">
              <w:t>—</w:t>
            </w:r>
          </w:p>
        </w:tc>
        <w:tc>
          <w:tcPr>
            <w:tcW w:w="825" w:type="dxa"/>
            <w:hideMark/>
          </w:tcPr>
          <w:p w14:paraId="425A5DFE" w14:textId="77777777" w:rsidR="000D4F98" w:rsidRPr="00D76910" w:rsidRDefault="000D4F98" w:rsidP="00A51250">
            <w:pPr>
              <w:pStyle w:val="NCDTableText"/>
              <w:jc w:val="center"/>
            </w:pPr>
            <w:r w:rsidRPr="00D76910">
              <w:t>—</w:t>
            </w:r>
          </w:p>
        </w:tc>
        <w:tc>
          <w:tcPr>
            <w:tcW w:w="825" w:type="dxa"/>
            <w:hideMark/>
          </w:tcPr>
          <w:p w14:paraId="1FD4A2EE" w14:textId="77777777" w:rsidR="000D4F98" w:rsidRPr="00D76910" w:rsidRDefault="000D4F98" w:rsidP="00A51250">
            <w:pPr>
              <w:pStyle w:val="NCDTableText"/>
              <w:jc w:val="center"/>
            </w:pPr>
            <w:r w:rsidRPr="00D76910">
              <w:t>—</w:t>
            </w:r>
          </w:p>
        </w:tc>
        <w:tc>
          <w:tcPr>
            <w:tcW w:w="825" w:type="dxa"/>
            <w:hideMark/>
          </w:tcPr>
          <w:p w14:paraId="3B7B4D24" w14:textId="77777777" w:rsidR="000D4F98" w:rsidRPr="00D76910" w:rsidRDefault="000D4F98" w:rsidP="00A51250">
            <w:pPr>
              <w:pStyle w:val="NCDTableText"/>
              <w:jc w:val="center"/>
            </w:pPr>
            <w:r w:rsidRPr="00D76910">
              <w:t>—</w:t>
            </w:r>
          </w:p>
        </w:tc>
        <w:tc>
          <w:tcPr>
            <w:tcW w:w="905" w:type="dxa"/>
            <w:hideMark/>
          </w:tcPr>
          <w:p w14:paraId="044B3F44" w14:textId="77777777" w:rsidR="000D4F98" w:rsidRPr="00D76910" w:rsidRDefault="000D4F98" w:rsidP="00A51250">
            <w:pPr>
              <w:pStyle w:val="NCDTableText"/>
              <w:jc w:val="center"/>
            </w:pPr>
            <w:r w:rsidRPr="00D76910">
              <w:t>—</w:t>
            </w:r>
          </w:p>
        </w:tc>
        <w:tc>
          <w:tcPr>
            <w:tcW w:w="987" w:type="dxa"/>
            <w:hideMark/>
          </w:tcPr>
          <w:p w14:paraId="55C6B75E" w14:textId="77777777" w:rsidR="000D4F98" w:rsidRPr="00D76910" w:rsidRDefault="000D4F98" w:rsidP="00A51250">
            <w:pPr>
              <w:pStyle w:val="NCDTableText"/>
              <w:jc w:val="center"/>
            </w:pPr>
            <w:r w:rsidRPr="00D76910">
              <w:t>—</w:t>
            </w:r>
          </w:p>
        </w:tc>
        <w:tc>
          <w:tcPr>
            <w:tcW w:w="717" w:type="dxa"/>
            <w:hideMark/>
          </w:tcPr>
          <w:p w14:paraId="43757CAC" w14:textId="77777777" w:rsidR="000D4F98" w:rsidRPr="00D76910" w:rsidRDefault="000D4F98" w:rsidP="00A51250">
            <w:pPr>
              <w:pStyle w:val="NCDTableText"/>
              <w:jc w:val="center"/>
            </w:pPr>
            <w:r w:rsidRPr="00D76910">
              <w:t>—</w:t>
            </w:r>
          </w:p>
        </w:tc>
      </w:tr>
      <w:tr w:rsidR="00D76910" w:rsidRPr="00D76910" w14:paraId="544D7B46" w14:textId="77777777" w:rsidTr="00D76910">
        <w:trPr>
          <w:trHeight w:val="314"/>
          <w:jc w:val="center"/>
        </w:trPr>
        <w:tc>
          <w:tcPr>
            <w:tcW w:w="898" w:type="dxa"/>
            <w:hideMark/>
          </w:tcPr>
          <w:p w14:paraId="69AEF4B6" w14:textId="77777777" w:rsidR="000D4F98" w:rsidRPr="00D76910" w:rsidRDefault="000D4F98" w:rsidP="00D76910">
            <w:pPr>
              <w:pStyle w:val="NCDTableText"/>
            </w:pPr>
            <w:r w:rsidRPr="00D76910">
              <w:t>OH</w:t>
            </w:r>
          </w:p>
        </w:tc>
        <w:tc>
          <w:tcPr>
            <w:tcW w:w="904" w:type="dxa"/>
            <w:hideMark/>
          </w:tcPr>
          <w:p w14:paraId="77EEEA64" w14:textId="77777777" w:rsidR="000D4F98" w:rsidRPr="00D76910" w:rsidRDefault="000D4F98" w:rsidP="00A51250">
            <w:pPr>
              <w:pStyle w:val="NCDTableText"/>
              <w:jc w:val="center"/>
            </w:pPr>
            <w:r w:rsidRPr="00D76910">
              <w:t>Y</w:t>
            </w:r>
          </w:p>
        </w:tc>
        <w:tc>
          <w:tcPr>
            <w:tcW w:w="1078" w:type="dxa"/>
            <w:hideMark/>
          </w:tcPr>
          <w:p w14:paraId="23A2FD55" w14:textId="77777777" w:rsidR="000D4F98" w:rsidRPr="00D76910" w:rsidRDefault="000D4F98" w:rsidP="00A51250">
            <w:pPr>
              <w:pStyle w:val="NCDTableText"/>
              <w:jc w:val="center"/>
            </w:pPr>
            <w:r w:rsidRPr="00D76910">
              <w:t>—</w:t>
            </w:r>
          </w:p>
        </w:tc>
        <w:tc>
          <w:tcPr>
            <w:tcW w:w="810" w:type="dxa"/>
            <w:hideMark/>
          </w:tcPr>
          <w:p w14:paraId="3EDD7B39" w14:textId="77777777" w:rsidR="000D4F98" w:rsidRPr="00D76910" w:rsidRDefault="000D4F98" w:rsidP="00A51250">
            <w:pPr>
              <w:pStyle w:val="NCDTableText"/>
              <w:jc w:val="center"/>
            </w:pPr>
            <w:r w:rsidRPr="00D76910">
              <w:t>—</w:t>
            </w:r>
          </w:p>
        </w:tc>
        <w:tc>
          <w:tcPr>
            <w:tcW w:w="586" w:type="dxa"/>
            <w:hideMark/>
          </w:tcPr>
          <w:p w14:paraId="51CD0F46" w14:textId="77777777" w:rsidR="000D4F98" w:rsidRPr="00D76910" w:rsidRDefault="000D4F98" w:rsidP="00A51250">
            <w:pPr>
              <w:pStyle w:val="NCDTableText"/>
              <w:jc w:val="center"/>
            </w:pPr>
            <w:r w:rsidRPr="00D76910">
              <w:t>—</w:t>
            </w:r>
          </w:p>
        </w:tc>
        <w:tc>
          <w:tcPr>
            <w:tcW w:w="825" w:type="dxa"/>
            <w:hideMark/>
          </w:tcPr>
          <w:p w14:paraId="42CFDAE7" w14:textId="77777777" w:rsidR="000D4F98" w:rsidRPr="00D76910" w:rsidRDefault="000D4F98" w:rsidP="00A51250">
            <w:pPr>
              <w:pStyle w:val="NCDTableText"/>
              <w:jc w:val="center"/>
            </w:pPr>
            <w:r w:rsidRPr="00D76910">
              <w:t>Y</w:t>
            </w:r>
          </w:p>
        </w:tc>
        <w:tc>
          <w:tcPr>
            <w:tcW w:w="825" w:type="dxa"/>
            <w:hideMark/>
          </w:tcPr>
          <w:p w14:paraId="3B0DAE07" w14:textId="77777777" w:rsidR="000D4F98" w:rsidRPr="00D76910" w:rsidRDefault="000D4F98" w:rsidP="00A51250">
            <w:pPr>
              <w:pStyle w:val="NCDTableText"/>
              <w:jc w:val="center"/>
            </w:pPr>
            <w:r w:rsidRPr="00D76910">
              <w:t>—</w:t>
            </w:r>
          </w:p>
        </w:tc>
        <w:tc>
          <w:tcPr>
            <w:tcW w:w="825" w:type="dxa"/>
            <w:hideMark/>
          </w:tcPr>
          <w:p w14:paraId="16DA21C8" w14:textId="77777777" w:rsidR="000D4F98" w:rsidRPr="00D76910" w:rsidRDefault="000D4F98" w:rsidP="00A51250">
            <w:pPr>
              <w:pStyle w:val="NCDTableText"/>
              <w:jc w:val="center"/>
            </w:pPr>
            <w:r w:rsidRPr="00D76910">
              <w:t>—</w:t>
            </w:r>
          </w:p>
        </w:tc>
        <w:tc>
          <w:tcPr>
            <w:tcW w:w="905" w:type="dxa"/>
            <w:hideMark/>
          </w:tcPr>
          <w:p w14:paraId="494EA3F6" w14:textId="77777777" w:rsidR="000D4F98" w:rsidRPr="00D76910" w:rsidRDefault="000D4F98" w:rsidP="00A51250">
            <w:pPr>
              <w:pStyle w:val="NCDTableText"/>
              <w:jc w:val="center"/>
            </w:pPr>
            <w:r w:rsidRPr="00D76910">
              <w:t>—</w:t>
            </w:r>
          </w:p>
        </w:tc>
        <w:tc>
          <w:tcPr>
            <w:tcW w:w="987" w:type="dxa"/>
            <w:hideMark/>
          </w:tcPr>
          <w:p w14:paraId="68F4F7F2" w14:textId="77777777" w:rsidR="000D4F98" w:rsidRPr="00D76910" w:rsidRDefault="000D4F98" w:rsidP="00A51250">
            <w:pPr>
              <w:pStyle w:val="NCDTableText"/>
              <w:jc w:val="center"/>
            </w:pPr>
            <w:r w:rsidRPr="00D76910">
              <w:t>—</w:t>
            </w:r>
          </w:p>
        </w:tc>
        <w:tc>
          <w:tcPr>
            <w:tcW w:w="717" w:type="dxa"/>
            <w:hideMark/>
          </w:tcPr>
          <w:p w14:paraId="18D8E81E" w14:textId="77777777" w:rsidR="000D4F98" w:rsidRPr="00D76910" w:rsidRDefault="000D4F98" w:rsidP="00A51250">
            <w:pPr>
              <w:pStyle w:val="NCDTableText"/>
              <w:jc w:val="center"/>
            </w:pPr>
            <w:r w:rsidRPr="00D76910">
              <w:t>—</w:t>
            </w:r>
          </w:p>
        </w:tc>
      </w:tr>
      <w:tr w:rsidR="00D76910" w:rsidRPr="00D76910" w14:paraId="452FC3CD" w14:textId="77777777" w:rsidTr="00D76910">
        <w:trPr>
          <w:trHeight w:val="314"/>
          <w:jc w:val="center"/>
        </w:trPr>
        <w:tc>
          <w:tcPr>
            <w:tcW w:w="898" w:type="dxa"/>
            <w:hideMark/>
          </w:tcPr>
          <w:p w14:paraId="3B7F04FF" w14:textId="77777777" w:rsidR="000D4F98" w:rsidRPr="00D76910" w:rsidRDefault="000D4F98" w:rsidP="00D76910">
            <w:pPr>
              <w:pStyle w:val="NCDTableText"/>
            </w:pPr>
            <w:r w:rsidRPr="00D76910">
              <w:t>OK</w:t>
            </w:r>
          </w:p>
        </w:tc>
        <w:tc>
          <w:tcPr>
            <w:tcW w:w="904" w:type="dxa"/>
            <w:hideMark/>
          </w:tcPr>
          <w:p w14:paraId="12EF78F1" w14:textId="77777777" w:rsidR="000D4F98" w:rsidRPr="00D76910" w:rsidRDefault="000D4F98" w:rsidP="00A51250">
            <w:pPr>
              <w:pStyle w:val="NCDTableText"/>
              <w:jc w:val="center"/>
            </w:pPr>
            <w:r w:rsidRPr="00D76910">
              <w:t>Y</w:t>
            </w:r>
          </w:p>
        </w:tc>
        <w:tc>
          <w:tcPr>
            <w:tcW w:w="1078" w:type="dxa"/>
            <w:hideMark/>
          </w:tcPr>
          <w:p w14:paraId="07FF61E9" w14:textId="77777777" w:rsidR="000D4F98" w:rsidRPr="00D76910" w:rsidRDefault="000D4F98" w:rsidP="00A51250">
            <w:pPr>
              <w:pStyle w:val="NCDTableText"/>
              <w:jc w:val="center"/>
            </w:pPr>
            <w:r w:rsidRPr="00D76910">
              <w:t>—</w:t>
            </w:r>
          </w:p>
        </w:tc>
        <w:tc>
          <w:tcPr>
            <w:tcW w:w="810" w:type="dxa"/>
            <w:hideMark/>
          </w:tcPr>
          <w:p w14:paraId="6B5BEF80" w14:textId="77777777" w:rsidR="000D4F98" w:rsidRPr="00D76910" w:rsidRDefault="000D4F98" w:rsidP="00A51250">
            <w:pPr>
              <w:pStyle w:val="NCDTableText"/>
              <w:jc w:val="center"/>
            </w:pPr>
            <w:r w:rsidRPr="00D76910">
              <w:t>—</w:t>
            </w:r>
          </w:p>
        </w:tc>
        <w:tc>
          <w:tcPr>
            <w:tcW w:w="586" w:type="dxa"/>
            <w:hideMark/>
          </w:tcPr>
          <w:p w14:paraId="40FFE2C2" w14:textId="77777777" w:rsidR="000D4F98" w:rsidRPr="00D76910" w:rsidRDefault="000D4F98" w:rsidP="00A51250">
            <w:pPr>
              <w:pStyle w:val="NCDTableText"/>
              <w:jc w:val="center"/>
            </w:pPr>
            <w:r w:rsidRPr="00D76910">
              <w:t>—</w:t>
            </w:r>
          </w:p>
        </w:tc>
        <w:tc>
          <w:tcPr>
            <w:tcW w:w="825" w:type="dxa"/>
            <w:hideMark/>
          </w:tcPr>
          <w:p w14:paraId="33AAFD7A" w14:textId="77777777" w:rsidR="000D4F98" w:rsidRPr="00D76910" w:rsidRDefault="000D4F98" w:rsidP="00A51250">
            <w:pPr>
              <w:pStyle w:val="NCDTableText"/>
              <w:jc w:val="center"/>
            </w:pPr>
            <w:r w:rsidRPr="00D76910">
              <w:t>Y</w:t>
            </w:r>
          </w:p>
        </w:tc>
        <w:tc>
          <w:tcPr>
            <w:tcW w:w="825" w:type="dxa"/>
            <w:hideMark/>
          </w:tcPr>
          <w:p w14:paraId="41CAF25C" w14:textId="77777777" w:rsidR="000D4F98" w:rsidRPr="00D76910" w:rsidRDefault="000D4F98" w:rsidP="00A51250">
            <w:pPr>
              <w:pStyle w:val="NCDTableText"/>
              <w:jc w:val="center"/>
            </w:pPr>
            <w:r w:rsidRPr="00D76910">
              <w:t>—</w:t>
            </w:r>
          </w:p>
        </w:tc>
        <w:tc>
          <w:tcPr>
            <w:tcW w:w="825" w:type="dxa"/>
            <w:hideMark/>
          </w:tcPr>
          <w:p w14:paraId="21C08060" w14:textId="77777777" w:rsidR="000D4F98" w:rsidRPr="00D76910" w:rsidRDefault="000D4F98" w:rsidP="00A51250">
            <w:pPr>
              <w:pStyle w:val="NCDTableText"/>
              <w:jc w:val="center"/>
            </w:pPr>
            <w:r w:rsidRPr="00D76910">
              <w:t>Y</w:t>
            </w:r>
          </w:p>
        </w:tc>
        <w:tc>
          <w:tcPr>
            <w:tcW w:w="905" w:type="dxa"/>
            <w:hideMark/>
          </w:tcPr>
          <w:p w14:paraId="7109AB41" w14:textId="77777777" w:rsidR="000D4F98" w:rsidRPr="00D76910" w:rsidRDefault="000D4F98" w:rsidP="00A51250">
            <w:pPr>
              <w:pStyle w:val="NCDTableText"/>
              <w:jc w:val="center"/>
            </w:pPr>
            <w:r w:rsidRPr="00D76910">
              <w:t>—</w:t>
            </w:r>
          </w:p>
        </w:tc>
        <w:tc>
          <w:tcPr>
            <w:tcW w:w="987" w:type="dxa"/>
            <w:hideMark/>
          </w:tcPr>
          <w:p w14:paraId="1AFBC84A" w14:textId="77777777" w:rsidR="000D4F98" w:rsidRPr="00D76910" w:rsidRDefault="000D4F98" w:rsidP="00A51250">
            <w:pPr>
              <w:pStyle w:val="NCDTableText"/>
              <w:jc w:val="center"/>
            </w:pPr>
            <w:r w:rsidRPr="00D76910">
              <w:t>—</w:t>
            </w:r>
          </w:p>
        </w:tc>
        <w:tc>
          <w:tcPr>
            <w:tcW w:w="717" w:type="dxa"/>
            <w:hideMark/>
          </w:tcPr>
          <w:p w14:paraId="483F731C" w14:textId="77777777" w:rsidR="000D4F98" w:rsidRPr="00D76910" w:rsidRDefault="000D4F98" w:rsidP="00A51250">
            <w:pPr>
              <w:pStyle w:val="NCDTableText"/>
              <w:jc w:val="center"/>
            </w:pPr>
            <w:r w:rsidRPr="00D76910">
              <w:t>—</w:t>
            </w:r>
          </w:p>
        </w:tc>
      </w:tr>
      <w:tr w:rsidR="00D76910" w:rsidRPr="00D76910" w14:paraId="3E840207" w14:textId="77777777" w:rsidTr="00D76910">
        <w:trPr>
          <w:trHeight w:val="314"/>
          <w:jc w:val="center"/>
        </w:trPr>
        <w:tc>
          <w:tcPr>
            <w:tcW w:w="898" w:type="dxa"/>
            <w:hideMark/>
          </w:tcPr>
          <w:p w14:paraId="54776604" w14:textId="77777777" w:rsidR="000D4F98" w:rsidRPr="00D76910" w:rsidRDefault="000D4F98" w:rsidP="00D76910">
            <w:pPr>
              <w:pStyle w:val="NCDTableText"/>
            </w:pPr>
            <w:r w:rsidRPr="00D76910">
              <w:t xml:space="preserve">OR </w:t>
            </w:r>
          </w:p>
        </w:tc>
        <w:tc>
          <w:tcPr>
            <w:tcW w:w="904" w:type="dxa"/>
            <w:hideMark/>
          </w:tcPr>
          <w:p w14:paraId="0391796E" w14:textId="77777777" w:rsidR="000D4F98" w:rsidRPr="00D76910" w:rsidRDefault="000D4F98" w:rsidP="00A51250">
            <w:pPr>
              <w:pStyle w:val="NCDTableText"/>
              <w:jc w:val="center"/>
            </w:pPr>
            <w:r w:rsidRPr="00D76910">
              <w:t>N</w:t>
            </w:r>
          </w:p>
        </w:tc>
        <w:tc>
          <w:tcPr>
            <w:tcW w:w="1078" w:type="dxa"/>
            <w:hideMark/>
          </w:tcPr>
          <w:p w14:paraId="7EEC197E" w14:textId="77777777" w:rsidR="000D4F98" w:rsidRPr="00D76910" w:rsidRDefault="000D4F98" w:rsidP="00A51250">
            <w:pPr>
              <w:pStyle w:val="NCDTableText"/>
              <w:jc w:val="center"/>
            </w:pPr>
            <w:r w:rsidRPr="00D76910">
              <w:t>—</w:t>
            </w:r>
          </w:p>
        </w:tc>
        <w:tc>
          <w:tcPr>
            <w:tcW w:w="810" w:type="dxa"/>
            <w:hideMark/>
          </w:tcPr>
          <w:p w14:paraId="429B013E" w14:textId="77777777" w:rsidR="000D4F98" w:rsidRPr="00D76910" w:rsidRDefault="000D4F98" w:rsidP="00A51250">
            <w:pPr>
              <w:pStyle w:val="NCDTableText"/>
              <w:jc w:val="center"/>
            </w:pPr>
            <w:r w:rsidRPr="00D76910">
              <w:t>—</w:t>
            </w:r>
          </w:p>
        </w:tc>
        <w:tc>
          <w:tcPr>
            <w:tcW w:w="586" w:type="dxa"/>
            <w:hideMark/>
          </w:tcPr>
          <w:p w14:paraId="4F8B74C6" w14:textId="77777777" w:rsidR="000D4F98" w:rsidRPr="00D76910" w:rsidRDefault="000D4F98" w:rsidP="00A51250">
            <w:pPr>
              <w:pStyle w:val="NCDTableText"/>
              <w:jc w:val="center"/>
            </w:pPr>
            <w:r w:rsidRPr="00D76910">
              <w:t>—</w:t>
            </w:r>
          </w:p>
        </w:tc>
        <w:tc>
          <w:tcPr>
            <w:tcW w:w="825" w:type="dxa"/>
            <w:hideMark/>
          </w:tcPr>
          <w:p w14:paraId="340BB42F" w14:textId="77777777" w:rsidR="000D4F98" w:rsidRPr="00D76910" w:rsidRDefault="000D4F98" w:rsidP="00A51250">
            <w:pPr>
              <w:pStyle w:val="NCDTableText"/>
              <w:jc w:val="center"/>
            </w:pPr>
            <w:r w:rsidRPr="00D76910">
              <w:t>—</w:t>
            </w:r>
          </w:p>
        </w:tc>
        <w:tc>
          <w:tcPr>
            <w:tcW w:w="825" w:type="dxa"/>
            <w:hideMark/>
          </w:tcPr>
          <w:p w14:paraId="400C4A43" w14:textId="77777777" w:rsidR="000D4F98" w:rsidRPr="00D76910" w:rsidRDefault="000D4F98" w:rsidP="00A51250">
            <w:pPr>
              <w:pStyle w:val="NCDTableText"/>
              <w:jc w:val="center"/>
            </w:pPr>
            <w:r w:rsidRPr="00D76910">
              <w:t>—</w:t>
            </w:r>
          </w:p>
        </w:tc>
        <w:tc>
          <w:tcPr>
            <w:tcW w:w="825" w:type="dxa"/>
            <w:hideMark/>
          </w:tcPr>
          <w:p w14:paraId="3289C85A" w14:textId="77777777" w:rsidR="000D4F98" w:rsidRPr="00D76910" w:rsidRDefault="000D4F98" w:rsidP="00A51250">
            <w:pPr>
              <w:pStyle w:val="NCDTableText"/>
              <w:jc w:val="center"/>
            </w:pPr>
            <w:r w:rsidRPr="00D76910">
              <w:t>—</w:t>
            </w:r>
          </w:p>
        </w:tc>
        <w:tc>
          <w:tcPr>
            <w:tcW w:w="905" w:type="dxa"/>
            <w:hideMark/>
          </w:tcPr>
          <w:p w14:paraId="6AD800A1" w14:textId="77777777" w:rsidR="000D4F98" w:rsidRPr="00D76910" w:rsidRDefault="000D4F98" w:rsidP="00A51250">
            <w:pPr>
              <w:pStyle w:val="NCDTableText"/>
              <w:jc w:val="center"/>
            </w:pPr>
            <w:r w:rsidRPr="00D76910">
              <w:t>—</w:t>
            </w:r>
          </w:p>
        </w:tc>
        <w:tc>
          <w:tcPr>
            <w:tcW w:w="987" w:type="dxa"/>
            <w:hideMark/>
          </w:tcPr>
          <w:p w14:paraId="7B9D1BD1" w14:textId="77777777" w:rsidR="000D4F98" w:rsidRPr="00D76910" w:rsidRDefault="000D4F98" w:rsidP="00A51250">
            <w:pPr>
              <w:pStyle w:val="NCDTableText"/>
              <w:jc w:val="center"/>
            </w:pPr>
            <w:r w:rsidRPr="00D76910">
              <w:t>—</w:t>
            </w:r>
          </w:p>
        </w:tc>
        <w:tc>
          <w:tcPr>
            <w:tcW w:w="717" w:type="dxa"/>
            <w:hideMark/>
          </w:tcPr>
          <w:p w14:paraId="55412061" w14:textId="77777777" w:rsidR="000D4F98" w:rsidRPr="00D76910" w:rsidRDefault="000D4F98" w:rsidP="00A51250">
            <w:pPr>
              <w:pStyle w:val="NCDTableText"/>
              <w:jc w:val="center"/>
            </w:pPr>
            <w:r w:rsidRPr="00D76910">
              <w:t>—</w:t>
            </w:r>
          </w:p>
        </w:tc>
      </w:tr>
      <w:tr w:rsidR="00D76910" w:rsidRPr="00D76910" w14:paraId="571CC918" w14:textId="77777777" w:rsidTr="00D76910">
        <w:trPr>
          <w:trHeight w:val="314"/>
          <w:jc w:val="center"/>
        </w:trPr>
        <w:tc>
          <w:tcPr>
            <w:tcW w:w="898" w:type="dxa"/>
            <w:hideMark/>
          </w:tcPr>
          <w:p w14:paraId="694EA9BF" w14:textId="77777777" w:rsidR="000D4F98" w:rsidRPr="00D76910" w:rsidRDefault="000D4F98" w:rsidP="00D76910">
            <w:pPr>
              <w:pStyle w:val="NCDTableText"/>
            </w:pPr>
            <w:r w:rsidRPr="00D76910">
              <w:t>PA</w:t>
            </w:r>
          </w:p>
        </w:tc>
        <w:tc>
          <w:tcPr>
            <w:tcW w:w="904" w:type="dxa"/>
            <w:hideMark/>
          </w:tcPr>
          <w:p w14:paraId="09D2F11C" w14:textId="77777777" w:rsidR="000D4F98" w:rsidRPr="00D76910" w:rsidRDefault="000D4F98" w:rsidP="00A51250">
            <w:pPr>
              <w:pStyle w:val="NCDTableText"/>
              <w:jc w:val="center"/>
            </w:pPr>
            <w:r w:rsidRPr="00D76910">
              <w:t>Y</w:t>
            </w:r>
          </w:p>
        </w:tc>
        <w:tc>
          <w:tcPr>
            <w:tcW w:w="1078" w:type="dxa"/>
            <w:hideMark/>
          </w:tcPr>
          <w:p w14:paraId="7C788826" w14:textId="77777777" w:rsidR="000D4F98" w:rsidRPr="00D76910" w:rsidRDefault="000D4F98" w:rsidP="00A51250">
            <w:pPr>
              <w:pStyle w:val="NCDTableText"/>
              <w:jc w:val="center"/>
            </w:pPr>
            <w:r w:rsidRPr="00D76910">
              <w:t>—</w:t>
            </w:r>
          </w:p>
        </w:tc>
        <w:tc>
          <w:tcPr>
            <w:tcW w:w="810" w:type="dxa"/>
            <w:hideMark/>
          </w:tcPr>
          <w:p w14:paraId="370C16DC" w14:textId="77777777" w:rsidR="000D4F98" w:rsidRPr="00D76910" w:rsidRDefault="000D4F98" w:rsidP="00A51250">
            <w:pPr>
              <w:pStyle w:val="NCDTableText"/>
              <w:jc w:val="center"/>
            </w:pPr>
            <w:r w:rsidRPr="00D76910">
              <w:t>—</w:t>
            </w:r>
          </w:p>
        </w:tc>
        <w:tc>
          <w:tcPr>
            <w:tcW w:w="586" w:type="dxa"/>
            <w:hideMark/>
          </w:tcPr>
          <w:p w14:paraId="65D5D5E7" w14:textId="77777777" w:rsidR="000D4F98" w:rsidRPr="00D76910" w:rsidRDefault="000D4F98" w:rsidP="00A51250">
            <w:pPr>
              <w:pStyle w:val="NCDTableText"/>
              <w:jc w:val="center"/>
            </w:pPr>
            <w:r w:rsidRPr="00D76910">
              <w:t>—</w:t>
            </w:r>
          </w:p>
        </w:tc>
        <w:tc>
          <w:tcPr>
            <w:tcW w:w="825" w:type="dxa"/>
            <w:hideMark/>
          </w:tcPr>
          <w:p w14:paraId="577BF2E8" w14:textId="77777777" w:rsidR="000D4F98" w:rsidRPr="00D76910" w:rsidRDefault="000D4F98" w:rsidP="00A51250">
            <w:pPr>
              <w:pStyle w:val="NCDTableText"/>
              <w:jc w:val="center"/>
            </w:pPr>
            <w:r w:rsidRPr="00D76910">
              <w:t>Y</w:t>
            </w:r>
          </w:p>
        </w:tc>
        <w:tc>
          <w:tcPr>
            <w:tcW w:w="825" w:type="dxa"/>
            <w:hideMark/>
          </w:tcPr>
          <w:p w14:paraId="49228F03" w14:textId="77777777" w:rsidR="000D4F98" w:rsidRPr="00D76910" w:rsidRDefault="000D4F98" w:rsidP="00A51250">
            <w:pPr>
              <w:pStyle w:val="NCDTableText"/>
              <w:jc w:val="center"/>
            </w:pPr>
            <w:r w:rsidRPr="00D76910">
              <w:t>—</w:t>
            </w:r>
          </w:p>
        </w:tc>
        <w:tc>
          <w:tcPr>
            <w:tcW w:w="825" w:type="dxa"/>
            <w:hideMark/>
          </w:tcPr>
          <w:p w14:paraId="4DD55309" w14:textId="77777777" w:rsidR="000D4F98" w:rsidRPr="00D76910" w:rsidRDefault="000D4F98" w:rsidP="00A51250">
            <w:pPr>
              <w:pStyle w:val="NCDTableText"/>
              <w:jc w:val="center"/>
            </w:pPr>
            <w:r w:rsidRPr="00D76910">
              <w:t>—</w:t>
            </w:r>
          </w:p>
        </w:tc>
        <w:tc>
          <w:tcPr>
            <w:tcW w:w="905" w:type="dxa"/>
            <w:hideMark/>
          </w:tcPr>
          <w:p w14:paraId="0BDF5E28" w14:textId="77777777" w:rsidR="000D4F98" w:rsidRPr="00D76910" w:rsidRDefault="000D4F98" w:rsidP="00A51250">
            <w:pPr>
              <w:pStyle w:val="NCDTableText"/>
              <w:jc w:val="center"/>
            </w:pPr>
            <w:r w:rsidRPr="00D76910">
              <w:t>Y</w:t>
            </w:r>
          </w:p>
        </w:tc>
        <w:tc>
          <w:tcPr>
            <w:tcW w:w="987" w:type="dxa"/>
            <w:hideMark/>
          </w:tcPr>
          <w:p w14:paraId="132BEEDD" w14:textId="77777777" w:rsidR="000D4F98" w:rsidRPr="00D76910" w:rsidRDefault="000D4F98" w:rsidP="00A51250">
            <w:pPr>
              <w:pStyle w:val="NCDTableText"/>
              <w:jc w:val="center"/>
            </w:pPr>
            <w:r w:rsidRPr="00D76910">
              <w:t>—</w:t>
            </w:r>
          </w:p>
        </w:tc>
        <w:tc>
          <w:tcPr>
            <w:tcW w:w="717" w:type="dxa"/>
            <w:hideMark/>
          </w:tcPr>
          <w:p w14:paraId="17774EF5" w14:textId="77777777" w:rsidR="000D4F98" w:rsidRPr="00D76910" w:rsidRDefault="000D4F98" w:rsidP="00A51250">
            <w:pPr>
              <w:pStyle w:val="NCDTableText"/>
              <w:jc w:val="center"/>
            </w:pPr>
            <w:r w:rsidRPr="00D76910">
              <w:t>—</w:t>
            </w:r>
          </w:p>
        </w:tc>
      </w:tr>
      <w:tr w:rsidR="00D76910" w:rsidRPr="00D76910" w14:paraId="1FCA8F30" w14:textId="77777777" w:rsidTr="00D76910">
        <w:trPr>
          <w:trHeight w:val="314"/>
          <w:jc w:val="center"/>
        </w:trPr>
        <w:tc>
          <w:tcPr>
            <w:tcW w:w="898" w:type="dxa"/>
            <w:hideMark/>
          </w:tcPr>
          <w:p w14:paraId="065B917D" w14:textId="77777777" w:rsidR="000D4F98" w:rsidRPr="00D76910" w:rsidRDefault="000D4F98" w:rsidP="00D76910">
            <w:pPr>
              <w:pStyle w:val="NCDTableText"/>
            </w:pPr>
            <w:r w:rsidRPr="00D76910">
              <w:t xml:space="preserve">RI </w:t>
            </w:r>
          </w:p>
        </w:tc>
        <w:tc>
          <w:tcPr>
            <w:tcW w:w="904" w:type="dxa"/>
            <w:hideMark/>
          </w:tcPr>
          <w:p w14:paraId="01E90DE1" w14:textId="77777777" w:rsidR="000D4F98" w:rsidRPr="00D76910" w:rsidRDefault="000D4F98" w:rsidP="00A51250">
            <w:pPr>
              <w:pStyle w:val="NCDTableText"/>
              <w:jc w:val="center"/>
            </w:pPr>
            <w:r w:rsidRPr="00D76910">
              <w:t>Y</w:t>
            </w:r>
          </w:p>
        </w:tc>
        <w:tc>
          <w:tcPr>
            <w:tcW w:w="1078" w:type="dxa"/>
            <w:hideMark/>
          </w:tcPr>
          <w:p w14:paraId="64C61D52" w14:textId="77777777" w:rsidR="000D4F98" w:rsidRPr="00D76910" w:rsidRDefault="000D4F98" w:rsidP="00A51250">
            <w:pPr>
              <w:pStyle w:val="NCDTableText"/>
              <w:jc w:val="center"/>
            </w:pPr>
            <w:r w:rsidRPr="00D76910">
              <w:t>—</w:t>
            </w:r>
          </w:p>
        </w:tc>
        <w:tc>
          <w:tcPr>
            <w:tcW w:w="810" w:type="dxa"/>
            <w:hideMark/>
          </w:tcPr>
          <w:p w14:paraId="1F5FAF8E" w14:textId="77777777" w:rsidR="000D4F98" w:rsidRPr="00D76910" w:rsidRDefault="000D4F98" w:rsidP="00A51250">
            <w:pPr>
              <w:pStyle w:val="NCDTableText"/>
              <w:jc w:val="center"/>
            </w:pPr>
            <w:r w:rsidRPr="00D76910">
              <w:t>Y</w:t>
            </w:r>
          </w:p>
        </w:tc>
        <w:tc>
          <w:tcPr>
            <w:tcW w:w="586" w:type="dxa"/>
            <w:hideMark/>
          </w:tcPr>
          <w:p w14:paraId="34DEA01F" w14:textId="77777777" w:rsidR="000D4F98" w:rsidRPr="00D76910" w:rsidRDefault="000D4F98" w:rsidP="00A51250">
            <w:pPr>
              <w:pStyle w:val="NCDTableText"/>
              <w:jc w:val="center"/>
            </w:pPr>
            <w:r w:rsidRPr="00D76910">
              <w:t>—</w:t>
            </w:r>
          </w:p>
        </w:tc>
        <w:tc>
          <w:tcPr>
            <w:tcW w:w="825" w:type="dxa"/>
            <w:hideMark/>
          </w:tcPr>
          <w:p w14:paraId="5BB18E51" w14:textId="77777777" w:rsidR="000D4F98" w:rsidRPr="00D76910" w:rsidRDefault="000D4F98" w:rsidP="00A51250">
            <w:pPr>
              <w:pStyle w:val="NCDTableText"/>
              <w:jc w:val="center"/>
            </w:pPr>
            <w:r w:rsidRPr="00D76910">
              <w:t>Y</w:t>
            </w:r>
          </w:p>
        </w:tc>
        <w:tc>
          <w:tcPr>
            <w:tcW w:w="825" w:type="dxa"/>
            <w:hideMark/>
          </w:tcPr>
          <w:p w14:paraId="45AD9716" w14:textId="77777777" w:rsidR="000D4F98" w:rsidRPr="00D76910" w:rsidRDefault="000D4F98" w:rsidP="00A51250">
            <w:pPr>
              <w:pStyle w:val="NCDTableText"/>
              <w:jc w:val="center"/>
            </w:pPr>
            <w:r w:rsidRPr="00D76910">
              <w:t>Y</w:t>
            </w:r>
          </w:p>
        </w:tc>
        <w:tc>
          <w:tcPr>
            <w:tcW w:w="825" w:type="dxa"/>
            <w:hideMark/>
          </w:tcPr>
          <w:p w14:paraId="2F8A02C8" w14:textId="77777777" w:rsidR="000D4F98" w:rsidRPr="00D76910" w:rsidRDefault="000D4F98" w:rsidP="00A51250">
            <w:pPr>
              <w:pStyle w:val="NCDTableText"/>
              <w:jc w:val="center"/>
            </w:pPr>
            <w:r w:rsidRPr="00D76910">
              <w:t>—</w:t>
            </w:r>
          </w:p>
        </w:tc>
        <w:tc>
          <w:tcPr>
            <w:tcW w:w="905" w:type="dxa"/>
            <w:hideMark/>
          </w:tcPr>
          <w:p w14:paraId="5C9979B0" w14:textId="77777777" w:rsidR="000D4F98" w:rsidRPr="00D76910" w:rsidRDefault="000D4F98" w:rsidP="00A51250">
            <w:pPr>
              <w:pStyle w:val="NCDTableText"/>
              <w:jc w:val="center"/>
            </w:pPr>
            <w:r w:rsidRPr="00D76910">
              <w:t>—</w:t>
            </w:r>
          </w:p>
        </w:tc>
        <w:tc>
          <w:tcPr>
            <w:tcW w:w="987" w:type="dxa"/>
            <w:hideMark/>
          </w:tcPr>
          <w:p w14:paraId="06DE3646" w14:textId="77777777" w:rsidR="000D4F98" w:rsidRPr="00D76910" w:rsidRDefault="000D4F98" w:rsidP="00A51250">
            <w:pPr>
              <w:pStyle w:val="NCDTableText"/>
              <w:jc w:val="center"/>
            </w:pPr>
            <w:r w:rsidRPr="00D76910">
              <w:t>—</w:t>
            </w:r>
          </w:p>
        </w:tc>
        <w:tc>
          <w:tcPr>
            <w:tcW w:w="717" w:type="dxa"/>
            <w:hideMark/>
          </w:tcPr>
          <w:p w14:paraId="15D4CD09" w14:textId="77777777" w:rsidR="000D4F98" w:rsidRPr="00D76910" w:rsidRDefault="000D4F98" w:rsidP="00A51250">
            <w:pPr>
              <w:pStyle w:val="NCDTableText"/>
              <w:jc w:val="center"/>
            </w:pPr>
            <w:r w:rsidRPr="00D76910">
              <w:t>—</w:t>
            </w:r>
          </w:p>
        </w:tc>
      </w:tr>
      <w:tr w:rsidR="00D76910" w:rsidRPr="00D76910" w14:paraId="2093B372" w14:textId="77777777" w:rsidTr="00D76910">
        <w:trPr>
          <w:trHeight w:val="314"/>
          <w:jc w:val="center"/>
        </w:trPr>
        <w:tc>
          <w:tcPr>
            <w:tcW w:w="898" w:type="dxa"/>
            <w:hideMark/>
          </w:tcPr>
          <w:p w14:paraId="38E3F1C4" w14:textId="77777777" w:rsidR="000D4F98" w:rsidRPr="00D76910" w:rsidRDefault="000D4F98" w:rsidP="00D76910">
            <w:pPr>
              <w:pStyle w:val="NCDTableText"/>
            </w:pPr>
            <w:r w:rsidRPr="00D76910">
              <w:t xml:space="preserve">SC </w:t>
            </w:r>
          </w:p>
        </w:tc>
        <w:tc>
          <w:tcPr>
            <w:tcW w:w="904" w:type="dxa"/>
            <w:hideMark/>
          </w:tcPr>
          <w:p w14:paraId="1BBEB111" w14:textId="77777777" w:rsidR="000D4F98" w:rsidRPr="00D76910" w:rsidRDefault="000D4F98" w:rsidP="00A51250">
            <w:pPr>
              <w:pStyle w:val="NCDTableText"/>
              <w:jc w:val="center"/>
            </w:pPr>
            <w:r w:rsidRPr="00D76910">
              <w:t>N</w:t>
            </w:r>
          </w:p>
        </w:tc>
        <w:tc>
          <w:tcPr>
            <w:tcW w:w="1078" w:type="dxa"/>
            <w:hideMark/>
          </w:tcPr>
          <w:p w14:paraId="7D9B89E0" w14:textId="77777777" w:rsidR="000D4F98" w:rsidRPr="00D76910" w:rsidRDefault="000D4F98" w:rsidP="00A51250">
            <w:pPr>
              <w:pStyle w:val="NCDTableText"/>
              <w:jc w:val="center"/>
            </w:pPr>
            <w:r w:rsidRPr="00D76910">
              <w:t>—</w:t>
            </w:r>
          </w:p>
        </w:tc>
        <w:tc>
          <w:tcPr>
            <w:tcW w:w="810" w:type="dxa"/>
            <w:hideMark/>
          </w:tcPr>
          <w:p w14:paraId="53055920" w14:textId="77777777" w:rsidR="000D4F98" w:rsidRPr="00D76910" w:rsidRDefault="000D4F98" w:rsidP="00A51250">
            <w:pPr>
              <w:pStyle w:val="NCDTableText"/>
              <w:jc w:val="center"/>
            </w:pPr>
            <w:r w:rsidRPr="00D76910">
              <w:t>—</w:t>
            </w:r>
          </w:p>
        </w:tc>
        <w:tc>
          <w:tcPr>
            <w:tcW w:w="586" w:type="dxa"/>
            <w:hideMark/>
          </w:tcPr>
          <w:p w14:paraId="0F38F91E" w14:textId="77777777" w:rsidR="000D4F98" w:rsidRPr="00D76910" w:rsidRDefault="000D4F98" w:rsidP="00A51250">
            <w:pPr>
              <w:pStyle w:val="NCDTableText"/>
              <w:jc w:val="center"/>
            </w:pPr>
            <w:r w:rsidRPr="00D76910">
              <w:t>—</w:t>
            </w:r>
          </w:p>
        </w:tc>
        <w:tc>
          <w:tcPr>
            <w:tcW w:w="825" w:type="dxa"/>
            <w:hideMark/>
          </w:tcPr>
          <w:p w14:paraId="17B9BB3C" w14:textId="77777777" w:rsidR="000D4F98" w:rsidRPr="00D76910" w:rsidRDefault="000D4F98" w:rsidP="00A51250">
            <w:pPr>
              <w:pStyle w:val="NCDTableText"/>
              <w:jc w:val="center"/>
            </w:pPr>
            <w:r w:rsidRPr="00D76910">
              <w:t>—</w:t>
            </w:r>
          </w:p>
        </w:tc>
        <w:tc>
          <w:tcPr>
            <w:tcW w:w="825" w:type="dxa"/>
            <w:hideMark/>
          </w:tcPr>
          <w:p w14:paraId="4B509D46" w14:textId="77777777" w:rsidR="000D4F98" w:rsidRPr="00D76910" w:rsidRDefault="000D4F98" w:rsidP="00A51250">
            <w:pPr>
              <w:pStyle w:val="NCDTableText"/>
              <w:jc w:val="center"/>
            </w:pPr>
            <w:r w:rsidRPr="00D76910">
              <w:t>—</w:t>
            </w:r>
          </w:p>
        </w:tc>
        <w:tc>
          <w:tcPr>
            <w:tcW w:w="825" w:type="dxa"/>
            <w:hideMark/>
          </w:tcPr>
          <w:p w14:paraId="6EAE7446" w14:textId="77777777" w:rsidR="000D4F98" w:rsidRPr="00D76910" w:rsidRDefault="000D4F98" w:rsidP="00A51250">
            <w:pPr>
              <w:pStyle w:val="NCDTableText"/>
              <w:jc w:val="center"/>
            </w:pPr>
            <w:r w:rsidRPr="00D76910">
              <w:t>—</w:t>
            </w:r>
          </w:p>
        </w:tc>
        <w:tc>
          <w:tcPr>
            <w:tcW w:w="905" w:type="dxa"/>
            <w:hideMark/>
          </w:tcPr>
          <w:p w14:paraId="35AF8636" w14:textId="77777777" w:rsidR="000D4F98" w:rsidRPr="00D76910" w:rsidRDefault="000D4F98" w:rsidP="00A51250">
            <w:pPr>
              <w:pStyle w:val="NCDTableText"/>
              <w:jc w:val="center"/>
            </w:pPr>
            <w:r w:rsidRPr="00D76910">
              <w:t>—</w:t>
            </w:r>
          </w:p>
        </w:tc>
        <w:tc>
          <w:tcPr>
            <w:tcW w:w="987" w:type="dxa"/>
            <w:hideMark/>
          </w:tcPr>
          <w:p w14:paraId="29BC84EF" w14:textId="77777777" w:rsidR="000D4F98" w:rsidRPr="00D76910" w:rsidRDefault="000D4F98" w:rsidP="00A51250">
            <w:pPr>
              <w:pStyle w:val="NCDTableText"/>
              <w:jc w:val="center"/>
            </w:pPr>
            <w:r w:rsidRPr="00D76910">
              <w:t>—</w:t>
            </w:r>
          </w:p>
        </w:tc>
        <w:tc>
          <w:tcPr>
            <w:tcW w:w="717" w:type="dxa"/>
            <w:hideMark/>
          </w:tcPr>
          <w:p w14:paraId="40448AF5" w14:textId="77777777" w:rsidR="000D4F98" w:rsidRPr="00D76910" w:rsidRDefault="000D4F98" w:rsidP="00A51250">
            <w:pPr>
              <w:pStyle w:val="NCDTableText"/>
              <w:jc w:val="center"/>
            </w:pPr>
            <w:r w:rsidRPr="00D76910">
              <w:t>—</w:t>
            </w:r>
          </w:p>
        </w:tc>
      </w:tr>
      <w:tr w:rsidR="00D76910" w:rsidRPr="00D76910" w14:paraId="52A80A40" w14:textId="77777777" w:rsidTr="00D76910">
        <w:trPr>
          <w:trHeight w:val="314"/>
          <w:jc w:val="center"/>
        </w:trPr>
        <w:tc>
          <w:tcPr>
            <w:tcW w:w="898" w:type="dxa"/>
            <w:hideMark/>
          </w:tcPr>
          <w:p w14:paraId="5D57D91B" w14:textId="77777777" w:rsidR="000D4F98" w:rsidRPr="00D76910" w:rsidRDefault="000D4F98" w:rsidP="00D76910">
            <w:pPr>
              <w:pStyle w:val="NCDTableText"/>
            </w:pPr>
            <w:r w:rsidRPr="00D76910">
              <w:t xml:space="preserve">SD </w:t>
            </w:r>
          </w:p>
        </w:tc>
        <w:tc>
          <w:tcPr>
            <w:tcW w:w="904" w:type="dxa"/>
            <w:hideMark/>
          </w:tcPr>
          <w:p w14:paraId="0E30BF99" w14:textId="77777777" w:rsidR="000D4F98" w:rsidRPr="00D76910" w:rsidRDefault="000D4F98" w:rsidP="00A51250">
            <w:pPr>
              <w:pStyle w:val="NCDTableText"/>
              <w:jc w:val="center"/>
            </w:pPr>
            <w:r w:rsidRPr="00D76910">
              <w:t>N</w:t>
            </w:r>
          </w:p>
        </w:tc>
        <w:tc>
          <w:tcPr>
            <w:tcW w:w="1078" w:type="dxa"/>
            <w:hideMark/>
          </w:tcPr>
          <w:p w14:paraId="7F32FB70" w14:textId="77777777" w:rsidR="000D4F98" w:rsidRPr="00D76910" w:rsidRDefault="000D4F98" w:rsidP="00A51250">
            <w:pPr>
              <w:pStyle w:val="NCDTableText"/>
              <w:jc w:val="center"/>
            </w:pPr>
            <w:r w:rsidRPr="00D76910">
              <w:t>—</w:t>
            </w:r>
          </w:p>
        </w:tc>
        <w:tc>
          <w:tcPr>
            <w:tcW w:w="810" w:type="dxa"/>
            <w:hideMark/>
          </w:tcPr>
          <w:p w14:paraId="61E4F3FE" w14:textId="77777777" w:rsidR="000D4F98" w:rsidRPr="00D76910" w:rsidRDefault="000D4F98" w:rsidP="00A51250">
            <w:pPr>
              <w:pStyle w:val="NCDTableText"/>
              <w:jc w:val="center"/>
            </w:pPr>
            <w:r w:rsidRPr="00D76910">
              <w:t>—</w:t>
            </w:r>
          </w:p>
        </w:tc>
        <w:tc>
          <w:tcPr>
            <w:tcW w:w="586" w:type="dxa"/>
            <w:hideMark/>
          </w:tcPr>
          <w:p w14:paraId="27713E4D" w14:textId="77777777" w:rsidR="000D4F98" w:rsidRPr="00D76910" w:rsidRDefault="000D4F98" w:rsidP="00A51250">
            <w:pPr>
              <w:pStyle w:val="NCDTableText"/>
              <w:jc w:val="center"/>
            </w:pPr>
            <w:r w:rsidRPr="00D76910">
              <w:t>—</w:t>
            </w:r>
          </w:p>
        </w:tc>
        <w:tc>
          <w:tcPr>
            <w:tcW w:w="825" w:type="dxa"/>
            <w:hideMark/>
          </w:tcPr>
          <w:p w14:paraId="3E6FE072" w14:textId="77777777" w:rsidR="000D4F98" w:rsidRPr="00D76910" w:rsidRDefault="000D4F98" w:rsidP="00A51250">
            <w:pPr>
              <w:pStyle w:val="NCDTableText"/>
              <w:jc w:val="center"/>
            </w:pPr>
            <w:r w:rsidRPr="00D76910">
              <w:t>—</w:t>
            </w:r>
          </w:p>
        </w:tc>
        <w:tc>
          <w:tcPr>
            <w:tcW w:w="825" w:type="dxa"/>
            <w:hideMark/>
          </w:tcPr>
          <w:p w14:paraId="65025266" w14:textId="77777777" w:rsidR="000D4F98" w:rsidRPr="00D76910" w:rsidRDefault="000D4F98" w:rsidP="00A51250">
            <w:pPr>
              <w:pStyle w:val="NCDTableText"/>
              <w:jc w:val="center"/>
            </w:pPr>
            <w:r w:rsidRPr="00D76910">
              <w:t>—</w:t>
            </w:r>
          </w:p>
        </w:tc>
        <w:tc>
          <w:tcPr>
            <w:tcW w:w="825" w:type="dxa"/>
            <w:hideMark/>
          </w:tcPr>
          <w:p w14:paraId="251FFCDB" w14:textId="77777777" w:rsidR="000D4F98" w:rsidRPr="00D76910" w:rsidRDefault="000D4F98" w:rsidP="00A51250">
            <w:pPr>
              <w:pStyle w:val="NCDTableText"/>
              <w:jc w:val="center"/>
            </w:pPr>
            <w:r w:rsidRPr="00D76910">
              <w:t>—</w:t>
            </w:r>
          </w:p>
        </w:tc>
        <w:tc>
          <w:tcPr>
            <w:tcW w:w="905" w:type="dxa"/>
            <w:hideMark/>
          </w:tcPr>
          <w:p w14:paraId="57342351" w14:textId="77777777" w:rsidR="000D4F98" w:rsidRPr="00D76910" w:rsidRDefault="000D4F98" w:rsidP="00A51250">
            <w:pPr>
              <w:pStyle w:val="NCDTableText"/>
              <w:jc w:val="center"/>
            </w:pPr>
            <w:r w:rsidRPr="00D76910">
              <w:t>—</w:t>
            </w:r>
          </w:p>
        </w:tc>
        <w:tc>
          <w:tcPr>
            <w:tcW w:w="987" w:type="dxa"/>
            <w:hideMark/>
          </w:tcPr>
          <w:p w14:paraId="063BB864" w14:textId="77777777" w:rsidR="000D4F98" w:rsidRPr="00D76910" w:rsidRDefault="000D4F98" w:rsidP="00A51250">
            <w:pPr>
              <w:pStyle w:val="NCDTableText"/>
              <w:jc w:val="center"/>
            </w:pPr>
            <w:r w:rsidRPr="00D76910">
              <w:t>—</w:t>
            </w:r>
          </w:p>
        </w:tc>
        <w:tc>
          <w:tcPr>
            <w:tcW w:w="717" w:type="dxa"/>
            <w:hideMark/>
          </w:tcPr>
          <w:p w14:paraId="3C1D7F43" w14:textId="77777777" w:rsidR="000D4F98" w:rsidRPr="00D76910" w:rsidRDefault="000D4F98" w:rsidP="00A51250">
            <w:pPr>
              <w:pStyle w:val="NCDTableText"/>
              <w:jc w:val="center"/>
            </w:pPr>
            <w:r w:rsidRPr="00D76910">
              <w:t>—</w:t>
            </w:r>
          </w:p>
        </w:tc>
      </w:tr>
      <w:tr w:rsidR="00D76910" w:rsidRPr="00D76910" w14:paraId="2766F8C0" w14:textId="77777777" w:rsidTr="00D76910">
        <w:trPr>
          <w:trHeight w:val="314"/>
          <w:jc w:val="center"/>
        </w:trPr>
        <w:tc>
          <w:tcPr>
            <w:tcW w:w="898" w:type="dxa"/>
            <w:hideMark/>
          </w:tcPr>
          <w:p w14:paraId="139E1C15" w14:textId="77777777" w:rsidR="000D4F98" w:rsidRPr="00D76910" w:rsidRDefault="000D4F98" w:rsidP="00D76910">
            <w:pPr>
              <w:pStyle w:val="NCDTableText"/>
            </w:pPr>
            <w:r w:rsidRPr="00D76910">
              <w:t>TN</w:t>
            </w:r>
          </w:p>
        </w:tc>
        <w:tc>
          <w:tcPr>
            <w:tcW w:w="904" w:type="dxa"/>
            <w:hideMark/>
          </w:tcPr>
          <w:p w14:paraId="33A81B82" w14:textId="77777777" w:rsidR="000D4F98" w:rsidRPr="00D76910" w:rsidRDefault="000D4F98" w:rsidP="00A51250">
            <w:pPr>
              <w:pStyle w:val="NCDTableText"/>
              <w:jc w:val="center"/>
            </w:pPr>
            <w:r w:rsidRPr="00D76910">
              <w:t>Y</w:t>
            </w:r>
          </w:p>
        </w:tc>
        <w:tc>
          <w:tcPr>
            <w:tcW w:w="1078" w:type="dxa"/>
            <w:hideMark/>
          </w:tcPr>
          <w:p w14:paraId="533427D0" w14:textId="77777777" w:rsidR="000D4F98" w:rsidRPr="00D76910" w:rsidRDefault="000D4F98" w:rsidP="00A51250">
            <w:pPr>
              <w:pStyle w:val="NCDTableText"/>
              <w:jc w:val="center"/>
            </w:pPr>
            <w:r w:rsidRPr="00D76910">
              <w:t>—</w:t>
            </w:r>
          </w:p>
        </w:tc>
        <w:tc>
          <w:tcPr>
            <w:tcW w:w="810" w:type="dxa"/>
            <w:hideMark/>
          </w:tcPr>
          <w:p w14:paraId="12E82B62" w14:textId="77777777" w:rsidR="000D4F98" w:rsidRPr="00D76910" w:rsidRDefault="000D4F98" w:rsidP="00A51250">
            <w:pPr>
              <w:pStyle w:val="NCDTableText"/>
              <w:jc w:val="center"/>
            </w:pPr>
            <w:r w:rsidRPr="00D76910">
              <w:t>—</w:t>
            </w:r>
          </w:p>
        </w:tc>
        <w:tc>
          <w:tcPr>
            <w:tcW w:w="586" w:type="dxa"/>
            <w:hideMark/>
          </w:tcPr>
          <w:p w14:paraId="6FD519C1" w14:textId="77777777" w:rsidR="000D4F98" w:rsidRPr="00D76910" w:rsidRDefault="000D4F98" w:rsidP="00A51250">
            <w:pPr>
              <w:pStyle w:val="NCDTableText"/>
              <w:jc w:val="center"/>
            </w:pPr>
            <w:r w:rsidRPr="00D76910">
              <w:t>—</w:t>
            </w:r>
          </w:p>
        </w:tc>
        <w:tc>
          <w:tcPr>
            <w:tcW w:w="825" w:type="dxa"/>
            <w:hideMark/>
          </w:tcPr>
          <w:p w14:paraId="5D49E212" w14:textId="77777777" w:rsidR="000D4F98" w:rsidRPr="00D76910" w:rsidRDefault="000D4F98" w:rsidP="00A51250">
            <w:pPr>
              <w:pStyle w:val="NCDTableText"/>
              <w:jc w:val="center"/>
            </w:pPr>
            <w:r w:rsidRPr="00D76910">
              <w:t>—</w:t>
            </w:r>
          </w:p>
        </w:tc>
        <w:tc>
          <w:tcPr>
            <w:tcW w:w="825" w:type="dxa"/>
            <w:hideMark/>
          </w:tcPr>
          <w:p w14:paraId="7672A806" w14:textId="77777777" w:rsidR="000D4F98" w:rsidRPr="00D76910" w:rsidRDefault="000D4F98" w:rsidP="00A51250">
            <w:pPr>
              <w:pStyle w:val="NCDTableText"/>
              <w:jc w:val="center"/>
            </w:pPr>
            <w:r w:rsidRPr="00D76910">
              <w:t>—</w:t>
            </w:r>
          </w:p>
        </w:tc>
        <w:tc>
          <w:tcPr>
            <w:tcW w:w="825" w:type="dxa"/>
            <w:hideMark/>
          </w:tcPr>
          <w:p w14:paraId="27A4E611" w14:textId="77777777" w:rsidR="000D4F98" w:rsidRPr="00D76910" w:rsidRDefault="000D4F98" w:rsidP="00A51250">
            <w:pPr>
              <w:pStyle w:val="NCDTableText"/>
              <w:jc w:val="center"/>
            </w:pPr>
            <w:r w:rsidRPr="00D76910">
              <w:t>—</w:t>
            </w:r>
          </w:p>
        </w:tc>
        <w:tc>
          <w:tcPr>
            <w:tcW w:w="905" w:type="dxa"/>
            <w:hideMark/>
          </w:tcPr>
          <w:p w14:paraId="7C1AE5A0" w14:textId="77777777" w:rsidR="000D4F98" w:rsidRPr="00D76910" w:rsidRDefault="000D4F98" w:rsidP="00A51250">
            <w:pPr>
              <w:pStyle w:val="NCDTableText"/>
              <w:jc w:val="center"/>
            </w:pPr>
            <w:r w:rsidRPr="00D76910">
              <w:t>—</w:t>
            </w:r>
          </w:p>
        </w:tc>
        <w:tc>
          <w:tcPr>
            <w:tcW w:w="987" w:type="dxa"/>
            <w:hideMark/>
          </w:tcPr>
          <w:p w14:paraId="2EE827F5" w14:textId="77777777" w:rsidR="000D4F98" w:rsidRPr="00D76910" w:rsidRDefault="000D4F98" w:rsidP="00A51250">
            <w:pPr>
              <w:pStyle w:val="NCDTableText"/>
              <w:jc w:val="center"/>
            </w:pPr>
            <w:r w:rsidRPr="00D76910">
              <w:t>—</w:t>
            </w:r>
          </w:p>
        </w:tc>
        <w:tc>
          <w:tcPr>
            <w:tcW w:w="717" w:type="dxa"/>
            <w:hideMark/>
          </w:tcPr>
          <w:p w14:paraId="1B51AD02" w14:textId="77777777" w:rsidR="000D4F98" w:rsidRPr="00D76910" w:rsidRDefault="000D4F98" w:rsidP="00A51250">
            <w:pPr>
              <w:pStyle w:val="NCDTableText"/>
              <w:jc w:val="center"/>
            </w:pPr>
            <w:r w:rsidRPr="00D76910">
              <w:t>Y</w:t>
            </w:r>
          </w:p>
        </w:tc>
      </w:tr>
      <w:tr w:rsidR="00D76910" w:rsidRPr="00D76910" w14:paraId="2EDB6C9D" w14:textId="77777777" w:rsidTr="00D76910">
        <w:trPr>
          <w:trHeight w:val="314"/>
          <w:jc w:val="center"/>
        </w:trPr>
        <w:tc>
          <w:tcPr>
            <w:tcW w:w="898" w:type="dxa"/>
            <w:hideMark/>
          </w:tcPr>
          <w:p w14:paraId="34619B1E" w14:textId="77777777" w:rsidR="000D4F98" w:rsidRPr="00D76910" w:rsidRDefault="000D4F98" w:rsidP="00D76910">
            <w:pPr>
              <w:pStyle w:val="NCDTableText"/>
            </w:pPr>
            <w:r w:rsidRPr="00D76910">
              <w:t xml:space="preserve">TX </w:t>
            </w:r>
          </w:p>
        </w:tc>
        <w:tc>
          <w:tcPr>
            <w:tcW w:w="904" w:type="dxa"/>
            <w:hideMark/>
          </w:tcPr>
          <w:p w14:paraId="1F889EAC" w14:textId="77777777" w:rsidR="000D4F98" w:rsidRPr="00D76910" w:rsidRDefault="000D4F98" w:rsidP="00A51250">
            <w:pPr>
              <w:pStyle w:val="NCDTableText"/>
              <w:jc w:val="center"/>
            </w:pPr>
            <w:r w:rsidRPr="00D76910">
              <w:t>N</w:t>
            </w:r>
          </w:p>
        </w:tc>
        <w:tc>
          <w:tcPr>
            <w:tcW w:w="1078" w:type="dxa"/>
            <w:hideMark/>
          </w:tcPr>
          <w:p w14:paraId="573BFEFB" w14:textId="77777777" w:rsidR="000D4F98" w:rsidRPr="00D76910" w:rsidRDefault="000D4F98" w:rsidP="00A51250">
            <w:pPr>
              <w:pStyle w:val="NCDTableText"/>
              <w:jc w:val="center"/>
            </w:pPr>
            <w:r w:rsidRPr="00D76910">
              <w:t>—</w:t>
            </w:r>
          </w:p>
        </w:tc>
        <w:tc>
          <w:tcPr>
            <w:tcW w:w="810" w:type="dxa"/>
            <w:hideMark/>
          </w:tcPr>
          <w:p w14:paraId="33B1BC80" w14:textId="77777777" w:rsidR="000D4F98" w:rsidRPr="00D76910" w:rsidRDefault="000D4F98" w:rsidP="00A51250">
            <w:pPr>
              <w:pStyle w:val="NCDTableText"/>
              <w:jc w:val="center"/>
            </w:pPr>
            <w:r w:rsidRPr="00D76910">
              <w:t>—</w:t>
            </w:r>
          </w:p>
        </w:tc>
        <w:tc>
          <w:tcPr>
            <w:tcW w:w="586" w:type="dxa"/>
            <w:hideMark/>
          </w:tcPr>
          <w:p w14:paraId="449941C2" w14:textId="77777777" w:rsidR="000D4F98" w:rsidRPr="00D76910" w:rsidRDefault="000D4F98" w:rsidP="00A51250">
            <w:pPr>
              <w:pStyle w:val="NCDTableText"/>
              <w:jc w:val="center"/>
            </w:pPr>
            <w:r w:rsidRPr="00D76910">
              <w:t>—</w:t>
            </w:r>
          </w:p>
        </w:tc>
        <w:tc>
          <w:tcPr>
            <w:tcW w:w="825" w:type="dxa"/>
            <w:hideMark/>
          </w:tcPr>
          <w:p w14:paraId="467C7F5A" w14:textId="77777777" w:rsidR="000D4F98" w:rsidRPr="00D76910" w:rsidRDefault="000D4F98" w:rsidP="00A51250">
            <w:pPr>
              <w:pStyle w:val="NCDTableText"/>
              <w:jc w:val="center"/>
            </w:pPr>
            <w:r w:rsidRPr="00D76910">
              <w:t>—</w:t>
            </w:r>
          </w:p>
        </w:tc>
        <w:tc>
          <w:tcPr>
            <w:tcW w:w="825" w:type="dxa"/>
            <w:hideMark/>
          </w:tcPr>
          <w:p w14:paraId="312E6B4D" w14:textId="77777777" w:rsidR="000D4F98" w:rsidRPr="00D76910" w:rsidRDefault="000D4F98" w:rsidP="00A51250">
            <w:pPr>
              <w:pStyle w:val="NCDTableText"/>
              <w:jc w:val="center"/>
            </w:pPr>
            <w:r w:rsidRPr="00D76910">
              <w:t>—</w:t>
            </w:r>
          </w:p>
        </w:tc>
        <w:tc>
          <w:tcPr>
            <w:tcW w:w="825" w:type="dxa"/>
            <w:hideMark/>
          </w:tcPr>
          <w:p w14:paraId="5CD72703" w14:textId="77777777" w:rsidR="000D4F98" w:rsidRPr="00D76910" w:rsidRDefault="000D4F98" w:rsidP="00A51250">
            <w:pPr>
              <w:pStyle w:val="NCDTableText"/>
              <w:jc w:val="center"/>
            </w:pPr>
            <w:r w:rsidRPr="00D76910">
              <w:t>—</w:t>
            </w:r>
          </w:p>
        </w:tc>
        <w:tc>
          <w:tcPr>
            <w:tcW w:w="905" w:type="dxa"/>
            <w:hideMark/>
          </w:tcPr>
          <w:p w14:paraId="45008737" w14:textId="77777777" w:rsidR="000D4F98" w:rsidRPr="00D76910" w:rsidRDefault="000D4F98" w:rsidP="00A51250">
            <w:pPr>
              <w:pStyle w:val="NCDTableText"/>
              <w:jc w:val="center"/>
            </w:pPr>
            <w:r w:rsidRPr="00D76910">
              <w:t>—</w:t>
            </w:r>
          </w:p>
        </w:tc>
        <w:tc>
          <w:tcPr>
            <w:tcW w:w="987" w:type="dxa"/>
            <w:hideMark/>
          </w:tcPr>
          <w:p w14:paraId="40501CC0" w14:textId="77777777" w:rsidR="000D4F98" w:rsidRPr="00D76910" w:rsidRDefault="000D4F98" w:rsidP="00A51250">
            <w:pPr>
              <w:pStyle w:val="NCDTableText"/>
              <w:jc w:val="center"/>
            </w:pPr>
            <w:r w:rsidRPr="00D76910">
              <w:t>—</w:t>
            </w:r>
          </w:p>
        </w:tc>
        <w:tc>
          <w:tcPr>
            <w:tcW w:w="717" w:type="dxa"/>
            <w:hideMark/>
          </w:tcPr>
          <w:p w14:paraId="5C6BCE6F" w14:textId="77777777" w:rsidR="000D4F98" w:rsidRPr="00D76910" w:rsidRDefault="000D4F98" w:rsidP="00A51250">
            <w:pPr>
              <w:pStyle w:val="NCDTableText"/>
              <w:jc w:val="center"/>
            </w:pPr>
            <w:r w:rsidRPr="00D76910">
              <w:t>—</w:t>
            </w:r>
          </w:p>
        </w:tc>
      </w:tr>
      <w:tr w:rsidR="00D76910" w:rsidRPr="00D76910" w14:paraId="6C46E07F" w14:textId="77777777" w:rsidTr="00D76910">
        <w:trPr>
          <w:trHeight w:val="314"/>
          <w:jc w:val="center"/>
        </w:trPr>
        <w:tc>
          <w:tcPr>
            <w:tcW w:w="898" w:type="dxa"/>
            <w:hideMark/>
          </w:tcPr>
          <w:p w14:paraId="32E29947" w14:textId="77777777" w:rsidR="000D4F98" w:rsidRPr="00D76910" w:rsidRDefault="000D4F98" w:rsidP="00D76910">
            <w:pPr>
              <w:pStyle w:val="NCDTableText"/>
            </w:pPr>
            <w:r w:rsidRPr="00D76910">
              <w:t>UT</w:t>
            </w:r>
          </w:p>
        </w:tc>
        <w:tc>
          <w:tcPr>
            <w:tcW w:w="904" w:type="dxa"/>
            <w:hideMark/>
          </w:tcPr>
          <w:p w14:paraId="3A1F1541" w14:textId="77777777" w:rsidR="000D4F98" w:rsidRPr="00D76910" w:rsidRDefault="000D4F98" w:rsidP="00A51250">
            <w:pPr>
              <w:pStyle w:val="NCDTableText"/>
              <w:jc w:val="center"/>
            </w:pPr>
            <w:r w:rsidRPr="00D76910">
              <w:t>N</w:t>
            </w:r>
          </w:p>
        </w:tc>
        <w:tc>
          <w:tcPr>
            <w:tcW w:w="1078" w:type="dxa"/>
            <w:hideMark/>
          </w:tcPr>
          <w:p w14:paraId="557F3DFF" w14:textId="77777777" w:rsidR="000D4F98" w:rsidRPr="00D76910" w:rsidRDefault="000D4F98" w:rsidP="00A51250">
            <w:pPr>
              <w:pStyle w:val="NCDTableText"/>
              <w:jc w:val="center"/>
            </w:pPr>
            <w:r w:rsidRPr="00D76910">
              <w:t>—</w:t>
            </w:r>
          </w:p>
        </w:tc>
        <w:tc>
          <w:tcPr>
            <w:tcW w:w="810" w:type="dxa"/>
            <w:hideMark/>
          </w:tcPr>
          <w:p w14:paraId="0D7A423F" w14:textId="77777777" w:rsidR="000D4F98" w:rsidRPr="00D76910" w:rsidRDefault="000D4F98" w:rsidP="00A51250">
            <w:pPr>
              <w:pStyle w:val="NCDTableText"/>
              <w:jc w:val="center"/>
            </w:pPr>
            <w:r w:rsidRPr="00D76910">
              <w:t>—</w:t>
            </w:r>
          </w:p>
        </w:tc>
        <w:tc>
          <w:tcPr>
            <w:tcW w:w="586" w:type="dxa"/>
            <w:hideMark/>
          </w:tcPr>
          <w:p w14:paraId="264C1FDD" w14:textId="77777777" w:rsidR="000D4F98" w:rsidRPr="00D76910" w:rsidRDefault="000D4F98" w:rsidP="00A51250">
            <w:pPr>
              <w:pStyle w:val="NCDTableText"/>
              <w:jc w:val="center"/>
            </w:pPr>
            <w:r w:rsidRPr="00D76910">
              <w:t>—</w:t>
            </w:r>
          </w:p>
        </w:tc>
        <w:tc>
          <w:tcPr>
            <w:tcW w:w="825" w:type="dxa"/>
            <w:hideMark/>
          </w:tcPr>
          <w:p w14:paraId="516F24DF" w14:textId="77777777" w:rsidR="000D4F98" w:rsidRPr="00D76910" w:rsidRDefault="000D4F98" w:rsidP="00A51250">
            <w:pPr>
              <w:pStyle w:val="NCDTableText"/>
              <w:jc w:val="center"/>
            </w:pPr>
            <w:r w:rsidRPr="00D76910">
              <w:t>—</w:t>
            </w:r>
          </w:p>
        </w:tc>
        <w:tc>
          <w:tcPr>
            <w:tcW w:w="825" w:type="dxa"/>
            <w:hideMark/>
          </w:tcPr>
          <w:p w14:paraId="2FE652B5" w14:textId="77777777" w:rsidR="000D4F98" w:rsidRPr="00D76910" w:rsidRDefault="000D4F98" w:rsidP="00A51250">
            <w:pPr>
              <w:pStyle w:val="NCDTableText"/>
              <w:jc w:val="center"/>
            </w:pPr>
            <w:r w:rsidRPr="00D76910">
              <w:t>—</w:t>
            </w:r>
          </w:p>
        </w:tc>
        <w:tc>
          <w:tcPr>
            <w:tcW w:w="825" w:type="dxa"/>
            <w:hideMark/>
          </w:tcPr>
          <w:p w14:paraId="31FFBF79" w14:textId="77777777" w:rsidR="000D4F98" w:rsidRPr="00D76910" w:rsidRDefault="000D4F98" w:rsidP="00A51250">
            <w:pPr>
              <w:pStyle w:val="NCDTableText"/>
              <w:jc w:val="center"/>
            </w:pPr>
            <w:r w:rsidRPr="00D76910">
              <w:t>—</w:t>
            </w:r>
          </w:p>
        </w:tc>
        <w:tc>
          <w:tcPr>
            <w:tcW w:w="905" w:type="dxa"/>
            <w:hideMark/>
          </w:tcPr>
          <w:p w14:paraId="3B615701" w14:textId="77777777" w:rsidR="000D4F98" w:rsidRPr="00D76910" w:rsidRDefault="000D4F98" w:rsidP="00A51250">
            <w:pPr>
              <w:pStyle w:val="NCDTableText"/>
              <w:jc w:val="center"/>
            </w:pPr>
            <w:r w:rsidRPr="00D76910">
              <w:t>—</w:t>
            </w:r>
          </w:p>
        </w:tc>
        <w:tc>
          <w:tcPr>
            <w:tcW w:w="987" w:type="dxa"/>
            <w:hideMark/>
          </w:tcPr>
          <w:p w14:paraId="2053973C" w14:textId="77777777" w:rsidR="000D4F98" w:rsidRPr="00D76910" w:rsidRDefault="000D4F98" w:rsidP="00A51250">
            <w:pPr>
              <w:pStyle w:val="NCDTableText"/>
              <w:jc w:val="center"/>
            </w:pPr>
            <w:r w:rsidRPr="00D76910">
              <w:t>—</w:t>
            </w:r>
          </w:p>
        </w:tc>
        <w:tc>
          <w:tcPr>
            <w:tcW w:w="717" w:type="dxa"/>
            <w:hideMark/>
          </w:tcPr>
          <w:p w14:paraId="41DD926B" w14:textId="77777777" w:rsidR="000D4F98" w:rsidRPr="00D76910" w:rsidRDefault="000D4F98" w:rsidP="00A51250">
            <w:pPr>
              <w:pStyle w:val="NCDTableText"/>
              <w:jc w:val="center"/>
            </w:pPr>
            <w:r w:rsidRPr="00D76910">
              <w:t>—</w:t>
            </w:r>
          </w:p>
        </w:tc>
      </w:tr>
      <w:tr w:rsidR="00D76910" w:rsidRPr="00D76910" w14:paraId="048F130C" w14:textId="77777777" w:rsidTr="00D76910">
        <w:trPr>
          <w:trHeight w:val="314"/>
          <w:jc w:val="center"/>
        </w:trPr>
        <w:tc>
          <w:tcPr>
            <w:tcW w:w="898" w:type="dxa"/>
            <w:hideMark/>
          </w:tcPr>
          <w:p w14:paraId="761F48DE" w14:textId="77777777" w:rsidR="000D4F98" w:rsidRPr="00D76910" w:rsidRDefault="000D4F98" w:rsidP="00D76910">
            <w:pPr>
              <w:pStyle w:val="NCDTableText"/>
            </w:pPr>
            <w:r w:rsidRPr="00D76910">
              <w:lastRenderedPageBreak/>
              <w:t>VT</w:t>
            </w:r>
          </w:p>
        </w:tc>
        <w:tc>
          <w:tcPr>
            <w:tcW w:w="904" w:type="dxa"/>
            <w:hideMark/>
          </w:tcPr>
          <w:p w14:paraId="293B59AC" w14:textId="77777777" w:rsidR="000D4F98" w:rsidRPr="00D76910" w:rsidRDefault="000D4F98" w:rsidP="00A51250">
            <w:pPr>
              <w:pStyle w:val="NCDTableText"/>
              <w:jc w:val="center"/>
            </w:pPr>
            <w:r w:rsidRPr="00D76910">
              <w:t>Y</w:t>
            </w:r>
          </w:p>
        </w:tc>
        <w:tc>
          <w:tcPr>
            <w:tcW w:w="1078" w:type="dxa"/>
            <w:hideMark/>
          </w:tcPr>
          <w:p w14:paraId="64EBDA0C" w14:textId="77777777" w:rsidR="000D4F98" w:rsidRPr="00D76910" w:rsidRDefault="000D4F98" w:rsidP="00A51250">
            <w:pPr>
              <w:pStyle w:val="NCDTableText"/>
              <w:jc w:val="center"/>
            </w:pPr>
            <w:r w:rsidRPr="00D76910">
              <w:t>—</w:t>
            </w:r>
          </w:p>
        </w:tc>
        <w:tc>
          <w:tcPr>
            <w:tcW w:w="810" w:type="dxa"/>
            <w:hideMark/>
          </w:tcPr>
          <w:p w14:paraId="4718F1E6" w14:textId="77777777" w:rsidR="000D4F98" w:rsidRPr="00D76910" w:rsidRDefault="000D4F98" w:rsidP="00A51250">
            <w:pPr>
              <w:pStyle w:val="NCDTableText"/>
              <w:jc w:val="center"/>
            </w:pPr>
            <w:r w:rsidRPr="00D76910">
              <w:t>Y</w:t>
            </w:r>
          </w:p>
        </w:tc>
        <w:tc>
          <w:tcPr>
            <w:tcW w:w="586" w:type="dxa"/>
            <w:hideMark/>
          </w:tcPr>
          <w:p w14:paraId="2304E1D8" w14:textId="77777777" w:rsidR="000D4F98" w:rsidRPr="00D76910" w:rsidRDefault="000D4F98" w:rsidP="00A51250">
            <w:pPr>
              <w:pStyle w:val="NCDTableText"/>
              <w:jc w:val="center"/>
            </w:pPr>
            <w:r w:rsidRPr="00D76910">
              <w:t>Y</w:t>
            </w:r>
          </w:p>
        </w:tc>
        <w:tc>
          <w:tcPr>
            <w:tcW w:w="825" w:type="dxa"/>
            <w:hideMark/>
          </w:tcPr>
          <w:p w14:paraId="0D58D46B" w14:textId="77777777" w:rsidR="000D4F98" w:rsidRPr="00D76910" w:rsidRDefault="000D4F98" w:rsidP="00A51250">
            <w:pPr>
              <w:pStyle w:val="NCDTableText"/>
              <w:jc w:val="center"/>
            </w:pPr>
            <w:r w:rsidRPr="00D76910">
              <w:t>—</w:t>
            </w:r>
          </w:p>
        </w:tc>
        <w:tc>
          <w:tcPr>
            <w:tcW w:w="825" w:type="dxa"/>
            <w:hideMark/>
          </w:tcPr>
          <w:p w14:paraId="23D9C226" w14:textId="77777777" w:rsidR="000D4F98" w:rsidRPr="00D76910" w:rsidRDefault="000D4F98" w:rsidP="00A51250">
            <w:pPr>
              <w:pStyle w:val="NCDTableText"/>
              <w:jc w:val="center"/>
            </w:pPr>
            <w:r w:rsidRPr="00D76910">
              <w:t>Y</w:t>
            </w:r>
          </w:p>
        </w:tc>
        <w:tc>
          <w:tcPr>
            <w:tcW w:w="825" w:type="dxa"/>
            <w:hideMark/>
          </w:tcPr>
          <w:p w14:paraId="73F9E4E6" w14:textId="77777777" w:rsidR="000D4F98" w:rsidRPr="00D76910" w:rsidRDefault="000D4F98" w:rsidP="00A51250">
            <w:pPr>
              <w:pStyle w:val="NCDTableText"/>
              <w:jc w:val="center"/>
            </w:pPr>
            <w:r w:rsidRPr="00D76910">
              <w:t>—</w:t>
            </w:r>
          </w:p>
        </w:tc>
        <w:tc>
          <w:tcPr>
            <w:tcW w:w="905" w:type="dxa"/>
            <w:hideMark/>
          </w:tcPr>
          <w:p w14:paraId="54CF3521" w14:textId="77777777" w:rsidR="000D4F98" w:rsidRPr="00D76910" w:rsidRDefault="000D4F98" w:rsidP="00A51250">
            <w:pPr>
              <w:pStyle w:val="NCDTableText"/>
              <w:jc w:val="center"/>
            </w:pPr>
            <w:r w:rsidRPr="00D76910">
              <w:t>Y</w:t>
            </w:r>
          </w:p>
        </w:tc>
        <w:tc>
          <w:tcPr>
            <w:tcW w:w="987" w:type="dxa"/>
            <w:hideMark/>
          </w:tcPr>
          <w:p w14:paraId="2C360A48" w14:textId="77777777" w:rsidR="000D4F98" w:rsidRPr="00D76910" w:rsidRDefault="000D4F98" w:rsidP="00A51250">
            <w:pPr>
              <w:pStyle w:val="NCDTableText"/>
              <w:jc w:val="center"/>
            </w:pPr>
            <w:r w:rsidRPr="00D76910">
              <w:t>—</w:t>
            </w:r>
          </w:p>
        </w:tc>
        <w:tc>
          <w:tcPr>
            <w:tcW w:w="717" w:type="dxa"/>
            <w:hideMark/>
          </w:tcPr>
          <w:p w14:paraId="30353716" w14:textId="77777777" w:rsidR="000D4F98" w:rsidRPr="00D76910" w:rsidRDefault="000D4F98" w:rsidP="00A51250">
            <w:pPr>
              <w:pStyle w:val="NCDTableText"/>
              <w:jc w:val="center"/>
            </w:pPr>
            <w:r w:rsidRPr="00D76910">
              <w:t>—</w:t>
            </w:r>
          </w:p>
        </w:tc>
      </w:tr>
      <w:tr w:rsidR="00D76910" w:rsidRPr="00D76910" w14:paraId="2B2DB7CF" w14:textId="77777777" w:rsidTr="00D76910">
        <w:trPr>
          <w:trHeight w:val="314"/>
          <w:jc w:val="center"/>
        </w:trPr>
        <w:tc>
          <w:tcPr>
            <w:tcW w:w="898" w:type="dxa"/>
            <w:hideMark/>
          </w:tcPr>
          <w:p w14:paraId="7FDA74D8" w14:textId="77777777" w:rsidR="000D4F98" w:rsidRPr="00D76910" w:rsidRDefault="000D4F98" w:rsidP="00D76910">
            <w:pPr>
              <w:pStyle w:val="NCDTableText"/>
            </w:pPr>
            <w:r w:rsidRPr="00D76910">
              <w:t xml:space="preserve">VA </w:t>
            </w:r>
          </w:p>
        </w:tc>
        <w:tc>
          <w:tcPr>
            <w:tcW w:w="904" w:type="dxa"/>
            <w:hideMark/>
          </w:tcPr>
          <w:p w14:paraId="7AC1793A" w14:textId="77777777" w:rsidR="000D4F98" w:rsidRPr="00D76910" w:rsidRDefault="000D4F98" w:rsidP="00A51250">
            <w:pPr>
              <w:pStyle w:val="NCDTableText"/>
              <w:jc w:val="center"/>
            </w:pPr>
            <w:r w:rsidRPr="00D76910">
              <w:t>Y</w:t>
            </w:r>
          </w:p>
        </w:tc>
        <w:tc>
          <w:tcPr>
            <w:tcW w:w="1078" w:type="dxa"/>
            <w:hideMark/>
          </w:tcPr>
          <w:p w14:paraId="6B54A286" w14:textId="77777777" w:rsidR="000D4F98" w:rsidRPr="00D76910" w:rsidRDefault="000D4F98" w:rsidP="00A51250">
            <w:pPr>
              <w:pStyle w:val="NCDTableText"/>
              <w:jc w:val="center"/>
            </w:pPr>
            <w:r w:rsidRPr="00D76910">
              <w:t>—</w:t>
            </w:r>
          </w:p>
        </w:tc>
        <w:tc>
          <w:tcPr>
            <w:tcW w:w="810" w:type="dxa"/>
            <w:hideMark/>
          </w:tcPr>
          <w:p w14:paraId="28EBE3A5" w14:textId="77777777" w:rsidR="000D4F98" w:rsidRPr="00D76910" w:rsidRDefault="000D4F98" w:rsidP="00A51250">
            <w:pPr>
              <w:pStyle w:val="NCDTableText"/>
              <w:jc w:val="center"/>
            </w:pPr>
            <w:r w:rsidRPr="00D76910">
              <w:t>—</w:t>
            </w:r>
          </w:p>
        </w:tc>
        <w:tc>
          <w:tcPr>
            <w:tcW w:w="586" w:type="dxa"/>
            <w:hideMark/>
          </w:tcPr>
          <w:p w14:paraId="7C88F93E" w14:textId="77777777" w:rsidR="000D4F98" w:rsidRPr="00D76910" w:rsidRDefault="000D4F98" w:rsidP="00A51250">
            <w:pPr>
              <w:pStyle w:val="NCDTableText"/>
              <w:jc w:val="center"/>
            </w:pPr>
            <w:r w:rsidRPr="00D76910">
              <w:t>—</w:t>
            </w:r>
          </w:p>
        </w:tc>
        <w:tc>
          <w:tcPr>
            <w:tcW w:w="825" w:type="dxa"/>
            <w:hideMark/>
          </w:tcPr>
          <w:p w14:paraId="2DCECA97" w14:textId="77777777" w:rsidR="000D4F98" w:rsidRPr="00D76910" w:rsidRDefault="000D4F98" w:rsidP="00A51250">
            <w:pPr>
              <w:pStyle w:val="NCDTableText"/>
              <w:jc w:val="center"/>
            </w:pPr>
            <w:r w:rsidRPr="00D76910">
              <w:t>Y</w:t>
            </w:r>
          </w:p>
        </w:tc>
        <w:tc>
          <w:tcPr>
            <w:tcW w:w="825" w:type="dxa"/>
            <w:hideMark/>
          </w:tcPr>
          <w:p w14:paraId="713EE17D" w14:textId="77777777" w:rsidR="000D4F98" w:rsidRPr="00D76910" w:rsidRDefault="000D4F98" w:rsidP="00A51250">
            <w:pPr>
              <w:pStyle w:val="NCDTableText"/>
              <w:jc w:val="center"/>
            </w:pPr>
            <w:r w:rsidRPr="00D76910">
              <w:t>—</w:t>
            </w:r>
          </w:p>
        </w:tc>
        <w:tc>
          <w:tcPr>
            <w:tcW w:w="825" w:type="dxa"/>
            <w:hideMark/>
          </w:tcPr>
          <w:p w14:paraId="145D6210" w14:textId="77777777" w:rsidR="000D4F98" w:rsidRPr="00D76910" w:rsidRDefault="000D4F98" w:rsidP="00A51250">
            <w:pPr>
              <w:pStyle w:val="NCDTableText"/>
              <w:jc w:val="center"/>
            </w:pPr>
            <w:r w:rsidRPr="00D76910">
              <w:t>—</w:t>
            </w:r>
          </w:p>
        </w:tc>
        <w:tc>
          <w:tcPr>
            <w:tcW w:w="905" w:type="dxa"/>
            <w:hideMark/>
          </w:tcPr>
          <w:p w14:paraId="5D87B7A2" w14:textId="77777777" w:rsidR="000D4F98" w:rsidRPr="00D76910" w:rsidRDefault="000D4F98" w:rsidP="00A51250">
            <w:pPr>
              <w:pStyle w:val="NCDTableText"/>
              <w:jc w:val="center"/>
            </w:pPr>
            <w:r w:rsidRPr="00D76910">
              <w:t>—</w:t>
            </w:r>
          </w:p>
        </w:tc>
        <w:tc>
          <w:tcPr>
            <w:tcW w:w="987" w:type="dxa"/>
            <w:hideMark/>
          </w:tcPr>
          <w:p w14:paraId="3A9CA80E" w14:textId="77777777" w:rsidR="000D4F98" w:rsidRPr="00D76910" w:rsidRDefault="000D4F98" w:rsidP="00A51250">
            <w:pPr>
              <w:pStyle w:val="NCDTableText"/>
              <w:jc w:val="center"/>
            </w:pPr>
            <w:r w:rsidRPr="00D76910">
              <w:t>Y</w:t>
            </w:r>
          </w:p>
        </w:tc>
        <w:tc>
          <w:tcPr>
            <w:tcW w:w="717" w:type="dxa"/>
            <w:hideMark/>
          </w:tcPr>
          <w:p w14:paraId="26E7F1A3" w14:textId="77777777" w:rsidR="000D4F98" w:rsidRPr="00D76910" w:rsidRDefault="000D4F98" w:rsidP="00A51250">
            <w:pPr>
              <w:pStyle w:val="NCDTableText"/>
              <w:jc w:val="center"/>
            </w:pPr>
            <w:r w:rsidRPr="00D76910">
              <w:t>Y</w:t>
            </w:r>
          </w:p>
        </w:tc>
      </w:tr>
      <w:tr w:rsidR="00D76910" w:rsidRPr="00D76910" w14:paraId="61FC027B" w14:textId="77777777" w:rsidTr="00D76910">
        <w:trPr>
          <w:trHeight w:val="314"/>
          <w:jc w:val="center"/>
        </w:trPr>
        <w:tc>
          <w:tcPr>
            <w:tcW w:w="898" w:type="dxa"/>
            <w:hideMark/>
          </w:tcPr>
          <w:p w14:paraId="13F13F84" w14:textId="77777777" w:rsidR="000D4F98" w:rsidRPr="00D76910" w:rsidRDefault="000D4F98" w:rsidP="00D76910">
            <w:pPr>
              <w:pStyle w:val="NCDTableText"/>
            </w:pPr>
            <w:r w:rsidRPr="00D76910">
              <w:t xml:space="preserve">WA </w:t>
            </w:r>
          </w:p>
        </w:tc>
        <w:tc>
          <w:tcPr>
            <w:tcW w:w="904" w:type="dxa"/>
            <w:hideMark/>
          </w:tcPr>
          <w:p w14:paraId="291E7116" w14:textId="77777777" w:rsidR="000D4F98" w:rsidRPr="00D76910" w:rsidRDefault="000D4F98" w:rsidP="00A51250">
            <w:pPr>
              <w:pStyle w:val="NCDTableText"/>
              <w:jc w:val="center"/>
            </w:pPr>
            <w:r w:rsidRPr="00D76910">
              <w:t>Y</w:t>
            </w:r>
          </w:p>
        </w:tc>
        <w:tc>
          <w:tcPr>
            <w:tcW w:w="1078" w:type="dxa"/>
            <w:hideMark/>
          </w:tcPr>
          <w:p w14:paraId="0FE5336F" w14:textId="77777777" w:rsidR="000D4F98" w:rsidRPr="00D76910" w:rsidRDefault="000D4F98" w:rsidP="00A51250">
            <w:pPr>
              <w:pStyle w:val="NCDTableText"/>
              <w:jc w:val="center"/>
            </w:pPr>
            <w:r w:rsidRPr="00D76910">
              <w:t>—</w:t>
            </w:r>
          </w:p>
        </w:tc>
        <w:tc>
          <w:tcPr>
            <w:tcW w:w="810" w:type="dxa"/>
            <w:hideMark/>
          </w:tcPr>
          <w:p w14:paraId="66F2E604" w14:textId="77777777" w:rsidR="000D4F98" w:rsidRPr="00D76910" w:rsidRDefault="000D4F98" w:rsidP="00A51250">
            <w:pPr>
              <w:pStyle w:val="NCDTableText"/>
              <w:jc w:val="center"/>
            </w:pPr>
            <w:r w:rsidRPr="00D76910">
              <w:t>—</w:t>
            </w:r>
          </w:p>
        </w:tc>
        <w:tc>
          <w:tcPr>
            <w:tcW w:w="586" w:type="dxa"/>
            <w:hideMark/>
          </w:tcPr>
          <w:p w14:paraId="0F6F063E" w14:textId="77777777" w:rsidR="000D4F98" w:rsidRPr="00D76910" w:rsidRDefault="000D4F98" w:rsidP="00A51250">
            <w:pPr>
              <w:pStyle w:val="NCDTableText"/>
              <w:jc w:val="center"/>
            </w:pPr>
            <w:r w:rsidRPr="00D76910">
              <w:t>—</w:t>
            </w:r>
          </w:p>
        </w:tc>
        <w:tc>
          <w:tcPr>
            <w:tcW w:w="825" w:type="dxa"/>
            <w:hideMark/>
          </w:tcPr>
          <w:p w14:paraId="314F2362" w14:textId="77777777" w:rsidR="000D4F98" w:rsidRPr="00D76910" w:rsidRDefault="000D4F98" w:rsidP="00A51250">
            <w:pPr>
              <w:pStyle w:val="NCDTableText"/>
              <w:jc w:val="center"/>
            </w:pPr>
            <w:r w:rsidRPr="00D76910">
              <w:t>—</w:t>
            </w:r>
          </w:p>
        </w:tc>
        <w:tc>
          <w:tcPr>
            <w:tcW w:w="825" w:type="dxa"/>
            <w:hideMark/>
          </w:tcPr>
          <w:p w14:paraId="440D3C8B" w14:textId="77777777" w:rsidR="000D4F98" w:rsidRPr="00D76910" w:rsidRDefault="000D4F98" w:rsidP="00A51250">
            <w:pPr>
              <w:pStyle w:val="NCDTableText"/>
              <w:jc w:val="center"/>
            </w:pPr>
            <w:r w:rsidRPr="00D76910">
              <w:t>Y</w:t>
            </w:r>
          </w:p>
        </w:tc>
        <w:tc>
          <w:tcPr>
            <w:tcW w:w="825" w:type="dxa"/>
            <w:hideMark/>
          </w:tcPr>
          <w:p w14:paraId="4AD88772" w14:textId="77777777" w:rsidR="000D4F98" w:rsidRPr="00D76910" w:rsidRDefault="000D4F98" w:rsidP="00A51250">
            <w:pPr>
              <w:pStyle w:val="NCDTableText"/>
              <w:jc w:val="center"/>
            </w:pPr>
            <w:r w:rsidRPr="00D76910">
              <w:t>Y</w:t>
            </w:r>
          </w:p>
        </w:tc>
        <w:tc>
          <w:tcPr>
            <w:tcW w:w="905" w:type="dxa"/>
            <w:hideMark/>
          </w:tcPr>
          <w:p w14:paraId="6FD11048" w14:textId="77777777" w:rsidR="000D4F98" w:rsidRPr="00D76910" w:rsidRDefault="000D4F98" w:rsidP="00A51250">
            <w:pPr>
              <w:pStyle w:val="NCDTableText"/>
              <w:jc w:val="center"/>
            </w:pPr>
            <w:r w:rsidRPr="00D76910">
              <w:t>—</w:t>
            </w:r>
          </w:p>
        </w:tc>
        <w:tc>
          <w:tcPr>
            <w:tcW w:w="987" w:type="dxa"/>
            <w:hideMark/>
          </w:tcPr>
          <w:p w14:paraId="426A7B43" w14:textId="77777777" w:rsidR="000D4F98" w:rsidRPr="00D76910" w:rsidRDefault="000D4F98" w:rsidP="00A51250">
            <w:pPr>
              <w:pStyle w:val="NCDTableText"/>
              <w:jc w:val="center"/>
            </w:pPr>
            <w:r w:rsidRPr="00D76910">
              <w:t>—</w:t>
            </w:r>
          </w:p>
        </w:tc>
        <w:tc>
          <w:tcPr>
            <w:tcW w:w="717" w:type="dxa"/>
            <w:hideMark/>
          </w:tcPr>
          <w:p w14:paraId="0A07A2C4" w14:textId="77777777" w:rsidR="000D4F98" w:rsidRPr="00D76910" w:rsidRDefault="000D4F98" w:rsidP="00A51250">
            <w:pPr>
              <w:pStyle w:val="NCDTableText"/>
              <w:jc w:val="center"/>
            </w:pPr>
            <w:r w:rsidRPr="00D76910">
              <w:t>—</w:t>
            </w:r>
          </w:p>
        </w:tc>
      </w:tr>
      <w:tr w:rsidR="00D76910" w:rsidRPr="00D76910" w14:paraId="53C4ECC9" w14:textId="77777777" w:rsidTr="00D76910">
        <w:trPr>
          <w:trHeight w:val="314"/>
          <w:jc w:val="center"/>
        </w:trPr>
        <w:tc>
          <w:tcPr>
            <w:tcW w:w="898" w:type="dxa"/>
            <w:hideMark/>
          </w:tcPr>
          <w:p w14:paraId="1BF81B40" w14:textId="77777777" w:rsidR="000D4F98" w:rsidRPr="00D76910" w:rsidRDefault="000D4F98" w:rsidP="00D76910">
            <w:pPr>
              <w:pStyle w:val="NCDTableText"/>
            </w:pPr>
            <w:r w:rsidRPr="00D76910">
              <w:t xml:space="preserve">WV </w:t>
            </w:r>
          </w:p>
        </w:tc>
        <w:tc>
          <w:tcPr>
            <w:tcW w:w="904" w:type="dxa"/>
            <w:hideMark/>
          </w:tcPr>
          <w:p w14:paraId="183A35AD" w14:textId="77777777" w:rsidR="000D4F98" w:rsidRPr="00D76910" w:rsidRDefault="000D4F98" w:rsidP="00A51250">
            <w:pPr>
              <w:pStyle w:val="NCDTableText"/>
              <w:jc w:val="center"/>
            </w:pPr>
            <w:r w:rsidRPr="00D76910">
              <w:t>Y</w:t>
            </w:r>
          </w:p>
        </w:tc>
        <w:tc>
          <w:tcPr>
            <w:tcW w:w="1078" w:type="dxa"/>
            <w:hideMark/>
          </w:tcPr>
          <w:p w14:paraId="0C29F602" w14:textId="77777777" w:rsidR="000D4F98" w:rsidRPr="00D76910" w:rsidRDefault="000D4F98" w:rsidP="00A51250">
            <w:pPr>
              <w:pStyle w:val="NCDTableText"/>
              <w:jc w:val="center"/>
            </w:pPr>
            <w:r w:rsidRPr="00D76910">
              <w:t>—</w:t>
            </w:r>
          </w:p>
        </w:tc>
        <w:tc>
          <w:tcPr>
            <w:tcW w:w="810" w:type="dxa"/>
            <w:hideMark/>
          </w:tcPr>
          <w:p w14:paraId="40CF5B21" w14:textId="77777777" w:rsidR="000D4F98" w:rsidRPr="00D76910" w:rsidRDefault="000D4F98" w:rsidP="00A51250">
            <w:pPr>
              <w:pStyle w:val="NCDTableText"/>
              <w:jc w:val="center"/>
            </w:pPr>
            <w:r w:rsidRPr="00D76910">
              <w:t>—</w:t>
            </w:r>
          </w:p>
        </w:tc>
        <w:tc>
          <w:tcPr>
            <w:tcW w:w="586" w:type="dxa"/>
            <w:hideMark/>
          </w:tcPr>
          <w:p w14:paraId="6DE7E7DD" w14:textId="77777777" w:rsidR="000D4F98" w:rsidRPr="00D76910" w:rsidRDefault="000D4F98" w:rsidP="00A51250">
            <w:pPr>
              <w:pStyle w:val="NCDTableText"/>
              <w:jc w:val="center"/>
            </w:pPr>
            <w:r w:rsidRPr="00D76910">
              <w:t>—</w:t>
            </w:r>
          </w:p>
        </w:tc>
        <w:tc>
          <w:tcPr>
            <w:tcW w:w="825" w:type="dxa"/>
            <w:hideMark/>
          </w:tcPr>
          <w:p w14:paraId="74B6F22F" w14:textId="77777777" w:rsidR="000D4F98" w:rsidRPr="00D76910" w:rsidRDefault="000D4F98" w:rsidP="00A51250">
            <w:pPr>
              <w:pStyle w:val="NCDTableText"/>
              <w:jc w:val="center"/>
            </w:pPr>
            <w:r w:rsidRPr="00D76910">
              <w:t>—</w:t>
            </w:r>
          </w:p>
        </w:tc>
        <w:tc>
          <w:tcPr>
            <w:tcW w:w="825" w:type="dxa"/>
            <w:hideMark/>
          </w:tcPr>
          <w:p w14:paraId="2975DA4E" w14:textId="77777777" w:rsidR="000D4F98" w:rsidRPr="00D76910" w:rsidRDefault="000D4F98" w:rsidP="00A51250">
            <w:pPr>
              <w:pStyle w:val="NCDTableText"/>
              <w:jc w:val="center"/>
            </w:pPr>
            <w:r w:rsidRPr="00D76910">
              <w:t>—</w:t>
            </w:r>
          </w:p>
        </w:tc>
        <w:tc>
          <w:tcPr>
            <w:tcW w:w="825" w:type="dxa"/>
            <w:hideMark/>
          </w:tcPr>
          <w:p w14:paraId="2944A519" w14:textId="77777777" w:rsidR="000D4F98" w:rsidRPr="00D76910" w:rsidRDefault="000D4F98" w:rsidP="00A51250">
            <w:pPr>
              <w:pStyle w:val="NCDTableText"/>
              <w:jc w:val="center"/>
            </w:pPr>
            <w:r w:rsidRPr="00D76910">
              <w:t>—</w:t>
            </w:r>
          </w:p>
        </w:tc>
        <w:tc>
          <w:tcPr>
            <w:tcW w:w="905" w:type="dxa"/>
            <w:hideMark/>
          </w:tcPr>
          <w:p w14:paraId="497E83DA" w14:textId="77777777" w:rsidR="000D4F98" w:rsidRPr="00D76910" w:rsidRDefault="000D4F98" w:rsidP="00A51250">
            <w:pPr>
              <w:pStyle w:val="NCDTableText"/>
              <w:jc w:val="center"/>
            </w:pPr>
            <w:r w:rsidRPr="00D76910">
              <w:t>Y</w:t>
            </w:r>
          </w:p>
        </w:tc>
        <w:tc>
          <w:tcPr>
            <w:tcW w:w="987" w:type="dxa"/>
            <w:hideMark/>
          </w:tcPr>
          <w:p w14:paraId="15951EE2" w14:textId="77777777" w:rsidR="000D4F98" w:rsidRPr="00D76910" w:rsidRDefault="000D4F98" w:rsidP="00A51250">
            <w:pPr>
              <w:pStyle w:val="NCDTableText"/>
              <w:jc w:val="center"/>
            </w:pPr>
            <w:r w:rsidRPr="00D76910">
              <w:t>—</w:t>
            </w:r>
          </w:p>
        </w:tc>
        <w:tc>
          <w:tcPr>
            <w:tcW w:w="717" w:type="dxa"/>
            <w:hideMark/>
          </w:tcPr>
          <w:p w14:paraId="14CE9208" w14:textId="77777777" w:rsidR="000D4F98" w:rsidRPr="00D76910" w:rsidRDefault="000D4F98" w:rsidP="00A51250">
            <w:pPr>
              <w:pStyle w:val="NCDTableText"/>
              <w:jc w:val="center"/>
            </w:pPr>
            <w:r w:rsidRPr="00D76910">
              <w:t>—</w:t>
            </w:r>
          </w:p>
        </w:tc>
      </w:tr>
      <w:tr w:rsidR="00D76910" w:rsidRPr="00D76910" w14:paraId="0646D655" w14:textId="77777777" w:rsidTr="00D76910">
        <w:trPr>
          <w:trHeight w:val="314"/>
          <w:jc w:val="center"/>
        </w:trPr>
        <w:tc>
          <w:tcPr>
            <w:tcW w:w="898" w:type="dxa"/>
            <w:hideMark/>
          </w:tcPr>
          <w:p w14:paraId="44BCB77B" w14:textId="77777777" w:rsidR="000D4F98" w:rsidRPr="00D76910" w:rsidRDefault="000D4F98" w:rsidP="00D76910">
            <w:pPr>
              <w:pStyle w:val="NCDTableText"/>
            </w:pPr>
            <w:r w:rsidRPr="00D76910">
              <w:t xml:space="preserve">WI </w:t>
            </w:r>
          </w:p>
        </w:tc>
        <w:tc>
          <w:tcPr>
            <w:tcW w:w="904" w:type="dxa"/>
            <w:hideMark/>
          </w:tcPr>
          <w:p w14:paraId="16D7C912" w14:textId="77777777" w:rsidR="000D4F98" w:rsidRPr="00D76910" w:rsidRDefault="000D4F98" w:rsidP="00A51250">
            <w:pPr>
              <w:pStyle w:val="NCDTableText"/>
              <w:jc w:val="center"/>
            </w:pPr>
            <w:r w:rsidRPr="00D76910">
              <w:t>N</w:t>
            </w:r>
          </w:p>
        </w:tc>
        <w:tc>
          <w:tcPr>
            <w:tcW w:w="1078" w:type="dxa"/>
            <w:hideMark/>
          </w:tcPr>
          <w:p w14:paraId="6F4973C7" w14:textId="77777777" w:rsidR="000D4F98" w:rsidRPr="00D76910" w:rsidRDefault="000D4F98" w:rsidP="00A51250">
            <w:pPr>
              <w:pStyle w:val="NCDTableText"/>
              <w:jc w:val="center"/>
            </w:pPr>
            <w:r w:rsidRPr="00D76910">
              <w:t>—</w:t>
            </w:r>
          </w:p>
        </w:tc>
        <w:tc>
          <w:tcPr>
            <w:tcW w:w="810" w:type="dxa"/>
            <w:hideMark/>
          </w:tcPr>
          <w:p w14:paraId="6FEB9AFE" w14:textId="77777777" w:rsidR="000D4F98" w:rsidRPr="00D76910" w:rsidRDefault="000D4F98" w:rsidP="00A51250">
            <w:pPr>
              <w:pStyle w:val="NCDTableText"/>
              <w:jc w:val="center"/>
            </w:pPr>
            <w:r w:rsidRPr="00D76910">
              <w:t>—</w:t>
            </w:r>
          </w:p>
        </w:tc>
        <w:tc>
          <w:tcPr>
            <w:tcW w:w="586" w:type="dxa"/>
            <w:hideMark/>
          </w:tcPr>
          <w:p w14:paraId="3CA5EC4C" w14:textId="77777777" w:rsidR="000D4F98" w:rsidRPr="00D76910" w:rsidRDefault="000D4F98" w:rsidP="00A51250">
            <w:pPr>
              <w:pStyle w:val="NCDTableText"/>
              <w:jc w:val="center"/>
            </w:pPr>
            <w:r w:rsidRPr="00D76910">
              <w:t>—</w:t>
            </w:r>
          </w:p>
        </w:tc>
        <w:tc>
          <w:tcPr>
            <w:tcW w:w="825" w:type="dxa"/>
            <w:hideMark/>
          </w:tcPr>
          <w:p w14:paraId="4466FA59" w14:textId="77777777" w:rsidR="000D4F98" w:rsidRPr="00D76910" w:rsidRDefault="000D4F98" w:rsidP="00A51250">
            <w:pPr>
              <w:pStyle w:val="NCDTableText"/>
              <w:jc w:val="center"/>
            </w:pPr>
            <w:r w:rsidRPr="00D76910">
              <w:t>—</w:t>
            </w:r>
          </w:p>
        </w:tc>
        <w:tc>
          <w:tcPr>
            <w:tcW w:w="825" w:type="dxa"/>
            <w:hideMark/>
          </w:tcPr>
          <w:p w14:paraId="3D9F00E6" w14:textId="77777777" w:rsidR="000D4F98" w:rsidRPr="00D76910" w:rsidRDefault="000D4F98" w:rsidP="00A51250">
            <w:pPr>
              <w:pStyle w:val="NCDTableText"/>
              <w:jc w:val="center"/>
            </w:pPr>
            <w:r w:rsidRPr="00D76910">
              <w:t>—</w:t>
            </w:r>
          </w:p>
        </w:tc>
        <w:tc>
          <w:tcPr>
            <w:tcW w:w="825" w:type="dxa"/>
            <w:hideMark/>
          </w:tcPr>
          <w:p w14:paraId="17F245DC" w14:textId="77777777" w:rsidR="000D4F98" w:rsidRPr="00D76910" w:rsidRDefault="000D4F98" w:rsidP="00A51250">
            <w:pPr>
              <w:pStyle w:val="NCDTableText"/>
              <w:jc w:val="center"/>
            </w:pPr>
            <w:r w:rsidRPr="00D76910">
              <w:t>—</w:t>
            </w:r>
          </w:p>
        </w:tc>
        <w:tc>
          <w:tcPr>
            <w:tcW w:w="905" w:type="dxa"/>
            <w:hideMark/>
          </w:tcPr>
          <w:p w14:paraId="446EB548" w14:textId="77777777" w:rsidR="000D4F98" w:rsidRPr="00D76910" w:rsidRDefault="000D4F98" w:rsidP="00A51250">
            <w:pPr>
              <w:pStyle w:val="NCDTableText"/>
              <w:jc w:val="center"/>
            </w:pPr>
            <w:r w:rsidRPr="00D76910">
              <w:t>—</w:t>
            </w:r>
          </w:p>
        </w:tc>
        <w:tc>
          <w:tcPr>
            <w:tcW w:w="987" w:type="dxa"/>
            <w:hideMark/>
          </w:tcPr>
          <w:p w14:paraId="662D5303" w14:textId="77777777" w:rsidR="000D4F98" w:rsidRPr="00D76910" w:rsidRDefault="000D4F98" w:rsidP="00A51250">
            <w:pPr>
              <w:pStyle w:val="NCDTableText"/>
              <w:jc w:val="center"/>
            </w:pPr>
            <w:r w:rsidRPr="00D76910">
              <w:t>—</w:t>
            </w:r>
          </w:p>
        </w:tc>
        <w:tc>
          <w:tcPr>
            <w:tcW w:w="717" w:type="dxa"/>
            <w:hideMark/>
          </w:tcPr>
          <w:p w14:paraId="73D67B58" w14:textId="77777777" w:rsidR="000D4F98" w:rsidRPr="00D76910" w:rsidRDefault="000D4F98" w:rsidP="00A51250">
            <w:pPr>
              <w:pStyle w:val="NCDTableText"/>
              <w:jc w:val="center"/>
            </w:pPr>
            <w:r w:rsidRPr="00D76910">
              <w:t>—</w:t>
            </w:r>
          </w:p>
        </w:tc>
      </w:tr>
      <w:tr w:rsidR="00D76910" w:rsidRPr="00D76910" w14:paraId="2895BE9E" w14:textId="77777777" w:rsidTr="00D76910">
        <w:trPr>
          <w:trHeight w:val="314"/>
          <w:jc w:val="center"/>
        </w:trPr>
        <w:tc>
          <w:tcPr>
            <w:tcW w:w="898" w:type="dxa"/>
            <w:hideMark/>
          </w:tcPr>
          <w:p w14:paraId="66993BFD" w14:textId="77777777" w:rsidR="000D4F98" w:rsidRPr="00D76910" w:rsidRDefault="000D4F98" w:rsidP="00D76910">
            <w:pPr>
              <w:pStyle w:val="NCDTableText"/>
            </w:pPr>
            <w:r w:rsidRPr="00D76910">
              <w:t>WY</w:t>
            </w:r>
          </w:p>
        </w:tc>
        <w:tc>
          <w:tcPr>
            <w:tcW w:w="904" w:type="dxa"/>
            <w:hideMark/>
          </w:tcPr>
          <w:p w14:paraId="1F9F5332" w14:textId="77777777" w:rsidR="000D4F98" w:rsidRPr="00D76910" w:rsidRDefault="000D4F98" w:rsidP="00A51250">
            <w:pPr>
              <w:pStyle w:val="NCDTableText"/>
              <w:jc w:val="center"/>
            </w:pPr>
            <w:r w:rsidRPr="00D76910">
              <w:t>N</w:t>
            </w:r>
          </w:p>
        </w:tc>
        <w:tc>
          <w:tcPr>
            <w:tcW w:w="1078" w:type="dxa"/>
            <w:hideMark/>
          </w:tcPr>
          <w:p w14:paraId="3E47696D" w14:textId="77777777" w:rsidR="000D4F98" w:rsidRPr="00D76910" w:rsidRDefault="000D4F98" w:rsidP="00A51250">
            <w:pPr>
              <w:pStyle w:val="NCDTableText"/>
              <w:jc w:val="center"/>
            </w:pPr>
            <w:r w:rsidRPr="00D76910">
              <w:t>—</w:t>
            </w:r>
          </w:p>
        </w:tc>
        <w:tc>
          <w:tcPr>
            <w:tcW w:w="810" w:type="dxa"/>
            <w:hideMark/>
          </w:tcPr>
          <w:p w14:paraId="54A44048" w14:textId="77777777" w:rsidR="000D4F98" w:rsidRPr="00D76910" w:rsidRDefault="000D4F98" w:rsidP="00A51250">
            <w:pPr>
              <w:pStyle w:val="NCDTableText"/>
              <w:jc w:val="center"/>
            </w:pPr>
            <w:r w:rsidRPr="00D76910">
              <w:t>—</w:t>
            </w:r>
          </w:p>
        </w:tc>
        <w:tc>
          <w:tcPr>
            <w:tcW w:w="586" w:type="dxa"/>
            <w:hideMark/>
          </w:tcPr>
          <w:p w14:paraId="3C42E126" w14:textId="77777777" w:rsidR="000D4F98" w:rsidRPr="00D76910" w:rsidRDefault="000D4F98" w:rsidP="00A51250">
            <w:pPr>
              <w:pStyle w:val="NCDTableText"/>
              <w:jc w:val="center"/>
            </w:pPr>
            <w:r w:rsidRPr="00D76910">
              <w:t>—</w:t>
            </w:r>
          </w:p>
        </w:tc>
        <w:tc>
          <w:tcPr>
            <w:tcW w:w="825" w:type="dxa"/>
            <w:hideMark/>
          </w:tcPr>
          <w:p w14:paraId="6CC44438" w14:textId="77777777" w:rsidR="000D4F98" w:rsidRPr="00D76910" w:rsidRDefault="000D4F98" w:rsidP="00A51250">
            <w:pPr>
              <w:pStyle w:val="NCDTableText"/>
              <w:jc w:val="center"/>
            </w:pPr>
            <w:r w:rsidRPr="00D76910">
              <w:t>—</w:t>
            </w:r>
          </w:p>
        </w:tc>
        <w:tc>
          <w:tcPr>
            <w:tcW w:w="825" w:type="dxa"/>
            <w:hideMark/>
          </w:tcPr>
          <w:p w14:paraId="407A1B3E" w14:textId="77777777" w:rsidR="000D4F98" w:rsidRPr="00D76910" w:rsidRDefault="000D4F98" w:rsidP="00A51250">
            <w:pPr>
              <w:pStyle w:val="NCDTableText"/>
              <w:jc w:val="center"/>
            </w:pPr>
            <w:r w:rsidRPr="00D76910">
              <w:t>—</w:t>
            </w:r>
          </w:p>
        </w:tc>
        <w:tc>
          <w:tcPr>
            <w:tcW w:w="825" w:type="dxa"/>
            <w:hideMark/>
          </w:tcPr>
          <w:p w14:paraId="2773FFF4" w14:textId="77777777" w:rsidR="000D4F98" w:rsidRPr="00D76910" w:rsidRDefault="000D4F98" w:rsidP="00A51250">
            <w:pPr>
              <w:pStyle w:val="NCDTableText"/>
              <w:jc w:val="center"/>
            </w:pPr>
            <w:r w:rsidRPr="00D76910">
              <w:t>—</w:t>
            </w:r>
          </w:p>
        </w:tc>
        <w:tc>
          <w:tcPr>
            <w:tcW w:w="905" w:type="dxa"/>
            <w:hideMark/>
          </w:tcPr>
          <w:p w14:paraId="282EF2BB" w14:textId="77777777" w:rsidR="000D4F98" w:rsidRPr="00D76910" w:rsidRDefault="000D4F98" w:rsidP="00A51250">
            <w:pPr>
              <w:pStyle w:val="NCDTableText"/>
              <w:jc w:val="center"/>
            </w:pPr>
            <w:r w:rsidRPr="00D76910">
              <w:t>—</w:t>
            </w:r>
          </w:p>
        </w:tc>
        <w:tc>
          <w:tcPr>
            <w:tcW w:w="987" w:type="dxa"/>
            <w:hideMark/>
          </w:tcPr>
          <w:p w14:paraId="2C22C787" w14:textId="77777777" w:rsidR="000D4F98" w:rsidRPr="00D76910" w:rsidRDefault="000D4F98" w:rsidP="00A51250">
            <w:pPr>
              <w:pStyle w:val="NCDTableText"/>
              <w:jc w:val="center"/>
            </w:pPr>
            <w:r w:rsidRPr="00D76910">
              <w:t>—</w:t>
            </w:r>
          </w:p>
        </w:tc>
        <w:tc>
          <w:tcPr>
            <w:tcW w:w="717" w:type="dxa"/>
            <w:hideMark/>
          </w:tcPr>
          <w:p w14:paraId="4D4D467B" w14:textId="77777777" w:rsidR="000D4F98" w:rsidRPr="00D76910" w:rsidRDefault="000D4F98" w:rsidP="00A51250">
            <w:pPr>
              <w:pStyle w:val="NCDTableText"/>
              <w:jc w:val="center"/>
            </w:pPr>
            <w:r w:rsidRPr="00D76910">
              <w:t>—</w:t>
            </w:r>
          </w:p>
        </w:tc>
      </w:tr>
      <w:tr w:rsidR="00D76910" w:rsidRPr="00D76910" w14:paraId="66FF18AE" w14:textId="77777777" w:rsidTr="00D76910">
        <w:trPr>
          <w:trHeight w:val="314"/>
          <w:jc w:val="center"/>
        </w:trPr>
        <w:tc>
          <w:tcPr>
            <w:tcW w:w="898" w:type="dxa"/>
            <w:hideMark/>
          </w:tcPr>
          <w:p w14:paraId="13BE7663" w14:textId="4B6A44A5" w:rsidR="000D4F98" w:rsidRPr="00D76910" w:rsidRDefault="00401D57" w:rsidP="00D76910">
            <w:pPr>
              <w:pStyle w:val="NCDTableText"/>
              <w:rPr>
                <w:b/>
                <w:bCs/>
                <w:i/>
                <w:iCs/>
              </w:rPr>
            </w:pPr>
            <w:r w:rsidRPr="00401D57">
              <w:rPr>
                <w:b/>
                <w:bCs/>
                <w:i/>
                <w:iCs/>
              </w:rPr>
              <w:t>Total</w:t>
            </w:r>
          </w:p>
        </w:tc>
        <w:tc>
          <w:tcPr>
            <w:tcW w:w="904" w:type="dxa"/>
            <w:hideMark/>
          </w:tcPr>
          <w:p w14:paraId="0CD07648" w14:textId="7F1E617E" w:rsidR="000D4F98" w:rsidRPr="00D76910" w:rsidRDefault="00401D57" w:rsidP="00A51250">
            <w:pPr>
              <w:pStyle w:val="NCDTableText"/>
              <w:jc w:val="center"/>
              <w:rPr>
                <w:b/>
                <w:bCs/>
              </w:rPr>
            </w:pPr>
            <w:r w:rsidRPr="00401D57">
              <w:rPr>
                <w:b/>
                <w:bCs/>
              </w:rPr>
              <w:t>28*</w:t>
            </w:r>
          </w:p>
        </w:tc>
        <w:tc>
          <w:tcPr>
            <w:tcW w:w="1078" w:type="dxa"/>
            <w:hideMark/>
          </w:tcPr>
          <w:p w14:paraId="3456521E" w14:textId="63E152BB" w:rsidR="000D4F98" w:rsidRPr="00D76910" w:rsidRDefault="00401D57" w:rsidP="00A51250">
            <w:pPr>
              <w:pStyle w:val="NCDTableText"/>
              <w:jc w:val="center"/>
              <w:rPr>
                <w:b/>
                <w:bCs/>
              </w:rPr>
            </w:pPr>
            <w:r w:rsidRPr="00401D57">
              <w:rPr>
                <w:b/>
                <w:bCs/>
              </w:rPr>
              <w:t>2</w:t>
            </w:r>
          </w:p>
        </w:tc>
        <w:tc>
          <w:tcPr>
            <w:tcW w:w="810" w:type="dxa"/>
            <w:hideMark/>
          </w:tcPr>
          <w:p w14:paraId="6E9917F2" w14:textId="16B44573" w:rsidR="000D4F98" w:rsidRPr="00D76910" w:rsidRDefault="00401D57" w:rsidP="00A51250">
            <w:pPr>
              <w:pStyle w:val="NCDTableText"/>
              <w:jc w:val="center"/>
              <w:rPr>
                <w:b/>
                <w:bCs/>
              </w:rPr>
            </w:pPr>
            <w:r w:rsidRPr="00401D57">
              <w:rPr>
                <w:b/>
                <w:bCs/>
              </w:rPr>
              <w:t>6</w:t>
            </w:r>
          </w:p>
        </w:tc>
        <w:tc>
          <w:tcPr>
            <w:tcW w:w="586" w:type="dxa"/>
            <w:hideMark/>
          </w:tcPr>
          <w:p w14:paraId="023890F6" w14:textId="170DF311" w:rsidR="000D4F98" w:rsidRPr="00D76910" w:rsidRDefault="00401D57" w:rsidP="00A51250">
            <w:pPr>
              <w:pStyle w:val="NCDTableText"/>
              <w:jc w:val="center"/>
              <w:rPr>
                <w:b/>
                <w:bCs/>
              </w:rPr>
            </w:pPr>
            <w:r w:rsidRPr="00401D57">
              <w:rPr>
                <w:b/>
                <w:bCs/>
              </w:rPr>
              <w:t>3</w:t>
            </w:r>
          </w:p>
        </w:tc>
        <w:tc>
          <w:tcPr>
            <w:tcW w:w="825" w:type="dxa"/>
            <w:hideMark/>
          </w:tcPr>
          <w:p w14:paraId="4F1DCC03" w14:textId="3E9A8A5B" w:rsidR="000D4F98" w:rsidRPr="00D76910" w:rsidRDefault="00401D57" w:rsidP="00A51250">
            <w:pPr>
              <w:pStyle w:val="NCDTableText"/>
              <w:jc w:val="center"/>
              <w:rPr>
                <w:b/>
                <w:bCs/>
              </w:rPr>
            </w:pPr>
            <w:r w:rsidRPr="00401D57">
              <w:rPr>
                <w:b/>
                <w:bCs/>
              </w:rPr>
              <w:t>13</w:t>
            </w:r>
          </w:p>
        </w:tc>
        <w:tc>
          <w:tcPr>
            <w:tcW w:w="825" w:type="dxa"/>
            <w:hideMark/>
          </w:tcPr>
          <w:p w14:paraId="45287418" w14:textId="2DA05BF5" w:rsidR="000D4F98" w:rsidRPr="00D76910" w:rsidRDefault="00401D57" w:rsidP="00A51250">
            <w:pPr>
              <w:pStyle w:val="NCDTableText"/>
              <w:jc w:val="center"/>
              <w:rPr>
                <w:b/>
                <w:bCs/>
              </w:rPr>
            </w:pPr>
            <w:r w:rsidRPr="00401D57">
              <w:rPr>
                <w:b/>
                <w:bCs/>
              </w:rPr>
              <w:t>9</w:t>
            </w:r>
          </w:p>
        </w:tc>
        <w:tc>
          <w:tcPr>
            <w:tcW w:w="825" w:type="dxa"/>
            <w:hideMark/>
          </w:tcPr>
          <w:p w14:paraId="3BFAA7DE" w14:textId="5BAC467F" w:rsidR="000D4F98" w:rsidRPr="00D76910" w:rsidRDefault="00401D57" w:rsidP="00A51250">
            <w:pPr>
              <w:pStyle w:val="NCDTableText"/>
              <w:jc w:val="center"/>
              <w:rPr>
                <w:b/>
                <w:bCs/>
              </w:rPr>
            </w:pPr>
            <w:r w:rsidRPr="00401D57">
              <w:rPr>
                <w:b/>
                <w:bCs/>
              </w:rPr>
              <w:t>4</w:t>
            </w:r>
          </w:p>
        </w:tc>
        <w:tc>
          <w:tcPr>
            <w:tcW w:w="905" w:type="dxa"/>
            <w:hideMark/>
          </w:tcPr>
          <w:p w14:paraId="1A06BFC0" w14:textId="3CE2844B" w:rsidR="000D4F98" w:rsidRPr="00D76910" w:rsidRDefault="00401D57" w:rsidP="00A51250">
            <w:pPr>
              <w:pStyle w:val="NCDTableText"/>
              <w:jc w:val="center"/>
              <w:rPr>
                <w:b/>
                <w:bCs/>
              </w:rPr>
            </w:pPr>
            <w:r w:rsidRPr="00401D57">
              <w:rPr>
                <w:b/>
                <w:bCs/>
              </w:rPr>
              <w:t>11</w:t>
            </w:r>
          </w:p>
        </w:tc>
        <w:tc>
          <w:tcPr>
            <w:tcW w:w="987" w:type="dxa"/>
            <w:hideMark/>
          </w:tcPr>
          <w:p w14:paraId="0FF6E2E6" w14:textId="22A03B5D" w:rsidR="000D4F98" w:rsidRPr="00D76910" w:rsidRDefault="00401D57" w:rsidP="00A51250">
            <w:pPr>
              <w:pStyle w:val="NCDTableText"/>
              <w:jc w:val="center"/>
              <w:rPr>
                <w:b/>
                <w:bCs/>
              </w:rPr>
            </w:pPr>
            <w:r w:rsidRPr="00401D57">
              <w:rPr>
                <w:b/>
                <w:bCs/>
              </w:rPr>
              <w:t>1</w:t>
            </w:r>
          </w:p>
        </w:tc>
        <w:tc>
          <w:tcPr>
            <w:tcW w:w="717" w:type="dxa"/>
            <w:hideMark/>
          </w:tcPr>
          <w:p w14:paraId="0D6B433C" w14:textId="1037EF10" w:rsidR="000D4F98" w:rsidRPr="00D76910" w:rsidRDefault="00401D57" w:rsidP="00A51250">
            <w:pPr>
              <w:pStyle w:val="NCDTableText"/>
              <w:jc w:val="center"/>
              <w:rPr>
                <w:b/>
                <w:bCs/>
              </w:rPr>
            </w:pPr>
            <w:r w:rsidRPr="00401D57">
              <w:rPr>
                <w:b/>
                <w:bCs/>
              </w:rPr>
              <w:t>5</w:t>
            </w:r>
          </w:p>
        </w:tc>
      </w:tr>
    </w:tbl>
    <w:p w14:paraId="6362BAC7" w14:textId="77777777" w:rsidR="000D4F98" w:rsidRPr="00537483" w:rsidRDefault="000D4F98" w:rsidP="000D4F98">
      <w:pPr>
        <w:spacing w:line="240" w:lineRule="auto"/>
        <w:rPr>
          <w:rFonts w:ascii="Times New Roman"/>
          <w:sz w:val="19"/>
        </w:rPr>
      </w:pPr>
    </w:p>
    <w:p w14:paraId="5DA44FE3" w14:textId="225472FB" w:rsidR="00A4028D" w:rsidRDefault="000D4F98" w:rsidP="00D76910">
      <w:pPr>
        <w:pStyle w:val="NCDBodyText"/>
      </w:pPr>
      <w:r w:rsidRPr="0037774F">
        <w:t>*Incomplete responses not counted.</w:t>
      </w:r>
      <w:bookmarkEnd w:id="86"/>
      <w:bookmarkEnd w:id="87"/>
      <w:bookmarkEnd w:id="88"/>
    </w:p>
    <w:p w14:paraId="1CCBD08A" w14:textId="77777777" w:rsidR="00A4028D" w:rsidRDefault="00A4028D">
      <w:pPr>
        <w:spacing w:after="160" w:line="259" w:lineRule="auto"/>
        <w:rPr>
          <w:rFonts w:eastAsia="Calibri" w:cs="Calibri"/>
          <w:color w:val="000000"/>
          <w:szCs w:val="24"/>
          <w:u w:color="000000"/>
          <w:bdr w:val="nil"/>
        </w:rPr>
      </w:pPr>
      <w:r>
        <w:br w:type="page"/>
      </w:r>
    </w:p>
    <w:p w14:paraId="795DE62E" w14:textId="0E991D31" w:rsidR="00A4028D" w:rsidRDefault="00A4028D">
      <w:pPr>
        <w:spacing w:after="160" w:line="259" w:lineRule="auto"/>
        <w:rPr>
          <w:rFonts w:ascii="Times New Roman" w:eastAsia="Calibri" w:cs="Calibri"/>
          <w:color w:val="000000"/>
          <w:szCs w:val="24"/>
          <w:u w:color="000000"/>
          <w:bdr w:val="nil"/>
        </w:rPr>
      </w:pPr>
      <w:r>
        <w:rPr>
          <w:rFonts w:ascii="Times New Roman"/>
        </w:rPr>
        <w:lastRenderedPageBreak/>
        <w:br w:type="page"/>
      </w:r>
    </w:p>
    <w:p w14:paraId="23019A46" w14:textId="561702C3" w:rsidR="000D4F98" w:rsidRPr="004E689B" w:rsidRDefault="00A4028D" w:rsidP="004E689B">
      <w:pPr>
        <w:pStyle w:val="Heading1"/>
      </w:pPr>
      <w:bookmarkStart w:id="240" w:name="_Toc95237065"/>
      <w:r>
        <w:lastRenderedPageBreak/>
        <w:t>Endnotes</w:t>
      </w:r>
      <w:bookmarkEnd w:id="240"/>
    </w:p>
    <w:sectPr w:rsidR="000D4F98" w:rsidRPr="004E689B" w:rsidSect="000B0109">
      <w:footerReference w:type="default" r:id="rId45"/>
      <w:footnotePr>
        <w:numFmt w:val="chicago"/>
      </w:footnotePr>
      <w:endnotePr>
        <w:numFmt w:val="decimal"/>
      </w:endnotePr>
      <w:type w:val="continuous"/>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AB3E6E" w14:textId="77777777" w:rsidR="00A514FF" w:rsidRDefault="00A514FF" w:rsidP="00841C72">
      <w:pPr>
        <w:spacing w:line="240" w:lineRule="auto"/>
      </w:pPr>
      <w:r>
        <w:separator/>
      </w:r>
    </w:p>
  </w:endnote>
  <w:endnote w:type="continuationSeparator" w:id="0">
    <w:p w14:paraId="45820168" w14:textId="77777777" w:rsidR="00A514FF" w:rsidRDefault="00A514FF" w:rsidP="00841C72">
      <w:pPr>
        <w:spacing w:line="240" w:lineRule="auto"/>
      </w:pPr>
      <w:r>
        <w:continuationSeparator/>
      </w:r>
    </w:p>
  </w:endnote>
  <w:endnote w:type="continuationNotice" w:id="1">
    <w:p w14:paraId="77F9B5FE" w14:textId="77777777" w:rsidR="00A514FF" w:rsidRDefault="00A514FF">
      <w:pPr>
        <w:spacing w:line="240" w:lineRule="auto"/>
      </w:pPr>
    </w:p>
  </w:endnote>
  <w:endnote w:id="2">
    <w:p w14:paraId="41C76FD0" w14:textId="2A827F92" w:rsidR="00FA329E" w:rsidRPr="00653379" w:rsidRDefault="00FA329E" w:rsidP="00A51250">
      <w:pPr>
        <w:pStyle w:val="NormalWeb"/>
        <w:spacing w:before="0" w:beforeAutospacing="0" w:after="200" w:afterAutospacing="0"/>
        <w:rPr>
          <w:rFonts w:ascii="Arial" w:hAnsi="Arial" w:cs="Arial"/>
        </w:rPr>
      </w:pPr>
      <w:r w:rsidRPr="00653379">
        <w:rPr>
          <w:rStyle w:val="EndnoteReference"/>
          <w:rFonts w:ascii="Arial" w:eastAsiaTheme="minorEastAsia" w:hAnsi="Arial" w:cs="Arial"/>
        </w:rPr>
        <w:endnoteRef/>
      </w:r>
      <w:r w:rsidRPr="00653379">
        <w:rPr>
          <w:rFonts w:ascii="Arial" w:eastAsia="Arial" w:hAnsi="Arial" w:cs="Arial"/>
        </w:rPr>
        <w:t xml:space="preserve"> </w:t>
      </w:r>
      <w:r w:rsidRPr="00653379">
        <w:rPr>
          <w:rFonts w:ascii="Arial" w:hAnsi="Arial" w:cs="Arial"/>
        </w:rPr>
        <w:t xml:space="preserve">U.S. Department of Health and Human Services, National Institutes of Health, National Institute of Dental and Craniofacial Research (NIDCR), </w:t>
      </w:r>
      <w:r w:rsidRPr="00653379">
        <w:rPr>
          <w:rFonts w:ascii="Arial" w:hAnsi="Arial" w:cs="Arial"/>
          <w:i/>
          <w:iCs/>
        </w:rPr>
        <w:t xml:space="preserve">Oral Health in America: A Report of the </w:t>
      </w:r>
      <w:r w:rsidRPr="00CF21AD">
        <w:rPr>
          <w:rFonts w:ascii="Arial" w:hAnsi="Arial" w:cs="Arial"/>
          <w:i/>
          <w:iCs/>
        </w:rPr>
        <w:t>Surgeon</w:t>
      </w:r>
      <w:r w:rsidRPr="00653379">
        <w:rPr>
          <w:rFonts w:ascii="Arial" w:hAnsi="Arial" w:cs="Arial"/>
          <w:i/>
          <w:iCs/>
        </w:rPr>
        <w:t xml:space="preserve"> General</w:t>
      </w:r>
      <w:r w:rsidRPr="00653379">
        <w:rPr>
          <w:rFonts w:ascii="Arial" w:hAnsi="Arial" w:cs="Arial"/>
        </w:rPr>
        <w:t xml:space="preserve"> (Rockville, MD: U.S. Department of Health and Human Services, 2000), </w:t>
      </w:r>
      <w:hyperlink r:id="rId1" w:history="1">
        <w:r w:rsidRPr="00C94899">
          <w:rPr>
            <w:rStyle w:val="Hyperlink"/>
            <w:rFonts w:ascii="Arial" w:eastAsiaTheme="majorEastAsia" w:hAnsi="Arial" w:cs="Arial"/>
            <w:color w:val="0000FF"/>
            <w:u w:color="0000FF"/>
          </w:rPr>
          <w:t>https://www.nidcr.nih.gov/sites/default/files/2017-10/hck1ocv.%40www.surgeon.fullrpt.pdf</w:t>
        </w:r>
      </w:hyperlink>
      <w:r w:rsidRPr="00653379">
        <w:rPr>
          <w:rFonts w:ascii="Arial" w:hAnsi="Arial" w:cs="Arial"/>
        </w:rPr>
        <w:t xml:space="preserve">. </w:t>
      </w:r>
    </w:p>
  </w:endnote>
  <w:endnote w:id="3">
    <w:p w14:paraId="1B195854" w14:textId="6589C98E" w:rsidR="00FA329E" w:rsidRPr="00653379" w:rsidRDefault="00FA329E" w:rsidP="00A51250">
      <w:pPr>
        <w:pStyle w:val="NormalWeb"/>
        <w:spacing w:before="0" w:beforeAutospacing="0" w:after="200" w:afterAutospacing="0"/>
        <w:rPr>
          <w:rFonts w:ascii="Arial" w:hAnsi="Arial" w:cs="Arial"/>
        </w:rPr>
      </w:pPr>
      <w:r w:rsidRPr="00653379">
        <w:rPr>
          <w:rStyle w:val="EndnoteReference"/>
          <w:rFonts w:ascii="Arial" w:eastAsiaTheme="minorEastAsia" w:hAnsi="Arial" w:cs="Arial"/>
        </w:rPr>
        <w:endnoteRef/>
      </w:r>
      <w:r w:rsidRPr="00653379">
        <w:rPr>
          <w:rFonts w:ascii="Arial" w:hAnsi="Arial" w:cs="Arial"/>
        </w:rPr>
        <w:t xml:space="preserve"> </w:t>
      </w:r>
      <w:r w:rsidRPr="00653379">
        <w:rPr>
          <w:rFonts w:ascii="Arial" w:hAnsi="Arial" w:cs="Arial"/>
          <w:shd w:val="clear" w:color="auto" w:fill="FFFFFF"/>
        </w:rPr>
        <w:t>As a twenty-year follow-up to the 2000 seminal </w:t>
      </w:r>
      <w:r w:rsidRPr="00653379">
        <w:rPr>
          <w:rFonts w:ascii="Arial" w:hAnsi="Arial" w:cs="Arial"/>
          <w:i/>
          <w:iCs/>
        </w:rPr>
        <w:t>Oral Health in America: A Report of the Surgeon General</w:t>
      </w:r>
      <w:r w:rsidRPr="00653379">
        <w:rPr>
          <w:rFonts w:ascii="Arial" w:hAnsi="Arial" w:cs="Arial"/>
          <w:shd w:val="clear" w:color="auto" w:fill="FFFFFF"/>
        </w:rPr>
        <w:t xml:space="preserve">, </w:t>
      </w:r>
      <w:r w:rsidRPr="00653379">
        <w:rPr>
          <w:rFonts w:ascii="Arial" w:hAnsi="Arial" w:cs="Arial"/>
        </w:rPr>
        <w:t>NIDCR will release the new report </w:t>
      </w:r>
      <w:r w:rsidRPr="00653379">
        <w:rPr>
          <w:rFonts w:ascii="Arial" w:hAnsi="Arial" w:cs="Arial"/>
          <w:i/>
          <w:iCs/>
        </w:rPr>
        <w:t>Oral Health in America: Advances and Challenges</w:t>
      </w:r>
      <w:r w:rsidRPr="00653379">
        <w:rPr>
          <w:rFonts w:ascii="Arial" w:hAnsi="Arial" w:cs="Arial"/>
          <w:i/>
          <w:iCs/>
          <w:shd w:val="clear" w:color="auto" w:fill="FFFFFF"/>
        </w:rPr>
        <w:t> </w:t>
      </w:r>
      <w:r w:rsidRPr="00653379">
        <w:rPr>
          <w:rFonts w:ascii="Arial" w:hAnsi="Arial" w:cs="Arial"/>
          <w:shd w:val="clear" w:color="auto" w:fill="FFFFFF"/>
        </w:rPr>
        <w:t xml:space="preserve">in the fall of 2021. </w:t>
      </w:r>
      <w:hyperlink r:id="rId2" w:tooltip="https://www.nidcr.nih.gov/news-events/nidcr-news/2021/nidcr-director-oral-health-in-america" w:history="1">
        <w:r w:rsidRPr="00C94899">
          <w:rPr>
            <w:rStyle w:val="Hyperlink"/>
            <w:rFonts w:ascii="Arial" w:eastAsiaTheme="majorEastAsia" w:hAnsi="Arial" w:cs="Arial"/>
            <w:color w:val="0000FF"/>
            <w:u w:color="0000FF"/>
            <w:shd w:val="clear" w:color="auto" w:fill="FFFFFF"/>
          </w:rPr>
          <w:t>https://www.nidcr.nih.gov/news-events/nidcr-news/2021/nidcr-director-oral-health-in-america</w:t>
        </w:r>
      </w:hyperlink>
      <w:r w:rsidRPr="004A3A37">
        <w:rPr>
          <w:rFonts w:ascii="Arial" w:hAnsi="Arial" w:cs="Arial"/>
          <w:u w:color="0000FF"/>
          <w:shd w:val="clear" w:color="auto" w:fill="FFFFFF"/>
        </w:rPr>
        <w:t>.</w:t>
      </w:r>
      <w:r w:rsidRPr="00653379">
        <w:rPr>
          <w:rFonts w:ascii="Arial" w:hAnsi="Arial" w:cs="Arial"/>
        </w:rPr>
        <w:t xml:space="preserve"> The report release was pending during the drafting of this report.</w:t>
      </w:r>
    </w:p>
  </w:endnote>
  <w:endnote w:id="4">
    <w:p w14:paraId="365E5938" w14:textId="77777777" w:rsidR="00FA329E" w:rsidRPr="00653379" w:rsidRDefault="00FA329E" w:rsidP="00A51250">
      <w:pPr>
        <w:spacing w:after="200" w:line="240" w:lineRule="auto"/>
        <w:rPr>
          <w:rFonts w:eastAsia="Times New Roman" w:cs="Arial"/>
          <w:szCs w:val="24"/>
        </w:rPr>
      </w:pPr>
      <w:r w:rsidRPr="00653379">
        <w:rPr>
          <w:rStyle w:val="EndnoteReference"/>
          <w:rFonts w:cs="Arial"/>
          <w:szCs w:val="24"/>
        </w:rPr>
        <w:endnoteRef/>
      </w:r>
      <w:r w:rsidRPr="00653379">
        <w:rPr>
          <w:rFonts w:eastAsia="Arial" w:cs="Arial"/>
          <w:szCs w:val="24"/>
        </w:rPr>
        <w:t xml:space="preserve"> </w:t>
      </w:r>
      <w:r w:rsidRPr="00653379">
        <w:rPr>
          <w:rFonts w:eastAsia="Times New Roman" w:cs="Arial"/>
          <w:szCs w:val="24"/>
        </w:rPr>
        <w:t>My Smile Matters (Albertson, NY: The Viscardi Center, Project Accessible Oral Health, 2020).</w:t>
      </w:r>
    </w:p>
  </w:endnote>
  <w:endnote w:id="5">
    <w:p w14:paraId="5C9196DA" w14:textId="31C356B1" w:rsidR="00FA329E" w:rsidRPr="00653379" w:rsidRDefault="00FA329E" w:rsidP="00A51250">
      <w:pPr>
        <w:spacing w:after="200" w:line="240" w:lineRule="auto"/>
        <w:rPr>
          <w:rFonts w:eastAsia="Times New Roman" w:cs="Arial"/>
          <w:szCs w:val="24"/>
        </w:rPr>
      </w:pPr>
      <w:r w:rsidRPr="00653379">
        <w:rPr>
          <w:rStyle w:val="EndnoteReference"/>
          <w:rFonts w:cs="Arial"/>
          <w:szCs w:val="24"/>
        </w:rPr>
        <w:endnoteRef/>
      </w:r>
      <w:r w:rsidRPr="00653379">
        <w:rPr>
          <w:rFonts w:eastAsia="Arial" w:cs="Arial"/>
          <w:szCs w:val="24"/>
        </w:rPr>
        <w:t xml:space="preserve"> </w:t>
      </w:r>
      <w:r w:rsidRPr="00653379">
        <w:rPr>
          <w:rFonts w:eastAsia="Times New Roman" w:cs="Arial"/>
          <w:szCs w:val="24"/>
        </w:rPr>
        <w:t xml:space="preserve">P.L. Anders and E.L. Davis, “Oral Health of Patients with Intellectual Disabilities: A Systematic Review,” </w:t>
      </w:r>
      <w:r w:rsidRPr="00653379">
        <w:rPr>
          <w:rFonts w:eastAsia="Times New Roman" w:cs="Arial"/>
          <w:i/>
          <w:iCs/>
          <w:szCs w:val="24"/>
        </w:rPr>
        <w:t>Special Care in Dentistry</w:t>
      </w:r>
      <w:r w:rsidRPr="00653379">
        <w:rPr>
          <w:rFonts w:eastAsia="Times New Roman" w:cs="Arial"/>
          <w:szCs w:val="24"/>
        </w:rPr>
        <w:t xml:space="preserve"> 30, no. 3 (2010): 110–17.</w:t>
      </w:r>
    </w:p>
  </w:endnote>
  <w:endnote w:id="6">
    <w:p w14:paraId="58551D68" w14:textId="1D436BD1" w:rsidR="00FA329E" w:rsidRPr="00653379" w:rsidRDefault="00FA329E" w:rsidP="00A51250">
      <w:pPr>
        <w:spacing w:after="200" w:line="240" w:lineRule="auto"/>
        <w:rPr>
          <w:rFonts w:eastAsia="Times New Roman" w:cs="Arial"/>
          <w:szCs w:val="24"/>
        </w:rPr>
      </w:pPr>
      <w:r w:rsidRPr="00653379">
        <w:rPr>
          <w:rStyle w:val="EndnoteReference"/>
          <w:rFonts w:cs="Arial"/>
          <w:szCs w:val="24"/>
        </w:rPr>
        <w:endnoteRef/>
      </w:r>
      <w:r w:rsidRPr="00653379">
        <w:rPr>
          <w:rFonts w:eastAsia="Arial" w:cs="Arial"/>
          <w:szCs w:val="24"/>
        </w:rPr>
        <w:t xml:space="preserve"> </w:t>
      </w:r>
      <w:r w:rsidRPr="00653379">
        <w:rPr>
          <w:rFonts w:eastAsia="Times New Roman" w:cs="Arial"/>
          <w:szCs w:val="24"/>
          <w:shd w:val="clear" w:color="auto" w:fill="FFFFFF"/>
        </w:rPr>
        <w:t xml:space="preserve">L.V. Buda, “Ensuring Maintenance of Oral Hygiene in Persons with Special Needs,” </w:t>
      </w:r>
      <w:r w:rsidRPr="00653379">
        <w:rPr>
          <w:rFonts w:eastAsia="Times New Roman" w:cs="Arial"/>
          <w:i/>
          <w:iCs/>
          <w:szCs w:val="24"/>
          <w:shd w:val="clear" w:color="auto" w:fill="FFFFFF"/>
        </w:rPr>
        <w:t>Dental Clinics of North America</w:t>
      </w:r>
      <w:r w:rsidRPr="00653379">
        <w:rPr>
          <w:rFonts w:eastAsia="Times New Roman" w:cs="Arial"/>
          <w:szCs w:val="24"/>
          <w:shd w:val="clear" w:color="auto" w:fill="FFFFFF"/>
        </w:rPr>
        <w:t xml:space="preserve"> 60 (2016): 593–604.</w:t>
      </w:r>
    </w:p>
  </w:endnote>
  <w:endnote w:id="7">
    <w:p w14:paraId="5456146B" w14:textId="3149A4D2" w:rsidR="00FA329E" w:rsidRPr="00653379" w:rsidRDefault="00FA329E" w:rsidP="00A51250">
      <w:pPr>
        <w:spacing w:after="200" w:line="240" w:lineRule="auto"/>
        <w:rPr>
          <w:rFonts w:eastAsia="Times New Roman" w:cs="Arial"/>
          <w:szCs w:val="24"/>
        </w:rPr>
      </w:pPr>
      <w:r w:rsidRPr="00653379">
        <w:rPr>
          <w:rStyle w:val="EndnoteReference"/>
          <w:rFonts w:cs="Arial"/>
          <w:szCs w:val="24"/>
        </w:rPr>
        <w:endnoteRef/>
      </w:r>
      <w:r w:rsidRPr="00653379">
        <w:rPr>
          <w:rFonts w:eastAsia="Arial" w:cs="Arial"/>
          <w:szCs w:val="24"/>
        </w:rPr>
        <w:t xml:space="preserve"> </w:t>
      </w:r>
      <w:r w:rsidRPr="00653379">
        <w:rPr>
          <w:rFonts w:eastAsia="Times New Roman" w:cs="Arial"/>
          <w:szCs w:val="24"/>
        </w:rPr>
        <w:t xml:space="preserve">J.P. Morgan, P.M. Minihan, P.C. Stark, M.D. Finkelman, K.E. Yantsides, A. Park, C.J. Nobles, W. Tao, and A. Must, “The Oral Health Status of 4,732 Adults with Intellectual and Developmental Disabilities,” </w:t>
      </w:r>
      <w:r w:rsidRPr="00653379">
        <w:rPr>
          <w:rFonts w:eastAsia="Times New Roman" w:cs="Arial"/>
          <w:i/>
          <w:iCs/>
          <w:szCs w:val="24"/>
        </w:rPr>
        <w:t>Journal of the American Dental Association</w:t>
      </w:r>
      <w:r w:rsidRPr="00653379">
        <w:rPr>
          <w:rFonts w:eastAsia="Times New Roman" w:cs="Arial"/>
          <w:szCs w:val="24"/>
        </w:rPr>
        <w:t xml:space="preserve"> 143, no. 8 (2012): 838–46.</w:t>
      </w:r>
    </w:p>
  </w:endnote>
  <w:endnote w:id="8">
    <w:p w14:paraId="055A2D75" w14:textId="3E4A2789" w:rsidR="00FA329E" w:rsidRPr="00653379" w:rsidRDefault="00FA329E" w:rsidP="00A51250">
      <w:pPr>
        <w:spacing w:after="200" w:line="240" w:lineRule="auto"/>
        <w:rPr>
          <w:rFonts w:cs="Arial"/>
          <w:szCs w:val="24"/>
        </w:rPr>
      </w:pPr>
      <w:r w:rsidRPr="00653379">
        <w:rPr>
          <w:rStyle w:val="EndnoteReference"/>
          <w:rFonts w:cs="Arial"/>
          <w:szCs w:val="24"/>
        </w:rPr>
        <w:endnoteRef/>
      </w:r>
      <w:r w:rsidRPr="00653379">
        <w:rPr>
          <w:rFonts w:eastAsia="Arial" w:cs="Arial"/>
          <w:szCs w:val="24"/>
        </w:rPr>
        <w:t xml:space="preserve"> </w:t>
      </w:r>
      <w:r w:rsidRPr="00653379">
        <w:rPr>
          <w:rFonts w:cs="Arial"/>
          <w:szCs w:val="24"/>
        </w:rPr>
        <w:t xml:space="preserve">C.A. </w:t>
      </w:r>
      <w:r w:rsidRPr="00C94899">
        <w:rPr>
          <w:rFonts w:cs="Arial"/>
          <w:szCs w:val="24"/>
          <w:u w:color="0000FF"/>
        </w:rPr>
        <w:t xml:space="preserve">Okoro, N.D. Hollis, A.C. Cyrus, and S. Griffin-Black, “Prevalence of Disabilities and Health Care Access by Disability Status and Type Among Adults—United States, 2016,” </w:t>
      </w:r>
      <w:r w:rsidRPr="00C94899">
        <w:rPr>
          <w:rFonts w:cs="Arial"/>
          <w:i/>
          <w:szCs w:val="24"/>
          <w:u w:color="0000FF"/>
        </w:rPr>
        <w:t>Morbidity and Mortality Weekly Report</w:t>
      </w:r>
      <w:r w:rsidRPr="00C94899">
        <w:rPr>
          <w:rFonts w:cs="Arial"/>
          <w:szCs w:val="24"/>
          <w:u w:color="0000FF"/>
        </w:rPr>
        <w:t xml:space="preserve"> 67, no. 32 (2018): 882–87</w:t>
      </w:r>
      <w:r w:rsidRPr="00C94899">
        <w:rPr>
          <w:rStyle w:val="Hyperlink"/>
          <w:rFonts w:cs="Arial"/>
          <w:color w:val="auto"/>
          <w:szCs w:val="24"/>
          <w:u w:val="none" w:color="0000FF"/>
        </w:rPr>
        <w:t xml:space="preserve">, </w:t>
      </w:r>
      <w:hyperlink r:id="rId3" w:tooltip="http://dx.doi.org/10.15585/mmwr.mm6732a3" w:history="1">
        <w:r w:rsidRPr="00C94899">
          <w:rPr>
            <w:rStyle w:val="Hyperlink"/>
            <w:rFonts w:cs="Arial"/>
            <w:color w:val="0000FF"/>
            <w:szCs w:val="24"/>
            <w:u w:color="0000FF"/>
          </w:rPr>
          <w:t>http://dx.doi.org/10.15585/mmwr.mm6732a3</w:t>
        </w:r>
      </w:hyperlink>
      <w:r w:rsidRPr="00653379">
        <w:rPr>
          <w:rFonts w:cs="Arial"/>
          <w:szCs w:val="24"/>
        </w:rPr>
        <w:t>.</w:t>
      </w:r>
    </w:p>
  </w:endnote>
  <w:endnote w:id="9">
    <w:p w14:paraId="6F8E9A26" w14:textId="42128D8A" w:rsidR="00FA329E" w:rsidRPr="00653379" w:rsidRDefault="00FA329E" w:rsidP="00A51250">
      <w:pPr>
        <w:spacing w:after="200" w:line="240" w:lineRule="auto"/>
        <w:rPr>
          <w:rFonts w:cs="Arial"/>
          <w:szCs w:val="24"/>
        </w:rPr>
      </w:pPr>
      <w:r w:rsidRPr="00653379">
        <w:rPr>
          <w:rStyle w:val="EndnoteReference"/>
          <w:rFonts w:cs="Arial"/>
          <w:szCs w:val="24"/>
        </w:rPr>
        <w:endnoteRef/>
      </w:r>
      <w:r w:rsidRPr="00653379">
        <w:rPr>
          <w:rFonts w:eastAsia="Arial" w:cs="Arial"/>
          <w:szCs w:val="24"/>
        </w:rPr>
        <w:t xml:space="preserve"> </w:t>
      </w:r>
      <w:r w:rsidRPr="00653379">
        <w:rPr>
          <w:rFonts w:cs="Arial"/>
          <w:szCs w:val="24"/>
        </w:rPr>
        <w:t xml:space="preserve">How Many People with Intellectual or Developmental Disabilities Live in the United States? (Minneapolis: University of Minnesota, Residential Information Systems Project [RISP], Research and Training Center on Community Living, Institute on Community Integration, 2020), </w:t>
      </w:r>
      <w:hyperlink r:id="rId4" w:tooltip="https://risp.umn.edu/" w:history="1">
        <w:r w:rsidRPr="00C94899">
          <w:rPr>
            <w:rStyle w:val="Hyperlink"/>
            <w:rFonts w:cs="Arial"/>
            <w:color w:val="0000FF"/>
            <w:szCs w:val="24"/>
            <w:u w:color="0000FF"/>
          </w:rPr>
          <w:t>https://risp.umn.edu</w:t>
        </w:r>
      </w:hyperlink>
      <w:r w:rsidRPr="00653379">
        <w:rPr>
          <w:rFonts w:cs="Arial"/>
          <w:szCs w:val="24"/>
        </w:rPr>
        <w:t>.</w:t>
      </w:r>
    </w:p>
  </w:endnote>
  <w:endnote w:id="10">
    <w:p w14:paraId="4CBC89EE" w14:textId="73DFED36" w:rsidR="00FA329E" w:rsidRPr="00653379" w:rsidRDefault="00FA329E" w:rsidP="00A51250">
      <w:pPr>
        <w:spacing w:after="200" w:line="240" w:lineRule="auto"/>
        <w:rPr>
          <w:rFonts w:cs="Arial"/>
          <w:szCs w:val="24"/>
        </w:rPr>
      </w:pPr>
      <w:r w:rsidRPr="00653379">
        <w:rPr>
          <w:rStyle w:val="EndnoteReference"/>
          <w:rFonts w:cs="Arial"/>
          <w:szCs w:val="24"/>
        </w:rPr>
        <w:endnoteRef/>
      </w:r>
      <w:r w:rsidRPr="00653379">
        <w:rPr>
          <w:rFonts w:eastAsia="Arial" w:cs="Arial"/>
          <w:szCs w:val="24"/>
        </w:rPr>
        <w:t xml:space="preserve"> </w:t>
      </w:r>
      <w:r w:rsidRPr="00653379">
        <w:rPr>
          <w:rFonts w:cs="Arial"/>
          <w:szCs w:val="24"/>
        </w:rPr>
        <w:t xml:space="preserve">L.L. </w:t>
      </w:r>
      <w:hyperlink r:id="rId5" w:history="1">
        <w:r w:rsidRPr="009A5D26">
          <w:rPr>
            <w:rStyle w:val="Hyperlink"/>
            <w:rFonts w:cs="Arial"/>
            <w:color w:val="auto"/>
            <w:szCs w:val="24"/>
            <w:u w:val="none"/>
          </w:rPr>
          <w:t>Anderson, S.A. Larson, S. Mapel Lentz, and J. Hall-Lande, “A Systematic Review of U.S. Studies on the Prevalence of Intellectual or Developmental Disabilities Since 2000</w:t>
        </w:r>
      </w:hyperlink>
      <w:r w:rsidRPr="00653379">
        <w:rPr>
          <w:rFonts w:cs="Arial"/>
          <w:szCs w:val="24"/>
        </w:rPr>
        <w:t xml:space="preserve">,” </w:t>
      </w:r>
      <w:r w:rsidRPr="00653379">
        <w:rPr>
          <w:rFonts w:cs="Arial"/>
          <w:i/>
          <w:iCs/>
          <w:szCs w:val="24"/>
        </w:rPr>
        <w:t>Intellectual and Developmental Disabilities</w:t>
      </w:r>
      <w:r w:rsidRPr="00653379">
        <w:rPr>
          <w:rFonts w:cs="Arial"/>
          <w:szCs w:val="24"/>
        </w:rPr>
        <w:t xml:space="preserve"> 57, no. 50 (2019): 421–38, </w:t>
      </w:r>
      <w:hyperlink r:id="rId6" w:tgtFrame="_blank" w:tooltip="https://doi.org/10.1352/1934-9556-57.5.421" w:history="1">
        <w:r w:rsidRPr="009A5D26">
          <w:rPr>
            <w:rStyle w:val="Hyperlink"/>
            <w:rFonts w:cs="Arial"/>
            <w:color w:val="0000FF"/>
            <w:szCs w:val="24"/>
            <w:u w:color="0000FF"/>
            <w:bdr w:val="none" w:sz="0" w:space="0" w:color="auto" w:frame="1"/>
            <w:shd w:val="clear" w:color="auto" w:fill="FFFFFF"/>
          </w:rPr>
          <w:t>https://doi.org/10.1352/1934-9556-57.5.421</w:t>
        </w:r>
      </w:hyperlink>
      <w:r w:rsidRPr="00653379">
        <w:rPr>
          <w:rFonts w:cs="Arial"/>
          <w:szCs w:val="24"/>
          <w:shd w:val="clear" w:color="auto" w:fill="FFFFFF"/>
        </w:rPr>
        <w:t>.</w:t>
      </w:r>
    </w:p>
  </w:endnote>
  <w:endnote w:id="11">
    <w:p w14:paraId="78045F7A" w14:textId="5FCF78A9" w:rsidR="00FA329E" w:rsidRPr="00653379" w:rsidRDefault="00FA329E" w:rsidP="00A51250">
      <w:pPr>
        <w:pStyle w:val="NormalWeb"/>
        <w:spacing w:before="0" w:beforeAutospacing="0" w:after="200" w:afterAutospacing="0"/>
        <w:rPr>
          <w:rFonts w:ascii="Arial" w:hAnsi="Arial" w:cs="Arial"/>
        </w:rPr>
      </w:pPr>
      <w:r w:rsidRPr="00653379">
        <w:rPr>
          <w:rStyle w:val="EndnoteReference"/>
          <w:rFonts w:ascii="Arial" w:eastAsiaTheme="minorEastAsia" w:hAnsi="Arial" w:cs="Arial"/>
        </w:rPr>
        <w:endnoteRef/>
      </w:r>
      <w:r w:rsidRPr="00653379">
        <w:rPr>
          <w:rFonts w:ascii="Arial" w:hAnsi="Arial" w:cs="Arial"/>
        </w:rPr>
        <w:t xml:space="preserve">U.S. Department of Health and Human Services, National Institutes of Health, National Institute of Child Health and Human Development. </w:t>
      </w:r>
      <w:r w:rsidRPr="00653379">
        <w:rPr>
          <w:rFonts w:ascii="Arial" w:hAnsi="Arial" w:cs="Arial"/>
          <w:i/>
          <w:iCs/>
        </w:rPr>
        <w:t>About Intellectual and Developmental Disabilities (IDDs)</w:t>
      </w:r>
      <w:r w:rsidRPr="00653379">
        <w:rPr>
          <w:rFonts w:ascii="Arial" w:hAnsi="Arial" w:cs="Arial"/>
        </w:rPr>
        <w:t xml:space="preserve"> (Rockville, MD: NICHD: Office of Communications, 2021), </w:t>
      </w:r>
      <w:hyperlink r:id="rId7" w:tooltip="https://www.nichd.nih.gov/health/topics/idds/conditioninfo/default" w:history="1">
        <w:r w:rsidRPr="009A5D26">
          <w:rPr>
            <w:rStyle w:val="Hyperlink"/>
            <w:rFonts w:ascii="Arial" w:eastAsiaTheme="majorEastAsia" w:hAnsi="Arial" w:cs="Arial"/>
            <w:color w:val="0000FF"/>
            <w:u w:color="0000FF"/>
          </w:rPr>
          <w:t>https://www.nichd.nih.gov/health/topics/idds/conditioninfo/default</w:t>
        </w:r>
      </w:hyperlink>
      <w:r w:rsidRPr="00653379">
        <w:rPr>
          <w:rFonts w:ascii="Arial" w:hAnsi="Arial" w:cs="Arial"/>
        </w:rPr>
        <w:t>. </w:t>
      </w:r>
    </w:p>
  </w:endnote>
  <w:endnote w:id="12">
    <w:p w14:paraId="5ACFBA5D" w14:textId="750BA885" w:rsidR="00FA329E" w:rsidRPr="00653379" w:rsidRDefault="00FA329E" w:rsidP="00A51250">
      <w:pPr>
        <w:pStyle w:val="NormalWeb"/>
        <w:spacing w:before="0" w:beforeAutospacing="0" w:after="200" w:afterAutospacing="0"/>
        <w:rPr>
          <w:rFonts w:ascii="Arial" w:hAnsi="Arial" w:cs="Arial"/>
        </w:rPr>
      </w:pPr>
      <w:r w:rsidRPr="00653379">
        <w:rPr>
          <w:rStyle w:val="EndnoteReference"/>
          <w:rFonts w:ascii="Arial" w:eastAsiaTheme="minorEastAsia" w:hAnsi="Arial" w:cs="Arial"/>
        </w:rPr>
        <w:endnoteRef/>
      </w:r>
      <w:r w:rsidRPr="00653379">
        <w:rPr>
          <w:rFonts w:ascii="Arial" w:hAnsi="Arial" w:cs="Arial"/>
        </w:rPr>
        <w:t xml:space="preserve">G.A. Livermore, M. Bardos, and K. Katz, “Supplemental Security Income and Social Security Insurance Beneficiaries with Intellectual Disability,” </w:t>
      </w:r>
      <w:r w:rsidRPr="00653379">
        <w:rPr>
          <w:rFonts w:ascii="Arial" w:hAnsi="Arial" w:cs="Arial"/>
          <w:i/>
          <w:iCs/>
        </w:rPr>
        <w:t>Social Security Bulletin</w:t>
      </w:r>
      <w:r w:rsidRPr="00653379">
        <w:rPr>
          <w:rFonts w:ascii="Arial" w:hAnsi="Arial" w:cs="Arial"/>
        </w:rPr>
        <w:t xml:space="preserve"> 77, no. 1 (2017), </w:t>
      </w:r>
      <w:hyperlink r:id="rId8" w:tooltip="https://www.ssa.gov/policy/docs/ssb/v77n1/v77n1p17.html" w:history="1">
        <w:r w:rsidRPr="009A5D26">
          <w:rPr>
            <w:rStyle w:val="Hyperlink"/>
            <w:rFonts w:ascii="Arial" w:eastAsiaTheme="majorEastAsia" w:hAnsi="Arial" w:cs="Arial"/>
            <w:color w:val="0000FF"/>
            <w:u w:color="0000FF"/>
          </w:rPr>
          <w:t>https://www.ssa.gov/policy/docs/ssb/v77n1/v77n1p17.html</w:t>
        </w:r>
      </w:hyperlink>
      <w:r w:rsidRPr="00653379">
        <w:rPr>
          <w:rFonts w:ascii="Arial" w:hAnsi="Arial" w:cs="Arial"/>
        </w:rPr>
        <w:t>. </w:t>
      </w:r>
    </w:p>
  </w:endnote>
  <w:endnote w:id="13">
    <w:p w14:paraId="6E2D62F7" w14:textId="3D63ECF3" w:rsidR="00FA329E" w:rsidRPr="00653379" w:rsidRDefault="00FA329E" w:rsidP="00A51250">
      <w:pPr>
        <w:spacing w:after="200" w:line="240" w:lineRule="auto"/>
        <w:rPr>
          <w:rFonts w:eastAsia="Times New Roman" w:cs="Arial"/>
          <w:szCs w:val="24"/>
        </w:rPr>
      </w:pPr>
      <w:r w:rsidRPr="00653379">
        <w:rPr>
          <w:rStyle w:val="EndnoteReference"/>
          <w:rFonts w:cs="Arial"/>
          <w:szCs w:val="24"/>
        </w:rPr>
        <w:endnoteRef/>
      </w:r>
      <w:r w:rsidRPr="00653379">
        <w:rPr>
          <w:rFonts w:eastAsia="Arial" w:cs="Arial"/>
          <w:szCs w:val="24"/>
        </w:rPr>
        <w:t xml:space="preserve"> </w:t>
      </w:r>
      <w:r w:rsidRPr="00653379">
        <w:rPr>
          <w:rFonts w:eastAsia="Times New Roman" w:cs="Arial"/>
          <w:szCs w:val="24"/>
        </w:rPr>
        <w:t xml:space="preserve">R. Rautemaa, A. Lauhio, M.P. Cullinan, and G.J. Seymour, “Oral Infections and Systemic Disease—An Emerging Problem in Medicine,” </w:t>
      </w:r>
      <w:r w:rsidRPr="00653379">
        <w:rPr>
          <w:rFonts w:eastAsia="Times New Roman" w:cs="Arial"/>
          <w:i/>
          <w:iCs/>
          <w:szCs w:val="24"/>
        </w:rPr>
        <w:t>Clinical Microbiology and Infection </w:t>
      </w:r>
      <w:r w:rsidRPr="00653379">
        <w:rPr>
          <w:rFonts w:eastAsia="Times New Roman" w:cs="Arial"/>
          <w:szCs w:val="24"/>
        </w:rPr>
        <w:t>13, no. 11 (2007): 1041–47.</w:t>
      </w:r>
    </w:p>
  </w:endnote>
  <w:endnote w:id="14">
    <w:p w14:paraId="5E3A8E1F" w14:textId="4315F451" w:rsidR="00FA329E" w:rsidRPr="00653379" w:rsidRDefault="00FA329E" w:rsidP="00A51250">
      <w:pPr>
        <w:spacing w:after="200" w:line="240" w:lineRule="auto"/>
        <w:rPr>
          <w:rFonts w:eastAsia="Times New Roman" w:cs="Arial"/>
          <w:szCs w:val="24"/>
        </w:rPr>
      </w:pPr>
      <w:r w:rsidRPr="00653379">
        <w:rPr>
          <w:rStyle w:val="EndnoteReference"/>
          <w:rFonts w:cs="Arial"/>
          <w:szCs w:val="24"/>
        </w:rPr>
        <w:endnoteRef/>
      </w:r>
      <w:r w:rsidRPr="00653379">
        <w:rPr>
          <w:rFonts w:eastAsia="Arial" w:cs="Arial"/>
          <w:szCs w:val="24"/>
        </w:rPr>
        <w:t xml:space="preserve"> </w:t>
      </w:r>
      <w:r w:rsidRPr="00653379">
        <w:rPr>
          <w:rFonts w:eastAsia="Times New Roman" w:cs="Arial"/>
          <w:szCs w:val="24"/>
        </w:rPr>
        <w:t xml:space="preserve">D.M. Rapalo, J.L. Davis, P. Burtner, and E.D. Bouldin, “Cost as a barrier to dental care among people with disabilities: A report from the Florida behavioral risk factor surveillance system,” </w:t>
      </w:r>
      <w:r w:rsidRPr="00653379">
        <w:rPr>
          <w:rFonts w:eastAsia="Times New Roman" w:cs="Arial"/>
          <w:i/>
          <w:iCs/>
          <w:szCs w:val="24"/>
        </w:rPr>
        <w:t>Special Care in Dentistry</w:t>
      </w:r>
      <w:r w:rsidRPr="00653379">
        <w:rPr>
          <w:rFonts w:eastAsia="Times New Roman" w:cs="Arial"/>
          <w:szCs w:val="24"/>
        </w:rPr>
        <w:t xml:space="preserve"> 30, no. 4 (2010): 133–39.</w:t>
      </w:r>
    </w:p>
  </w:endnote>
  <w:endnote w:id="15">
    <w:p w14:paraId="076B26CA" w14:textId="69561CFC" w:rsidR="00FA329E" w:rsidRPr="00653379" w:rsidRDefault="00FA329E" w:rsidP="00A51250">
      <w:pPr>
        <w:pStyle w:val="NormalWeb"/>
        <w:spacing w:before="0" w:beforeAutospacing="0" w:after="200" w:afterAutospacing="0"/>
        <w:rPr>
          <w:rFonts w:ascii="Arial" w:hAnsi="Arial" w:cs="Arial"/>
        </w:rPr>
      </w:pPr>
      <w:r w:rsidRPr="00653379">
        <w:rPr>
          <w:rStyle w:val="EndnoteReference"/>
          <w:rFonts w:ascii="Arial" w:eastAsiaTheme="minorEastAsia" w:hAnsi="Arial" w:cs="Arial"/>
        </w:rPr>
        <w:endnoteRef/>
      </w:r>
      <w:r w:rsidRPr="00653379">
        <w:rPr>
          <w:rFonts w:ascii="Arial" w:eastAsia="Arial" w:hAnsi="Arial" w:cs="Arial"/>
        </w:rPr>
        <w:t xml:space="preserve"> </w:t>
      </w:r>
      <w:r w:rsidRPr="00653379">
        <w:rPr>
          <w:rFonts w:ascii="Arial" w:hAnsi="Arial" w:cs="Arial"/>
        </w:rPr>
        <w:t xml:space="preserve">U.S. Department of Health and Human Services, National Institutes of Health, National Institute of Dental and Craniofacial Research, </w:t>
      </w:r>
      <w:r w:rsidRPr="00653379">
        <w:rPr>
          <w:rFonts w:ascii="Arial" w:hAnsi="Arial" w:cs="Arial"/>
          <w:i/>
          <w:iCs/>
        </w:rPr>
        <w:t>Oral Health in America: A Report of the Surgeon General</w:t>
      </w:r>
      <w:r w:rsidRPr="00653379">
        <w:rPr>
          <w:rFonts w:ascii="Arial" w:hAnsi="Arial" w:cs="Arial"/>
        </w:rPr>
        <w:t xml:space="preserve"> (Rockville, MD: U.S. Department of Health and Human Services, 2000), </w:t>
      </w:r>
      <w:hyperlink r:id="rId9" w:history="1">
        <w:r w:rsidRPr="009A5D26">
          <w:rPr>
            <w:rStyle w:val="Hyperlink"/>
            <w:rFonts w:ascii="Arial" w:eastAsiaTheme="majorEastAsia" w:hAnsi="Arial" w:cs="Arial"/>
            <w:color w:val="0000FF"/>
            <w:u w:color="0000FF"/>
          </w:rPr>
          <w:t>https://www.nidcr.nih.gov/sites/default/files/2017-10/hck1ocv.%40www.surgeon.fullrpt.pdf</w:t>
        </w:r>
      </w:hyperlink>
      <w:r w:rsidRPr="00653379">
        <w:rPr>
          <w:rFonts w:ascii="Arial" w:hAnsi="Arial" w:cs="Arial"/>
        </w:rPr>
        <w:t>. </w:t>
      </w:r>
    </w:p>
  </w:endnote>
  <w:endnote w:id="16">
    <w:p w14:paraId="34BBB999" w14:textId="77777777" w:rsidR="00FA329E" w:rsidRPr="00653379" w:rsidRDefault="00FA329E" w:rsidP="00A51250">
      <w:pPr>
        <w:spacing w:after="200" w:line="240" w:lineRule="auto"/>
        <w:rPr>
          <w:rFonts w:eastAsia="Times New Roman" w:cs="Arial"/>
          <w:szCs w:val="24"/>
        </w:rPr>
      </w:pPr>
      <w:r w:rsidRPr="00653379">
        <w:rPr>
          <w:rStyle w:val="EndnoteReference"/>
          <w:rFonts w:cs="Arial"/>
          <w:szCs w:val="24"/>
        </w:rPr>
        <w:endnoteRef/>
      </w:r>
      <w:r w:rsidRPr="00653379">
        <w:rPr>
          <w:rFonts w:eastAsia="Arial" w:cs="Arial"/>
          <w:szCs w:val="24"/>
        </w:rPr>
        <w:t xml:space="preserve"> </w:t>
      </w:r>
      <w:r w:rsidRPr="00653379">
        <w:rPr>
          <w:rFonts w:eastAsia="Times New Roman" w:cs="Arial"/>
          <w:szCs w:val="24"/>
        </w:rPr>
        <w:t>Morgan et al., “The Oral Health Status of 4,732 Adults,” 838–46.</w:t>
      </w:r>
    </w:p>
  </w:endnote>
  <w:endnote w:id="17">
    <w:p w14:paraId="20CBEE7D" w14:textId="391A9613" w:rsidR="00FA329E" w:rsidRPr="00653379" w:rsidRDefault="00FA329E" w:rsidP="00A51250">
      <w:pPr>
        <w:spacing w:after="200" w:line="240" w:lineRule="auto"/>
        <w:rPr>
          <w:rFonts w:cs="Arial"/>
          <w:szCs w:val="24"/>
        </w:rPr>
      </w:pPr>
      <w:r w:rsidRPr="00653379">
        <w:rPr>
          <w:rStyle w:val="EndnoteReference"/>
          <w:rFonts w:cs="Arial"/>
          <w:szCs w:val="24"/>
        </w:rPr>
        <w:endnoteRef/>
      </w:r>
      <w:r w:rsidRPr="00653379">
        <w:rPr>
          <w:rFonts w:eastAsia="Arial" w:cs="Arial"/>
          <w:szCs w:val="24"/>
        </w:rPr>
        <w:t xml:space="preserve"> </w:t>
      </w:r>
      <w:r w:rsidRPr="00653379">
        <w:rPr>
          <w:rFonts w:cs="Arial"/>
          <w:szCs w:val="24"/>
        </w:rPr>
        <w:t xml:space="preserve">H.S. </w:t>
      </w:r>
      <w:hyperlink r:id="rId10" w:history="1">
        <w:r w:rsidRPr="009A5D26">
          <w:rPr>
            <w:rStyle w:val="Hyperlink"/>
            <w:rFonts w:cs="Arial"/>
            <w:color w:val="auto"/>
            <w:szCs w:val="24"/>
            <w:u w:val="none"/>
          </w:rPr>
          <w:t>Kaye, “Disability-related Disparities in Access to Health Care Before (2008–2010) and After (2015–2017) the Affordable Care Act,”</w:t>
        </w:r>
      </w:hyperlink>
      <w:r w:rsidRPr="00653379">
        <w:rPr>
          <w:rFonts w:cs="Arial"/>
          <w:szCs w:val="24"/>
        </w:rPr>
        <w:t xml:space="preserve"> </w:t>
      </w:r>
      <w:r w:rsidRPr="00653379">
        <w:rPr>
          <w:rFonts w:cs="Arial"/>
          <w:i/>
          <w:iCs/>
          <w:szCs w:val="24"/>
        </w:rPr>
        <w:t xml:space="preserve">American Journal of Public Health </w:t>
      </w:r>
      <w:r w:rsidRPr="00653379">
        <w:rPr>
          <w:rFonts w:cs="Arial"/>
          <w:szCs w:val="24"/>
        </w:rPr>
        <w:t xml:space="preserve">109 (2019): 1015–21, </w:t>
      </w:r>
      <w:hyperlink r:id="rId11" w:history="1">
        <w:r w:rsidRPr="009A5D26">
          <w:rPr>
            <w:rStyle w:val="Hyperlink"/>
            <w:rFonts w:cs="Arial"/>
            <w:color w:val="0000FF"/>
            <w:szCs w:val="24"/>
            <w:u w:color="0000FF"/>
          </w:rPr>
          <w:t>https://doi.org/10.2105/AJPH.2019.305056</w:t>
        </w:r>
      </w:hyperlink>
      <w:r w:rsidRPr="00653379">
        <w:rPr>
          <w:rFonts w:cs="Arial"/>
          <w:szCs w:val="24"/>
        </w:rPr>
        <w:t xml:space="preserve">. </w:t>
      </w:r>
    </w:p>
  </w:endnote>
  <w:endnote w:id="18">
    <w:p w14:paraId="4A88E4F6" w14:textId="7D67075A" w:rsidR="00FA329E" w:rsidRPr="00653379" w:rsidRDefault="00FA329E" w:rsidP="00A51250">
      <w:pPr>
        <w:spacing w:after="200" w:line="240" w:lineRule="auto"/>
        <w:rPr>
          <w:rFonts w:cs="Arial"/>
          <w:szCs w:val="24"/>
        </w:rPr>
      </w:pPr>
      <w:r w:rsidRPr="00653379">
        <w:rPr>
          <w:rStyle w:val="EndnoteReference"/>
          <w:rFonts w:cs="Arial"/>
          <w:szCs w:val="24"/>
        </w:rPr>
        <w:endnoteRef/>
      </w:r>
      <w:r w:rsidRPr="00653379">
        <w:rPr>
          <w:rFonts w:eastAsia="Arial" w:cs="Arial"/>
          <w:szCs w:val="24"/>
        </w:rPr>
        <w:t xml:space="preserve"> </w:t>
      </w:r>
      <w:r w:rsidRPr="00653379">
        <w:rPr>
          <w:rFonts w:cs="Arial"/>
          <w:szCs w:val="24"/>
        </w:rPr>
        <w:t xml:space="preserve">W. </w:t>
      </w:r>
      <w:r w:rsidRPr="00A2135F">
        <w:rPr>
          <w:rFonts w:cs="Arial"/>
          <w:szCs w:val="24"/>
        </w:rPr>
        <w:t>Horner-Johnson and K. Dobbertin, “Dental Insurance and Dental Care Among Working-age Adults</w:t>
      </w:r>
      <w:r w:rsidRPr="00653379">
        <w:rPr>
          <w:rFonts w:cs="Arial"/>
          <w:szCs w:val="24"/>
        </w:rPr>
        <w:t xml:space="preserve">: Differences by Type and Complexity of Disability,” </w:t>
      </w:r>
      <w:r w:rsidRPr="00653379">
        <w:rPr>
          <w:rFonts w:cs="Arial"/>
          <w:i/>
          <w:iCs/>
          <w:szCs w:val="24"/>
        </w:rPr>
        <w:t>Journal of Public Health Dentistry</w:t>
      </w:r>
      <w:r w:rsidRPr="00653379">
        <w:rPr>
          <w:rFonts w:cs="Arial"/>
          <w:szCs w:val="24"/>
        </w:rPr>
        <w:t xml:space="preserve"> 76, no. 4 (2016): 330–39, </w:t>
      </w:r>
      <w:hyperlink r:id="rId12" w:tooltip="https://doi.org/10.1111/jphd.12160" w:history="1">
        <w:r w:rsidRPr="009A5D26">
          <w:rPr>
            <w:rStyle w:val="Hyperlink"/>
            <w:rFonts w:cs="Arial"/>
            <w:color w:val="0000FF"/>
            <w:szCs w:val="24"/>
            <w:u w:color="0000FF"/>
          </w:rPr>
          <w:t>https://doi.org/</w:t>
        </w:r>
        <w:r w:rsidRPr="009A5D26">
          <w:rPr>
            <w:rStyle w:val="Hyperlink"/>
            <w:rFonts w:cs="Arial"/>
            <w:color w:val="0000FF"/>
            <w:szCs w:val="24"/>
            <w:u w:color="0000FF"/>
            <w:shd w:val="clear" w:color="auto" w:fill="FFFFFF"/>
          </w:rPr>
          <w:t>10.1111/jphd.12160</w:t>
        </w:r>
      </w:hyperlink>
      <w:r w:rsidRPr="00653379">
        <w:rPr>
          <w:rFonts w:cs="Arial"/>
          <w:szCs w:val="24"/>
          <w:shd w:val="clear" w:color="auto" w:fill="FFFFFF"/>
        </w:rPr>
        <w:t>.</w:t>
      </w:r>
      <w:r w:rsidRPr="00653379">
        <w:rPr>
          <w:rFonts w:cs="Arial"/>
          <w:szCs w:val="24"/>
        </w:rPr>
        <w:t xml:space="preserve"> </w:t>
      </w:r>
    </w:p>
  </w:endnote>
  <w:endnote w:id="19">
    <w:p w14:paraId="00C48A03" w14:textId="210976F2" w:rsidR="00FA329E" w:rsidRPr="00653379" w:rsidRDefault="00FA329E" w:rsidP="00A51250">
      <w:pPr>
        <w:spacing w:after="200" w:line="240" w:lineRule="auto"/>
        <w:rPr>
          <w:rFonts w:cs="Arial"/>
          <w:szCs w:val="24"/>
        </w:rPr>
      </w:pPr>
      <w:r w:rsidRPr="00653379">
        <w:rPr>
          <w:rStyle w:val="EndnoteReference"/>
          <w:rFonts w:cs="Arial"/>
          <w:szCs w:val="24"/>
        </w:rPr>
        <w:endnoteRef/>
      </w:r>
      <w:r w:rsidRPr="00653379">
        <w:rPr>
          <w:rFonts w:eastAsia="Arial" w:cs="Arial"/>
          <w:szCs w:val="24"/>
        </w:rPr>
        <w:t xml:space="preserve"> </w:t>
      </w:r>
      <w:r w:rsidRPr="00653379">
        <w:rPr>
          <w:rFonts w:cs="Arial"/>
          <w:szCs w:val="24"/>
        </w:rPr>
        <w:t xml:space="preserve">W. </w:t>
      </w:r>
      <w:r w:rsidRPr="00A2135F">
        <w:rPr>
          <w:rFonts w:cs="Arial"/>
          <w:szCs w:val="24"/>
        </w:rPr>
        <w:t>Horner-Johnson, K. Dobbertin, and E. Beilstein-Wedel, “Disparities in Dental Care Associated with Disability and Race and Ethnicity</w:t>
      </w:r>
      <w:r w:rsidRPr="00653379">
        <w:rPr>
          <w:rFonts w:cs="Arial"/>
          <w:szCs w:val="24"/>
        </w:rPr>
        <w:t xml:space="preserve">,” </w:t>
      </w:r>
      <w:r w:rsidRPr="00653379">
        <w:rPr>
          <w:rFonts w:cs="Arial"/>
          <w:i/>
          <w:iCs/>
          <w:szCs w:val="24"/>
        </w:rPr>
        <w:t>Journal of the American Dental Association</w:t>
      </w:r>
      <w:r w:rsidRPr="00653379">
        <w:rPr>
          <w:rFonts w:cs="Arial"/>
          <w:szCs w:val="24"/>
        </w:rPr>
        <w:t xml:space="preserve"> 146, no. 6 (2015): 366–74, </w:t>
      </w:r>
      <w:hyperlink r:id="rId13" w:tooltip="https://doi.org/10.1016/j.adaj.2015.01.024" w:history="1">
        <w:r w:rsidRPr="009A5D26">
          <w:rPr>
            <w:rStyle w:val="Hyperlink"/>
            <w:rFonts w:cs="Arial"/>
            <w:color w:val="0000FF"/>
            <w:szCs w:val="24"/>
            <w:u w:color="0000FF"/>
          </w:rPr>
          <w:t>https://doi.org/</w:t>
        </w:r>
        <w:r w:rsidRPr="009A5D26">
          <w:rPr>
            <w:rStyle w:val="Hyperlink"/>
            <w:rFonts w:cs="Arial"/>
            <w:color w:val="0000FF"/>
            <w:szCs w:val="24"/>
            <w:u w:color="0000FF"/>
            <w:shd w:val="clear" w:color="auto" w:fill="FFFFFF"/>
          </w:rPr>
          <w:t>10.1016/j.adaj.2015.01.024</w:t>
        </w:r>
      </w:hyperlink>
      <w:r w:rsidRPr="00653379">
        <w:rPr>
          <w:rFonts w:cs="Arial"/>
          <w:szCs w:val="24"/>
          <w:shd w:val="clear" w:color="auto" w:fill="FFFFFF"/>
        </w:rPr>
        <w:t>.</w:t>
      </w:r>
    </w:p>
  </w:endnote>
  <w:endnote w:id="20">
    <w:p w14:paraId="0EEF4400" w14:textId="34859A5B" w:rsidR="00FA329E" w:rsidRPr="00653379" w:rsidRDefault="00FA329E" w:rsidP="00A51250">
      <w:pPr>
        <w:spacing w:after="200" w:line="240" w:lineRule="auto"/>
        <w:rPr>
          <w:rFonts w:eastAsia="Times New Roman" w:cs="Arial"/>
          <w:szCs w:val="24"/>
        </w:rPr>
      </w:pPr>
      <w:r w:rsidRPr="00653379">
        <w:rPr>
          <w:rStyle w:val="EndnoteReference"/>
          <w:rFonts w:cs="Arial"/>
          <w:szCs w:val="24"/>
        </w:rPr>
        <w:endnoteRef/>
      </w:r>
      <w:r w:rsidRPr="00653379">
        <w:rPr>
          <w:rFonts w:eastAsia="Arial" w:cs="Arial"/>
          <w:szCs w:val="24"/>
        </w:rPr>
        <w:t xml:space="preserve"> </w:t>
      </w:r>
      <w:r w:rsidRPr="00653379">
        <w:rPr>
          <w:rFonts w:eastAsia="Times New Roman" w:cs="Arial"/>
          <w:szCs w:val="24"/>
        </w:rPr>
        <w:t xml:space="preserve">Z. Bayarsikhan, S. Cruz, J. Neff, and D. Chi, “Transitioning from Pediatric Care to Adult Care for Adolescents with Special Health Care Needs: Dentist Perspectives (Part 2),” </w:t>
      </w:r>
      <w:r w:rsidRPr="00653379">
        <w:rPr>
          <w:rFonts w:eastAsia="Times New Roman" w:cs="Arial"/>
          <w:i/>
          <w:iCs/>
          <w:szCs w:val="24"/>
        </w:rPr>
        <w:t>Pediatric Dentistry</w:t>
      </w:r>
      <w:r w:rsidRPr="00653379">
        <w:rPr>
          <w:rFonts w:eastAsia="Times New Roman" w:cs="Arial"/>
          <w:szCs w:val="24"/>
        </w:rPr>
        <w:t xml:space="preserve"> 37, no. 5 (2015): 447–51.</w:t>
      </w:r>
    </w:p>
  </w:endnote>
  <w:endnote w:id="21">
    <w:p w14:paraId="0C105C3E" w14:textId="6FADAB1A" w:rsidR="00FA329E" w:rsidRPr="00653379" w:rsidRDefault="00FA329E" w:rsidP="00A51250">
      <w:pPr>
        <w:spacing w:after="200" w:line="240" w:lineRule="auto"/>
        <w:rPr>
          <w:rFonts w:eastAsia="Times New Roman" w:cs="Arial"/>
          <w:szCs w:val="24"/>
        </w:rPr>
      </w:pPr>
      <w:r w:rsidRPr="00653379">
        <w:rPr>
          <w:rStyle w:val="EndnoteReference"/>
          <w:rFonts w:cs="Arial"/>
          <w:szCs w:val="24"/>
        </w:rPr>
        <w:endnoteRef/>
      </w:r>
      <w:r w:rsidRPr="00653379">
        <w:rPr>
          <w:rFonts w:eastAsia="Arial" w:cs="Arial"/>
          <w:szCs w:val="24"/>
        </w:rPr>
        <w:t xml:space="preserve"> </w:t>
      </w:r>
      <w:r w:rsidRPr="00653379">
        <w:rPr>
          <w:rFonts w:eastAsia="Times New Roman" w:cs="Arial"/>
          <w:szCs w:val="24"/>
        </w:rPr>
        <w:t xml:space="preserve">M.J. Davis, “Issues in Access to Oral Health Care for Special Care Patients,” </w:t>
      </w:r>
      <w:r w:rsidRPr="00653379">
        <w:rPr>
          <w:rFonts w:eastAsia="Times New Roman" w:cs="Arial"/>
          <w:i/>
          <w:iCs/>
          <w:szCs w:val="24"/>
        </w:rPr>
        <w:t>Dental Clinics of North America</w:t>
      </w:r>
      <w:r w:rsidRPr="00653379">
        <w:rPr>
          <w:rFonts w:eastAsia="Times New Roman" w:cs="Arial"/>
          <w:szCs w:val="24"/>
        </w:rPr>
        <w:t xml:space="preserve"> 53 (2009): 169–81.</w:t>
      </w:r>
    </w:p>
  </w:endnote>
  <w:endnote w:id="22">
    <w:p w14:paraId="6AAF63E4" w14:textId="5A6DA0AC" w:rsidR="00FA329E" w:rsidRPr="00653379" w:rsidRDefault="00FA329E" w:rsidP="00A51250">
      <w:pPr>
        <w:spacing w:after="200" w:line="240" w:lineRule="auto"/>
        <w:rPr>
          <w:rFonts w:cs="Arial"/>
          <w:szCs w:val="24"/>
        </w:rPr>
      </w:pPr>
      <w:r w:rsidRPr="00653379">
        <w:rPr>
          <w:rStyle w:val="EndnoteReference"/>
          <w:rFonts w:cs="Arial"/>
          <w:szCs w:val="24"/>
        </w:rPr>
        <w:endnoteRef/>
      </w:r>
      <w:r w:rsidRPr="00653379">
        <w:rPr>
          <w:rFonts w:eastAsia="Arial" w:cs="Arial"/>
          <w:szCs w:val="24"/>
        </w:rPr>
        <w:t xml:space="preserve"> </w:t>
      </w:r>
      <w:r w:rsidRPr="00653379">
        <w:rPr>
          <w:rFonts w:cs="Arial"/>
          <w:szCs w:val="24"/>
        </w:rPr>
        <w:t xml:space="preserve">H. Koball, K. Ahluwalia, S. Setty, and C. Fosse, </w:t>
      </w:r>
      <w:r w:rsidRPr="00653379">
        <w:rPr>
          <w:rFonts w:cs="Arial"/>
          <w:i/>
          <w:iCs/>
          <w:szCs w:val="24"/>
        </w:rPr>
        <w:t>Addressing Barriers to Oral Health and Health Care for Adults with Intellectual and Developmental Disabilities in New Jersey, Five-Year Plan</w:t>
      </w:r>
      <w:r w:rsidRPr="00653379">
        <w:rPr>
          <w:rFonts w:cs="Arial"/>
          <w:szCs w:val="24"/>
        </w:rPr>
        <w:t xml:space="preserve">. (New York: National Center for Children in Poverty, 2020), </w:t>
      </w:r>
      <w:hyperlink r:id="rId14" w:tooltip="https://www.nccp.org/wp-content/uploads/2020/07/1229.pdf" w:history="1">
        <w:r w:rsidRPr="009A5D26">
          <w:rPr>
            <w:rStyle w:val="Hyperlink"/>
            <w:rFonts w:cs="Arial"/>
            <w:color w:val="0000FF"/>
            <w:szCs w:val="24"/>
            <w:u w:color="0000FF"/>
          </w:rPr>
          <w:t>https://www.nccp.org/wp-content/uploads/2020/07/1229.pdf</w:t>
        </w:r>
      </w:hyperlink>
      <w:r w:rsidRPr="00653379">
        <w:rPr>
          <w:rFonts w:cs="Arial"/>
          <w:szCs w:val="24"/>
        </w:rPr>
        <w:t>.</w:t>
      </w:r>
    </w:p>
  </w:endnote>
  <w:endnote w:id="23">
    <w:p w14:paraId="65980E36" w14:textId="016FCD91" w:rsidR="00FA329E" w:rsidRPr="00653379" w:rsidRDefault="00FA329E" w:rsidP="00A51250">
      <w:pPr>
        <w:spacing w:after="200" w:line="240" w:lineRule="auto"/>
        <w:rPr>
          <w:rFonts w:eastAsia="Times New Roman" w:cs="Arial"/>
          <w:szCs w:val="24"/>
        </w:rPr>
      </w:pPr>
      <w:r w:rsidRPr="00653379">
        <w:rPr>
          <w:rStyle w:val="EndnoteReference"/>
          <w:rFonts w:cs="Arial"/>
          <w:szCs w:val="24"/>
        </w:rPr>
        <w:endnoteRef/>
      </w:r>
      <w:r w:rsidRPr="00653379">
        <w:rPr>
          <w:rFonts w:eastAsia="Arial" w:cs="Arial"/>
          <w:szCs w:val="24"/>
        </w:rPr>
        <w:t xml:space="preserve"> </w:t>
      </w:r>
      <w:r w:rsidRPr="00653379">
        <w:rPr>
          <w:rFonts w:eastAsia="Times New Roman" w:cs="Arial"/>
          <w:szCs w:val="24"/>
        </w:rPr>
        <w:t xml:space="preserve">A. Reichard and H.R. Turnbull, “Perspectives of Physicians, Families, and Case Managers Concerning Access to Health Care by Individuals with Developmental Disabilities,” </w:t>
      </w:r>
      <w:r w:rsidRPr="00653379">
        <w:rPr>
          <w:rFonts w:eastAsia="Times New Roman" w:cs="Arial"/>
          <w:i/>
          <w:iCs/>
          <w:szCs w:val="24"/>
        </w:rPr>
        <w:t>Mental Retardation</w:t>
      </w:r>
      <w:r w:rsidRPr="00653379">
        <w:rPr>
          <w:rFonts w:eastAsia="Times New Roman" w:cs="Arial"/>
          <w:szCs w:val="24"/>
        </w:rPr>
        <w:t xml:space="preserve">, 42 (2004): 181–94, </w:t>
      </w:r>
      <w:hyperlink r:id="rId15" w:tooltip="https://doi.org/10.1352/0047-6765(2004)42%3c181:popfac%3e2.0.co;2" w:history="1">
        <w:r w:rsidRPr="009A5D26">
          <w:rPr>
            <w:rStyle w:val="Hyperlink"/>
            <w:rFonts w:eastAsia="Times New Roman" w:cs="Arial"/>
            <w:color w:val="0000FF"/>
            <w:szCs w:val="24"/>
            <w:u w:color="0000FF"/>
          </w:rPr>
          <w:t>https://doi.org/10.1352/0047-6765(2004)42&lt;181:popfac&gt;2.0.co;2</w:t>
        </w:r>
      </w:hyperlink>
      <w:r w:rsidRPr="00653379">
        <w:rPr>
          <w:rFonts w:eastAsia="Times New Roman" w:cs="Arial"/>
          <w:szCs w:val="24"/>
        </w:rPr>
        <w:t xml:space="preserve">. </w:t>
      </w:r>
    </w:p>
  </w:endnote>
  <w:endnote w:id="24">
    <w:p w14:paraId="156610D3" w14:textId="38855EB5" w:rsidR="00FA329E" w:rsidRPr="00653379" w:rsidRDefault="00FA329E" w:rsidP="00A51250">
      <w:pPr>
        <w:spacing w:after="200" w:line="240" w:lineRule="auto"/>
        <w:rPr>
          <w:rFonts w:cs="Arial"/>
          <w:szCs w:val="24"/>
        </w:rPr>
      </w:pPr>
      <w:r w:rsidRPr="00653379">
        <w:rPr>
          <w:rStyle w:val="EndnoteReference"/>
          <w:rFonts w:cs="Arial"/>
          <w:szCs w:val="24"/>
        </w:rPr>
        <w:endnoteRef/>
      </w:r>
      <w:r w:rsidRPr="00653379">
        <w:rPr>
          <w:rFonts w:eastAsia="Arial" w:cs="Arial"/>
          <w:szCs w:val="24"/>
        </w:rPr>
        <w:t xml:space="preserve"> </w:t>
      </w:r>
      <w:r w:rsidRPr="00A2135F">
        <w:rPr>
          <w:rFonts w:cs="Arial"/>
          <w:szCs w:val="24"/>
        </w:rPr>
        <w:t>Still in the Shadows with Their Future Uncertain: A Report on Family and Individual Needs for Disability Supports (FINDS), 2011</w:t>
      </w:r>
      <w:r w:rsidRPr="00653379">
        <w:rPr>
          <w:rFonts w:cs="Arial"/>
          <w:szCs w:val="24"/>
        </w:rPr>
        <w:t xml:space="preserve"> (Washington, DC: The Arc, 2011), </w:t>
      </w:r>
      <w:hyperlink r:id="rId16" w:tooltip="https://thearc.org/wp-content/uploads/forchapters/FINDS_Report_811a.pdf" w:history="1">
        <w:r w:rsidRPr="009A5D26">
          <w:rPr>
            <w:rStyle w:val="Hyperlink"/>
            <w:rFonts w:cs="Arial"/>
            <w:color w:val="0000FF"/>
            <w:szCs w:val="24"/>
            <w:u w:color="0000FF"/>
          </w:rPr>
          <w:t>https://thearc.org/wp-content/uploads/forchapters/FINDS_Report_811a.pdf</w:t>
        </w:r>
      </w:hyperlink>
      <w:r w:rsidRPr="00653379">
        <w:rPr>
          <w:rFonts w:cs="Arial"/>
          <w:szCs w:val="24"/>
        </w:rPr>
        <w:t xml:space="preserve">. </w:t>
      </w:r>
    </w:p>
  </w:endnote>
  <w:endnote w:id="25">
    <w:p w14:paraId="07A03504" w14:textId="77777777" w:rsidR="00FA329E" w:rsidRPr="00653379" w:rsidRDefault="00FA329E" w:rsidP="00A51250">
      <w:pPr>
        <w:spacing w:after="200" w:line="240" w:lineRule="auto"/>
        <w:rPr>
          <w:rFonts w:eastAsia="Times New Roman" w:cs="Arial"/>
          <w:szCs w:val="24"/>
        </w:rPr>
      </w:pPr>
      <w:r w:rsidRPr="00653379">
        <w:rPr>
          <w:rStyle w:val="EndnoteReference"/>
          <w:rFonts w:cs="Arial"/>
          <w:szCs w:val="24"/>
        </w:rPr>
        <w:endnoteRef/>
      </w:r>
      <w:r w:rsidRPr="00653379">
        <w:rPr>
          <w:rFonts w:eastAsia="Arial" w:cs="Arial"/>
          <w:szCs w:val="24"/>
        </w:rPr>
        <w:t xml:space="preserve"> </w:t>
      </w:r>
      <w:r w:rsidRPr="00653379">
        <w:rPr>
          <w:rFonts w:eastAsia="Times New Roman" w:cs="Arial"/>
          <w:szCs w:val="24"/>
        </w:rPr>
        <w:t xml:space="preserve">Kaye, “Disability-Related Disparities in Access to Health Care,” 1015–21. </w:t>
      </w:r>
    </w:p>
  </w:endnote>
  <w:endnote w:id="26">
    <w:p w14:paraId="281E7D12" w14:textId="1662BC22" w:rsidR="00FA329E" w:rsidRPr="00653379" w:rsidRDefault="00FA329E" w:rsidP="00A51250">
      <w:pPr>
        <w:spacing w:after="200" w:line="240" w:lineRule="auto"/>
        <w:rPr>
          <w:rFonts w:eastAsia="Times New Roman" w:cs="Arial"/>
          <w:szCs w:val="24"/>
        </w:rPr>
      </w:pPr>
      <w:r w:rsidRPr="00653379">
        <w:rPr>
          <w:rStyle w:val="EndnoteReference"/>
          <w:rFonts w:cs="Arial"/>
          <w:szCs w:val="24"/>
        </w:rPr>
        <w:endnoteRef/>
      </w:r>
      <w:r w:rsidRPr="00653379">
        <w:rPr>
          <w:rFonts w:eastAsia="Arial" w:cs="Arial"/>
          <w:szCs w:val="24"/>
        </w:rPr>
        <w:t xml:space="preserve"> </w:t>
      </w:r>
      <w:r w:rsidRPr="00653379">
        <w:rPr>
          <w:rFonts w:eastAsia="Times New Roman" w:cs="Arial"/>
          <w:szCs w:val="24"/>
        </w:rPr>
        <w:t xml:space="preserve">Centers for Medicare and Medicaid Services (CMS), Historical National Health Expenditure Data: Table 12: Dental Services Expenditures; Levels, Percent Change, and Percent Distribution, by Source of Funds: Selected Calendar Years 1970–2019 (Washington, DC: CMS, 2020), </w:t>
      </w:r>
      <w:hyperlink r:id="rId17" w:tooltip="https://www.cms.gov/Research-Statistics-Data-and-Systems/Statistics-Trends-and-Reports/NationalHealthExpendData/NationalHealthAccountsHistorical" w:history="1">
        <w:r w:rsidRPr="009A5D26">
          <w:rPr>
            <w:rStyle w:val="Hyperlink"/>
            <w:rFonts w:eastAsia="Times New Roman" w:cs="Arial"/>
            <w:color w:val="0000FF"/>
            <w:szCs w:val="24"/>
            <w:u w:color="0000FF"/>
          </w:rPr>
          <w:t>https://www.cms.gov/Research-Statistics-Data-and-Systems/Statistics-Trends-and-Reports/NationalHealthExpendData/NationalHealthAccountsHistorical</w:t>
        </w:r>
      </w:hyperlink>
      <w:r w:rsidRPr="00653379">
        <w:rPr>
          <w:rFonts w:eastAsia="Times New Roman" w:cs="Arial"/>
          <w:szCs w:val="24"/>
        </w:rPr>
        <w:t>.</w:t>
      </w:r>
    </w:p>
  </w:endnote>
  <w:endnote w:id="27">
    <w:p w14:paraId="34B0F23B" w14:textId="569C6D0D" w:rsidR="00FA329E" w:rsidRPr="00653379" w:rsidRDefault="00FA329E" w:rsidP="00A51250">
      <w:pPr>
        <w:spacing w:after="200" w:line="240" w:lineRule="auto"/>
        <w:rPr>
          <w:rFonts w:eastAsia="Times New Roman" w:cs="Arial"/>
          <w:szCs w:val="24"/>
        </w:rPr>
      </w:pPr>
      <w:r w:rsidRPr="00653379">
        <w:rPr>
          <w:rStyle w:val="EndnoteReference"/>
          <w:rFonts w:cs="Arial"/>
          <w:szCs w:val="24"/>
        </w:rPr>
        <w:endnoteRef/>
      </w:r>
      <w:r w:rsidRPr="00653379">
        <w:rPr>
          <w:rFonts w:cs="Arial"/>
          <w:szCs w:val="24"/>
        </w:rPr>
        <w:t xml:space="preserve"> </w:t>
      </w:r>
      <w:r w:rsidRPr="00653379">
        <w:rPr>
          <w:rFonts w:eastAsia="Times New Roman" w:cs="Arial"/>
          <w:szCs w:val="24"/>
        </w:rPr>
        <w:t xml:space="preserve">Centers for Medicare and Medicaid Services (CMS), Dental Care (Washington, DC: CMS), accessed January 6, 2022, </w:t>
      </w:r>
      <w:hyperlink r:id="rId18" w:tooltip="https://www.medicaid.gov/medicaid/benefits/dental-care/index.html" w:history="1">
        <w:r w:rsidRPr="009A5D26">
          <w:rPr>
            <w:rStyle w:val="Hyperlink"/>
            <w:rFonts w:eastAsia="Times New Roman" w:cs="Arial"/>
            <w:color w:val="0000FF"/>
            <w:szCs w:val="24"/>
            <w:u w:color="0000FF"/>
          </w:rPr>
          <w:t>https://www.medicaid.gov/medicaid/benefits/dental-care/index.html</w:t>
        </w:r>
      </w:hyperlink>
      <w:r w:rsidRPr="00653379">
        <w:rPr>
          <w:rFonts w:eastAsia="Times New Roman" w:cs="Arial"/>
          <w:szCs w:val="24"/>
        </w:rPr>
        <w:t>.</w:t>
      </w:r>
    </w:p>
  </w:endnote>
  <w:endnote w:id="28">
    <w:p w14:paraId="0349A159" w14:textId="77777777" w:rsidR="00FA329E" w:rsidRPr="00653379" w:rsidRDefault="00FA329E" w:rsidP="00A51250">
      <w:pPr>
        <w:spacing w:after="200" w:line="240" w:lineRule="auto"/>
        <w:rPr>
          <w:rFonts w:eastAsia="Times New Roman" w:cs="Arial"/>
          <w:szCs w:val="24"/>
        </w:rPr>
      </w:pPr>
      <w:r w:rsidRPr="00653379">
        <w:rPr>
          <w:rStyle w:val="EndnoteReference"/>
          <w:rFonts w:cs="Arial"/>
          <w:szCs w:val="24"/>
        </w:rPr>
        <w:endnoteRef/>
      </w:r>
      <w:r w:rsidRPr="00653379">
        <w:rPr>
          <w:rFonts w:eastAsia="Arial" w:cs="Arial"/>
          <w:szCs w:val="24"/>
        </w:rPr>
        <w:t xml:space="preserve"> </w:t>
      </w:r>
      <w:r w:rsidRPr="00653379">
        <w:rPr>
          <w:rFonts w:eastAsia="Times New Roman" w:cs="Arial"/>
          <w:szCs w:val="24"/>
        </w:rPr>
        <w:t>The CHIP program provides publicly subsidized low-cost health insurance to low-income children and families who have incomes too high to qualify for Medicaid.</w:t>
      </w:r>
    </w:p>
  </w:endnote>
  <w:endnote w:id="29">
    <w:p w14:paraId="3ABF73A0" w14:textId="77777777" w:rsidR="00FA329E" w:rsidRPr="00653379" w:rsidRDefault="00FA329E" w:rsidP="00A51250">
      <w:pPr>
        <w:spacing w:after="200" w:line="240" w:lineRule="auto"/>
        <w:rPr>
          <w:rFonts w:eastAsia="Arial" w:cs="Arial"/>
          <w:szCs w:val="24"/>
        </w:rPr>
      </w:pPr>
      <w:r w:rsidRPr="00653379">
        <w:rPr>
          <w:rStyle w:val="EndnoteReference"/>
          <w:rFonts w:cs="Arial"/>
          <w:szCs w:val="24"/>
        </w:rPr>
        <w:endnoteRef/>
      </w:r>
      <w:r w:rsidRPr="00653379">
        <w:rPr>
          <w:rFonts w:eastAsia="Arial" w:cs="Arial"/>
          <w:szCs w:val="24"/>
        </w:rPr>
        <w:t xml:space="preserve"> See Medicaid Oral Health Policy Database and Table 2 in this report.</w:t>
      </w:r>
    </w:p>
  </w:endnote>
  <w:endnote w:id="30">
    <w:p w14:paraId="5DC3A5FB" w14:textId="4DED977E" w:rsidR="00FA329E" w:rsidRPr="00653379" w:rsidRDefault="00FA329E" w:rsidP="00A51250">
      <w:pPr>
        <w:pStyle w:val="NormalWeb"/>
        <w:shd w:val="clear" w:color="auto" w:fill="FFFFFF"/>
        <w:spacing w:before="0" w:beforeAutospacing="0" w:after="200" w:afterAutospacing="0"/>
        <w:rPr>
          <w:rFonts w:ascii="Arial" w:hAnsi="Arial" w:cs="Arial"/>
        </w:rPr>
      </w:pPr>
      <w:r w:rsidRPr="00653379">
        <w:rPr>
          <w:rStyle w:val="EndnoteReference"/>
          <w:rFonts w:ascii="Arial" w:eastAsiaTheme="minorEastAsia" w:hAnsi="Arial" w:cs="Arial"/>
        </w:rPr>
        <w:endnoteRef/>
      </w:r>
      <w:r w:rsidRPr="00653379">
        <w:rPr>
          <w:rFonts w:ascii="Arial" w:hAnsi="Arial" w:cs="Arial"/>
        </w:rPr>
        <w:t xml:space="preserve"> In CMS’s guidance for states regarding the Medicaid Managed Care Contract, it is stated that the “CMS does not require that state Medicaid agencies make their contracts with manage care organizations publicly available.” Centers for Medicare and Medicaid Services. </w:t>
      </w:r>
      <w:r w:rsidRPr="00653379">
        <w:rPr>
          <w:rFonts w:ascii="Arial" w:hAnsi="Arial" w:cs="Arial"/>
          <w:i/>
          <w:iCs/>
        </w:rPr>
        <w:t>The State Guide to CMS Criteria for Medicaid Managed Care Contract Review and Approval</w:t>
      </w:r>
      <w:r w:rsidRPr="00653379">
        <w:rPr>
          <w:rFonts w:ascii="Arial" w:hAnsi="Arial" w:cs="Arial"/>
        </w:rPr>
        <w:t xml:space="preserve"> (Washington, DC: CMS, 2017), </w:t>
      </w:r>
      <w:hyperlink r:id="rId19" w:tooltip="https://www.medicaid.gov/sites/default/files/2020-02/mce-checklist-state-user-guide.pdf" w:history="1">
        <w:r w:rsidRPr="009A5D26">
          <w:rPr>
            <w:rStyle w:val="Hyperlink"/>
            <w:rFonts w:ascii="Arial" w:eastAsiaTheme="majorEastAsia" w:hAnsi="Arial" w:cs="Arial"/>
            <w:color w:val="0000FF"/>
            <w:u w:color="0000FF"/>
          </w:rPr>
          <w:t>https://www.medicaid.gov/sites/default/files/2020-02/mce-checklist-state-user-guide.pdf</w:t>
        </w:r>
      </w:hyperlink>
      <w:r w:rsidRPr="009A5D26">
        <w:rPr>
          <w:rFonts w:ascii="Arial" w:hAnsi="Arial" w:cs="Arial"/>
          <w:color w:val="0000FF"/>
          <w:u w:val="single" w:color="0000FF"/>
        </w:rPr>
        <w:t>.</w:t>
      </w:r>
      <w:r w:rsidRPr="00653379">
        <w:rPr>
          <w:rFonts w:ascii="Arial" w:hAnsi="Arial" w:cs="Arial"/>
        </w:rPr>
        <w:t xml:space="preserve"> Additionally, the November 13, 2020, </w:t>
      </w:r>
      <w:r w:rsidRPr="00653379">
        <w:rPr>
          <w:rFonts w:ascii="Arial" w:hAnsi="Arial" w:cs="Arial"/>
          <w:i/>
          <w:iCs/>
        </w:rPr>
        <w:t>Federal Register</w:t>
      </w:r>
      <w:r w:rsidRPr="00653379">
        <w:rPr>
          <w:rFonts w:ascii="Arial" w:hAnsi="Arial" w:cs="Arial"/>
        </w:rPr>
        <w:t xml:space="preserve"> notice of final rule, Medicaid Program; Medicaid and Children’s Health Insurance (CHIP) Program, states “…some states and managed care plans have expressed concern about, and been hesitant to submit, certain financial data—namely, the allowed amount and the paid amount. Some managed care plans consider this information to be proprietary and inappropriate for public disclosure. We explained in the proposed rule that we understand their concern but emphasize the importance of these data for proper monitoring and administration of the Medicaid program, particularly for capitation rate setting and review, financial management, and encounter data analysis.” Centers for Medicare and Medicaid Services, “Medicaid Program; Medicaid and Children’s Health Insurance Program (CHIP) Managed Care,” </w:t>
      </w:r>
      <w:r w:rsidRPr="00653379">
        <w:rPr>
          <w:rFonts w:ascii="Arial" w:hAnsi="Arial" w:cs="Arial"/>
          <w:i/>
          <w:iCs/>
        </w:rPr>
        <w:t>Federal Register</w:t>
      </w:r>
      <w:r w:rsidRPr="00653379">
        <w:rPr>
          <w:rFonts w:ascii="Arial" w:hAnsi="Arial" w:cs="Arial"/>
        </w:rPr>
        <w:t xml:space="preserve"> 85 FR 72754 (November 13, 2020): 72754–844, </w:t>
      </w:r>
      <w:hyperlink r:id="rId20" w:tooltip="https://www.federalregister.gov/documents/2020/11/13/2020-24758/medicaid-program-medicaid-and-childrens-health-insurance-program-chip-managed-care" w:history="1">
        <w:r w:rsidRPr="009A5D26">
          <w:rPr>
            <w:rStyle w:val="Hyperlink"/>
            <w:rFonts w:ascii="Arial" w:eastAsiaTheme="majorEastAsia" w:hAnsi="Arial" w:cs="Arial"/>
            <w:color w:val="0000FF"/>
            <w:u w:color="0000FF"/>
            <w:shd w:val="clear" w:color="auto" w:fill="F1F1F1"/>
          </w:rPr>
          <w:t>https://www.federalregister.gov/documents/2020/11/13/2020-24758/medicaid-program-medicaid-and-childrens-health-insurance-program-chip-managed-care</w:t>
        </w:r>
      </w:hyperlink>
      <w:r w:rsidRPr="00653379">
        <w:rPr>
          <w:rFonts w:ascii="Arial" w:hAnsi="Arial" w:cs="Arial"/>
          <w:shd w:val="clear" w:color="auto" w:fill="F1F1F1"/>
        </w:rPr>
        <w:t>. </w:t>
      </w:r>
    </w:p>
  </w:endnote>
  <w:endnote w:id="31">
    <w:p w14:paraId="35C36B65" w14:textId="2D38A0BF" w:rsidR="00FA329E" w:rsidRPr="00653379" w:rsidRDefault="00FA329E" w:rsidP="00A51250">
      <w:pPr>
        <w:spacing w:after="200" w:line="240" w:lineRule="auto"/>
        <w:rPr>
          <w:rFonts w:cs="Arial"/>
          <w:szCs w:val="24"/>
        </w:rPr>
      </w:pPr>
      <w:r w:rsidRPr="00653379">
        <w:rPr>
          <w:rStyle w:val="EndnoteReference"/>
          <w:rFonts w:cs="Arial"/>
          <w:szCs w:val="24"/>
        </w:rPr>
        <w:endnoteRef/>
      </w:r>
      <w:r w:rsidRPr="00653379">
        <w:rPr>
          <w:rFonts w:eastAsia="Arial" w:cs="Arial"/>
          <w:szCs w:val="24"/>
        </w:rPr>
        <w:t xml:space="preserve"> </w:t>
      </w:r>
      <w:r w:rsidRPr="00653379">
        <w:rPr>
          <w:rFonts w:cs="Arial"/>
          <w:szCs w:val="24"/>
        </w:rPr>
        <w:t xml:space="preserve">E. Hinton, R. Rudowitz, L. Stolyar, and N. Singer, </w:t>
      </w:r>
      <w:r w:rsidRPr="00653379">
        <w:rPr>
          <w:rFonts w:cs="Arial"/>
          <w:i/>
          <w:iCs/>
          <w:szCs w:val="24"/>
        </w:rPr>
        <w:t>10 Things to Know About Medicaid Managed Care</w:t>
      </w:r>
      <w:r w:rsidRPr="00653379">
        <w:rPr>
          <w:rFonts w:cs="Arial"/>
          <w:szCs w:val="24"/>
        </w:rPr>
        <w:t xml:space="preserve"> (Washington, DC: Kaiser Family Foundation, 2020), </w:t>
      </w:r>
      <w:hyperlink r:id="rId21" w:tooltip="https://www.kff.org/medicaid/issue-brief/10-things-to-know-about-medicaid-managed-care/" w:history="1">
        <w:r w:rsidRPr="009A5D26">
          <w:rPr>
            <w:rStyle w:val="Hyperlink"/>
            <w:rFonts w:cs="Arial"/>
            <w:color w:val="0000FF"/>
            <w:szCs w:val="24"/>
            <w:u w:color="0000FF"/>
          </w:rPr>
          <w:t>https://www.kff.org/medicaid/issue-brief/10-things-to-know-about-medicaid-managed-care/</w:t>
        </w:r>
      </w:hyperlink>
      <w:r w:rsidRPr="00653379">
        <w:rPr>
          <w:rFonts w:cs="Arial"/>
          <w:szCs w:val="24"/>
        </w:rPr>
        <w:t>.</w:t>
      </w:r>
    </w:p>
  </w:endnote>
  <w:endnote w:id="32">
    <w:p w14:paraId="24FBDA09" w14:textId="3AEEFBEB" w:rsidR="00FA329E" w:rsidRPr="00653379" w:rsidRDefault="00FA329E" w:rsidP="00A51250">
      <w:pPr>
        <w:spacing w:after="200" w:line="240" w:lineRule="auto"/>
        <w:rPr>
          <w:rFonts w:cs="Arial"/>
          <w:szCs w:val="24"/>
        </w:rPr>
      </w:pPr>
      <w:r w:rsidRPr="00653379">
        <w:rPr>
          <w:rStyle w:val="EndnoteReference"/>
          <w:rFonts w:cs="Arial"/>
          <w:szCs w:val="24"/>
        </w:rPr>
        <w:endnoteRef/>
      </w:r>
      <w:r w:rsidRPr="00653379">
        <w:rPr>
          <w:rFonts w:cs="Arial"/>
          <w:i/>
          <w:iCs/>
          <w:szCs w:val="24"/>
        </w:rPr>
        <w:t xml:space="preserve">Total Medicaid MCO Enrollment </w:t>
      </w:r>
      <w:r w:rsidRPr="00653379">
        <w:rPr>
          <w:rFonts w:cs="Arial"/>
          <w:szCs w:val="24"/>
        </w:rPr>
        <w:t xml:space="preserve">(Washington, DC: Kaiser Family Foundation, 2018), </w:t>
      </w:r>
      <w:hyperlink r:id="rId22" w:history="1">
        <w:r w:rsidRPr="009A5D26">
          <w:rPr>
            <w:rStyle w:val="Hyperlink"/>
            <w:rFonts w:cs="Arial"/>
            <w:color w:val="0000FF"/>
            <w:szCs w:val="24"/>
            <w:u w:color="0000FF"/>
          </w:rPr>
          <w:t>https://www.kff.org/other/state-indicator/total-medicaid-mco-enrollment/?currentTimeframe=0&amp;sortModel=%7B%22colId%22:%22Location%22,%22sort%22:%22asc%22%7D</w:t>
        </w:r>
      </w:hyperlink>
      <w:r w:rsidRPr="00653379">
        <w:rPr>
          <w:rFonts w:cs="Arial"/>
          <w:szCs w:val="24"/>
        </w:rPr>
        <w:t xml:space="preserve">. </w:t>
      </w:r>
    </w:p>
  </w:endnote>
  <w:endnote w:id="33">
    <w:p w14:paraId="6CE844AA" w14:textId="2A32C371" w:rsidR="00FA329E" w:rsidRPr="00653379" w:rsidRDefault="00FA329E" w:rsidP="00A51250">
      <w:pPr>
        <w:spacing w:after="200" w:line="240" w:lineRule="auto"/>
        <w:rPr>
          <w:rFonts w:cs="Arial"/>
          <w:szCs w:val="24"/>
        </w:rPr>
      </w:pPr>
      <w:r w:rsidRPr="00653379">
        <w:rPr>
          <w:rStyle w:val="EndnoteReference"/>
          <w:rFonts w:cs="Arial"/>
          <w:szCs w:val="24"/>
        </w:rPr>
        <w:endnoteRef/>
      </w:r>
      <w:r w:rsidRPr="00653379">
        <w:rPr>
          <w:rFonts w:cs="Arial"/>
          <w:szCs w:val="24"/>
        </w:rPr>
        <w:t xml:space="preserve"> Mathematica, </w:t>
      </w:r>
      <w:r w:rsidRPr="00653379">
        <w:rPr>
          <w:rFonts w:cs="Arial"/>
          <w:i/>
          <w:iCs/>
          <w:szCs w:val="24"/>
        </w:rPr>
        <w:t>Medicaid Managed Care Enrollment and Program Characteristics</w:t>
      </w:r>
      <w:r w:rsidRPr="00653379">
        <w:rPr>
          <w:rFonts w:cs="Arial"/>
          <w:szCs w:val="24"/>
        </w:rPr>
        <w:t xml:space="preserve"> (Washington, DC: Centers for Medicare and Medicaid Services, 2020), </w:t>
      </w:r>
      <w:hyperlink r:id="rId23" w:tooltip="https://www.medicaid.gov/state-overviews/scorecard/how-states-deliver-care-medicaid/index.html" w:history="1">
        <w:r w:rsidRPr="009A5D26">
          <w:rPr>
            <w:rStyle w:val="Hyperlink"/>
            <w:rFonts w:cs="Arial"/>
            <w:color w:val="0000FF"/>
            <w:szCs w:val="24"/>
            <w:u w:color="0000FF"/>
          </w:rPr>
          <w:t>https://www.medicaid.gov/state-overviews/scorecard/how-states-deliver-care-medicaid/index.html</w:t>
        </w:r>
      </w:hyperlink>
      <w:r w:rsidRPr="00653379">
        <w:rPr>
          <w:rFonts w:cs="Arial"/>
          <w:szCs w:val="24"/>
        </w:rPr>
        <w:t xml:space="preserve">. </w:t>
      </w:r>
    </w:p>
  </w:endnote>
  <w:endnote w:id="34">
    <w:p w14:paraId="259F0CD8" w14:textId="65D9FF92" w:rsidR="00FA329E" w:rsidRPr="00653379" w:rsidRDefault="00FA329E" w:rsidP="00A51250">
      <w:pPr>
        <w:spacing w:after="200" w:line="240" w:lineRule="auto"/>
        <w:rPr>
          <w:rFonts w:eastAsia="Times New Roman" w:cs="Arial"/>
          <w:szCs w:val="24"/>
        </w:rPr>
      </w:pPr>
      <w:r w:rsidRPr="00653379">
        <w:rPr>
          <w:rStyle w:val="EndnoteReference"/>
          <w:rFonts w:cs="Arial"/>
          <w:szCs w:val="24"/>
        </w:rPr>
        <w:endnoteRef/>
      </w:r>
      <w:r w:rsidRPr="00653379">
        <w:rPr>
          <w:rFonts w:eastAsia="Arial" w:cs="Arial"/>
          <w:szCs w:val="24"/>
        </w:rPr>
        <w:t xml:space="preserve"> </w:t>
      </w:r>
      <w:r w:rsidRPr="00653379">
        <w:rPr>
          <w:rFonts w:eastAsia="Times New Roman" w:cs="Arial"/>
          <w:szCs w:val="24"/>
        </w:rPr>
        <w:t xml:space="preserve">Hinton et al., </w:t>
      </w:r>
      <w:r w:rsidRPr="00653379">
        <w:rPr>
          <w:rFonts w:eastAsia="Times New Roman" w:cs="Arial"/>
          <w:i/>
          <w:iCs/>
          <w:szCs w:val="24"/>
        </w:rPr>
        <w:t>10 Things to Know About</w:t>
      </w:r>
      <w:r w:rsidRPr="00653379">
        <w:rPr>
          <w:rFonts w:eastAsia="Times New Roman" w:cs="Arial"/>
          <w:szCs w:val="24"/>
        </w:rPr>
        <w:t>, 2020.</w:t>
      </w:r>
    </w:p>
  </w:endnote>
  <w:endnote w:id="35">
    <w:p w14:paraId="61BC8146" w14:textId="0703893E" w:rsidR="00FA329E" w:rsidRPr="00653379" w:rsidRDefault="00FA329E" w:rsidP="00A51250">
      <w:pPr>
        <w:spacing w:after="200" w:line="240" w:lineRule="auto"/>
        <w:rPr>
          <w:rFonts w:cs="Arial"/>
          <w:szCs w:val="24"/>
        </w:rPr>
      </w:pPr>
      <w:r w:rsidRPr="00653379">
        <w:rPr>
          <w:rStyle w:val="EndnoteReference"/>
          <w:rFonts w:cs="Arial"/>
          <w:szCs w:val="24"/>
        </w:rPr>
        <w:endnoteRef/>
      </w:r>
      <w:r w:rsidRPr="00653379">
        <w:rPr>
          <w:rFonts w:eastAsia="Arial" w:cs="Arial"/>
          <w:szCs w:val="24"/>
        </w:rPr>
        <w:t xml:space="preserve"> </w:t>
      </w:r>
      <w:r w:rsidRPr="00653379">
        <w:rPr>
          <w:rFonts w:cs="Arial"/>
          <w:szCs w:val="24"/>
        </w:rPr>
        <w:t xml:space="preserve">N. Gupta, C. Yarbrough, M. Vujicic, A. Blatz, and B. Harrison,, </w:t>
      </w:r>
      <w:r w:rsidRPr="00653379">
        <w:rPr>
          <w:rFonts w:cs="Arial"/>
          <w:i/>
          <w:iCs/>
          <w:szCs w:val="24"/>
        </w:rPr>
        <w:t>Medicaid Fee-For-Service Reimbursement Rates for Child and Adult Dental Care Services for All States, 2016</w:t>
      </w:r>
      <w:r w:rsidRPr="00653379">
        <w:rPr>
          <w:rFonts w:cs="Arial"/>
          <w:szCs w:val="24"/>
        </w:rPr>
        <w:t xml:space="preserve"> (Chicago: Health Policy Institute, American Dental Association, 2017), </w:t>
      </w:r>
      <w:hyperlink r:id="rId24" w:tooltip="http://www.ada.org/~/media/ADA/Science%20and%20Research/HPI/Files/HPIBrief_0417_1.pdf" w:history="1">
        <w:r w:rsidRPr="009A5D26">
          <w:rPr>
            <w:rStyle w:val="Hyperlink"/>
            <w:rFonts w:cs="Arial"/>
            <w:color w:val="0000FF"/>
            <w:szCs w:val="24"/>
            <w:u w:color="0000FF"/>
          </w:rPr>
          <w:t>http://www.ada.org/~/media/ADA/Science%20and%20Research/HPI/Files/HPIBrief_0417_1.pdf</w:t>
        </w:r>
      </w:hyperlink>
      <w:r w:rsidRPr="00653379">
        <w:rPr>
          <w:rFonts w:cs="Arial"/>
          <w:szCs w:val="24"/>
        </w:rPr>
        <w:t>.</w:t>
      </w:r>
    </w:p>
  </w:endnote>
  <w:endnote w:id="36">
    <w:p w14:paraId="17B84D39" w14:textId="6E3A3716" w:rsidR="00FA329E" w:rsidRPr="00653379" w:rsidRDefault="00FA329E" w:rsidP="00A51250">
      <w:pPr>
        <w:spacing w:after="200" w:line="240" w:lineRule="auto"/>
        <w:rPr>
          <w:rFonts w:eastAsia="Times New Roman" w:cs="Arial"/>
          <w:szCs w:val="24"/>
        </w:rPr>
      </w:pPr>
      <w:r w:rsidRPr="00653379">
        <w:rPr>
          <w:rStyle w:val="EndnoteReference"/>
          <w:rFonts w:cs="Arial"/>
          <w:szCs w:val="24"/>
        </w:rPr>
        <w:endnoteRef/>
      </w:r>
      <w:r w:rsidRPr="00653379">
        <w:rPr>
          <w:rFonts w:cs="Arial"/>
          <w:szCs w:val="24"/>
        </w:rPr>
        <w:t xml:space="preserve"> </w:t>
      </w:r>
      <w:r w:rsidRPr="00653379">
        <w:rPr>
          <w:rFonts w:eastAsia="Times New Roman" w:cs="Arial"/>
          <w:szCs w:val="24"/>
        </w:rPr>
        <w:t xml:space="preserve">Gupta et al., </w:t>
      </w:r>
      <w:r w:rsidRPr="00653379">
        <w:rPr>
          <w:rFonts w:eastAsia="Times New Roman" w:cs="Arial"/>
          <w:i/>
          <w:iCs/>
          <w:szCs w:val="24"/>
        </w:rPr>
        <w:t>Medicaid Fee-For-Service Reimbursement</w:t>
      </w:r>
      <w:r w:rsidRPr="00653379">
        <w:rPr>
          <w:rFonts w:eastAsia="Times New Roman" w:cs="Arial"/>
          <w:szCs w:val="24"/>
        </w:rPr>
        <w:t>, 2017.</w:t>
      </w:r>
    </w:p>
  </w:endnote>
  <w:endnote w:id="37">
    <w:p w14:paraId="147741AD" w14:textId="4F007B0C" w:rsidR="00FA329E" w:rsidRPr="00653379" w:rsidRDefault="00FA329E" w:rsidP="00A51250">
      <w:pPr>
        <w:spacing w:after="200" w:line="240" w:lineRule="auto"/>
        <w:rPr>
          <w:rFonts w:cs="Arial"/>
          <w:szCs w:val="24"/>
        </w:rPr>
      </w:pPr>
      <w:r w:rsidRPr="00653379">
        <w:rPr>
          <w:rStyle w:val="EndnoteReference"/>
          <w:rFonts w:cs="Arial"/>
          <w:szCs w:val="24"/>
        </w:rPr>
        <w:endnoteRef/>
      </w:r>
      <w:r w:rsidRPr="00653379">
        <w:rPr>
          <w:rFonts w:eastAsia="Arial" w:cs="Arial"/>
          <w:szCs w:val="24"/>
        </w:rPr>
        <w:t xml:space="preserve"> </w:t>
      </w:r>
      <w:r w:rsidRPr="00653379">
        <w:rPr>
          <w:rFonts w:cs="Arial"/>
          <w:szCs w:val="24"/>
        </w:rPr>
        <w:t xml:space="preserve">American Dental Association, “Snapshots of American Dentistry,” 2020. </w:t>
      </w:r>
      <w:hyperlink r:id="rId25" w:tooltip="https://www.ada.org/publications/ada-news/2020/september/snap-september-21-2020" w:history="1">
        <w:r w:rsidRPr="00CF21AD">
          <w:rPr>
            <w:rStyle w:val="Hyperlink"/>
            <w:rFonts w:cs="Arial"/>
            <w:szCs w:val="24"/>
          </w:rPr>
          <w:t>https://www.ada.org/publications/ada-news/2020/september/snap-september-21-2020</w:t>
        </w:r>
      </w:hyperlink>
      <w:r w:rsidRPr="00653379">
        <w:rPr>
          <w:rFonts w:cs="Arial"/>
          <w:szCs w:val="24"/>
        </w:rPr>
        <w:t xml:space="preserve">. </w:t>
      </w:r>
    </w:p>
  </w:endnote>
  <w:endnote w:id="38">
    <w:p w14:paraId="3E1F45A4" w14:textId="5D334053" w:rsidR="00FA329E" w:rsidRPr="00653379" w:rsidRDefault="00FA329E" w:rsidP="00A51250">
      <w:pPr>
        <w:pStyle w:val="NormalWeb"/>
        <w:spacing w:before="0" w:beforeAutospacing="0" w:after="200" w:afterAutospacing="0"/>
        <w:rPr>
          <w:rFonts w:ascii="Arial" w:hAnsi="Arial" w:cs="Arial"/>
        </w:rPr>
      </w:pPr>
      <w:r w:rsidRPr="00653379">
        <w:rPr>
          <w:rStyle w:val="EndnoteReference"/>
          <w:rFonts w:ascii="Arial" w:eastAsiaTheme="minorEastAsia" w:hAnsi="Arial" w:cs="Arial"/>
        </w:rPr>
        <w:endnoteRef/>
      </w:r>
      <w:r w:rsidRPr="00653379">
        <w:rPr>
          <w:rFonts w:ascii="Arial" w:eastAsia="Arial" w:hAnsi="Arial" w:cs="Arial"/>
        </w:rPr>
        <w:t xml:space="preserve"> </w:t>
      </w:r>
      <w:r w:rsidRPr="00653379">
        <w:rPr>
          <w:rFonts w:ascii="Arial" w:hAnsi="Arial" w:cs="Arial"/>
        </w:rPr>
        <w:t xml:space="preserve">Gupta et al., </w:t>
      </w:r>
      <w:r w:rsidRPr="00653379">
        <w:rPr>
          <w:rFonts w:ascii="Arial" w:hAnsi="Arial" w:cs="Arial"/>
          <w:i/>
          <w:iCs/>
        </w:rPr>
        <w:t>Medicaid Fee-For-Service Reimbursement</w:t>
      </w:r>
      <w:r w:rsidRPr="00653379">
        <w:rPr>
          <w:rFonts w:ascii="Arial" w:hAnsi="Arial" w:cs="Arial"/>
        </w:rPr>
        <w:t>, 2017.</w:t>
      </w:r>
    </w:p>
  </w:endnote>
  <w:endnote w:id="39">
    <w:p w14:paraId="50BF7C78" w14:textId="121F3D24" w:rsidR="00FA329E" w:rsidRPr="00653379" w:rsidRDefault="00FA329E" w:rsidP="00A51250">
      <w:pPr>
        <w:spacing w:after="200" w:line="240" w:lineRule="auto"/>
        <w:rPr>
          <w:rFonts w:cs="Arial"/>
          <w:szCs w:val="24"/>
        </w:rPr>
      </w:pPr>
      <w:r w:rsidRPr="00653379">
        <w:rPr>
          <w:rStyle w:val="EndnoteReference"/>
          <w:rFonts w:cs="Arial"/>
          <w:szCs w:val="24"/>
        </w:rPr>
        <w:endnoteRef/>
      </w:r>
      <w:r w:rsidRPr="00653379">
        <w:rPr>
          <w:rFonts w:eastAsia="Arial" w:cs="Arial"/>
          <w:szCs w:val="24"/>
        </w:rPr>
        <w:t xml:space="preserve"> </w:t>
      </w:r>
      <w:r w:rsidRPr="009A5D26">
        <w:rPr>
          <w:rFonts w:cs="Arial"/>
          <w:i/>
          <w:szCs w:val="24"/>
        </w:rPr>
        <w:t>Emergency Department Visits for Dental Conditions—A Snapshot</w:t>
      </w:r>
      <w:r w:rsidRPr="00653379">
        <w:rPr>
          <w:rFonts w:cs="Arial"/>
          <w:szCs w:val="24"/>
        </w:rPr>
        <w:t xml:space="preserve"> (Chicago: Health Policy Institute, American Dental Association, 2019), </w:t>
      </w:r>
      <w:r w:rsidRPr="009A5D26">
        <w:rPr>
          <w:rFonts w:cs="Arial"/>
          <w:color w:val="0000FF"/>
          <w:szCs w:val="24"/>
          <w:u w:val="single"/>
        </w:rPr>
        <w:t>https://www.ada.org/-/media/project/ada-organization/ada/ada-org/files/resources/research/hpi/hpigraphic_0420_1.pdf?rev=2912d9465aef4958882a485ae5f00665&amp;hash=4B00090BAF2BC8FCBEC83FE9B191F13B</w:t>
      </w:r>
      <w:r w:rsidRPr="00653379">
        <w:rPr>
          <w:rFonts w:cs="Arial"/>
          <w:szCs w:val="24"/>
        </w:rPr>
        <w:t>.</w:t>
      </w:r>
    </w:p>
  </w:endnote>
  <w:endnote w:id="40">
    <w:p w14:paraId="5D16E3E7" w14:textId="736FDF9A" w:rsidR="00FA329E" w:rsidRPr="00653379" w:rsidRDefault="00FA329E" w:rsidP="00A51250">
      <w:pPr>
        <w:spacing w:after="200" w:line="240" w:lineRule="auto"/>
        <w:rPr>
          <w:rFonts w:cs="Arial"/>
          <w:szCs w:val="24"/>
        </w:rPr>
      </w:pPr>
      <w:r w:rsidRPr="00653379">
        <w:rPr>
          <w:rStyle w:val="EndnoteReference"/>
          <w:rFonts w:cs="Arial"/>
          <w:szCs w:val="24"/>
        </w:rPr>
        <w:endnoteRef/>
      </w:r>
      <w:r w:rsidRPr="00653379">
        <w:rPr>
          <w:rFonts w:cs="Arial"/>
          <w:szCs w:val="24"/>
        </w:rPr>
        <w:t xml:space="preserve"> Report published by Agency for Healthcare Research and Quality (AHRQ). P.L. Owens, R.J. Manski, and A.J. Weiss, </w:t>
      </w:r>
      <w:r w:rsidRPr="00653379">
        <w:rPr>
          <w:rFonts w:cs="Arial"/>
          <w:i/>
          <w:iCs/>
          <w:szCs w:val="24"/>
        </w:rPr>
        <w:t>Emergency Department Visits Involving Dental Conditions, 2018</w:t>
      </w:r>
      <w:r w:rsidRPr="00653379">
        <w:rPr>
          <w:rFonts w:cs="Arial"/>
          <w:szCs w:val="24"/>
        </w:rPr>
        <w:t xml:space="preserve">, Statistical Brief 280 (Rockville, MD: AHRQ, 2020), </w:t>
      </w:r>
      <w:hyperlink r:id="rId26" w:tooltip="https://hcup-us.ahrq.gov/reports/statbriefs/sb280-Dental-ED-Visits-2018.pdf" w:history="1">
        <w:r w:rsidRPr="00E77F0E">
          <w:rPr>
            <w:rStyle w:val="Hyperlink"/>
            <w:rFonts w:cs="Arial"/>
            <w:color w:val="0000FF"/>
            <w:szCs w:val="24"/>
            <w:u w:color="0000FF"/>
          </w:rPr>
          <w:t>https://hcup-us.ahrq.gov/reports/statbriefs/sb280-Dental-ED-Visits-2018.pdf</w:t>
        </w:r>
      </w:hyperlink>
      <w:r w:rsidRPr="00653379">
        <w:rPr>
          <w:rFonts w:cs="Arial"/>
          <w:szCs w:val="24"/>
        </w:rPr>
        <w:t>.</w:t>
      </w:r>
    </w:p>
  </w:endnote>
  <w:endnote w:id="41">
    <w:p w14:paraId="52320CBA" w14:textId="263E904A" w:rsidR="00FA329E" w:rsidRPr="00653379" w:rsidRDefault="00FA329E" w:rsidP="00A51250">
      <w:pPr>
        <w:pStyle w:val="NormalWeb"/>
        <w:spacing w:before="0" w:beforeAutospacing="0" w:after="200" w:afterAutospacing="0"/>
        <w:rPr>
          <w:rFonts w:ascii="Arial" w:hAnsi="Arial" w:cs="Arial"/>
        </w:rPr>
      </w:pPr>
      <w:r w:rsidRPr="00653379">
        <w:rPr>
          <w:rStyle w:val="EndnoteReference"/>
          <w:rFonts w:ascii="Arial" w:eastAsiaTheme="minorEastAsia" w:hAnsi="Arial" w:cs="Arial"/>
        </w:rPr>
        <w:endnoteRef/>
      </w:r>
      <w:r w:rsidRPr="00653379">
        <w:rPr>
          <w:rFonts w:ascii="Arial" w:eastAsia="Arial" w:hAnsi="Arial" w:cs="Arial"/>
        </w:rPr>
        <w:t xml:space="preserve"> </w:t>
      </w:r>
      <w:r w:rsidRPr="00653379">
        <w:rPr>
          <w:rFonts w:ascii="Arial" w:hAnsi="Arial" w:cs="Arial"/>
          <w:shd w:val="clear" w:color="auto" w:fill="FFFFFF"/>
        </w:rPr>
        <w:t>M.W</w:t>
      </w:r>
      <w:r w:rsidRPr="00653379">
        <w:rPr>
          <w:rFonts w:ascii="Arial" w:hAnsi="Arial" w:cs="Arial"/>
        </w:rPr>
        <w:t xml:space="preserve">. </w:t>
      </w:r>
      <w:r w:rsidRPr="00653379">
        <w:rPr>
          <w:rFonts w:ascii="Arial" w:hAnsi="Arial" w:cs="Arial"/>
          <w:shd w:val="clear" w:color="auto" w:fill="FFFFFF"/>
        </w:rPr>
        <w:t xml:space="preserve">Seitz, S. Listl, A. Bartols, I. Schubert, K. Blaschke, C. Haux, and M.M. Van Der Zande, “Current Knowledge on Correlations Between Highly Prevalent Dental Conditions and Chronic Diseases: An Umbrella Review,” </w:t>
      </w:r>
      <w:r w:rsidRPr="00653379">
        <w:rPr>
          <w:rFonts w:ascii="Arial" w:hAnsi="Arial" w:cs="Arial"/>
          <w:i/>
          <w:iCs/>
          <w:shd w:val="clear" w:color="auto" w:fill="FFFFFF"/>
        </w:rPr>
        <w:t>Preventing Chronic Disease</w:t>
      </w:r>
      <w:r w:rsidRPr="00653379">
        <w:rPr>
          <w:rFonts w:ascii="Arial" w:hAnsi="Arial" w:cs="Arial"/>
          <w:shd w:val="clear" w:color="auto" w:fill="FFFFFF"/>
        </w:rPr>
        <w:t xml:space="preserve"> 16 (2019) 180641.</w:t>
      </w:r>
      <w:r w:rsidRPr="00653379">
        <w:rPr>
          <w:rFonts w:ascii="Arial" w:hAnsi="Arial" w:cs="Arial"/>
        </w:rPr>
        <w:t xml:space="preserve"> </w:t>
      </w:r>
      <w:hyperlink r:id="rId27" w:tgtFrame="_blank" w:tooltip="http://dx.doi.org/10.5888/pcd16.180641" w:history="1">
        <w:r w:rsidRPr="00E77F0E">
          <w:rPr>
            <w:rStyle w:val="Hyperlink"/>
            <w:rFonts w:ascii="Arial" w:eastAsiaTheme="majorEastAsia" w:hAnsi="Arial" w:cs="Arial"/>
            <w:color w:val="0000FF"/>
            <w:u w:color="0000FF"/>
            <w:shd w:val="clear" w:color="auto" w:fill="FFFFFF"/>
          </w:rPr>
          <w:t>http://dx.doi.org/10.5888/pcd16.180641</w:t>
        </w:r>
      </w:hyperlink>
      <w:r w:rsidRPr="00653379">
        <w:rPr>
          <w:rFonts w:ascii="Arial" w:hAnsi="Arial" w:cs="Arial"/>
        </w:rPr>
        <w:t>.</w:t>
      </w:r>
    </w:p>
  </w:endnote>
  <w:endnote w:id="42">
    <w:p w14:paraId="651F266B" w14:textId="172C1535" w:rsidR="00FA329E" w:rsidRPr="00653379" w:rsidRDefault="00FA329E" w:rsidP="00A51250">
      <w:pPr>
        <w:spacing w:after="200" w:line="240" w:lineRule="auto"/>
        <w:rPr>
          <w:rFonts w:eastAsia="Times New Roman" w:cs="Arial"/>
          <w:szCs w:val="24"/>
        </w:rPr>
      </w:pPr>
      <w:r w:rsidRPr="00653379">
        <w:rPr>
          <w:rStyle w:val="EndnoteReference"/>
          <w:rFonts w:cs="Arial"/>
          <w:szCs w:val="24"/>
        </w:rPr>
        <w:endnoteRef/>
      </w:r>
      <w:r w:rsidRPr="00653379">
        <w:rPr>
          <w:rFonts w:eastAsia="Arial" w:cs="Arial"/>
          <w:szCs w:val="24"/>
        </w:rPr>
        <w:t xml:space="preserve"> </w:t>
      </w:r>
      <w:r w:rsidRPr="00653379">
        <w:rPr>
          <w:rFonts w:eastAsia="Times New Roman" w:cs="Arial"/>
          <w:szCs w:val="24"/>
        </w:rPr>
        <w:t xml:space="preserve">K. Nasseh, M. Vujicic, and M. Glick, “The Relationship Between Periodontal Interventions and Healthcare Costs and Utilization,” </w:t>
      </w:r>
      <w:r w:rsidRPr="00653379">
        <w:rPr>
          <w:rFonts w:eastAsia="Times New Roman" w:cs="Arial"/>
          <w:i/>
          <w:iCs/>
          <w:szCs w:val="24"/>
        </w:rPr>
        <w:t>Health Economics</w:t>
      </w:r>
      <w:r w:rsidRPr="00653379">
        <w:rPr>
          <w:rFonts w:eastAsia="Times New Roman" w:cs="Arial"/>
          <w:szCs w:val="24"/>
        </w:rPr>
        <w:t xml:space="preserve"> 26, no. 4 (2017): 519–27, </w:t>
      </w:r>
      <w:hyperlink r:id="rId28" w:tooltip="https://doi.org/10.1002/hec.3316" w:history="1">
        <w:r w:rsidRPr="00E77F0E">
          <w:rPr>
            <w:rStyle w:val="Hyperlink"/>
            <w:rFonts w:eastAsia="Times New Roman" w:cs="Arial"/>
            <w:color w:val="0000FF"/>
            <w:szCs w:val="24"/>
            <w:u w:color="0000FF"/>
          </w:rPr>
          <w:t>https://doi.org/10.1002/hec.3316</w:t>
        </w:r>
      </w:hyperlink>
      <w:r w:rsidRPr="00653379">
        <w:rPr>
          <w:rFonts w:eastAsia="Times New Roman" w:cs="Arial"/>
          <w:szCs w:val="24"/>
        </w:rPr>
        <w:t xml:space="preserve">. </w:t>
      </w:r>
    </w:p>
  </w:endnote>
  <w:endnote w:id="43">
    <w:p w14:paraId="7711B175" w14:textId="3CB8D7F3" w:rsidR="00FA329E" w:rsidRPr="00653379" w:rsidRDefault="00FA329E" w:rsidP="00A51250">
      <w:pPr>
        <w:spacing w:after="200" w:line="240" w:lineRule="auto"/>
        <w:rPr>
          <w:rFonts w:cs="Arial"/>
          <w:szCs w:val="24"/>
        </w:rPr>
      </w:pPr>
      <w:r w:rsidRPr="00653379">
        <w:rPr>
          <w:rStyle w:val="EndnoteReference"/>
          <w:rFonts w:cs="Arial"/>
          <w:szCs w:val="24"/>
        </w:rPr>
        <w:endnoteRef/>
      </w:r>
      <w:r w:rsidRPr="00653379">
        <w:rPr>
          <w:rFonts w:eastAsia="Arial" w:cs="Arial"/>
          <w:szCs w:val="24"/>
        </w:rPr>
        <w:t xml:space="preserve"> </w:t>
      </w:r>
      <w:r w:rsidRPr="00653379">
        <w:rPr>
          <w:rFonts w:cs="Arial"/>
          <w:szCs w:val="24"/>
        </w:rPr>
        <w:t xml:space="preserve">M. Vujicic, R. Starkel, and B. Harrison, </w:t>
      </w:r>
      <w:r w:rsidRPr="00653379">
        <w:rPr>
          <w:rFonts w:cs="Arial"/>
          <w:i/>
          <w:iCs/>
          <w:szCs w:val="24"/>
        </w:rPr>
        <w:t>Estimating the Cost of Introducing Comprehensive Adult Medicaid Dental Benefits in Virginia</w:t>
      </w:r>
      <w:r w:rsidRPr="00653379">
        <w:rPr>
          <w:rFonts w:cs="Arial"/>
          <w:szCs w:val="24"/>
        </w:rPr>
        <w:t xml:space="preserve"> (Chicago: Health Policy Institute, American Dental Association, 2020), </w:t>
      </w:r>
      <w:hyperlink r:id="rId29" w:tooltip="https://vahealthcatalyst.org/wp-content/uploads/2020/02/HPI-Report-with-Intro-Letter_Update.pdf" w:history="1">
        <w:r w:rsidRPr="00CF21AD">
          <w:rPr>
            <w:rStyle w:val="Hyperlink"/>
            <w:rFonts w:cs="Arial"/>
            <w:szCs w:val="24"/>
          </w:rPr>
          <w:t>https://vahealthcatalyst.org/wp-content/uploads/2020/02/HPI-Report-with-Intro-Letter_Update.pdf</w:t>
        </w:r>
      </w:hyperlink>
      <w:r w:rsidRPr="00653379">
        <w:rPr>
          <w:rFonts w:cs="Arial"/>
          <w:szCs w:val="24"/>
        </w:rPr>
        <w:t>.</w:t>
      </w:r>
    </w:p>
  </w:endnote>
  <w:endnote w:id="44">
    <w:p w14:paraId="7CD1C67E" w14:textId="66EB212E" w:rsidR="00FA329E" w:rsidRPr="00653379" w:rsidRDefault="00FA329E" w:rsidP="00A51250">
      <w:pPr>
        <w:spacing w:after="200" w:line="240" w:lineRule="auto"/>
        <w:rPr>
          <w:rFonts w:eastAsia="Times New Roman" w:cs="Arial"/>
          <w:szCs w:val="24"/>
        </w:rPr>
      </w:pPr>
      <w:r w:rsidRPr="00653379">
        <w:rPr>
          <w:rStyle w:val="EndnoteReference"/>
          <w:rFonts w:cs="Arial"/>
          <w:szCs w:val="24"/>
        </w:rPr>
        <w:endnoteRef/>
      </w:r>
      <w:r w:rsidRPr="00653379">
        <w:rPr>
          <w:rFonts w:eastAsia="Arial" w:cs="Arial"/>
          <w:szCs w:val="24"/>
        </w:rPr>
        <w:t xml:space="preserve"> </w:t>
      </w:r>
      <w:r w:rsidRPr="00653379">
        <w:rPr>
          <w:rFonts w:eastAsia="Times New Roman" w:cs="Arial"/>
          <w:szCs w:val="24"/>
        </w:rPr>
        <w:t xml:space="preserve">K.D. Smith, </w:t>
      </w:r>
      <w:r w:rsidRPr="00653379">
        <w:rPr>
          <w:rFonts w:eastAsia="Times New Roman" w:cs="Arial"/>
          <w:i/>
          <w:iCs/>
          <w:szCs w:val="24"/>
        </w:rPr>
        <w:t>Implementing a Medicaid Dental Benefit for Adults with Disabilities Can Yield Significant Cost Savings</w:t>
      </w:r>
      <w:r w:rsidRPr="00653379">
        <w:rPr>
          <w:rFonts w:eastAsia="Times New Roman" w:cs="Arial"/>
          <w:szCs w:val="24"/>
        </w:rPr>
        <w:t xml:space="preserve"> (Austin: Texas Health Institute, 2021).</w:t>
      </w:r>
    </w:p>
  </w:endnote>
  <w:endnote w:id="45">
    <w:p w14:paraId="16B8CCAF" w14:textId="1DA9D662" w:rsidR="00FA329E" w:rsidRPr="00653379" w:rsidRDefault="00FA329E" w:rsidP="00A51250">
      <w:pPr>
        <w:spacing w:after="200" w:line="240" w:lineRule="auto"/>
        <w:rPr>
          <w:rFonts w:eastAsia="Times New Roman" w:cs="Arial"/>
          <w:szCs w:val="24"/>
        </w:rPr>
      </w:pPr>
      <w:r w:rsidRPr="00653379">
        <w:rPr>
          <w:rStyle w:val="EndnoteReference"/>
          <w:rFonts w:cs="Arial"/>
          <w:szCs w:val="24"/>
        </w:rPr>
        <w:endnoteRef/>
      </w:r>
      <w:r w:rsidRPr="00653379">
        <w:rPr>
          <w:rFonts w:eastAsia="Arial" w:cs="Arial"/>
          <w:szCs w:val="24"/>
        </w:rPr>
        <w:t xml:space="preserve"> </w:t>
      </w:r>
      <w:r w:rsidRPr="00653379">
        <w:rPr>
          <w:rFonts w:eastAsia="Times New Roman" w:cs="Arial"/>
          <w:szCs w:val="24"/>
        </w:rPr>
        <w:t xml:space="preserve">M. Vujicic, R. Starr, D. Fujii, R. Starkel, and B. Harrison, </w:t>
      </w:r>
      <w:r w:rsidRPr="00653379">
        <w:rPr>
          <w:rFonts w:eastAsia="Times New Roman" w:cs="Arial"/>
          <w:i/>
          <w:iCs/>
          <w:szCs w:val="24"/>
        </w:rPr>
        <w:t>Estimating the Cost of Introducing Comprehensive Adult Medicaid Dental Benefits in Hawaii</w:t>
      </w:r>
      <w:r w:rsidRPr="00653379">
        <w:rPr>
          <w:rFonts w:eastAsia="Times New Roman" w:cs="Arial"/>
          <w:szCs w:val="24"/>
        </w:rPr>
        <w:t xml:space="preserve"> (Chicago: Health Policy Institute, American Dental Association, 2020), </w:t>
      </w:r>
      <w:hyperlink r:id="rId30" w:tooltip="https://www.ada.org/-/media/project/ada-organization/ada/ada-org/files/resources/research/hpi/hpibrief_0220_1.pdf." w:history="1">
        <w:r w:rsidRPr="00CF21AD">
          <w:rPr>
            <w:rStyle w:val="Hyperlink"/>
            <w:rFonts w:eastAsia="Times New Roman" w:cs="Arial"/>
            <w:szCs w:val="24"/>
          </w:rPr>
          <w:t>https://www.ada.org/-/media/project/ada-organization/ada/ada-org/files/resources/research/hpi/hpibrief_0220_1.pdf.</w:t>
        </w:r>
      </w:hyperlink>
      <w:r w:rsidRPr="00653379">
        <w:rPr>
          <w:rFonts w:eastAsia="Times New Roman" w:cs="Arial"/>
          <w:szCs w:val="24"/>
          <w:shd w:val="clear" w:color="auto" w:fill="FFFF00"/>
        </w:rPr>
        <w:t xml:space="preserve"> </w:t>
      </w:r>
    </w:p>
  </w:endnote>
  <w:endnote w:id="46">
    <w:p w14:paraId="4A910142" w14:textId="0CBE01BF" w:rsidR="00FA329E" w:rsidRPr="00653379" w:rsidRDefault="00FA329E" w:rsidP="00A51250">
      <w:pPr>
        <w:spacing w:after="200" w:line="240" w:lineRule="auto"/>
        <w:rPr>
          <w:rFonts w:eastAsia="Times New Roman" w:cs="Arial"/>
          <w:szCs w:val="24"/>
        </w:rPr>
      </w:pPr>
      <w:r w:rsidRPr="00653379">
        <w:rPr>
          <w:rStyle w:val="EndnoteReference"/>
          <w:rFonts w:cs="Arial"/>
          <w:szCs w:val="24"/>
        </w:rPr>
        <w:endnoteRef/>
      </w:r>
      <w:r w:rsidRPr="00653379">
        <w:rPr>
          <w:rFonts w:cs="Arial"/>
          <w:szCs w:val="24"/>
        </w:rPr>
        <w:t xml:space="preserve"> </w:t>
      </w:r>
      <w:r w:rsidRPr="00653379">
        <w:rPr>
          <w:rFonts w:eastAsia="Times New Roman" w:cs="Arial"/>
          <w:szCs w:val="24"/>
        </w:rPr>
        <w:t xml:space="preserve">J. Tilly, </w:t>
      </w:r>
      <w:r w:rsidRPr="00653379">
        <w:rPr>
          <w:rFonts w:eastAsia="Times New Roman" w:cs="Arial"/>
          <w:i/>
          <w:iCs/>
          <w:szCs w:val="24"/>
          <w:shd w:val="clear" w:color="auto" w:fill="FFFFFF"/>
        </w:rPr>
        <w:t>Oral Health’s Relationship to Disease and Options for Expanding Services for Older Adults and Adults Who Have Disabilities</w:t>
      </w:r>
      <w:r w:rsidRPr="00653379">
        <w:rPr>
          <w:rFonts w:eastAsia="Times New Roman" w:cs="Arial"/>
          <w:szCs w:val="24"/>
          <w:shd w:val="clear" w:color="auto" w:fill="FFFFFF"/>
        </w:rPr>
        <w:t xml:space="preserve"> (Washington, DC: U.S. Department of Health and Human Services, Administration for Community Living, Center for Policy and Evaluation, </w:t>
      </w:r>
      <w:r w:rsidRPr="00653379">
        <w:rPr>
          <w:rFonts w:eastAsia="Times New Roman" w:cs="Arial"/>
          <w:szCs w:val="24"/>
        </w:rPr>
        <w:t>2016).</w:t>
      </w:r>
    </w:p>
  </w:endnote>
  <w:endnote w:id="47">
    <w:p w14:paraId="37EA16D8" w14:textId="6BE14905" w:rsidR="00FA329E" w:rsidRPr="00653379" w:rsidRDefault="00FA329E" w:rsidP="00A51250">
      <w:pPr>
        <w:spacing w:after="200" w:line="240" w:lineRule="auto"/>
        <w:rPr>
          <w:rFonts w:cs="Arial"/>
          <w:szCs w:val="24"/>
        </w:rPr>
      </w:pPr>
      <w:r w:rsidRPr="00653379">
        <w:rPr>
          <w:rStyle w:val="EndnoteReference"/>
          <w:rFonts w:cs="Arial"/>
          <w:szCs w:val="24"/>
        </w:rPr>
        <w:endnoteRef/>
      </w:r>
      <w:r w:rsidRPr="00653379">
        <w:rPr>
          <w:rFonts w:cs="Arial"/>
          <w:szCs w:val="24"/>
        </w:rPr>
        <w:t xml:space="preserve"> </w:t>
      </w:r>
      <w:r w:rsidRPr="00653379">
        <w:rPr>
          <w:rFonts w:cs="Arial"/>
          <w:i/>
          <w:iCs/>
          <w:szCs w:val="24"/>
        </w:rPr>
        <w:t>Implementing a Dental Benefit for Adults with Disabilities Can Yield Significant Cost Savings</w:t>
      </w:r>
      <w:r w:rsidRPr="00653379">
        <w:rPr>
          <w:rFonts w:cs="Arial"/>
          <w:szCs w:val="24"/>
        </w:rPr>
        <w:t xml:space="preserve"> (Austin: Texas Health Institute, 2021), </w:t>
      </w:r>
      <w:hyperlink r:id="rId31" w:tooltip="https://www.texashealthinstitute.org/uploads/3/9/5/2/39521365/oral_health_brief-_implementing_a_medicaid_dental_benefit_for_adults_with_disabilities_digital.pdf" w:history="1">
        <w:r w:rsidRPr="00E77F0E">
          <w:rPr>
            <w:rStyle w:val="Hyperlink"/>
            <w:rFonts w:cs="Arial"/>
            <w:color w:val="0000FF"/>
            <w:szCs w:val="24"/>
            <w:u w:color="0000FF"/>
          </w:rPr>
          <w:t>https://www.texashealthinstitute.org/uploads/3/9/5/2/39521365/oral_health_brief-_implementing_a_medicaid_dental_benefit_for_adults_with_disabilities_digital.pdf</w:t>
        </w:r>
      </w:hyperlink>
      <w:r w:rsidRPr="00653379">
        <w:rPr>
          <w:rFonts w:cs="Arial"/>
          <w:szCs w:val="24"/>
        </w:rPr>
        <w:t>.</w:t>
      </w:r>
    </w:p>
  </w:endnote>
  <w:endnote w:id="48">
    <w:p w14:paraId="2A7B3C74" w14:textId="163228D5" w:rsidR="00FA329E" w:rsidRPr="00653379" w:rsidRDefault="00FA329E" w:rsidP="00A51250">
      <w:pPr>
        <w:pStyle w:val="NormalWeb"/>
        <w:spacing w:before="0" w:beforeAutospacing="0" w:after="200" w:afterAutospacing="0"/>
        <w:rPr>
          <w:rFonts w:ascii="Arial" w:hAnsi="Arial" w:cs="Arial"/>
        </w:rPr>
      </w:pPr>
      <w:r w:rsidRPr="00653379">
        <w:rPr>
          <w:rStyle w:val="EndnoteReference"/>
          <w:rFonts w:ascii="Arial" w:eastAsiaTheme="minorEastAsia" w:hAnsi="Arial" w:cs="Arial"/>
        </w:rPr>
        <w:endnoteRef/>
      </w:r>
      <w:r w:rsidRPr="00653379">
        <w:rPr>
          <w:rFonts w:ascii="Arial" w:eastAsia="Arial" w:hAnsi="Arial" w:cs="Arial"/>
        </w:rPr>
        <w:t xml:space="preserve"> </w:t>
      </w:r>
      <w:r w:rsidRPr="00653379">
        <w:rPr>
          <w:rFonts w:ascii="Arial" w:hAnsi="Arial" w:cs="Arial"/>
        </w:rPr>
        <w:t xml:space="preserve">D. Alexander and M. Schnell, </w:t>
      </w:r>
      <w:r w:rsidRPr="00653379">
        <w:rPr>
          <w:rFonts w:ascii="Arial" w:hAnsi="Arial" w:cs="Arial"/>
          <w:i/>
          <w:iCs/>
        </w:rPr>
        <w:t>The Impacts of Physician Payments on Patient Access, Use, and Health</w:t>
      </w:r>
      <w:r w:rsidRPr="00653379">
        <w:rPr>
          <w:rFonts w:ascii="Arial" w:hAnsi="Arial" w:cs="Arial"/>
        </w:rPr>
        <w:t xml:space="preserve"> (Cambridge, MA: National Bureau of Economic Research, 2019), </w:t>
      </w:r>
      <w:hyperlink r:id="rId32" w:tooltip="https://www.nber.org/system/files/working_papers/w26095/w26095.pdf" w:history="1">
        <w:r w:rsidRPr="00E77F0E">
          <w:rPr>
            <w:rStyle w:val="Hyperlink"/>
            <w:rFonts w:ascii="Arial" w:eastAsiaTheme="majorEastAsia" w:hAnsi="Arial" w:cs="Arial"/>
            <w:color w:val="0000FF"/>
            <w:u w:color="0000FF"/>
          </w:rPr>
          <w:t>https://www.nber.org/system/files/working_papers/w26095/w26095.pdf</w:t>
        </w:r>
      </w:hyperlink>
      <w:r w:rsidRPr="00653379">
        <w:rPr>
          <w:rFonts w:ascii="Arial" w:hAnsi="Arial" w:cs="Arial"/>
        </w:rPr>
        <w:t xml:space="preserve">. M. Candon, S. Zuckerman, D. Wissoker, B. Saloner, G.M. Kenney, K. Rhodes, and D. Polsky, “Declining Medicaid Fees and Primary Care Appointment Availability for New Medicaid Patients,” </w:t>
      </w:r>
      <w:r w:rsidRPr="00653379">
        <w:rPr>
          <w:rFonts w:ascii="Arial" w:hAnsi="Arial" w:cs="Arial"/>
          <w:i/>
          <w:iCs/>
        </w:rPr>
        <w:t>JAMA Internal Medicine</w:t>
      </w:r>
      <w:r w:rsidRPr="00653379">
        <w:rPr>
          <w:rFonts w:ascii="Arial" w:hAnsi="Arial" w:cs="Arial"/>
        </w:rPr>
        <w:t xml:space="preserve">, 178, no. 1 (2018): 145, </w:t>
      </w:r>
      <w:hyperlink r:id="rId33" w:tooltip="https://doi.org/10.1001/jamainternmed.2017.6302" w:history="1">
        <w:r w:rsidRPr="00E77F0E">
          <w:rPr>
            <w:rStyle w:val="Hyperlink"/>
            <w:rFonts w:ascii="Arial" w:eastAsiaTheme="majorEastAsia" w:hAnsi="Arial" w:cs="Arial"/>
            <w:color w:val="0000FF"/>
            <w:u w:color="0000FF"/>
          </w:rPr>
          <w:t>https://doi.org/10.1001/jamainternmed.2017.6302</w:t>
        </w:r>
      </w:hyperlink>
      <w:r w:rsidRPr="00653379">
        <w:rPr>
          <w:rFonts w:ascii="Arial" w:hAnsi="Arial" w:cs="Arial"/>
        </w:rPr>
        <w:t xml:space="preserve">; California Legislature’s Nonpartisan Fiscal and Policy Advisor, </w:t>
      </w:r>
      <w:r w:rsidRPr="00653379">
        <w:rPr>
          <w:rFonts w:ascii="Arial" w:hAnsi="Arial" w:cs="Arial"/>
          <w:i/>
          <w:iCs/>
        </w:rPr>
        <w:t>Improving Access to Dental Services for Individuals with Developmental Disabilities</w:t>
      </w:r>
      <w:r w:rsidRPr="00653379">
        <w:rPr>
          <w:rFonts w:ascii="Arial" w:hAnsi="Arial" w:cs="Arial"/>
        </w:rPr>
        <w:t xml:space="preserve"> (Sacramento: Legislative Analyst’s Office, 2018), </w:t>
      </w:r>
      <w:hyperlink r:id="rId34" w:tooltip="https://lao.ca.gov/Publications/Report/3884" w:history="1">
        <w:r w:rsidRPr="00E77F0E">
          <w:rPr>
            <w:rStyle w:val="Hyperlink"/>
            <w:rFonts w:ascii="Arial" w:eastAsiaTheme="majorEastAsia" w:hAnsi="Arial" w:cs="Arial"/>
            <w:color w:val="0000FF"/>
            <w:u w:color="0000FF"/>
          </w:rPr>
          <w:t>https://lao.ca.gov/Publications/Report/3884</w:t>
        </w:r>
      </w:hyperlink>
      <w:r w:rsidRPr="00E77F0E">
        <w:rPr>
          <w:rStyle w:val="Hyperlink"/>
          <w:rFonts w:ascii="Arial" w:eastAsiaTheme="majorEastAsia" w:hAnsi="Arial" w:cs="Arial"/>
          <w:color w:val="0000FF"/>
          <w:u w:color="0000FF"/>
        </w:rPr>
        <w:t>.</w:t>
      </w:r>
    </w:p>
  </w:endnote>
  <w:endnote w:id="49">
    <w:p w14:paraId="54CAFBC4" w14:textId="71269C72" w:rsidR="00FA329E" w:rsidRPr="00653379" w:rsidRDefault="00FA329E" w:rsidP="00A51250">
      <w:pPr>
        <w:spacing w:after="200" w:line="240" w:lineRule="auto"/>
        <w:rPr>
          <w:rFonts w:cs="Arial"/>
          <w:szCs w:val="24"/>
        </w:rPr>
      </w:pPr>
      <w:r w:rsidRPr="00653379">
        <w:rPr>
          <w:rStyle w:val="EndnoteReference"/>
          <w:rFonts w:cs="Arial"/>
          <w:szCs w:val="24"/>
        </w:rPr>
        <w:endnoteRef/>
      </w:r>
      <w:r w:rsidRPr="00653379">
        <w:rPr>
          <w:rFonts w:eastAsia="Arial" w:cs="Arial"/>
          <w:szCs w:val="24"/>
        </w:rPr>
        <w:t xml:space="preserve"> </w:t>
      </w:r>
      <w:r w:rsidRPr="00653379">
        <w:rPr>
          <w:rFonts w:cs="Arial"/>
          <w:szCs w:val="24"/>
        </w:rPr>
        <w:t xml:space="preserve">Impact of Increased Dental Reimbursement Rates on Husky A-Insured Children, 2006–2011 (Hartford: Connecticut Health Foundation, 2013), </w:t>
      </w:r>
      <w:hyperlink r:id="rId35" w:tooltip="https://www.cthealth.org/publication/impact-increased-dental-reimbursement-rates-husky-a-insured-children-2006-2011/" w:history="1">
        <w:r w:rsidRPr="00E77F0E">
          <w:rPr>
            <w:rStyle w:val="Hyperlink"/>
            <w:rFonts w:cs="Arial"/>
            <w:color w:val="0000FF"/>
            <w:szCs w:val="24"/>
            <w:u w:color="0000FF"/>
          </w:rPr>
          <w:t>https://www.cthealth.org/publication/impact-increased-dental-reimbursement-rates-husky-a-insured-children-2006-2011/</w:t>
        </w:r>
      </w:hyperlink>
      <w:r w:rsidRPr="00653379">
        <w:rPr>
          <w:rFonts w:cs="Arial"/>
          <w:szCs w:val="24"/>
        </w:rPr>
        <w:t>.</w:t>
      </w:r>
    </w:p>
  </w:endnote>
  <w:endnote w:id="50">
    <w:p w14:paraId="0A296EF0" w14:textId="22017B97" w:rsidR="00FA329E" w:rsidRPr="00653379" w:rsidRDefault="00FA329E" w:rsidP="00A51250">
      <w:pPr>
        <w:spacing w:after="200" w:line="240" w:lineRule="auto"/>
        <w:rPr>
          <w:rFonts w:cs="Arial"/>
          <w:szCs w:val="24"/>
        </w:rPr>
      </w:pPr>
      <w:r w:rsidRPr="00653379">
        <w:rPr>
          <w:rStyle w:val="EndnoteReference"/>
          <w:rFonts w:cs="Arial"/>
          <w:szCs w:val="24"/>
        </w:rPr>
        <w:endnoteRef/>
      </w:r>
      <w:r w:rsidRPr="00653379">
        <w:rPr>
          <w:rFonts w:eastAsia="Arial" w:cs="Arial"/>
          <w:szCs w:val="24"/>
        </w:rPr>
        <w:t xml:space="preserve"> </w:t>
      </w:r>
      <w:r w:rsidRPr="00653379">
        <w:rPr>
          <w:rFonts w:cs="Arial"/>
          <w:szCs w:val="24"/>
        </w:rPr>
        <w:t xml:space="preserve">D.M. </w:t>
      </w:r>
      <w:r w:rsidRPr="00E77F0E">
        <w:rPr>
          <w:rFonts w:cs="Arial"/>
          <w:szCs w:val="24"/>
        </w:rPr>
        <w:t>Berwick, T.W. Nolan, and J. Whittington, “The Triple Aim</w:t>
      </w:r>
      <w:r w:rsidRPr="00653379">
        <w:rPr>
          <w:rFonts w:cs="Arial"/>
          <w:szCs w:val="24"/>
        </w:rPr>
        <w:t xml:space="preserve">: Care, Health, and Cost,” </w:t>
      </w:r>
      <w:r w:rsidRPr="00653379">
        <w:rPr>
          <w:rFonts w:cs="Arial"/>
          <w:i/>
          <w:iCs/>
          <w:szCs w:val="24"/>
        </w:rPr>
        <w:t>Health Affairs</w:t>
      </w:r>
      <w:r w:rsidRPr="00653379">
        <w:rPr>
          <w:rFonts w:cs="Arial"/>
          <w:szCs w:val="24"/>
        </w:rPr>
        <w:t xml:space="preserve"> (Millwood), 27, no. 3 (2008): 759–69, </w:t>
      </w:r>
      <w:hyperlink r:id="rId36" w:tooltip="https://doi.org/10.1377/hlthaff.27.3.759" w:history="1">
        <w:r w:rsidRPr="00E77F0E">
          <w:rPr>
            <w:rStyle w:val="Hyperlink"/>
            <w:rFonts w:cs="Arial"/>
            <w:color w:val="0000FF"/>
            <w:szCs w:val="24"/>
            <w:u w:color="0000FF"/>
          </w:rPr>
          <w:t>https://doi.org/</w:t>
        </w:r>
        <w:r w:rsidRPr="00E77F0E">
          <w:rPr>
            <w:rStyle w:val="Hyperlink"/>
            <w:rFonts w:cs="Arial"/>
            <w:color w:val="0000FF"/>
            <w:szCs w:val="24"/>
            <w:u w:color="0000FF"/>
            <w:shd w:val="clear" w:color="auto" w:fill="FFFFFF"/>
          </w:rPr>
          <w:t>10.1377/hlthaff.27.3.759</w:t>
        </w:r>
      </w:hyperlink>
      <w:r w:rsidRPr="00653379">
        <w:rPr>
          <w:rFonts w:cs="Arial"/>
          <w:szCs w:val="24"/>
          <w:shd w:val="clear" w:color="auto" w:fill="FFFFFF"/>
        </w:rPr>
        <w:t>.</w:t>
      </w:r>
    </w:p>
  </w:endnote>
  <w:endnote w:id="51">
    <w:p w14:paraId="7291B3C4" w14:textId="52D1BFB0" w:rsidR="00FA329E" w:rsidRPr="00653379" w:rsidRDefault="00FA329E" w:rsidP="00A51250">
      <w:pPr>
        <w:spacing w:after="200" w:line="240" w:lineRule="auto"/>
        <w:rPr>
          <w:rFonts w:eastAsia="Times New Roman" w:cs="Arial"/>
          <w:szCs w:val="24"/>
        </w:rPr>
      </w:pPr>
      <w:r w:rsidRPr="00653379">
        <w:rPr>
          <w:rStyle w:val="EndnoteReference"/>
          <w:rFonts w:cs="Arial"/>
          <w:szCs w:val="24"/>
        </w:rPr>
        <w:endnoteRef/>
      </w:r>
      <w:r w:rsidRPr="00653379">
        <w:rPr>
          <w:rFonts w:cs="Arial"/>
          <w:szCs w:val="24"/>
        </w:rPr>
        <w:t xml:space="preserve"> </w:t>
      </w:r>
      <w:r w:rsidRPr="00653379">
        <w:rPr>
          <w:rFonts w:eastAsia="Times New Roman" w:cs="Arial"/>
          <w:szCs w:val="24"/>
        </w:rPr>
        <w:t xml:space="preserve">J. Bershadsky and R. L. Kane, “Place of Residence Affects Routine Dental Care in the Intellectually and Developmentally Disabled Adult Population on Medicaid,” </w:t>
      </w:r>
      <w:r w:rsidRPr="00653379">
        <w:rPr>
          <w:rFonts w:eastAsia="Times New Roman" w:cs="Arial"/>
          <w:i/>
          <w:iCs/>
          <w:szCs w:val="24"/>
        </w:rPr>
        <w:t>Health Services Research</w:t>
      </w:r>
      <w:r w:rsidRPr="00653379">
        <w:rPr>
          <w:rFonts w:eastAsia="Times New Roman" w:cs="Arial"/>
          <w:szCs w:val="24"/>
        </w:rPr>
        <w:t xml:space="preserve"> 45, no. 5 (2010): 1376–89, </w:t>
      </w:r>
      <w:hyperlink r:id="rId37" w:tooltip="https://onlinelibrary.wiley.com/doi/abs/10.1111/j.1475-6773.2010.01131.x" w:history="1">
        <w:r w:rsidRPr="00E77F0E">
          <w:rPr>
            <w:rStyle w:val="Hyperlink"/>
            <w:rFonts w:eastAsia="Times New Roman" w:cs="Arial"/>
            <w:color w:val="0000FF"/>
            <w:szCs w:val="24"/>
            <w:u w:color="0000FF"/>
          </w:rPr>
          <w:t>https://onlinelibrary.wiley.com/doi/abs/10.1111/j.1475-6773.2010.01131.x</w:t>
        </w:r>
      </w:hyperlink>
      <w:r w:rsidRPr="00653379">
        <w:rPr>
          <w:rFonts w:eastAsia="Times New Roman" w:cs="Arial"/>
          <w:szCs w:val="24"/>
        </w:rPr>
        <w:t>.</w:t>
      </w:r>
    </w:p>
  </w:endnote>
  <w:endnote w:id="52">
    <w:p w14:paraId="5AAA6A73" w14:textId="4E1CEA1F" w:rsidR="00FA329E" w:rsidRPr="00653379" w:rsidRDefault="00FA329E" w:rsidP="00A51250">
      <w:pPr>
        <w:pStyle w:val="NormalWeb"/>
        <w:spacing w:before="0" w:beforeAutospacing="0" w:after="200" w:afterAutospacing="0"/>
        <w:rPr>
          <w:rFonts w:ascii="Arial" w:hAnsi="Arial" w:cs="Arial"/>
        </w:rPr>
      </w:pPr>
      <w:r w:rsidRPr="00653379">
        <w:rPr>
          <w:rStyle w:val="EndnoteReference"/>
          <w:rFonts w:ascii="Arial" w:eastAsiaTheme="minorEastAsia" w:hAnsi="Arial" w:cs="Arial"/>
        </w:rPr>
        <w:endnoteRef/>
      </w:r>
      <w:r w:rsidRPr="00653379">
        <w:rPr>
          <w:rFonts w:ascii="Arial" w:hAnsi="Arial" w:cs="Arial"/>
        </w:rPr>
        <w:t xml:space="preserve"> J.M. Chalmers, R.A. Kuthy, E.T. Momany, D.L. Chi, R.A. Bacon, S.D. Lindgren, N.M. Askelson, and P.C. Damiano, “Dental Utilization by Adult Medicaid Enrollees Who Have Indicators of Intellectual and Developmental Disabilities (IDD),” </w:t>
      </w:r>
      <w:r w:rsidRPr="00653379">
        <w:rPr>
          <w:rFonts w:ascii="Arial" w:hAnsi="Arial" w:cs="Arial"/>
          <w:i/>
          <w:iCs/>
        </w:rPr>
        <w:t>Special Care in Dentistry</w:t>
      </w:r>
      <w:r w:rsidRPr="00653379">
        <w:rPr>
          <w:rFonts w:ascii="Arial" w:hAnsi="Arial" w:cs="Arial"/>
        </w:rPr>
        <w:t xml:space="preserve"> 31, no. 1 (2010): 18–26.</w:t>
      </w:r>
    </w:p>
  </w:endnote>
  <w:endnote w:id="53">
    <w:p w14:paraId="56C2AE8B" w14:textId="777B7DAD" w:rsidR="00FA329E" w:rsidRPr="00653379" w:rsidRDefault="00FA329E" w:rsidP="00A51250">
      <w:pPr>
        <w:spacing w:after="200" w:line="240" w:lineRule="auto"/>
        <w:rPr>
          <w:rFonts w:cs="Arial"/>
          <w:szCs w:val="24"/>
        </w:rPr>
      </w:pPr>
      <w:r w:rsidRPr="00653379">
        <w:rPr>
          <w:rStyle w:val="EndnoteReference"/>
          <w:rFonts w:cs="Arial"/>
          <w:szCs w:val="24"/>
        </w:rPr>
        <w:endnoteRef/>
      </w:r>
      <w:r w:rsidRPr="00653379">
        <w:rPr>
          <w:rFonts w:eastAsia="Arial" w:cs="Arial"/>
          <w:szCs w:val="24"/>
        </w:rPr>
        <w:t xml:space="preserve"> </w:t>
      </w:r>
      <w:r w:rsidRPr="00653379">
        <w:rPr>
          <w:rFonts w:cs="Arial"/>
          <w:szCs w:val="24"/>
        </w:rPr>
        <w:t xml:space="preserve">U.S. Department of Health and Human Services, National Institutes of Health, National Institute of Dental and Craniofacial Research (NIDCR), </w:t>
      </w:r>
      <w:r w:rsidRPr="00653379">
        <w:rPr>
          <w:rFonts w:cs="Arial"/>
          <w:i/>
          <w:iCs/>
          <w:szCs w:val="24"/>
        </w:rPr>
        <w:t>Oral Health in America: A Report of the Surgeon General</w:t>
      </w:r>
      <w:r w:rsidRPr="00653379">
        <w:rPr>
          <w:rFonts w:cs="Arial"/>
          <w:szCs w:val="24"/>
        </w:rPr>
        <w:t xml:space="preserve"> (Rockville, MD: U.S. Department of Health and Human Services, 2000), </w:t>
      </w:r>
      <w:hyperlink r:id="rId38" w:history="1">
        <w:r w:rsidRPr="00E77F0E">
          <w:rPr>
            <w:rStyle w:val="Hyperlink"/>
            <w:rFonts w:cs="Arial"/>
            <w:color w:val="0000FF"/>
            <w:szCs w:val="24"/>
            <w:u w:color="0000FF"/>
          </w:rPr>
          <w:t>https://www.nidcr.nih.gov/sites/default/files/2017-10/hck1ocv.%40www.surgeon.fullrpt.pdf</w:t>
        </w:r>
      </w:hyperlink>
      <w:r w:rsidRPr="00653379">
        <w:rPr>
          <w:rFonts w:cs="Arial"/>
          <w:szCs w:val="24"/>
        </w:rPr>
        <w:t>.</w:t>
      </w:r>
    </w:p>
  </w:endnote>
  <w:endnote w:id="54">
    <w:p w14:paraId="05AEF280" w14:textId="5D37E3D9" w:rsidR="00FA329E" w:rsidRPr="00653379" w:rsidRDefault="00FA329E" w:rsidP="00A51250">
      <w:pPr>
        <w:spacing w:after="200" w:line="240" w:lineRule="auto"/>
        <w:rPr>
          <w:rFonts w:cs="Arial"/>
          <w:szCs w:val="24"/>
        </w:rPr>
      </w:pPr>
      <w:r w:rsidRPr="00653379">
        <w:rPr>
          <w:rStyle w:val="EndnoteReference"/>
          <w:rFonts w:cs="Arial"/>
          <w:szCs w:val="24"/>
        </w:rPr>
        <w:endnoteRef/>
      </w:r>
      <w:r w:rsidRPr="00653379">
        <w:rPr>
          <w:rFonts w:eastAsia="Arial" w:cs="Arial"/>
          <w:szCs w:val="24"/>
        </w:rPr>
        <w:t xml:space="preserve"> </w:t>
      </w:r>
      <w:r w:rsidRPr="00653379">
        <w:rPr>
          <w:rFonts w:cs="Arial"/>
          <w:szCs w:val="24"/>
        </w:rPr>
        <w:t xml:space="preserve">National Academy for State Health Policy, </w:t>
      </w:r>
      <w:r w:rsidRPr="00653379">
        <w:rPr>
          <w:rFonts w:cs="Arial"/>
          <w:i/>
          <w:iCs/>
          <w:szCs w:val="24"/>
        </w:rPr>
        <w:t>State Medicaid Coverage of Dental Services for the General Adult and Pregnant Populations</w:t>
      </w:r>
      <w:r w:rsidRPr="00653379">
        <w:rPr>
          <w:rFonts w:cs="Arial"/>
          <w:szCs w:val="24"/>
        </w:rPr>
        <w:t xml:space="preserve">, accessed September 22, 2021, </w:t>
      </w:r>
      <w:hyperlink r:id="rId39" w:tooltip="https://www.nashp.org/state-medicaid-coverage-of-dental-services-for-general-adult-and-pregnant-populations/" w:history="1">
        <w:r w:rsidRPr="00E77F0E">
          <w:rPr>
            <w:rStyle w:val="Hyperlink"/>
            <w:rFonts w:cs="Arial"/>
            <w:color w:val="0000FF"/>
            <w:szCs w:val="24"/>
            <w:u w:color="0000FF"/>
          </w:rPr>
          <w:t>https://www.nashp.org/state-medicaid-coverage-of-dental-services-for-general-adult-and-pregnant-populations/</w:t>
        </w:r>
      </w:hyperlink>
      <w:r w:rsidRPr="00653379">
        <w:rPr>
          <w:rFonts w:cs="Arial"/>
          <w:szCs w:val="24"/>
        </w:rPr>
        <w:t>.</w:t>
      </w:r>
    </w:p>
  </w:endnote>
  <w:endnote w:id="55">
    <w:p w14:paraId="2399D079" w14:textId="1A93948C" w:rsidR="00FA329E" w:rsidRPr="00653379" w:rsidRDefault="00FA329E" w:rsidP="00A51250">
      <w:pPr>
        <w:spacing w:after="200" w:line="240" w:lineRule="auto"/>
        <w:rPr>
          <w:rFonts w:cs="Arial"/>
          <w:szCs w:val="24"/>
        </w:rPr>
      </w:pPr>
      <w:r w:rsidRPr="00653379">
        <w:rPr>
          <w:rStyle w:val="EndnoteReference"/>
          <w:rFonts w:cs="Arial"/>
          <w:szCs w:val="24"/>
        </w:rPr>
        <w:endnoteRef/>
      </w:r>
      <w:r w:rsidRPr="00653379">
        <w:rPr>
          <w:rFonts w:eastAsia="Arial" w:cs="Arial"/>
          <w:szCs w:val="24"/>
        </w:rPr>
        <w:t xml:space="preserve"> </w:t>
      </w:r>
      <w:r w:rsidRPr="00653379">
        <w:rPr>
          <w:rFonts w:cs="Arial"/>
          <w:i/>
          <w:iCs/>
          <w:szCs w:val="24"/>
        </w:rPr>
        <w:t>Healthy Mouths: Why They Matter for Adults and State Budgets</w:t>
      </w:r>
      <w:r w:rsidRPr="00653379">
        <w:rPr>
          <w:rFonts w:cs="Arial"/>
          <w:szCs w:val="24"/>
        </w:rPr>
        <w:t xml:space="preserve"> (Boston: CareQuest Institute for Oral Health, 2020), </w:t>
      </w:r>
      <w:hyperlink r:id="rId40" w:tooltip="https://www.carequest.org/system/files/CareQuest-Institute-Health-Mouths-Why-They-Matter-for-Adults-and-State-Budgets-Brief.pdf" w:history="1">
        <w:r w:rsidRPr="00E77F0E">
          <w:rPr>
            <w:rStyle w:val="Hyperlink"/>
            <w:rFonts w:cs="Arial"/>
            <w:color w:val="0000FF"/>
            <w:szCs w:val="24"/>
            <w:u w:color="0000FF"/>
          </w:rPr>
          <w:t>https://www.carequest.org/system/files/CareQuest-Institute-Health-Mouths-Why-They-Matter-for-Adults-and-State-Budgets-Brief.pdf</w:t>
        </w:r>
      </w:hyperlink>
      <w:r w:rsidRPr="00653379">
        <w:rPr>
          <w:rFonts w:cs="Arial"/>
          <w:szCs w:val="24"/>
        </w:rPr>
        <w:t>.</w:t>
      </w:r>
    </w:p>
  </w:endnote>
  <w:endnote w:id="56">
    <w:p w14:paraId="5EDF7FBB" w14:textId="046F78F6" w:rsidR="00FA329E" w:rsidRPr="00653379" w:rsidRDefault="00FA329E" w:rsidP="00A51250">
      <w:pPr>
        <w:pStyle w:val="NormalWeb"/>
        <w:spacing w:before="0" w:beforeAutospacing="0" w:after="200" w:afterAutospacing="0"/>
        <w:rPr>
          <w:rFonts w:ascii="Arial" w:hAnsi="Arial" w:cs="Arial"/>
        </w:rPr>
      </w:pPr>
      <w:r w:rsidRPr="00653379">
        <w:rPr>
          <w:rStyle w:val="EndnoteReference"/>
          <w:rFonts w:ascii="Arial" w:eastAsiaTheme="minorEastAsia" w:hAnsi="Arial" w:cs="Arial"/>
        </w:rPr>
        <w:endnoteRef/>
      </w:r>
      <w:r w:rsidRPr="00653379">
        <w:rPr>
          <w:rFonts w:ascii="Arial" w:eastAsia="Arial" w:hAnsi="Arial" w:cs="Arial"/>
        </w:rPr>
        <w:t xml:space="preserve"> </w:t>
      </w:r>
      <w:r w:rsidRPr="00653379">
        <w:rPr>
          <w:rFonts w:ascii="Arial" w:hAnsi="Arial" w:cs="Arial"/>
        </w:rPr>
        <w:t xml:space="preserve">U.S. Department of Health and Human Services, Office of Inspector General, </w:t>
      </w:r>
      <w:r w:rsidRPr="00653379">
        <w:rPr>
          <w:rFonts w:ascii="Arial" w:hAnsi="Arial" w:cs="Arial"/>
          <w:i/>
          <w:iCs/>
        </w:rPr>
        <w:t>Data on Medicaid Managed Care Payments to Providers Are Incomplete and Inaccurate</w:t>
      </w:r>
      <w:r w:rsidRPr="00653379">
        <w:rPr>
          <w:rFonts w:ascii="Arial" w:hAnsi="Arial" w:cs="Arial"/>
        </w:rPr>
        <w:t xml:space="preserve"> (Washington, DC: U.S. Department of Health and Human Services, March 2021), </w:t>
      </w:r>
      <w:hyperlink r:id="rId41" w:tooltip="https://oig.hhs.gov/oei/reports/OEI-02-19-00180.pdf" w:history="1">
        <w:r w:rsidRPr="00E77F0E">
          <w:rPr>
            <w:rStyle w:val="Hyperlink"/>
            <w:rFonts w:ascii="Arial" w:eastAsiaTheme="majorEastAsia" w:hAnsi="Arial" w:cs="Arial"/>
            <w:color w:val="0000FF"/>
            <w:u w:color="0000FF"/>
          </w:rPr>
          <w:t>https://oig.hhs.gov/oei/reports/OEI-02-19-00180.pdf</w:t>
        </w:r>
      </w:hyperlink>
      <w:r w:rsidRPr="00653379">
        <w:rPr>
          <w:rFonts w:ascii="Arial" w:hAnsi="Arial" w:cs="Arial"/>
        </w:rPr>
        <w:t xml:space="preserve">. </w:t>
      </w:r>
    </w:p>
  </w:endnote>
  <w:endnote w:id="57">
    <w:p w14:paraId="3F34179A" w14:textId="77777777" w:rsidR="00FA329E" w:rsidRPr="00653379" w:rsidRDefault="00FA329E" w:rsidP="00A51250">
      <w:pPr>
        <w:spacing w:after="200" w:line="240" w:lineRule="auto"/>
        <w:rPr>
          <w:rFonts w:eastAsia="Arial" w:cs="Arial"/>
          <w:szCs w:val="24"/>
        </w:rPr>
      </w:pPr>
      <w:r w:rsidRPr="00653379">
        <w:rPr>
          <w:rStyle w:val="EndnoteReference"/>
          <w:rFonts w:cs="Arial"/>
          <w:szCs w:val="24"/>
        </w:rPr>
        <w:endnoteRef/>
      </w:r>
      <w:r w:rsidRPr="00653379">
        <w:rPr>
          <w:rFonts w:eastAsia="Arial" w:cs="Arial"/>
          <w:szCs w:val="24"/>
        </w:rPr>
        <w:t xml:space="preserve"> CMS provided documentation to the project team indicating that the T-MSIS dataset included forty-five million adults in 2018, which represents the number of adults who received Medicaid in 2018. Appendix E provides the sample information by state.</w:t>
      </w:r>
    </w:p>
  </w:endnote>
  <w:endnote w:id="58">
    <w:p w14:paraId="4C7A53A6" w14:textId="668AB2B2" w:rsidR="00FA329E" w:rsidRPr="00653379" w:rsidRDefault="00FA329E" w:rsidP="00A51250">
      <w:pPr>
        <w:pStyle w:val="NormalWeb"/>
        <w:spacing w:before="0" w:beforeAutospacing="0" w:after="200" w:afterAutospacing="0"/>
        <w:rPr>
          <w:rFonts w:ascii="Arial" w:hAnsi="Arial" w:cs="Arial"/>
        </w:rPr>
      </w:pPr>
      <w:r w:rsidRPr="00653379">
        <w:rPr>
          <w:rStyle w:val="EndnoteReference"/>
          <w:rFonts w:ascii="Arial" w:eastAsiaTheme="minorEastAsia" w:hAnsi="Arial" w:cs="Arial"/>
        </w:rPr>
        <w:endnoteRef/>
      </w:r>
      <w:r w:rsidRPr="00653379">
        <w:rPr>
          <w:rFonts w:ascii="Arial" w:eastAsia="Arial" w:hAnsi="Arial" w:cs="Arial"/>
        </w:rPr>
        <w:t xml:space="preserve"> </w:t>
      </w:r>
      <w:r w:rsidRPr="00653379">
        <w:rPr>
          <w:rFonts w:ascii="Arial" w:hAnsi="Arial" w:cs="Arial"/>
        </w:rPr>
        <w:t xml:space="preserve">Action for Dental Health Act of 2018, H.R. 2422, 115th Cong. (2018), </w:t>
      </w:r>
      <w:hyperlink r:id="rId42" w:tooltip="https://www.govtrack.us/congress/bills/115/hr2422/summary" w:history="1">
        <w:r w:rsidRPr="00E77F0E">
          <w:rPr>
            <w:rStyle w:val="Hyperlink"/>
            <w:rFonts w:ascii="Arial" w:eastAsiaTheme="majorEastAsia" w:hAnsi="Arial" w:cs="Arial"/>
            <w:color w:val="0000FF"/>
            <w:u w:color="0000FF"/>
          </w:rPr>
          <w:t>https://www.govtrack.us/congress/bills/115/hr2422/summary</w:t>
        </w:r>
      </w:hyperlink>
      <w:r w:rsidRPr="00653379">
        <w:rPr>
          <w:rFonts w:ascii="Arial" w:hAnsi="Arial" w:cs="Arial"/>
        </w:rPr>
        <w:t>.</w:t>
      </w:r>
    </w:p>
  </w:endnote>
  <w:endnote w:id="59">
    <w:p w14:paraId="0BE7E5F1" w14:textId="4F6F0388" w:rsidR="00FA329E" w:rsidRPr="00653379" w:rsidRDefault="00FA329E" w:rsidP="00A51250">
      <w:pPr>
        <w:spacing w:after="200" w:line="240" w:lineRule="auto"/>
        <w:rPr>
          <w:rFonts w:cs="Arial"/>
          <w:szCs w:val="24"/>
        </w:rPr>
      </w:pPr>
      <w:r w:rsidRPr="00653379">
        <w:rPr>
          <w:rStyle w:val="EndnoteReference"/>
          <w:rFonts w:cs="Arial"/>
          <w:szCs w:val="24"/>
        </w:rPr>
        <w:endnoteRef/>
      </w:r>
      <w:r w:rsidRPr="00653379">
        <w:rPr>
          <w:rFonts w:eastAsia="Arial" w:cs="Arial"/>
          <w:szCs w:val="24"/>
        </w:rPr>
        <w:t xml:space="preserve"> </w:t>
      </w:r>
      <w:r w:rsidRPr="00653379">
        <w:rPr>
          <w:rFonts w:cs="Arial"/>
          <w:szCs w:val="24"/>
        </w:rPr>
        <w:t xml:space="preserve">Action for Dental Health Act of 2018, H.R. 2422, 115th Cong. (2018), </w:t>
      </w:r>
      <w:hyperlink r:id="rId43" w:tooltip="https://www.govtrack.us/congress/bills/115/hr2422/summary" w:history="1">
        <w:r w:rsidRPr="00E77F0E">
          <w:rPr>
            <w:rStyle w:val="Hyperlink"/>
            <w:rFonts w:cs="Arial"/>
            <w:color w:val="0000FF"/>
            <w:szCs w:val="24"/>
            <w:u w:color="0000FF"/>
          </w:rPr>
          <w:t>https://www.govtrack.us/congress/bills/115/hr2422/summary</w:t>
        </w:r>
      </w:hyperlink>
      <w:r w:rsidRPr="00653379">
        <w:rPr>
          <w:rFonts w:cs="Arial"/>
          <w:szCs w:val="24"/>
        </w:rPr>
        <w:t>.</w:t>
      </w:r>
    </w:p>
  </w:endnote>
  <w:endnote w:id="60">
    <w:p w14:paraId="5A6D11D6" w14:textId="1A29088C" w:rsidR="00FA329E" w:rsidRPr="00653379" w:rsidRDefault="00FA329E" w:rsidP="00A51250">
      <w:pPr>
        <w:spacing w:after="200" w:line="240" w:lineRule="auto"/>
        <w:rPr>
          <w:rFonts w:eastAsia="Times New Roman" w:cs="Arial"/>
          <w:szCs w:val="24"/>
        </w:rPr>
      </w:pPr>
      <w:r w:rsidRPr="00653379">
        <w:rPr>
          <w:rStyle w:val="EndnoteReference"/>
          <w:rFonts w:cs="Arial"/>
          <w:szCs w:val="24"/>
        </w:rPr>
        <w:endnoteRef/>
      </w:r>
      <w:r w:rsidRPr="00653379">
        <w:rPr>
          <w:rFonts w:cs="Arial"/>
          <w:szCs w:val="24"/>
        </w:rPr>
        <w:t xml:space="preserve"> </w:t>
      </w:r>
      <w:r w:rsidRPr="00653379">
        <w:rPr>
          <w:rFonts w:eastAsia="Times New Roman" w:cs="Arial"/>
          <w:szCs w:val="24"/>
        </w:rPr>
        <w:t xml:space="preserve">Initiatives to reduce ED visits for dental visits include multiple approaches to redirecting patients from the ED to dental offices. These include expanding access to care in dental offices and connecting EDs to dental offices. For more information, see Richard Hermann, “Action for Dental Health: Dentists Making a Difference,” </w:t>
      </w:r>
      <w:r w:rsidRPr="00653379">
        <w:rPr>
          <w:rFonts w:eastAsia="Times New Roman" w:cs="Arial"/>
          <w:i/>
          <w:iCs/>
          <w:szCs w:val="24"/>
        </w:rPr>
        <w:t xml:space="preserve">New York State Dental Journal </w:t>
      </w:r>
      <w:r w:rsidRPr="00653379">
        <w:rPr>
          <w:rFonts w:eastAsia="Times New Roman" w:cs="Arial"/>
          <w:szCs w:val="24"/>
        </w:rPr>
        <w:t>85, no. 2 (2019).</w:t>
      </w:r>
    </w:p>
  </w:endnote>
  <w:endnote w:id="61">
    <w:p w14:paraId="25521CEE" w14:textId="6999BFEC" w:rsidR="00FA329E" w:rsidRPr="00653379" w:rsidRDefault="00FA329E" w:rsidP="00A51250">
      <w:pPr>
        <w:spacing w:after="200" w:line="240" w:lineRule="auto"/>
        <w:rPr>
          <w:rFonts w:cs="Arial"/>
          <w:szCs w:val="24"/>
        </w:rPr>
      </w:pPr>
      <w:r w:rsidRPr="00653379">
        <w:rPr>
          <w:rStyle w:val="EndnoteReference"/>
          <w:rFonts w:cs="Arial"/>
          <w:szCs w:val="24"/>
        </w:rPr>
        <w:endnoteRef/>
      </w:r>
      <w:r w:rsidRPr="00653379">
        <w:rPr>
          <w:rFonts w:eastAsia="Arial" w:cs="Arial"/>
          <w:szCs w:val="24"/>
        </w:rPr>
        <w:t xml:space="preserve"> </w:t>
      </w:r>
      <w:r w:rsidRPr="00653379">
        <w:rPr>
          <w:rFonts w:cs="Arial"/>
          <w:szCs w:val="24"/>
        </w:rPr>
        <w:t xml:space="preserve">For more information, see Richard Hermann, “Action for Dental Health: Dentists Making a Difference,” New York State Dental Journal 85, no. 2 (2019). </w:t>
      </w:r>
      <w:hyperlink r:id="rId44" w:tooltip="https://www.proquest.com/openview/ca2f5a438b667ce690dbc78e8790083d/1?pq-origsite=gscholar&amp;cbl=41679" w:history="1">
        <w:r w:rsidRPr="00CF21AD">
          <w:rPr>
            <w:rStyle w:val="Hyperlink"/>
            <w:rFonts w:cs="Arial"/>
            <w:szCs w:val="24"/>
          </w:rPr>
          <w:t>https://www.proquest.com/openview/ca2f5a438b667ce690dbc78e8790083d/1?pq-origsite=gscholar&amp;cbl=41679</w:t>
        </w:r>
      </w:hyperlink>
      <w:r w:rsidRPr="00653379">
        <w:rPr>
          <w:rFonts w:cs="Arial"/>
          <w:szCs w:val="24"/>
        </w:rPr>
        <w:t xml:space="preserve">. </w:t>
      </w:r>
    </w:p>
  </w:endnote>
  <w:endnote w:id="62">
    <w:p w14:paraId="5A2C964C" w14:textId="28B00D21" w:rsidR="00FA329E" w:rsidRPr="00653379" w:rsidRDefault="00FA329E" w:rsidP="00A51250">
      <w:pPr>
        <w:spacing w:after="200" w:line="240" w:lineRule="auto"/>
        <w:rPr>
          <w:rFonts w:cs="Arial"/>
          <w:szCs w:val="24"/>
        </w:rPr>
      </w:pPr>
      <w:r w:rsidRPr="00653379">
        <w:rPr>
          <w:rStyle w:val="EndnoteReference"/>
          <w:rFonts w:cs="Arial"/>
          <w:szCs w:val="24"/>
        </w:rPr>
        <w:endnoteRef/>
      </w:r>
      <w:r w:rsidRPr="00653379">
        <w:rPr>
          <w:rFonts w:eastAsia="Arial" w:cs="Arial"/>
          <w:szCs w:val="24"/>
        </w:rPr>
        <w:t xml:space="preserve"> </w:t>
      </w:r>
      <w:r w:rsidRPr="00653379">
        <w:rPr>
          <w:rFonts w:cs="Arial"/>
          <w:szCs w:val="24"/>
        </w:rPr>
        <w:t xml:space="preserve">J. Garvin, </w:t>
      </w:r>
      <w:r w:rsidRPr="00653379">
        <w:rPr>
          <w:rFonts w:cs="Arial"/>
          <w:i/>
          <w:iCs/>
          <w:szCs w:val="24"/>
        </w:rPr>
        <w:t>Action for Dental Health Act Is Now Law</w:t>
      </w:r>
      <w:r w:rsidRPr="00653379">
        <w:rPr>
          <w:rFonts w:cs="Arial"/>
          <w:szCs w:val="24"/>
        </w:rPr>
        <w:t xml:space="preserve"> (Chicago: American Dental Association, 2018), </w:t>
      </w:r>
      <w:hyperlink r:id="rId45" w:tooltip="https://www.wsda.org/news/blog/2018/12/12/action-for-dental-health-act-is-now-law" w:history="1">
        <w:r w:rsidRPr="00CF21AD">
          <w:rPr>
            <w:rStyle w:val="Hyperlink"/>
            <w:rFonts w:cs="Arial"/>
            <w:szCs w:val="24"/>
          </w:rPr>
          <w:t>https://www.wsda.org/news/blog/2018/12/12/action-for-dental-health-act-is-now-law</w:t>
        </w:r>
      </w:hyperlink>
      <w:r w:rsidRPr="00653379">
        <w:rPr>
          <w:rFonts w:cs="Arial"/>
          <w:szCs w:val="24"/>
        </w:rPr>
        <w:t>.</w:t>
      </w:r>
    </w:p>
  </w:endnote>
  <w:endnote w:id="63">
    <w:p w14:paraId="7B8ED884" w14:textId="5C9B0F38" w:rsidR="00FA329E" w:rsidRPr="00653379" w:rsidRDefault="00FA329E" w:rsidP="00A51250">
      <w:pPr>
        <w:spacing w:after="200" w:line="240" w:lineRule="auto"/>
        <w:rPr>
          <w:rFonts w:cs="Arial"/>
          <w:szCs w:val="24"/>
        </w:rPr>
      </w:pPr>
      <w:r w:rsidRPr="00653379">
        <w:rPr>
          <w:rStyle w:val="EndnoteReference"/>
          <w:rFonts w:cs="Arial"/>
          <w:szCs w:val="24"/>
        </w:rPr>
        <w:endnoteRef/>
      </w:r>
      <w:r w:rsidRPr="00653379">
        <w:rPr>
          <w:rFonts w:eastAsia="Arial" w:cs="Arial"/>
          <w:szCs w:val="24"/>
        </w:rPr>
        <w:t xml:space="preserve"> </w:t>
      </w:r>
      <w:r w:rsidRPr="00653379">
        <w:rPr>
          <w:rFonts w:cs="Arial"/>
          <w:szCs w:val="24"/>
        </w:rPr>
        <w:t xml:space="preserve">PR Newswire, “NCD Commends ADA Code of Professional Conduct Revisions Facilitating Access for Patients with Disabilities,” 2019, accessed January 5, 2021. </w:t>
      </w:r>
      <w:hyperlink r:id="rId46" w:tooltip="https://www.prnewswire.com/news-releases/ncd-commends-ada-code-of-professional-conduct-revisions-facilitating-access-for-patients-with-disabilities-300780404.html" w:history="1">
        <w:r w:rsidRPr="00CF21AD">
          <w:rPr>
            <w:rStyle w:val="Hyperlink"/>
            <w:rFonts w:cs="Arial"/>
            <w:szCs w:val="24"/>
          </w:rPr>
          <w:t>https://www.prnewswire.com/news-releases/ncd-commends-ada-code-of-professional-conduct-revisions-facilitating-access-for-patients-with-disabilities-300780404.html</w:t>
        </w:r>
      </w:hyperlink>
      <w:r w:rsidRPr="00653379">
        <w:rPr>
          <w:rFonts w:cs="Arial"/>
          <w:szCs w:val="24"/>
        </w:rPr>
        <w:t xml:space="preserve">. </w:t>
      </w:r>
    </w:p>
  </w:endnote>
  <w:endnote w:id="64">
    <w:p w14:paraId="32154A46" w14:textId="3B1DD0E8" w:rsidR="00FA329E" w:rsidRPr="00653379" w:rsidRDefault="00FA329E" w:rsidP="00A51250">
      <w:pPr>
        <w:spacing w:after="200" w:line="240" w:lineRule="auto"/>
        <w:rPr>
          <w:rFonts w:cs="Arial"/>
          <w:szCs w:val="24"/>
        </w:rPr>
      </w:pPr>
      <w:r w:rsidRPr="00653379">
        <w:rPr>
          <w:rStyle w:val="EndnoteReference"/>
          <w:rFonts w:cs="Arial"/>
          <w:szCs w:val="24"/>
        </w:rPr>
        <w:endnoteRef/>
      </w:r>
      <w:r w:rsidRPr="00653379">
        <w:rPr>
          <w:rFonts w:eastAsia="Arial" w:cs="Arial"/>
          <w:szCs w:val="24"/>
        </w:rPr>
        <w:t xml:space="preserve"> </w:t>
      </w:r>
      <w:r w:rsidRPr="00653379">
        <w:rPr>
          <w:rFonts w:cs="Arial"/>
          <w:szCs w:val="24"/>
        </w:rPr>
        <w:t xml:space="preserve">Current Accreditation Standards (Chicago: Commission on Dental Accreditation, 2019), </w:t>
      </w:r>
      <w:hyperlink r:id="rId47" w:tooltip="https://coda.ada.org/en/current-accreditation-standards" w:history="1">
        <w:r w:rsidRPr="00CF21AD">
          <w:rPr>
            <w:rStyle w:val="Hyperlink"/>
            <w:rFonts w:cs="Arial"/>
            <w:szCs w:val="24"/>
          </w:rPr>
          <w:t>https://coda.ada.org/en/current-accreditation-standards</w:t>
        </w:r>
      </w:hyperlink>
      <w:r w:rsidRPr="00653379">
        <w:rPr>
          <w:rFonts w:cs="Arial"/>
          <w:szCs w:val="24"/>
        </w:rPr>
        <w:t xml:space="preserve">. </w:t>
      </w:r>
    </w:p>
  </w:endnote>
  <w:endnote w:id="65">
    <w:p w14:paraId="75CF1EBE" w14:textId="6FA38C0C" w:rsidR="00FA329E" w:rsidRPr="00653379" w:rsidRDefault="00FA329E" w:rsidP="00A51250">
      <w:pPr>
        <w:spacing w:after="200" w:line="240" w:lineRule="auto"/>
        <w:rPr>
          <w:rFonts w:cs="Arial"/>
          <w:szCs w:val="24"/>
        </w:rPr>
      </w:pPr>
      <w:r w:rsidRPr="00653379">
        <w:rPr>
          <w:rStyle w:val="EndnoteReference"/>
          <w:rFonts w:cs="Arial"/>
          <w:szCs w:val="24"/>
        </w:rPr>
        <w:endnoteRef/>
      </w:r>
      <w:r w:rsidRPr="00653379">
        <w:rPr>
          <w:rFonts w:eastAsia="Arial" w:cs="Arial"/>
          <w:szCs w:val="24"/>
        </w:rPr>
        <w:t xml:space="preserve"> </w:t>
      </w:r>
      <w:r w:rsidRPr="00653379">
        <w:rPr>
          <w:rFonts w:cs="Arial"/>
          <w:szCs w:val="24"/>
        </w:rPr>
        <w:t xml:space="preserve">American Dental Association, </w:t>
      </w:r>
      <w:r w:rsidRPr="00653379">
        <w:rPr>
          <w:rFonts w:cs="Arial"/>
          <w:i/>
          <w:iCs/>
          <w:szCs w:val="24"/>
        </w:rPr>
        <w:t>Code on Dental Procedures and Nomenclature (CDT Code)</w:t>
      </w:r>
      <w:r w:rsidRPr="00653379">
        <w:rPr>
          <w:rFonts w:cs="Arial"/>
          <w:szCs w:val="24"/>
        </w:rPr>
        <w:t xml:space="preserve">, accessed September 29, 2021, </w:t>
      </w:r>
      <w:hyperlink r:id="rId48" w:anchor=":~:text=The%20purpose%20of%20the%20CDT,populate%20an%20Electronic%20Health%20Record" w:history="1">
        <w:r w:rsidRPr="00E77F0E">
          <w:rPr>
            <w:rStyle w:val="Hyperlink"/>
            <w:rFonts w:cs="Arial"/>
            <w:color w:val="0000FF"/>
            <w:szCs w:val="24"/>
            <w:u w:color="0000FF"/>
          </w:rPr>
          <w:t>https://www.ada.org/en/publications/cdt#:~:text=The%20purpose%20of%20the%20CDT,populate%20an%20Electronic%20Health%20Record</w:t>
        </w:r>
      </w:hyperlink>
      <w:r w:rsidRPr="00653379">
        <w:rPr>
          <w:rFonts w:cs="Arial"/>
          <w:szCs w:val="24"/>
        </w:rPr>
        <w:t xml:space="preserve">. </w:t>
      </w:r>
    </w:p>
  </w:endnote>
  <w:endnote w:id="66">
    <w:p w14:paraId="25DB4B86" w14:textId="36E27234" w:rsidR="00FA329E" w:rsidRPr="00653379" w:rsidRDefault="00FA329E" w:rsidP="00A51250">
      <w:pPr>
        <w:spacing w:after="200" w:line="240" w:lineRule="auto"/>
        <w:rPr>
          <w:rFonts w:eastAsia="Times New Roman" w:cs="Arial"/>
          <w:szCs w:val="24"/>
        </w:rPr>
      </w:pPr>
      <w:r w:rsidRPr="00653379">
        <w:rPr>
          <w:rStyle w:val="EndnoteReference"/>
          <w:rFonts w:cs="Arial"/>
          <w:szCs w:val="24"/>
        </w:rPr>
        <w:endnoteRef/>
      </w:r>
      <w:r w:rsidRPr="00653379">
        <w:rPr>
          <w:rFonts w:eastAsia="Arial" w:cs="Arial"/>
          <w:szCs w:val="24"/>
        </w:rPr>
        <w:t xml:space="preserve"> </w:t>
      </w:r>
      <w:r w:rsidRPr="00653379">
        <w:rPr>
          <w:rFonts w:eastAsia="Times New Roman" w:cs="Arial"/>
          <w:szCs w:val="24"/>
        </w:rPr>
        <w:t xml:space="preserve">Gupta et al. </w:t>
      </w:r>
      <w:r w:rsidRPr="00653379">
        <w:rPr>
          <w:rFonts w:eastAsia="Times New Roman" w:cs="Arial"/>
          <w:i/>
          <w:iCs/>
          <w:szCs w:val="24"/>
        </w:rPr>
        <w:t>Medicaid Fee-for-Service Reimbursement</w:t>
      </w:r>
      <w:r w:rsidRPr="00653379">
        <w:rPr>
          <w:rFonts w:eastAsia="Times New Roman" w:cs="Arial"/>
          <w:szCs w:val="24"/>
        </w:rPr>
        <w:t>, 2017.</w:t>
      </w:r>
      <w:r w:rsidRPr="00653379">
        <w:rPr>
          <w:rFonts w:eastAsia="Arial" w:cs="Arial"/>
          <w:szCs w:val="24"/>
        </w:rPr>
        <w:t xml:space="preserve"> </w:t>
      </w:r>
    </w:p>
  </w:endnote>
  <w:endnote w:id="67">
    <w:p w14:paraId="68ED07C1" w14:textId="7680032D" w:rsidR="00FA329E" w:rsidRPr="00653379" w:rsidRDefault="00FA329E" w:rsidP="00A51250">
      <w:pPr>
        <w:pStyle w:val="NormalWeb"/>
        <w:spacing w:before="0" w:beforeAutospacing="0" w:after="200" w:afterAutospacing="0"/>
        <w:rPr>
          <w:rFonts w:ascii="Arial" w:hAnsi="Arial" w:cs="Arial"/>
        </w:rPr>
      </w:pPr>
      <w:r w:rsidRPr="00653379">
        <w:rPr>
          <w:rStyle w:val="EndnoteReference"/>
          <w:rFonts w:ascii="Arial" w:eastAsiaTheme="minorEastAsia" w:hAnsi="Arial" w:cs="Arial"/>
        </w:rPr>
        <w:endnoteRef/>
      </w:r>
      <w:r w:rsidRPr="00653379">
        <w:rPr>
          <w:rFonts w:ascii="Arial" w:hAnsi="Arial" w:cs="Arial"/>
        </w:rPr>
        <w:t xml:space="preserve"> </w:t>
      </w:r>
      <w:r w:rsidRPr="00653379">
        <w:rPr>
          <w:rFonts w:ascii="Arial" w:hAnsi="Arial" w:cs="Arial"/>
          <w:i/>
          <w:iCs/>
        </w:rPr>
        <w:t>Impact of Increased Dental Reimbursement Rates on Husky A-Insured Children</w:t>
      </w:r>
      <w:r w:rsidRPr="00653379">
        <w:rPr>
          <w:rFonts w:ascii="Arial" w:hAnsi="Arial" w:cs="Arial"/>
        </w:rPr>
        <w:t xml:space="preserve">, </w:t>
      </w:r>
      <w:r w:rsidRPr="00653379">
        <w:rPr>
          <w:rFonts w:ascii="Arial" w:hAnsi="Arial" w:cs="Arial"/>
          <w:i/>
          <w:iCs/>
        </w:rPr>
        <w:t>2006–2011</w:t>
      </w:r>
      <w:r w:rsidRPr="00653379">
        <w:rPr>
          <w:rFonts w:ascii="Arial" w:hAnsi="Arial" w:cs="Arial"/>
        </w:rPr>
        <w:t xml:space="preserve"> (Hartford: Connecticut Health Foundation, 2013), </w:t>
      </w:r>
      <w:hyperlink r:id="rId49" w:tooltip="https://www.cthealth.org/publication/impact-increased-dental-reimbursement-rates-husky-a-insured-children-2006-2011/" w:history="1">
        <w:r w:rsidRPr="00E77F0E">
          <w:rPr>
            <w:rStyle w:val="Hyperlink"/>
            <w:rFonts w:ascii="Arial" w:eastAsiaTheme="majorEastAsia" w:hAnsi="Arial" w:cs="Arial"/>
            <w:color w:val="0000FF"/>
            <w:u w:color="0000FF"/>
          </w:rPr>
          <w:t>https://www.cthealth.org/publication/impact-increased-dental-reimbursement-rates-husky-a-insured-children-2006-2011/</w:t>
        </w:r>
      </w:hyperlink>
      <w:r w:rsidRPr="00653379">
        <w:rPr>
          <w:rFonts w:ascii="Arial" w:hAnsi="Arial" w:cs="Arial"/>
        </w:rPr>
        <w:t>.</w:t>
      </w:r>
    </w:p>
  </w:endnote>
  <w:endnote w:id="68">
    <w:p w14:paraId="684F5A2B" w14:textId="77777777" w:rsidR="00FA329E" w:rsidRPr="00653379" w:rsidRDefault="00FA329E" w:rsidP="00A51250">
      <w:pPr>
        <w:pBdr>
          <w:top w:val="nil"/>
          <w:left w:val="nil"/>
          <w:bottom w:val="nil"/>
          <w:right w:val="nil"/>
          <w:between w:val="nil"/>
        </w:pBdr>
        <w:spacing w:after="200" w:line="240" w:lineRule="auto"/>
        <w:rPr>
          <w:rFonts w:eastAsia="Arial" w:cs="Arial"/>
          <w:szCs w:val="24"/>
        </w:rPr>
      </w:pPr>
      <w:r w:rsidRPr="00653379">
        <w:rPr>
          <w:rStyle w:val="EndnoteReference"/>
          <w:rFonts w:cs="Arial"/>
          <w:szCs w:val="24"/>
        </w:rPr>
        <w:endnoteRef/>
      </w:r>
      <w:r w:rsidRPr="00653379">
        <w:rPr>
          <w:rFonts w:cs="Arial"/>
          <w:szCs w:val="24"/>
        </w:rPr>
        <w:t xml:space="preserve"> </w:t>
      </w:r>
      <w:r w:rsidRPr="00653379">
        <w:rPr>
          <w:rFonts w:eastAsia="Arial" w:cs="Arial"/>
          <w:szCs w:val="24"/>
        </w:rPr>
        <w:t>The capitation rate is the set per member, per month amount that state Medicaid programs pay to MCOs for Medicaid services.</w:t>
      </w:r>
    </w:p>
  </w:endnote>
  <w:endnote w:id="69">
    <w:p w14:paraId="47430268" w14:textId="51F09453" w:rsidR="00FA329E" w:rsidRPr="00653379" w:rsidRDefault="00FA329E" w:rsidP="00A51250">
      <w:pPr>
        <w:pStyle w:val="NormalWeb"/>
        <w:spacing w:before="0" w:beforeAutospacing="0" w:after="200" w:afterAutospacing="0"/>
        <w:rPr>
          <w:rFonts w:ascii="Arial" w:hAnsi="Arial" w:cs="Arial"/>
        </w:rPr>
      </w:pPr>
      <w:r w:rsidRPr="00653379">
        <w:rPr>
          <w:rStyle w:val="EndnoteReference"/>
          <w:rFonts w:ascii="Arial" w:eastAsiaTheme="minorEastAsia" w:hAnsi="Arial" w:cs="Arial"/>
        </w:rPr>
        <w:endnoteRef/>
      </w:r>
      <w:r w:rsidRPr="00653379">
        <w:rPr>
          <w:rFonts w:ascii="Arial" w:eastAsia="Arial" w:hAnsi="Arial" w:cs="Arial"/>
        </w:rPr>
        <w:t xml:space="preserve"> </w:t>
      </w:r>
      <w:r w:rsidRPr="00653379">
        <w:rPr>
          <w:rFonts w:ascii="Arial" w:hAnsi="Arial" w:cs="Arial"/>
        </w:rPr>
        <w:t xml:space="preserve">D. Alexander and M. Schnell, </w:t>
      </w:r>
      <w:r w:rsidRPr="00653379">
        <w:rPr>
          <w:rFonts w:ascii="Arial" w:hAnsi="Arial" w:cs="Arial"/>
          <w:i/>
          <w:iCs/>
        </w:rPr>
        <w:t>The Impacts of Physician Payments on Patient Access, Use, and Health</w:t>
      </w:r>
      <w:r w:rsidRPr="00653379">
        <w:rPr>
          <w:rFonts w:ascii="Arial" w:hAnsi="Arial" w:cs="Arial"/>
        </w:rPr>
        <w:t xml:space="preserve"> (Cambridge, MA: National Bureau of Economic Research, 2019), </w:t>
      </w:r>
      <w:hyperlink r:id="rId50" w:tooltip="https://www.nber.org/system/files/working_papers/w26095/w26095.pdf" w:history="1">
        <w:r w:rsidRPr="00E77F0E">
          <w:rPr>
            <w:rStyle w:val="Hyperlink"/>
            <w:rFonts w:ascii="Arial" w:eastAsiaTheme="majorEastAsia" w:hAnsi="Arial" w:cs="Arial"/>
            <w:color w:val="0000FF"/>
            <w:u w:color="0000FF"/>
          </w:rPr>
          <w:t>https://www.nber.org/system/files/working_papers/w26095/w26095.pdf</w:t>
        </w:r>
      </w:hyperlink>
      <w:r w:rsidRPr="00E77F0E">
        <w:rPr>
          <w:rFonts w:ascii="Arial" w:hAnsi="Arial" w:cs="Arial"/>
          <w:color w:val="0000FF"/>
          <w:u w:val="single" w:color="0000FF"/>
        </w:rPr>
        <w:t>.</w:t>
      </w:r>
      <w:r w:rsidRPr="00653379">
        <w:rPr>
          <w:rFonts w:ascii="Arial" w:hAnsi="Arial" w:cs="Arial"/>
        </w:rPr>
        <w:t> </w:t>
      </w:r>
    </w:p>
  </w:endnote>
  <w:endnote w:id="70">
    <w:p w14:paraId="70C02100" w14:textId="77777777" w:rsidR="00FA329E" w:rsidRPr="00653379" w:rsidRDefault="00FA329E" w:rsidP="00A51250">
      <w:pPr>
        <w:spacing w:after="200" w:line="240" w:lineRule="auto"/>
        <w:rPr>
          <w:rFonts w:eastAsia="Times New Roman" w:cs="Arial"/>
          <w:szCs w:val="24"/>
        </w:rPr>
      </w:pPr>
      <w:r w:rsidRPr="00653379">
        <w:rPr>
          <w:rStyle w:val="EndnoteReference"/>
          <w:rFonts w:cs="Arial"/>
          <w:szCs w:val="24"/>
        </w:rPr>
        <w:endnoteRef/>
      </w:r>
      <w:r w:rsidRPr="00653379">
        <w:rPr>
          <w:rFonts w:eastAsia="Arial" w:cs="Arial"/>
          <w:szCs w:val="24"/>
        </w:rPr>
        <w:t xml:space="preserve"> </w:t>
      </w:r>
      <w:r w:rsidRPr="00653379">
        <w:rPr>
          <w:rFonts w:eastAsia="Times New Roman" w:cs="Arial"/>
          <w:szCs w:val="24"/>
        </w:rPr>
        <w:t>Candon et al., “Declining Medicaid Fees and Primary Care Appointment Availability,” 145.</w:t>
      </w:r>
    </w:p>
  </w:endnote>
  <w:endnote w:id="71">
    <w:p w14:paraId="15BEF94F" w14:textId="4582D777" w:rsidR="00FA329E" w:rsidRPr="00653379" w:rsidRDefault="00FA329E" w:rsidP="00A51250">
      <w:pPr>
        <w:spacing w:after="200" w:line="240" w:lineRule="auto"/>
        <w:rPr>
          <w:rFonts w:cs="Arial"/>
          <w:szCs w:val="24"/>
        </w:rPr>
      </w:pPr>
      <w:r w:rsidRPr="00653379">
        <w:rPr>
          <w:rStyle w:val="EndnoteReference"/>
          <w:rFonts w:cs="Arial"/>
          <w:szCs w:val="24"/>
        </w:rPr>
        <w:endnoteRef/>
      </w:r>
      <w:r w:rsidRPr="00653379">
        <w:rPr>
          <w:rFonts w:eastAsia="Arial" w:cs="Arial"/>
          <w:szCs w:val="24"/>
        </w:rPr>
        <w:t xml:space="preserve"> </w:t>
      </w:r>
      <w:r w:rsidRPr="00653379">
        <w:rPr>
          <w:rFonts w:cs="Arial"/>
          <w:szCs w:val="24"/>
        </w:rPr>
        <w:t xml:space="preserve">California Legislature’s Nonpartisan Fiscal and Policy Advisor, </w:t>
      </w:r>
      <w:r w:rsidRPr="00653379">
        <w:rPr>
          <w:rFonts w:cs="Arial"/>
          <w:i/>
          <w:iCs/>
          <w:szCs w:val="24"/>
        </w:rPr>
        <w:t>Improving Access to Dental Services for Individuals with Developmental Disabilities</w:t>
      </w:r>
      <w:r w:rsidRPr="00653379">
        <w:rPr>
          <w:rFonts w:cs="Arial"/>
          <w:szCs w:val="24"/>
        </w:rPr>
        <w:t xml:space="preserve"> (Sacramento: Legislative Analyst’s Office, 2018), </w:t>
      </w:r>
      <w:hyperlink r:id="rId51" w:tooltip="https://lao.ca.gov/Publications/Report/3884" w:history="1">
        <w:r w:rsidRPr="00E77F0E">
          <w:rPr>
            <w:rStyle w:val="Hyperlink"/>
            <w:rFonts w:cs="Arial"/>
            <w:color w:val="0000FF"/>
            <w:szCs w:val="24"/>
            <w:u w:color="0000FF"/>
          </w:rPr>
          <w:t>https://lao.ca.gov/Publications/Report/3884</w:t>
        </w:r>
      </w:hyperlink>
      <w:r w:rsidRPr="00653379">
        <w:rPr>
          <w:rFonts w:cs="Arial"/>
          <w:szCs w:val="24"/>
        </w:rPr>
        <w:t>.</w:t>
      </w:r>
    </w:p>
  </w:endnote>
  <w:endnote w:id="72">
    <w:p w14:paraId="5A6F0C5C" w14:textId="4837541C" w:rsidR="00FA329E" w:rsidRPr="00653379" w:rsidRDefault="00FA329E" w:rsidP="00A51250">
      <w:pPr>
        <w:spacing w:after="200" w:line="240" w:lineRule="auto"/>
        <w:rPr>
          <w:rFonts w:cs="Arial"/>
          <w:szCs w:val="24"/>
        </w:rPr>
      </w:pPr>
      <w:r w:rsidRPr="00653379">
        <w:rPr>
          <w:rStyle w:val="EndnoteReference"/>
          <w:rFonts w:cs="Arial"/>
          <w:szCs w:val="24"/>
        </w:rPr>
        <w:endnoteRef/>
      </w:r>
      <w:r w:rsidRPr="00653379">
        <w:rPr>
          <w:rFonts w:eastAsia="Arial" w:cs="Arial"/>
          <w:szCs w:val="24"/>
        </w:rPr>
        <w:t xml:space="preserve"> </w:t>
      </w:r>
      <w:r w:rsidRPr="00653379">
        <w:rPr>
          <w:rFonts w:cs="Arial"/>
          <w:i/>
          <w:iCs/>
          <w:szCs w:val="24"/>
        </w:rPr>
        <w:t>Medicaid Adult Dental Benefits: An Overview</w:t>
      </w:r>
      <w:r w:rsidRPr="00653379">
        <w:rPr>
          <w:rFonts w:cs="Arial"/>
          <w:szCs w:val="24"/>
        </w:rPr>
        <w:t xml:space="preserve"> (Hamilton, NJ: Center for Health Care Strategies, Inc., 2019), </w:t>
      </w:r>
      <w:hyperlink r:id="rId52" w:tooltip="https://www.chcs.org/media/Adult-Oral-Health-Fact-Sheet_091519.pdf" w:history="1">
        <w:r w:rsidRPr="00E77F0E">
          <w:rPr>
            <w:rStyle w:val="Hyperlink"/>
            <w:rFonts w:cs="Arial"/>
            <w:color w:val="0000FF"/>
            <w:szCs w:val="24"/>
            <w:u w:color="0000FF"/>
          </w:rPr>
          <w:t>https://www.chcs.org/media/Adult-Oral-Health-Fact-Sheet_091519.pdf</w:t>
        </w:r>
      </w:hyperlink>
      <w:r w:rsidRPr="00653379">
        <w:rPr>
          <w:rFonts w:cs="Arial"/>
          <w:szCs w:val="24"/>
        </w:rPr>
        <w:t>.</w:t>
      </w:r>
    </w:p>
  </w:endnote>
  <w:endnote w:id="73">
    <w:p w14:paraId="713A1C41" w14:textId="39AAB7B7" w:rsidR="00FA329E" w:rsidRPr="00653379" w:rsidRDefault="00FA329E" w:rsidP="00A51250">
      <w:pPr>
        <w:pStyle w:val="NormalWeb"/>
        <w:spacing w:before="0" w:beforeAutospacing="0" w:after="200" w:afterAutospacing="0"/>
        <w:rPr>
          <w:rFonts w:ascii="Arial" w:hAnsi="Arial" w:cs="Arial"/>
        </w:rPr>
      </w:pPr>
      <w:r w:rsidRPr="00653379">
        <w:rPr>
          <w:rStyle w:val="EndnoteReference"/>
          <w:rFonts w:ascii="Arial" w:eastAsiaTheme="minorEastAsia" w:hAnsi="Arial" w:cs="Arial"/>
        </w:rPr>
        <w:endnoteRef/>
      </w:r>
      <w:r w:rsidRPr="00653379">
        <w:rPr>
          <w:rFonts w:ascii="Arial" w:eastAsia="Arial" w:hAnsi="Arial" w:cs="Arial"/>
        </w:rPr>
        <w:t xml:space="preserve"> </w:t>
      </w:r>
      <w:r w:rsidRPr="00653379">
        <w:rPr>
          <w:rFonts w:ascii="Arial" w:hAnsi="Arial" w:cs="Arial"/>
          <w:i/>
          <w:iCs/>
        </w:rPr>
        <w:t>Oral Health and Well-Being Among Medicaid Adults by Type of Medicaid Dental Benefit</w:t>
      </w:r>
      <w:r w:rsidRPr="00653379">
        <w:rPr>
          <w:rFonts w:ascii="Arial" w:hAnsi="Arial" w:cs="Arial"/>
        </w:rPr>
        <w:t xml:space="preserve"> (Chicago: Health Policy Institute, American Dental Association, 2018), </w:t>
      </w:r>
      <w:hyperlink r:id="rId53" w:tooltip="https://www.ada.org/~/media/ADA/Science%20and%20Research/HPI/Files/HPIgraphic_0518_1.pdf?la=en" w:history="1">
        <w:r w:rsidRPr="00E77F0E">
          <w:rPr>
            <w:rStyle w:val="Hyperlink"/>
            <w:rFonts w:ascii="Arial" w:eastAsiaTheme="majorEastAsia" w:hAnsi="Arial" w:cs="Arial"/>
            <w:color w:val="0000FF"/>
            <w:u w:color="0000FF"/>
          </w:rPr>
          <w:t>https://www.ada.org/~/media/ADA/Science%20and%20Research/HPI/Files/HPIgraphic_0518_1.pdf?la=en</w:t>
        </w:r>
      </w:hyperlink>
      <w:r w:rsidRPr="00653379">
        <w:rPr>
          <w:rFonts w:ascii="Arial" w:hAnsi="Arial" w:cs="Arial"/>
        </w:rPr>
        <w:t>. </w:t>
      </w:r>
    </w:p>
  </w:endnote>
  <w:endnote w:id="74">
    <w:p w14:paraId="5D5AECF6" w14:textId="6E494542" w:rsidR="00FA329E" w:rsidRPr="00653379" w:rsidRDefault="00FA329E" w:rsidP="00A51250">
      <w:pPr>
        <w:pStyle w:val="NormalWeb"/>
        <w:spacing w:before="0" w:beforeAutospacing="0" w:after="200" w:afterAutospacing="0"/>
        <w:rPr>
          <w:rFonts w:ascii="Arial" w:hAnsi="Arial" w:cs="Arial"/>
        </w:rPr>
      </w:pPr>
      <w:r w:rsidRPr="00653379">
        <w:rPr>
          <w:rStyle w:val="EndnoteReference"/>
          <w:rFonts w:ascii="Arial" w:eastAsiaTheme="minorEastAsia" w:hAnsi="Arial" w:cs="Arial"/>
        </w:rPr>
        <w:endnoteRef/>
      </w:r>
      <w:r w:rsidRPr="00653379">
        <w:rPr>
          <w:rFonts w:ascii="Arial" w:eastAsia="Arial" w:hAnsi="Arial" w:cs="Arial"/>
        </w:rPr>
        <w:t xml:space="preserve"> </w:t>
      </w:r>
      <w:r w:rsidRPr="00653379">
        <w:rPr>
          <w:rFonts w:ascii="Arial" w:hAnsi="Arial" w:cs="Arial"/>
        </w:rPr>
        <w:t xml:space="preserve">M.K. Choi, “The Impact of Medicaid Insurance Coverage on Dental Service Use,” </w:t>
      </w:r>
      <w:r w:rsidRPr="00653379">
        <w:rPr>
          <w:rFonts w:ascii="Arial" w:hAnsi="Arial" w:cs="Arial"/>
          <w:i/>
          <w:iCs/>
        </w:rPr>
        <w:t>Journal of Health Economics</w:t>
      </w:r>
      <w:r w:rsidRPr="00653379">
        <w:rPr>
          <w:rFonts w:ascii="Arial" w:hAnsi="Arial" w:cs="Arial"/>
        </w:rPr>
        <w:t xml:space="preserve"> 30, no. 5 (2011): 1020–31, </w:t>
      </w:r>
      <w:hyperlink r:id="rId54" w:tooltip="https://doi.org/10.1016/j.jhealeco.2011.08.002" w:history="1">
        <w:r w:rsidRPr="00E77F0E">
          <w:rPr>
            <w:rStyle w:val="Hyperlink"/>
            <w:rFonts w:ascii="Arial" w:eastAsiaTheme="majorEastAsia" w:hAnsi="Arial" w:cs="Arial"/>
            <w:color w:val="0000FF"/>
            <w:u w:color="0000FF"/>
          </w:rPr>
          <w:t>https://doi.org/10.1016/j.jhealeco.2011.08.002</w:t>
        </w:r>
      </w:hyperlink>
      <w:r w:rsidRPr="00653379">
        <w:rPr>
          <w:rFonts w:ascii="Arial" w:hAnsi="Arial" w:cs="Arial"/>
        </w:rPr>
        <w:t>. </w:t>
      </w:r>
    </w:p>
  </w:endnote>
  <w:endnote w:id="75">
    <w:p w14:paraId="0441833F" w14:textId="7043E282" w:rsidR="00FA329E" w:rsidRPr="00653379" w:rsidRDefault="00FA329E" w:rsidP="00A51250">
      <w:pPr>
        <w:spacing w:after="200" w:line="240" w:lineRule="auto"/>
        <w:rPr>
          <w:rFonts w:cs="Arial"/>
          <w:szCs w:val="24"/>
        </w:rPr>
      </w:pPr>
      <w:r w:rsidRPr="00653379">
        <w:rPr>
          <w:rStyle w:val="EndnoteReference"/>
          <w:rFonts w:cs="Arial"/>
          <w:szCs w:val="24"/>
        </w:rPr>
        <w:endnoteRef/>
      </w:r>
      <w:r w:rsidRPr="00653379">
        <w:rPr>
          <w:rFonts w:eastAsia="Arial" w:cs="Arial"/>
          <w:szCs w:val="24"/>
        </w:rPr>
        <w:t xml:space="preserve"> </w:t>
      </w:r>
      <w:r w:rsidRPr="00653379">
        <w:rPr>
          <w:rFonts w:cs="Arial"/>
          <w:szCs w:val="24"/>
          <w:shd w:val="clear" w:color="auto" w:fill="FFFFFF"/>
        </w:rPr>
        <w:t xml:space="preserve">A. Singhal, P. Damiano, and L. Sabik, “Medicaid Adult Dental Benefits Increase Use of Dental Care, but Impact of Expansion on Dental Services Use Was Mixed,” </w:t>
      </w:r>
      <w:r w:rsidRPr="00653379">
        <w:rPr>
          <w:rFonts w:cs="Arial"/>
          <w:i/>
          <w:iCs/>
          <w:szCs w:val="24"/>
          <w:shd w:val="clear" w:color="auto" w:fill="FFFFFF"/>
        </w:rPr>
        <w:t>Health Affairs</w:t>
      </w:r>
      <w:r w:rsidRPr="00653379">
        <w:rPr>
          <w:rFonts w:cs="Arial"/>
          <w:szCs w:val="24"/>
          <w:shd w:val="clear" w:color="auto" w:fill="FFFFFF"/>
        </w:rPr>
        <w:t xml:space="preserve"> 36, no. 4 (2017): 723–32. </w:t>
      </w:r>
      <w:hyperlink r:id="rId55" w:tooltip="http://dx.doi.org/10.1377/hlthaff.2016.0877" w:history="1">
        <w:r w:rsidRPr="00E77F0E">
          <w:rPr>
            <w:rStyle w:val="Hyperlink"/>
            <w:rFonts w:cs="Arial"/>
            <w:color w:val="0000FF"/>
            <w:szCs w:val="24"/>
            <w:u w:color="0000FF"/>
            <w:shd w:val="clear" w:color="auto" w:fill="FFFFFF"/>
          </w:rPr>
          <w:t>http://dx.doi.org/10.1377/hlthaff.2016.0877</w:t>
        </w:r>
      </w:hyperlink>
      <w:r w:rsidRPr="00653379">
        <w:rPr>
          <w:rFonts w:cs="Arial"/>
          <w:szCs w:val="24"/>
          <w:shd w:val="clear" w:color="auto" w:fill="FFFFFF"/>
        </w:rPr>
        <w:t>.</w:t>
      </w:r>
    </w:p>
  </w:endnote>
  <w:endnote w:id="76">
    <w:p w14:paraId="6054AE40" w14:textId="3A09AE75" w:rsidR="00FA329E" w:rsidRPr="00653379" w:rsidRDefault="00FA329E" w:rsidP="00A51250">
      <w:pPr>
        <w:spacing w:after="200" w:line="240" w:lineRule="auto"/>
        <w:rPr>
          <w:rFonts w:eastAsia="Arial" w:cs="Arial"/>
          <w:szCs w:val="24"/>
        </w:rPr>
      </w:pPr>
      <w:r w:rsidRPr="00653379">
        <w:rPr>
          <w:rStyle w:val="EndnoteReference"/>
          <w:rFonts w:cs="Arial"/>
          <w:szCs w:val="24"/>
        </w:rPr>
        <w:endnoteRef/>
      </w:r>
      <w:r w:rsidRPr="00653379">
        <w:rPr>
          <w:rFonts w:eastAsia="Arial" w:cs="Arial"/>
          <w:szCs w:val="24"/>
        </w:rPr>
        <w:t xml:space="preserve"> National Academy for State Health Policy, </w:t>
      </w:r>
      <w:r w:rsidRPr="00653379">
        <w:rPr>
          <w:rFonts w:eastAsia="Arial" w:cs="Arial"/>
          <w:i/>
          <w:iCs/>
          <w:szCs w:val="24"/>
        </w:rPr>
        <w:t xml:space="preserve">State Medicaid Coverage of Dental Services for General Adult and Pregnant Populations </w:t>
      </w:r>
      <w:r w:rsidRPr="00653379">
        <w:rPr>
          <w:rFonts w:eastAsia="Arial" w:cs="Arial"/>
          <w:szCs w:val="24"/>
        </w:rPr>
        <w:t xml:space="preserve">(July 2, 2020), </w:t>
      </w:r>
      <w:hyperlink r:id="rId56" w:tooltip="https://www.nashp.org/state-medicaid-coverage-of-dental-services-for-general-adult-and-pregnant-populations/" w:history="1">
        <w:r w:rsidRPr="00E77F0E">
          <w:rPr>
            <w:rFonts w:eastAsia="Arial" w:cs="Arial"/>
            <w:color w:val="0000FF"/>
            <w:szCs w:val="24"/>
            <w:u w:val="single" w:color="0000FF"/>
          </w:rPr>
          <w:t>https://www.nashp.org/state-medicaid-coverage-of-dental-services-for-general-adult-and-pregnant-populations/</w:t>
        </w:r>
      </w:hyperlink>
      <w:r w:rsidRPr="00653379">
        <w:rPr>
          <w:rFonts w:eastAsia="Arial" w:cs="Arial"/>
          <w:szCs w:val="24"/>
        </w:rPr>
        <w:t>.</w:t>
      </w:r>
    </w:p>
  </w:endnote>
  <w:endnote w:id="77">
    <w:p w14:paraId="6A2F3E5E" w14:textId="55CB9009" w:rsidR="00FA329E" w:rsidRPr="00653379" w:rsidRDefault="00FA329E" w:rsidP="00A51250">
      <w:pPr>
        <w:spacing w:after="200" w:line="240" w:lineRule="auto"/>
        <w:rPr>
          <w:rFonts w:eastAsia="Arial" w:cs="Arial"/>
          <w:szCs w:val="24"/>
        </w:rPr>
      </w:pPr>
      <w:r w:rsidRPr="00653379">
        <w:rPr>
          <w:rStyle w:val="EndnoteReference"/>
          <w:rFonts w:cs="Arial"/>
          <w:szCs w:val="24"/>
        </w:rPr>
        <w:endnoteRef/>
      </w:r>
      <w:r w:rsidRPr="00653379">
        <w:rPr>
          <w:rFonts w:eastAsia="Arial" w:cs="Arial"/>
          <w:szCs w:val="24"/>
        </w:rPr>
        <w:t xml:space="preserve"> Classification of state Medicaid dental coverage is from National Academy for State Health Policy, </w:t>
      </w:r>
      <w:r w:rsidRPr="00653379">
        <w:rPr>
          <w:rFonts w:eastAsia="Arial" w:cs="Arial"/>
          <w:i/>
          <w:iCs/>
          <w:szCs w:val="24"/>
        </w:rPr>
        <w:t>State Medicaid Coverage of Dental Services for General Adult and Pregnant Populations</w:t>
      </w:r>
      <w:r w:rsidRPr="00653379">
        <w:rPr>
          <w:rFonts w:eastAsia="Arial" w:cs="Arial"/>
          <w:szCs w:val="24"/>
        </w:rPr>
        <w:t xml:space="preserve"> (2020), accessed September 22, 2021, </w:t>
      </w:r>
      <w:hyperlink r:id="rId57" w:tooltip="https://www.nashp.org/state-medicaid-coverage-of-dental-services-for-general-adult-and-pregnant-populations/" w:history="1">
        <w:r w:rsidRPr="00E77F0E">
          <w:rPr>
            <w:rStyle w:val="Hyperlink"/>
            <w:rFonts w:eastAsia="Arial" w:cs="Arial"/>
            <w:color w:val="0000FF"/>
            <w:szCs w:val="24"/>
            <w:u w:color="0000FF"/>
          </w:rPr>
          <w:t>https://www.nashp.org/state-medicaid-coverage-of-dental-services-for-general-adult-and-pregnant-populations/</w:t>
        </w:r>
      </w:hyperlink>
      <w:r w:rsidRPr="00653379">
        <w:rPr>
          <w:rFonts w:eastAsia="Arial" w:cs="Arial"/>
          <w:szCs w:val="24"/>
        </w:rPr>
        <w:t xml:space="preserve">. </w:t>
      </w:r>
    </w:p>
  </w:endnote>
  <w:endnote w:id="78">
    <w:p w14:paraId="3BF13BFD" w14:textId="592232A5" w:rsidR="00FA329E" w:rsidRPr="00653379" w:rsidRDefault="00FA329E" w:rsidP="00A51250">
      <w:pPr>
        <w:pStyle w:val="NormalWeb"/>
        <w:spacing w:before="0" w:beforeAutospacing="0" w:after="200" w:afterAutospacing="0"/>
        <w:rPr>
          <w:rFonts w:ascii="Arial" w:hAnsi="Arial" w:cs="Arial"/>
        </w:rPr>
      </w:pPr>
      <w:r w:rsidRPr="00653379">
        <w:rPr>
          <w:rStyle w:val="EndnoteReference"/>
          <w:rFonts w:ascii="Arial" w:eastAsiaTheme="minorEastAsia" w:hAnsi="Arial" w:cs="Arial"/>
        </w:rPr>
        <w:endnoteRef/>
      </w:r>
      <w:r w:rsidRPr="00653379">
        <w:rPr>
          <w:rFonts w:ascii="Arial" w:eastAsia="Arial" w:hAnsi="Arial" w:cs="Arial"/>
        </w:rPr>
        <w:t xml:space="preserve"> </w:t>
      </w:r>
      <w:r w:rsidRPr="00653379">
        <w:rPr>
          <w:rFonts w:ascii="Arial" w:hAnsi="Arial" w:cs="Arial"/>
        </w:rPr>
        <w:t xml:space="preserve">Waiver information is from the Medicaid Oral Health Policy database, created from NCD’s review of Medicaid waiver programs. Classification of state Medicaid dental coverage is from </w:t>
      </w:r>
      <w:r w:rsidRPr="00653379">
        <w:rPr>
          <w:rFonts w:ascii="Arial" w:hAnsi="Arial" w:cs="Arial"/>
          <w:i/>
          <w:iCs/>
        </w:rPr>
        <w:t>Medicaid Adult Dental Benefits: An Overview</w:t>
      </w:r>
      <w:r w:rsidRPr="00653379">
        <w:rPr>
          <w:rFonts w:ascii="Arial" w:hAnsi="Arial" w:cs="Arial"/>
        </w:rPr>
        <w:t xml:space="preserve"> (Hamilton, NJ: Center for Health Care Strategies, Inc., July 2018), </w:t>
      </w:r>
      <w:hyperlink r:id="rId58" w:history="1">
        <w:r w:rsidRPr="00E77F0E">
          <w:rPr>
            <w:rStyle w:val="Hyperlink"/>
            <w:rFonts w:ascii="Arial" w:eastAsiaTheme="majorEastAsia" w:hAnsi="Arial" w:cs="Arial"/>
            <w:color w:val="0000FF"/>
            <w:u w:color="0000FF"/>
          </w:rPr>
          <w:t>https://www.chcs.org/media/Adult-Oral-Health-Fact-Sheet_072718.pdf.</w:t>
        </w:r>
      </w:hyperlink>
    </w:p>
  </w:endnote>
  <w:endnote w:id="79">
    <w:p w14:paraId="72B1B8EE" w14:textId="377558E8" w:rsidR="00FA329E" w:rsidRPr="00653379" w:rsidRDefault="00FA329E" w:rsidP="00A51250">
      <w:pPr>
        <w:spacing w:after="200" w:line="240" w:lineRule="auto"/>
        <w:rPr>
          <w:rFonts w:cs="Arial"/>
          <w:szCs w:val="24"/>
        </w:rPr>
      </w:pPr>
      <w:r w:rsidRPr="00653379">
        <w:rPr>
          <w:rStyle w:val="EndnoteReference"/>
          <w:rFonts w:cs="Arial"/>
          <w:szCs w:val="24"/>
        </w:rPr>
        <w:endnoteRef/>
      </w:r>
      <w:r w:rsidRPr="00653379">
        <w:rPr>
          <w:rFonts w:eastAsia="Arial" w:cs="Arial"/>
          <w:szCs w:val="24"/>
        </w:rPr>
        <w:t xml:space="preserve"> </w:t>
      </w:r>
      <w:bookmarkStart w:id="170" w:name="_Hlk90036180"/>
      <w:r w:rsidRPr="00653379">
        <w:rPr>
          <w:rFonts w:cs="Arial"/>
          <w:i/>
          <w:iCs/>
          <w:szCs w:val="24"/>
        </w:rPr>
        <w:t>2019 National Profile: Policy</w:t>
      </w:r>
      <w:r w:rsidRPr="00653379">
        <w:rPr>
          <w:rFonts w:cs="Arial"/>
          <w:szCs w:val="24"/>
        </w:rPr>
        <w:t xml:space="preserve"> </w:t>
      </w:r>
      <w:bookmarkEnd w:id="170"/>
      <w:r w:rsidRPr="00653379">
        <w:rPr>
          <w:rFonts w:cs="Arial"/>
          <w:szCs w:val="24"/>
        </w:rPr>
        <w:t xml:space="preserve">(Washington, DC: Medicaid/Medicare/CHIP Services Dental Association, 2019), </w:t>
      </w:r>
      <w:hyperlink r:id="rId59" w:tooltip="https://www.msdanationalprofile.com/profiles/2019/national/all/policy%20(free%20account%20creation%20required%20to%20access)." w:history="1">
        <w:r w:rsidRPr="00E77F0E">
          <w:rPr>
            <w:rStyle w:val="Hyperlink"/>
            <w:rFonts w:cs="Arial"/>
            <w:color w:val="0000FF"/>
            <w:szCs w:val="24"/>
            <w:u w:color="0000FF"/>
          </w:rPr>
          <w:t>https://www.msdanationalprofile.com/profiles/2019/national/all/policy (free account creation required to access).</w:t>
        </w:r>
      </w:hyperlink>
    </w:p>
  </w:endnote>
  <w:endnote w:id="80">
    <w:p w14:paraId="2710770D" w14:textId="0513CBF9" w:rsidR="00FA329E" w:rsidRPr="00653379" w:rsidRDefault="00FA329E" w:rsidP="00A51250">
      <w:pPr>
        <w:spacing w:after="200" w:line="240" w:lineRule="auto"/>
        <w:rPr>
          <w:rFonts w:cs="Arial"/>
          <w:szCs w:val="24"/>
        </w:rPr>
      </w:pPr>
      <w:r w:rsidRPr="00653379">
        <w:rPr>
          <w:rStyle w:val="EndnoteReference"/>
          <w:rFonts w:cs="Arial"/>
          <w:szCs w:val="24"/>
        </w:rPr>
        <w:endnoteRef/>
      </w:r>
      <w:r w:rsidRPr="00653379">
        <w:rPr>
          <w:rFonts w:eastAsia="Arial" w:cs="Arial"/>
          <w:szCs w:val="24"/>
        </w:rPr>
        <w:t xml:space="preserve"> </w:t>
      </w:r>
      <w:r w:rsidRPr="00653379">
        <w:rPr>
          <w:rFonts w:cs="Arial"/>
          <w:i/>
          <w:iCs/>
          <w:szCs w:val="24"/>
        </w:rPr>
        <w:t>Provider Payment and Delivery Systems</w:t>
      </w:r>
      <w:r w:rsidRPr="00653379">
        <w:rPr>
          <w:rFonts w:cs="Arial"/>
          <w:szCs w:val="24"/>
        </w:rPr>
        <w:t xml:space="preserve"> (Washington, DC: Medicaid and CHIP Payment and Access Commission, 2021), </w:t>
      </w:r>
      <w:hyperlink r:id="rId60" w:tooltip="https://www.macpac.gov/medicaid-101/provider-payment-and-delivery-systems/" w:history="1">
        <w:r w:rsidRPr="00E77F0E">
          <w:rPr>
            <w:rStyle w:val="Hyperlink"/>
            <w:rFonts w:cs="Arial"/>
            <w:color w:val="0000FF"/>
            <w:szCs w:val="24"/>
            <w:u w:color="0000FF"/>
          </w:rPr>
          <w:t>https://www.macpac.gov/medicaid-101/provider-payment-and-delivery-systems/</w:t>
        </w:r>
      </w:hyperlink>
      <w:r w:rsidRPr="00653379">
        <w:rPr>
          <w:rFonts w:cs="Arial"/>
          <w:szCs w:val="24"/>
        </w:rPr>
        <w:t>.</w:t>
      </w:r>
    </w:p>
  </w:endnote>
  <w:endnote w:id="81">
    <w:p w14:paraId="3DB3F97A" w14:textId="207AF4C3" w:rsidR="00FA329E" w:rsidRPr="00653379" w:rsidRDefault="00FA329E" w:rsidP="00A51250">
      <w:pPr>
        <w:spacing w:after="200" w:line="240" w:lineRule="auto"/>
        <w:rPr>
          <w:rFonts w:eastAsia="Times New Roman" w:cs="Arial"/>
          <w:szCs w:val="24"/>
        </w:rPr>
      </w:pPr>
      <w:r w:rsidRPr="00653379">
        <w:rPr>
          <w:rStyle w:val="EndnoteReference"/>
          <w:rFonts w:cs="Arial"/>
          <w:szCs w:val="24"/>
        </w:rPr>
        <w:endnoteRef/>
      </w:r>
      <w:r w:rsidRPr="00653379">
        <w:rPr>
          <w:rFonts w:eastAsia="Arial" w:cs="Arial"/>
          <w:szCs w:val="24"/>
        </w:rPr>
        <w:t xml:space="preserve"> </w:t>
      </w:r>
      <w:r w:rsidRPr="00653379">
        <w:rPr>
          <w:rFonts w:eastAsia="Times New Roman" w:cs="Arial"/>
          <w:szCs w:val="24"/>
        </w:rPr>
        <w:t xml:space="preserve">Hinton et al., </w:t>
      </w:r>
      <w:r w:rsidRPr="00653379">
        <w:rPr>
          <w:rFonts w:eastAsia="Times New Roman" w:cs="Arial"/>
          <w:i/>
          <w:iCs/>
          <w:szCs w:val="24"/>
        </w:rPr>
        <w:t>10 Things to Know</w:t>
      </w:r>
      <w:r w:rsidRPr="00653379">
        <w:rPr>
          <w:rFonts w:eastAsia="Times New Roman" w:cs="Arial"/>
          <w:szCs w:val="24"/>
        </w:rPr>
        <w:t>, 2020.</w:t>
      </w:r>
      <w:r w:rsidRPr="00653379">
        <w:rPr>
          <w:rFonts w:eastAsia="Arial" w:cs="Arial"/>
          <w:szCs w:val="24"/>
        </w:rPr>
        <w:t xml:space="preserve"> </w:t>
      </w:r>
    </w:p>
  </w:endnote>
  <w:endnote w:id="82">
    <w:p w14:paraId="3C76894C" w14:textId="2EC44993" w:rsidR="00FA329E" w:rsidRPr="00653379" w:rsidRDefault="00FA329E" w:rsidP="00A51250">
      <w:pPr>
        <w:spacing w:after="200" w:line="240" w:lineRule="auto"/>
        <w:rPr>
          <w:rFonts w:cs="Arial"/>
          <w:szCs w:val="24"/>
        </w:rPr>
      </w:pPr>
      <w:r w:rsidRPr="00653379">
        <w:rPr>
          <w:rStyle w:val="EndnoteReference"/>
          <w:rFonts w:cs="Arial"/>
          <w:szCs w:val="24"/>
        </w:rPr>
        <w:endnoteRef/>
      </w:r>
      <w:r w:rsidRPr="00653379">
        <w:rPr>
          <w:rFonts w:eastAsia="Arial" w:cs="Arial"/>
          <w:szCs w:val="24"/>
        </w:rPr>
        <w:t xml:space="preserve"> </w:t>
      </w:r>
      <w:r w:rsidRPr="00653379">
        <w:rPr>
          <w:rFonts w:cs="Arial"/>
          <w:i/>
          <w:iCs/>
          <w:szCs w:val="24"/>
        </w:rPr>
        <w:t>Percentage of Medicaid Enrollees in Managed Care by State and Eligibility Group, FY 2018</w:t>
      </w:r>
      <w:r w:rsidRPr="00653379">
        <w:rPr>
          <w:rFonts w:cs="Arial"/>
          <w:szCs w:val="24"/>
        </w:rPr>
        <w:t xml:space="preserve"> (Washington, DC: Medicaid and CHIP Payment and Access Commission, 2020), </w:t>
      </w:r>
      <w:hyperlink r:id="rId61" w:tooltip="https://www.macpac.gov/wp-content/uploads/2015/01/EXHIBIT-30.-Percentage-of-Medicaid-Enrollees-in-Managed-Care-by-State-and-Eligibility-Group-FY-2018.pdf" w:history="1">
        <w:r w:rsidRPr="00E77F0E">
          <w:rPr>
            <w:rStyle w:val="Hyperlink"/>
            <w:rFonts w:cs="Arial"/>
            <w:color w:val="0000FF"/>
            <w:szCs w:val="24"/>
            <w:u w:color="0000FF"/>
          </w:rPr>
          <w:t>https://www.macpac.gov/wp-content/uploads/2015/01/EXHIBIT-30.-Percentage-of-Medicaid-Enrollees-in-Managed-Care-by-State-and-Eligibility-Group-FY-2018.pdf</w:t>
        </w:r>
      </w:hyperlink>
      <w:r w:rsidRPr="00653379">
        <w:rPr>
          <w:rFonts w:cs="Arial"/>
          <w:szCs w:val="24"/>
        </w:rPr>
        <w:t xml:space="preserve">. </w:t>
      </w:r>
    </w:p>
  </w:endnote>
  <w:endnote w:id="83">
    <w:p w14:paraId="2A7E097E" w14:textId="0DE03AF0" w:rsidR="00FA329E" w:rsidRPr="00653379" w:rsidRDefault="00FA329E" w:rsidP="00A51250">
      <w:pPr>
        <w:spacing w:after="200" w:line="240" w:lineRule="auto"/>
        <w:rPr>
          <w:rFonts w:eastAsia="Times New Roman" w:cs="Arial"/>
          <w:szCs w:val="24"/>
        </w:rPr>
      </w:pPr>
      <w:r w:rsidRPr="00653379">
        <w:rPr>
          <w:rStyle w:val="EndnoteReference"/>
          <w:rFonts w:cs="Arial"/>
          <w:szCs w:val="24"/>
        </w:rPr>
        <w:endnoteRef/>
      </w:r>
      <w:r w:rsidRPr="00653379">
        <w:rPr>
          <w:rFonts w:eastAsia="Arial" w:cs="Arial"/>
          <w:szCs w:val="24"/>
        </w:rPr>
        <w:t xml:space="preserve"> </w:t>
      </w:r>
      <w:r w:rsidRPr="00653379">
        <w:rPr>
          <w:rFonts w:eastAsia="Times New Roman" w:cs="Arial"/>
          <w:szCs w:val="24"/>
        </w:rPr>
        <w:t xml:space="preserve">Gupta et al., </w:t>
      </w:r>
      <w:r w:rsidRPr="00653379">
        <w:rPr>
          <w:rFonts w:eastAsia="Times New Roman" w:cs="Arial"/>
          <w:i/>
          <w:iCs/>
          <w:szCs w:val="24"/>
        </w:rPr>
        <w:t>Medicaid Fee-For-Service Reimbursement</w:t>
      </w:r>
      <w:r w:rsidRPr="00653379">
        <w:rPr>
          <w:rFonts w:eastAsia="Times New Roman" w:cs="Arial"/>
          <w:szCs w:val="24"/>
        </w:rPr>
        <w:t>, 2017.</w:t>
      </w:r>
    </w:p>
  </w:endnote>
  <w:endnote w:id="84">
    <w:p w14:paraId="403EFB4B" w14:textId="1DC5B375" w:rsidR="00FA329E" w:rsidRPr="00653379" w:rsidRDefault="00FA329E" w:rsidP="00A51250">
      <w:pPr>
        <w:spacing w:after="200" w:line="240" w:lineRule="auto"/>
        <w:rPr>
          <w:rFonts w:eastAsia="Times New Roman" w:cs="Arial"/>
          <w:szCs w:val="24"/>
        </w:rPr>
      </w:pPr>
      <w:r w:rsidRPr="00653379">
        <w:rPr>
          <w:rStyle w:val="EndnoteReference"/>
          <w:rFonts w:cs="Arial"/>
          <w:szCs w:val="24"/>
        </w:rPr>
        <w:endnoteRef/>
      </w:r>
      <w:r w:rsidRPr="00653379">
        <w:rPr>
          <w:rFonts w:eastAsia="Arial" w:cs="Arial"/>
          <w:szCs w:val="24"/>
        </w:rPr>
        <w:t xml:space="preserve"> </w:t>
      </w:r>
      <w:r w:rsidRPr="00653379">
        <w:rPr>
          <w:rFonts w:eastAsia="Times New Roman" w:cs="Arial"/>
          <w:szCs w:val="24"/>
        </w:rPr>
        <w:t xml:space="preserve">Gupta et al., </w:t>
      </w:r>
      <w:r w:rsidRPr="00653379">
        <w:rPr>
          <w:rFonts w:eastAsia="Times New Roman" w:cs="Arial"/>
          <w:i/>
          <w:iCs/>
          <w:szCs w:val="24"/>
        </w:rPr>
        <w:t>Medicaid Fee-For-Service Reimbursement</w:t>
      </w:r>
      <w:r w:rsidRPr="00653379">
        <w:rPr>
          <w:rFonts w:eastAsia="Times New Roman" w:cs="Arial"/>
          <w:szCs w:val="24"/>
        </w:rPr>
        <w:t>, 2017.</w:t>
      </w:r>
    </w:p>
  </w:endnote>
  <w:endnote w:id="85">
    <w:p w14:paraId="4B3B41E4" w14:textId="77777777" w:rsidR="00FA329E" w:rsidRPr="00653379" w:rsidRDefault="00FA329E" w:rsidP="00A51250">
      <w:pPr>
        <w:spacing w:after="200" w:line="240" w:lineRule="auto"/>
        <w:rPr>
          <w:rFonts w:eastAsia="Arial" w:cs="Arial"/>
          <w:szCs w:val="24"/>
        </w:rPr>
      </w:pPr>
      <w:r w:rsidRPr="00653379">
        <w:rPr>
          <w:rStyle w:val="EndnoteReference"/>
          <w:rFonts w:cs="Arial"/>
          <w:szCs w:val="24"/>
        </w:rPr>
        <w:endnoteRef/>
      </w:r>
      <w:r w:rsidRPr="00653379">
        <w:rPr>
          <w:rFonts w:eastAsia="Arial" w:cs="Arial"/>
          <w:szCs w:val="24"/>
        </w:rPr>
        <w:t xml:space="preserve"> Drawing on prior studies, NCD used CDT codes in the D0000s and D1000s range provided in non-ED, hospital, or ambulatory care settings to identify basic dental care. </w:t>
      </w:r>
    </w:p>
  </w:endnote>
  <w:endnote w:id="86">
    <w:p w14:paraId="3B5B92E8" w14:textId="77777777" w:rsidR="00FA329E" w:rsidRPr="00653379" w:rsidRDefault="00FA329E" w:rsidP="00A51250">
      <w:pPr>
        <w:spacing w:after="200" w:line="240" w:lineRule="auto"/>
        <w:rPr>
          <w:rFonts w:eastAsia="Arial" w:cs="Arial"/>
          <w:szCs w:val="24"/>
        </w:rPr>
      </w:pPr>
      <w:r w:rsidRPr="00653379">
        <w:rPr>
          <w:rStyle w:val="EndnoteReference"/>
          <w:rFonts w:cs="Arial"/>
          <w:szCs w:val="24"/>
        </w:rPr>
        <w:endnoteRef/>
      </w:r>
      <w:r w:rsidRPr="00653379">
        <w:rPr>
          <w:rFonts w:eastAsia="Arial" w:cs="Arial"/>
          <w:szCs w:val="24"/>
        </w:rPr>
        <w:t xml:space="preserve"> NCD did not include people who received basic dental services in the ED, urgent care setting, or inpatient hospital in these figures to ensure that only people who were not receiving emergency care were included. Only a small percentage of people received preventive services in these settings, based on the T-MSIS analysis. </w:t>
      </w:r>
    </w:p>
  </w:endnote>
  <w:endnote w:id="87">
    <w:p w14:paraId="431FA845" w14:textId="5F2802A7" w:rsidR="00FA329E" w:rsidRPr="00653379" w:rsidRDefault="00FA329E" w:rsidP="00A51250">
      <w:pPr>
        <w:spacing w:after="200" w:line="240" w:lineRule="auto"/>
        <w:rPr>
          <w:rFonts w:cs="Arial"/>
          <w:szCs w:val="24"/>
        </w:rPr>
      </w:pPr>
      <w:r w:rsidRPr="00653379">
        <w:rPr>
          <w:rStyle w:val="EndnoteReference"/>
          <w:rFonts w:cs="Arial"/>
          <w:szCs w:val="24"/>
        </w:rPr>
        <w:endnoteRef/>
      </w:r>
      <w:r w:rsidRPr="00653379">
        <w:rPr>
          <w:rFonts w:cs="Arial"/>
          <w:szCs w:val="24"/>
        </w:rPr>
        <w:t xml:space="preserve"> C. Yarbrough, M. Vujicic, and K. Nasseh, </w:t>
      </w:r>
      <w:r w:rsidRPr="00653379">
        <w:rPr>
          <w:rFonts w:cs="Arial"/>
          <w:i/>
          <w:iCs/>
          <w:szCs w:val="24"/>
        </w:rPr>
        <w:t>Estimating the Cost of Introducing a Medicaid Adult Dental Benefit in 22 States</w:t>
      </w:r>
      <w:r w:rsidRPr="00653379">
        <w:rPr>
          <w:rFonts w:cs="Arial"/>
          <w:szCs w:val="24"/>
        </w:rPr>
        <w:t xml:space="preserve"> (Chicago: Health Policy Institute, American Dental Association, 2016), </w:t>
      </w:r>
      <w:hyperlink r:id="rId62" w:tooltip="http://www.ada.org/~/media/ADA/Science%20and%20Research/HPI/Files/HPIBrief_0316_1.ashx" w:history="1">
        <w:r w:rsidRPr="00E77F0E">
          <w:rPr>
            <w:rStyle w:val="Hyperlink"/>
            <w:rFonts w:cs="Arial"/>
            <w:szCs w:val="24"/>
          </w:rPr>
          <w:t>http://www.ada.org/~/media/ADA/Science%20and%20Research/HPI/Files/HPIBrief_0316_1.ashx</w:t>
        </w:r>
      </w:hyperlink>
      <w:r w:rsidRPr="00E77F0E">
        <w:rPr>
          <w:rStyle w:val="Hyperlink"/>
          <w:rFonts w:cs="Arial"/>
          <w:color w:val="auto"/>
          <w:szCs w:val="24"/>
          <w:u w:val="none"/>
        </w:rPr>
        <w:t xml:space="preserve"> (free account creation required to access)</w:t>
      </w:r>
      <w:r w:rsidRPr="00E77F0E">
        <w:rPr>
          <w:rFonts w:cs="Arial"/>
          <w:szCs w:val="24"/>
        </w:rPr>
        <w:t>.</w:t>
      </w:r>
    </w:p>
  </w:endnote>
  <w:endnote w:id="88">
    <w:p w14:paraId="30873EAD" w14:textId="77777777" w:rsidR="00FA329E" w:rsidRPr="00653379" w:rsidRDefault="00FA329E" w:rsidP="00A51250">
      <w:pPr>
        <w:spacing w:after="200" w:line="240" w:lineRule="auto"/>
        <w:rPr>
          <w:rFonts w:eastAsia="Arial" w:cs="Arial"/>
          <w:szCs w:val="24"/>
        </w:rPr>
      </w:pPr>
      <w:r w:rsidRPr="00653379">
        <w:rPr>
          <w:rStyle w:val="EndnoteReference"/>
          <w:rFonts w:cs="Arial"/>
          <w:szCs w:val="24"/>
        </w:rPr>
        <w:endnoteRef/>
      </w:r>
      <w:r w:rsidRPr="00653379">
        <w:rPr>
          <w:rFonts w:eastAsia="Arial" w:cs="Arial"/>
          <w:szCs w:val="24"/>
        </w:rPr>
        <w:t xml:space="preserve"> NCD’s analysis of 2018 T-MSIS data.</w:t>
      </w:r>
    </w:p>
  </w:endnote>
  <w:endnote w:id="89">
    <w:p w14:paraId="4F7C43FF" w14:textId="77777777" w:rsidR="00FA329E" w:rsidRPr="00653379" w:rsidRDefault="00FA329E" w:rsidP="00A51250">
      <w:pPr>
        <w:spacing w:after="200" w:line="240" w:lineRule="auto"/>
        <w:rPr>
          <w:rFonts w:eastAsia="Arial" w:cs="Arial"/>
          <w:szCs w:val="24"/>
        </w:rPr>
      </w:pPr>
      <w:r w:rsidRPr="00653379">
        <w:rPr>
          <w:rStyle w:val="EndnoteReference"/>
          <w:rFonts w:cs="Arial"/>
          <w:szCs w:val="24"/>
        </w:rPr>
        <w:endnoteRef/>
      </w:r>
      <w:r w:rsidRPr="00653379">
        <w:rPr>
          <w:rFonts w:eastAsia="Arial" w:cs="Arial"/>
          <w:szCs w:val="24"/>
        </w:rPr>
        <w:t xml:space="preserve"> Analysis of T-MSIS 2018 data, weighted to be nationally representative. For this table, NCD used the 2018 Center for Health Care Strategies’ categorizations of state dental benefits, provided in the Medicaid policy database created for this project, to match the date of the T-MSIS data.</w:t>
      </w:r>
    </w:p>
  </w:endnote>
  <w:endnote w:id="90">
    <w:p w14:paraId="6D495C9C" w14:textId="56AD1FC3" w:rsidR="00FA329E" w:rsidRPr="00653379" w:rsidRDefault="00FA329E" w:rsidP="00A51250">
      <w:pPr>
        <w:spacing w:after="200" w:line="240" w:lineRule="auto"/>
        <w:rPr>
          <w:rFonts w:cs="Arial"/>
          <w:szCs w:val="24"/>
        </w:rPr>
      </w:pPr>
      <w:r w:rsidRPr="00653379">
        <w:rPr>
          <w:rStyle w:val="EndnoteReference"/>
          <w:rFonts w:cs="Arial"/>
          <w:szCs w:val="24"/>
        </w:rPr>
        <w:endnoteRef/>
      </w:r>
      <w:r w:rsidRPr="00653379">
        <w:rPr>
          <w:rFonts w:eastAsia="Arial" w:cs="Arial"/>
          <w:szCs w:val="24"/>
        </w:rPr>
        <w:t xml:space="preserve"> </w:t>
      </w:r>
      <w:r w:rsidRPr="00653379">
        <w:rPr>
          <w:rFonts w:cs="Arial"/>
          <w:i/>
          <w:iCs/>
          <w:szCs w:val="24"/>
        </w:rPr>
        <w:t>Medicaid Adult Dental Benefits: An Overview</w:t>
      </w:r>
      <w:r w:rsidRPr="00653379">
        <w:rPr>
          <w:rFonts w:cs="Arial"/>
          <w:szCs w:val="24"/>
        </w:rPr>
        <w:t xml:space="preserve"> (Hamilton, NJ: Center for Health Care Strategies, Inc., July 2018), </w:t>
      </w:r>
      <w:hyperlink r:id="rId63" w:tooltip="https://www.chcs.org/media/Adult-Oral-Health-Fact-Sheet_072718.pdf" w:history="1">
        <w:r w:rsidRPr="00E77F0E">
          <w:rPr>
            <w:rStyle w:val="Hyperlink"/>
            <w:rFonts w:cs="Arial"/>
            <w:color w:val="0000FF"/>
            <w:szCs w:val="24"/>
            <w:u w:color="0000FF"/>
          </w:rPr>
          <w:t>https://www.chcs.org/media/Adult-Oral-Health-Fact-Sheet_072718.pdf</w:t>
        </w:r>
      </w:hyperlink>
      <w:r w:rsidRPr="00653379">
        <w:rPr>
          <w:rFonts w:cs="Arial"/>
          <w:szCs w:val="24"/>
        </w:rPr>
        <w:t>.</w:t>
      </w:r>
    </w:p>
  </w:endnote>
  <w:endnote w:id="91">
    <w:p w14:paraId="3272B7BF" w14:textId="77777777" w:rsidR="00FA329E" w:rsidRPr="00653379" w:rsidRDefault="00FA329E" w:rsidP="00A51250">
      <w:pPr>
        <w:spacing w:after="200" w:line="240" w:lineRule="auto"/>
        <w:rPr>
          <w:rFonts w:eastAsia="Arial" w:cs="Arial"/>
          <w:szCs w:val="24"/>
        </w:rPr>
      </w:pPr>
      <w:r w:rsidRPr="00653379">
        <w:rPr>
          <w:rStyle w:val="EndnoteReference"/>
          <w:rFonts w:cs="Arial"/>
          <w:szCs w:val="24"/>
        </w:rPr>
        <w:endnoteRef/>
      </w:r>
      <w:r w:rsidRPr="00653379">
        <w:rPr>
          <w:rFonts w:eastAsia="Arial" w:cs="Arial"/>
          <w:szCs w:val="24"/>
        </w:rPr>
        <w:t xml:space="preserve"> NCD’s analysis of 2018 T-MSIS data. For this table, NCD used the 2018 Center for Health Care Strategies’ categorization of state Medicaid dental coverage for adults, provided in the MOHPD created for this project to match the date of the T-MSIS data. Details about the MOHPD is available as Appendix C. </w:t>
      </w:r>
    </w:p>
  </w:endnote>
  <w:endnote w:id="92">
    <w:p w14:paraId="75FFE397" w14:textId="77777777" w:rsidR="00FA329E" w:rsidRPr="00653379" w:rsidRDefault="00FA329E" w:rsidP="00A51250">
      <w:pPr>
        <w:spacing w:after="200" w:line="240" w:lineRule="auto"/>
        <w:rPr>
          <w:rFonts w:eastAsia="Arial" w:cs="Arial"/>
          <w:szCs w:val="24"/>
        </w:rPr>
      </w:pPr>
      <w:r w:rsidRPr="00653379">
        <w:rPr>
          <w:rStyle w:val="EndnoteReference"/>
          <w:rFonts w:cs="Arial"/>
          <w:szCs w:val="24"/>
        </w:rPr>
        <w:endnoteRef/>
      </w:r>
      <w:r w:rsidRPr="00653379">
        <w:rPr>
          <w:rFonts w:eastAsia="Arial" w:cs="Arial"/>
          <w:szCs w:val="24"/>
        </w:rPr>
        <w:t xml:space="preserve"> NCD’s analysis of 2018 T-MSIS data. For this table, NCD used the 2018 Center for Health Care Strategies’ categorizations of state dental benefits, provided in the MOHPD created for this project, to match the date of the T-MSIS data. The classification of waivers is provided in the MOHPD Health Policy database and based on NCD’s review of state Medicaid waivers.</w:t>
      </w:r>
    </w:p>
  </w:endnote>
  <w:endnote w:id="93">
    <w:p w14:paraId="74CB0373" w14:textId="43F9EEC6" w:rsidR="00FA329E" w:rsidRPr="00653379" w:rsidRDefault="00FA329E" w:rsidP="00A51250">
      <w:pPr>
        <w:spacing w:after="200" w:line="240" w:lineRule="auto"/>
        <w:rPr>
          <w:rFonts w:cs="Arial"/>
          <w:szCs w:val="24"/>
        </w:rPr>
      </w:pPr>
      <w:r w:rsidRPr="00653379">
        <w:rPr>
          <w:rStyle w:val="EndnoteReference"/>
          <w:rFonts w:cs="Arial"/>
          <w:szCs w:val="24"/>
        </w:rPr>
        <w:endnoteRef/>
      </w:r>
      <w:r w:rsidRPr="00653379">
        <w:rPr>
          <w:rFonts w:cs="Arial"/>
          <w:szCs w:val="24"/>
        </w:rPr>
        <w:t xml:space="preserve"> </w:t>
      </w:r>
      <w:r w:rsidRPr="00653379">
        <w:rPr>
          <w:rFonts w:cs="Arial"/>
          <w:i/>
          <w:iCs/>
          <w:szCs w:val="24"/>
        </w:rPr>
        <w:t>Impact of Increased Dental Reimbursement Rates on Husky A-Insured Children, 2006–2011</w:t>
      </w:r>
      <w:r w:rsidRPr="00653379">
        <w:rPr>
          <w:rFonts w:cs="Arial"/>
          <w:szCs w:val="24"/>
        </w:rPr>
        <w:t xml:space="preserve"> (Hartford: Connecticut Health Foundation. 2013), </w:t>
      </w:r>
      <w:hyperlink r:id="rId64" w:tooltip="https://www.cthealth.org/publication/impact-increased-dental-reimbursement-rates-husky-a-insured-children-2006-2011/" w:history="1">
        <w:r w:rsidRPr="00E77F0E">
          <w:rPr>
            <w:rStyle w:val="Hyperlink"/>
            <w:rFonts w:cs="Arial"/>
            <w:color w:val="0000FF"/>
            <w:szCs w:val="24"/>
            <w:u w:color="0000FF"/>
          </w:rPr>
          <w:t>https://www.cthealth.org/publication/impact-increased-dental-reimbursement-rates-husky-a-insured-children-2006-2011/</w:t>
        </w:r>
      </w:hyperlink>
      <w:r w:rsidRPr="00653379">
        <w:rPr>
          <w:rFonts w:cs="Arial"/>
          <w:szCs w:val="24"/>
        </w:rPr>
        <w:t>.</w:t>
      </w:r>
    </w:p>
  </w:endnote>
  <w:endnote w:id="94">
    <w:p w14:paraId="2B504CB0" w14:textId="77B2D793" w:rsidR="00FA329E" w:rsidRPr="00653379" w:rsidRDefault="00FA329E" w:rsidP="00A51250">
      <w:pPr>
        <w:spacing w:after="200" w:line="240" w:lineRule="auto"/>
        <w:rPr>
          <w:rFonts w:cs="Arial"/>
          <w:szCs w:val="24"/>
        </w:rPr>
      </w:pPr>
      <w:r w:rsidRPr="00653379">
        <w:rPr>
          <w:rStyle w:val="EndnoteReference"/>
          <w:rFonts w:cs="Arial"/>
          <w:szCs w:val="24"/>
        </w:rPr>
        <w:endnoteRef/>
      </w:r>
      <w:r w:rsidRPr="00653379">
        <w:rPr>
          <w:rFonts w:cs="Arial"/>
          <w:szCs w:val="24"/>
        </w:rPr>
        <w:t xml:space="preserve"> Centers for Medicare and Medicaid Services, </w:t>
      </w:r>
      <w:r w:rsidRPr="00653379">
        <w:rPr>
          <w:rFonts w:cs="Arial"/>
          <w:i/>
          <w:iCs/>
          <w:szCs w:val="24"/>
        </w:rPr>
        <w:t>The State Guide to CMS Criteria for Medicaid Managed Care Contract Review and Approval</w:t>
      </w:r>
      <w:r w:rsidRPr="00653379">
        <w:rPr>
          <w:rFonts w:cs="Arial"/>
          <w:szCs w:val="24"/>
        </w:rPr>
        <w:t xml:space="preserve"> (Washington, DC: Centers for Medicare and Medicaid Services, 2017), </w:t>
      </w:r>
      <w:hyperlink r:id="rId65" w:tooltip="https://www.medicaid.gov/sites/default/files/2020-02/mce-checklist-state-user-guide.pdf" w:history="1">
        <w:r w:rsidRPr="00E77F0E">
          <w:rPr>
            <w:rStyle w:val="Hyperlink"/>
            <w:rFonts w:cs="Arial"/>
            <w:color w:val="0000FF"/>
            <w:szCs w:val="24"/>
            <w:u w:color="0000FF"/>
          </w:rPr>
          <w:t>https://www.medicaid.gov/sites/default/files/2020-02/mce-checklist-state-user-guide.pdf</w:t>
        </w:r>
      </w:hyperlink>
      <w:r w:rsidRPr="00E77F0E">
        <w:rPr>
          <w:rFonts w:cs="Arial"/>
          <w:color w:val="0000FF"/>
          <w:szCs w:val="24"/>
          <w:u w:val="single" w:color="0000FF"/>
        </w:rPr>
        <w:t>.</w:t>
      </w:r>
    </w:p>
  </w:endnote>
  <w:endnote w:id="95">
    <w:p w14:paraId="429AC3CB" w14:textId="0E93A5E8" w:rsidR="00FA329E" w:rsidRPr="00653379" w:rsidRDefault="00FA329E" w:rsidP="00A51250">
      <w:pPr>
        <w:pStyle w:val="NormalWeb"/>
        <w:spacing w:before="0" w:beforeAutospacing="0" w:after="200" w:afterAutospacing="0"/>
        <w:rPr>
          <w:rFonts w:ascii="Arial" w:hAnsi="Arial" w:cs="Arial"/>
        </w:rPr>
      </w:pPr>
      <w:r w:rsidRPr="00653379">
        <w:rPr>
          <w:rStyle w:val="EndnoteReference"/>
          <w:rFonts w:ascii="Arial" w:eastAsiaTheme="minorEastAsia" w:hAnsi="Arial" w:cs="Arial"/>
        </w:rPr>
        <w:endnoteRef/>
      </w:r>
      <w:r w:rsidRPr="00653379">
        <w:rPr>
          <w:rFonts w:ascii="Arial" w:eastAsia="Arial" w:hAnsi="Arial" w:cs="Arial"/>
        </w:rPr>
        <w:t xml:space="preserve"> </w:t>
      </w:r>
      <w:r w:rsidRPr="00653379">
        <w:rPr>
          <w:rFonts w:ascii="Arial" w:hAnsi="Arial" w:cs="Arial"/>
        </w:rPr>
        <w:t xml:space="preserve">NCD used location of service in the ED and </w:t>
      </w:r>
      <w:r w:rsidRPr="00653379">
        <w:rPr>
          <w:rFonts w:ascii="Arial" w:hAnsi="Arial" w:cs="Arial"/>
          <w:i/>
          <w:iCs/>
        </w:rPr>
        <w:t>ICD-10</w:t>
      </w:r>
      <w:r w:rsidRPr="00653379">
        <w:rPr>
          <w:rFonts w:ascii="Arial" w:hAnsi="Arial" w:cs="Arial"/>
        </w:rPr>
        <w:t xml:space="preserve"> codes that indicate a nontraumatic dental condition in the ED, as defined by the American Dental Association on behalf of the Dental Quality Alliance (DQA). </w:t>
      </w:r>
      <w:r w:rsidRPr="00653379">
        <w:rPr>
          <w:rFonts w:ascii="Arial" w:hAnsi="Arial" w:cs="Arial"/>
          <w:i/>
          <w:iCs/>
        </w:rPr>
        <w:t>DQA Measure Specifications: Administrative Claims-Based Measures, Ambulatory Care Sensitive Emergency Department Visits for Non-Traumatic Dental Conditions in Adults</w:t>
      </w:r>
      <w:r w:rsidRPr="00653379">
        <w:rPr>
          <w:rFonts w:ascii="Arial" w:hAnsi="Arial" w:cs="Arial"/>
        </w:rPr>
        <w:t xml:space="preserve"> (Dental Quality Alliance, American Dental Association, effective 2022 and accessed September 29, 2021), </w:t>
      </w:r>
      <w:hyperlink r:id="rId66" w:tooltip="https://www.ada.org/~/media/ADA/DQA/2022_Adult_ED_Visits.pdf?la=en" w:history="1">
        <w:r w:rsidRPr="00E77F0E">
          <w:rPr>
            <w:rStyle w:val="Hyperlink"/>
            <w:rFonts w:ascii="Arial" w:eastAsiaTheme="majorEastAsia" w:hAnsi="Arial" w:cs="Arial"/>
          </w:rPr>
          <w:t>https://www.ada.org/~/media/ADA/DQA/2022_Adult_ED_Visits.pdf?la=en</w:t>
        </w:r>
      </w:hyperlink>
      <w:r w:rsidRPr="00E77F0E">
        <w:rPr>
          <w:rStyle w:val="Hyperlink"/>
          <w:rFonts w:ascii="Arial" w:eastAsiaTheme="majorEastAsia" w:hAnsi="Arial" w:cs="Arial"/>
          <w:color w:val="auto"/>
          <w:u w:val="none"/>
        </w:rPr>
        <w:t xml:space="preserve"> (free account creation required to access)</w:t>
      </w:r>
      <w:r w:rsidRPr="00E77F0E">
        <w:rPr>
          <w:rFonts w:ascii="Arial" w:hAnsi="Arial" w:cs="Arial"/>
        </w:rPr>
        <w:t>.</w:t>
      </w:r>
    </w:p>
  </w:endnote>
  <w:endnote w:id="96">
    <w:p w14:paraId="46562401" w14:textId="77777777" w:rsidR="00FA329E" w:rsidRPr="00653379" w:rsidRDefault="00FA329E" w:rsidP="00A51250">
      <w:pPr>
        <w:spacing w:after="200" w:line="240" w:lineRule="auto"/>
        <w:rPr>
          <w:rFonts w:eastAsia="Arial" w:cs="Arial"/>
          <w:szCs w:val="24"/>
        </w:rPr>
      </w:pPr>
      <w:r w:rsidRPr="00653379">
        <w:rPr>
          <w:rStyle w:val="EndnoteReference"/>
          <w:rFonts w:cs="Arial"/>
          <w:szCs w:val="24"/>
        </w:rPr>
        <w:endnoteRef/>
      </w:r>
      <w:r w:rsidRPr="00653379">
        <w:rPr>
          <w:rFonts w:eastAsia="Arial" w:cs="Arial"/>
          <w:szCs w:val="24"/>
        </w:rPr>
        <w:t xml:space="preserve"> NCD’s analysis of 2018 T-MSIS data. For this table, NCD used the July 2018 Center for Health Care Strategies’ categorizations of state dental benefits, provided in the MOHPD created for this project to match the date of the T-MSIS data.</w:t>
      </w:r>
    </w:p>
  </w:endnote>
  <w:endnote w:id="97">
    <w:p w14:paraId="71B00B5C" w14:textId="77777777" w:rsidR="00FA329E" w:rsidRPr="00653379" w:rsidRDefault="00FA329E" w:rsidP="00A51250">
      <w:pPr>
        <w:pBdr>
          <w:top w:val="nil"/>
          <w:left w:val="nil"/>
          <w:bottom w:val="nil"/>
          <w:right w:val="nil"/>
          <w:between w:val="nil"/>
        </w:pBdr>
        <w:spacing w:after="200" w:line="240" w:lineRule="auto"/>
        <w:rPr>
          <w:rFonts w:cs="Arial"/>
          <w:szCs w:val="24"/>
        </w:rPr>
      </w:pPr>
      <w:r w:rsidRPr="00653379">
        <w:rPr>
          <w:rStyle w:val="EndnoteReference"/>
          <w:rFonts w:cs="Arial"/>
          <w:szCs w:val="24"/>
        </w:rPr>
        <w:endnoteRef/>
      </w:r>
      <w:r w:rsidRPr="00653379">
        <w:rPr>
          <w:rFonts w:cs="Arial"/>
          <w:szCs w:val="24"/>
        </w:rPr>
        <w:t xml:space="preserve"> </w:t>
      </w:r>
      <w:r w:rsidRPr="00653379">
        <w:rPr>
          <w:rFonts w:eastAsia="Arial" w:cs="Arial"/>
          <w:szCs w:val="24"/>
        </w:rPr>
        <w:t>This figure is taken from Figure 1, which provides estimates of receipt of basic dental care by state policy. This analysis focuses on a comparison between states with no or emergency-only dental coverage and limited or extensive dental coverage. We do not estimate the cost of implementing waivers to cover dental services, because waivers are targeted to certain populations and do not necessarily provide coverage to all adults with I/DD in the state.</w:t>
      </w:r>
    </w:p>
  </w:endnote>
  <w:endnote w:id="98">
    <w:p w14:paraId="09B0AFD4" w14:textId="77777777" w:rsidR="00FA329E" w:rsidRPr="00653379" w:rsidRDefault="00FA329E" w:rsidP="00A51250">
      <w:pPr>
        <w:pBdr>
          <w:top w:val="nil"/>
          <w:left w:val="nil"/>
          <w:bottom w:val="nil"/>
          <w:right w:val="nil"/>
          <w:between w:val="nil"/>
        </w:pBdr>
        <w:spacing w:after="200" w:line="240" w:lineRule="auto"/>
        <w:rPr>
          <w:rFonts w:cs="Arial"/>
          <w:szCs w:val="24"/>
        </w:rPr>
      </w:pPr>
      <w:r w:rsidRPr="00653379">
        <w:rPr>
          <w:rStyle w:val="EndnoteReference"/>
          <w:rFonts w:cs="Arial"/>
          <w:szCs w:val="24"/>
        </w:rPr>
        <w:endnoteRef/>
      </w:r>
      <w:r w:rsidRPr="00653379">
        <w:rPr>
          <w:rFonts w:cs="Arial"/>
          <w:szCs w:val="24"/>
        </w:rPr>
        <w:t xml:space="preserve"> </w:t>
      </w:r>
      <w:r w:rsidRPr="00653379">
        <w:rPr>
          <w:rFonts w:eastAsia="Arial" w:cs="Arial"/>
          <w:szCs w:val="24"/>
        </w:rPr>
        <w:t>This was estimated from a state-by-state analysis of 2018 T-MSIS data.</w:t>
      </w:r>
    </w:p>
  </w:endnote>
  <w:endnote w:id="99">
    <w:p w14:paraId="5A55FE9A" w14:textId="7AA74E78" w:rsidR="00FA329E" w:rsidRPr="00653379" w:rsidRDefault="00FA329E" w:rsidP="00A51250">
      <w:pPr>
        <w:spacing w:after="200" w:line="240" w:lineRule="auto"/>
        <w:rPr>
          <w:rFonts w:cs="Arial"/>
          <w:szCs w:val="24"/>
        </w:rPr>
      </w:pPr>
      <w:r w:rsidRPr="00653379">
        <w:rPr>
          <w:rStyle w:val="EndnoteReference"/>
          <w:rFonts w:cs="Arial"/>
          <w:szCs w:val="24"/>
        </w:rPr>
        <w:endnoteRef/>
      </w:r>
      <w:r w:rsidRPr="00653379">
        <w:rPr>
          <w:rFonts w:cs="Arial"/>
          <w:szCs w:val="24"/>
        </w:rPr>
        <w:t xml:space="preserve">NCD used an estimate of $547, drawn from the cost per person with developmental disabilities to receive basic dental coverage, through a recent Texas waiver program, which included a cap of $1,000 annually. Texas Health and Human Services Commission, </w:t>
      </w:r>
      <w:r w:rsidRPr="00653379">
        <w:rPr>
          <w:rFonts w:cs="Arial"/>
          <w:i/>
          <w:iCs/>
          <w:szCs w:val="24"/>
        </w:rPr>
        <w:t>Dental Services for Adults with Disabilities</w:t>
      </w:r>
      <w:r w:rsidRPr="00653379">
        <w:rPr>
          <w:rFonts w:cs="Arial"/>
          <w:szCs w:val="24"/>
        </w:rPr>
        <w:t xml:space="preserve"> (Austin: Texas Health and Human Services, 2018), </w:t>
      </w:r>
      <w:hyperlink r:id="rId67" w:tooltip="https://www.hhs.texas.gov/sites/default/files/documents/laws-regulations/reports-presentations/2018/hb-3295-sb-1-dental-services-adults-disabilities-dec-2018.pdf" w:history="1">
        <w:r w:rsidRPr="00E77F0E">
          <w:rPr>
            <w:rStyle w:val="Hyperlink"/>
            <w:rFonts w:cs="Arial"/>
            <w:color w:val="0000FF"/>
            <w:szCs w:val="24"/>
            <w:u w:color="0000FF"/>
          </w:rPr>
          <w:t>https://www.hhs.texas.gov/sites/default/files/documents/laws-regulations/reports-presentations/2018/hb-3295-sb-1-dental-services-adults-disabilities-dec-2018.pdf</w:t>
        </w:r>
      </w:hyperlink>
      <w:r w:rsidRPr="00653379">
        <w:rPr>
          <w:rFonts w:cs="Arial"/>
          <w:szCs w:val="24"/>
        </w:rPr>
        <w:t xml:space="preserve">. This estimate was specifically for people with developmental disabilities and fell within the range of estimates available for the cost of dental care. For example, the Texas Health Institute’s 2021 report, </w:t>
      </w:r>
      <w:r w:rsidRPr="00653379">
        <w:rPr>
          <w:rFonts w:cs="Arial"/>
          <w:i/>
          <w:iCs/>
          <w:szCs w:val="24"/>
        </w:rPr>
        <w:t>Implementing a Dental Benefit for Adults with Disabilities Can Yield Significant Cost Savings</w:t>
      </w:r>
      <w:r w:rsidRPr="00653379">
        <w:rPr>
          <w:rFonts w:cs="Arial"/>
          <w:szCs w:val="24"/>
        </w:rPr>
        <w:t xml:space="preserve">, used a $152 cost of a single dental visit annually, which was derived from costs for the general adult population. A 2020 analysis by ADA HPI, </w:t>
      </w:r>
      <w:r w:rsidRPr="00653379">
        <w:rPr>
          <w:rFonts w:cs="Arial"/>
          <w:i/>
          <w:iCs/>
          <w:szCs w:val="24"/>
        </w:rPr>
        <w:t>Estimating the Cost of Introducing a Medicaid Dental Benefit in Virginia</w:t>
      </w:r>
      <w:r w:rsidRPr="00653379">
        <w:rPr>
          <w:rFonts w:cs="Arial"/>
          <w:szCs w:val="24"/>
        </w:rPr>
        <w:t xml:space="preserve">, placed the average cost of dental care in states that provide comprehensive dental coverage at $619. M. Vujicic, R. Starkel, and B. Harrison, </w:t>
      </w:r>
      <w:r w:rsidRPr="00653379">
        <w:rPr>
          <w:rFonts w:cs="Arial"/>
          <w:i/>
          <w:iCs/>
          <w:szCs w:val="24"/>
        </w:rPr>
        <w:t>Estimating the Cost of Introducing Comprehensive Adult Medicaid Dental Benefits in Virginia</w:t>
      </w:r>
      <w:r w:rsidRPr="00653379">
        <w:rPr>
          <w:rFonts w:cs="Arial"/>
          <w:szCs w:val="24"/>
        </w:rPr>
        <w:t xml:space="preserve"> (Chicago: Health Policy Institute, American Dental Association, 2020), </w:t>
      </w:r>
      <w:hyperlink r:id="rId68" w:tooltip="https://vahealthcatalyst.org/wp-content/uploads/2020/01/HPI-Report-with-Intro-Letter.pdf" w:history="1">
        <w:r w:rsidRPr="00E77F0E">
          <w:rPr>
            <w:rStyle w:val="Hyperlink"/>
            <w:rFonts w:cs="Arial"/>
            <w:color w:val="0000FF"/>
            <w:szCs w:val="24"/>
            <w:u w:color="0000FF"/>
          </w:rPr>
          <w:t>https://vahealthcatalyst.org/wp-content/uploads/2020/01/HPI-Report-with-Intro-Letter.pdf</w:t>
        </w:r>
      </w:hyperlink>
      <w:r w:rsidRPr="00653379">
        <w:rPr>
          <w:rFonts w:cs="Arial"/>
          <w:szCs w:val="24"/>
        </w:rPr>
        <w:t>.</w:t>
      </w:r>
    </w:p>
  </w:endnote>
  <w:endnote w:id="100">
    <w:p w14:paraId="301548B1" w14:textId="77777777" w:rsidR="00FA329E" w:rsidRPr="00653379" w:rsidRDefault="00FA329E" w:rsidP="00A51250">
      <w:pPr>
        <w:pBdr>
          <w:top w:val="nil"/>
          <w:left w:val="nil"/>
          <w:bottom w:val="nil"/>
          <w:right w:val="nil"/>
          <w:between w:val="nil"/>
        </w:pBdr>
        <w:spacing w:after="200" w:line="240" w:lineRule="auto"/>
        <w:rPr>
          <w:rFonts w:eastAsia="Arial" w:cs="Arial"/>
          <w:szCs w:val="24"/>
        </w:rPr>
      </w:pPr>
      <w:r w:rsidRPr="00653379">
        <w:rPr>
          <w:rStyle w:val="EndnoteReference"/>
          <w:rFonts w:cs="Arial"/>
          <w:szCs w:val="24"/>
        </w:rPr>
        <w:endnoteRef/>
      </w:r>
      <w:r w:rsidRPr="00653379">
        <w:rPr>
          <w:rFonts w:cs="Arial"/>
          <w:szCs w:val="24"/>
        </w:rPr>
        <w:t xml:space="preserve"> NCD </w:t>
      </w:r>
      <w:r w:rsidRPr="00653379">
        <w:rPr>
          <w:rFonts w:eastAsia="Arial" w:cs="Arial"/>
          <w:szCs w:val="24"/>
        </w:rPr>
        <w:t>used the average median salary of dentists, collected from the U.S. Bureau of Labor Statistics, and provided in the Medicaid Oral Health Policy database created for this project, to adjust these figures for state variation in costs.</w:t>
      </w:r>
    </w:p>
  </w:endnote>
  <w:endnote w:id="101">
    <w:p w14:paraId="3B92739C" w14:textId="77777777" w:rsidR="00FA329E" w:rsidRPr="00653379" w:rsidRDefault="00FA329E" w:rsidP="00A51250">
      <w:pPr>
        <w:pStyle w:val="EndnoteText"/>
        <w:spacing w:after="200"/>
        <w:rPr>
          <w:rFonts w:cs="Arial"/>
          <w:szCs w:val="24"/>
        </w:rPr>
      </w:pPr>
      <w:r w:rsidRPr="00653379">
        <w:rPr>
          <w:rStyle w:val="EndnoteReference"/>
          <w:rFonts w:eastAsiaTheme="minorEastAsia" w:cs="Arial"/>
          <w:szCs w:val="24"/>
        </w:rPr>
        <w:endnoteRef/>
      </w:r>
      <w:r w:rsidRPr="00653379">
        <w:rPr>
          <w:rFonts w:cs="Arial"/>
          <w:szCs w:val="24"/>
        </w:rPr>
        <w:t xml:space="preserve"> An umbrella review is a systematic review of previously conducted reviews of rigorous research. An umbrella review provides a rigorous comprehensive assessment of the scientific literature.</w:t>
      </w:r>
    </w:p>
  </w:endnote>
  <w:endnote w:id="102">
    <w:p w14:paraId="7C6A022F" w14:textId="77777777" w:rsidR="00FA329E" w:rsidRPr="00653379" w:rsidRDefault="00FA329E" w:rsidP="00A51250">
      <w:pPr>
        <w:spacing w:after="200" w:line="240" w:lineRule="auto"/>
        <w:rPr>
          <w:rFonts w:eastAsia="Times New Roman" w:cs="Arial"/>
          <w:szCs w:val="24"/>
        </w:rPr>
      </w:pPr>
      <w:r w:rsidRPr="00653379">
        <w:rPr>
          <w:rStyle w:val="EndnoteReference"/>
          <w:rFonts w:cs="Arial"/>
          <w:szCs w:val="24"/>
        </w:rPr>
        <w:endnoteRef/>
      </w:r>
      <w:r w:rsidRPr="00653379">
        <w:rPr>
          <w:rFonts w:cs="Arial"/>
          <w:szCs w:val="24"/>
        </w:rPr>
        <w:t xml:space="preserve"> </w:t>
      </w:r>
      <w:r w:rsidRPr="00653379">
        <w:rPr>
          <w:rFonts w:eastAsia="Times New Roman" w:cs="Arial"/>
          <w:szCs w:val="24"/>
          <w:shd w:val="clear" w:color="auto" w:fill="FFFFFF"/>
        </w:rPr>
        <w:t>Seitz et al., “Current Knowledge on Correlations,” 2019.</w:t>
      </w:r>
    </w:p>
  </w:endnote>
  <w:endnote w:id="103">
    <w:p w14:paraId="09E2AF1A" w14:textId="2DB264E8" w:rsidR="00FA329E" w:rsidRPr="00653379" w:rsidRDefault="00FA329E" w:rsidP="00A51250">
      <w:pPr>
        <w:spacing w:after="200" w:line="240" w:lineRule="auto"/>
        <w:rPr>
          <w:rFonts w:cs="Arial"/>
          <w:szCs w:val="24"/>
        </w:rPr>
      </w:pPr>
      <w:r w:rsidRPr="00653379">
        <w:rPr>
          <w:rStyle w:val="EndnoteReference"/>
          <w:rFonts w:cs="Arial"/>
          <w:szCs w:val="24"/>
        </w:rPr>
        <w:endnoteRef/>
      </w:r>
      <w:r w:rsidRPr="00653379">
        <w:rPr>
          <w:rFonts w:eastAsia="Arial" w:cs="Arial"/>
          <w:szCs w:val="24"/>
        </w:rPr>
        <w:t xml:space="preserve"> </w:t>
      </w:r>
      <w:r w:rsidRPr="00653379">
        <w:rPr>
          <w:rFonts w:cs="Arial"/>
          <w:szCs w:val="24"/>
        </w:rPr>
        <w:t xml:space="preserve">National Association of Dental Plans, “NADP Analysis Shows Adults with Medicaid Preventive Dental Benefits Have Lower Medical Costs for Chronic Conditions,” Press Release (November 23, 2017), accessed September 29, 2021, </w:t>
      </w:r>
      <w:hyperlink r:id="rId69" w:tooltip="https://www.nadp.org/PressReleases/2017/11/23/nadp-analysis-shows-adults-with-medicaid-preventive-dental-benefits-have-lower-medical-costs-for-chronic-conditions" w:history="1">
        <w:r w:rsidRPr="00E77F0E">
          <w:rPr>
            <w:rStyle w:val="Hyperlink"/>
            <w:rFonts w:cs="Arial"/>
            <w:color w:val="0000FF"/>
            <w:szCs w:val="24"/>
            <w:u w:color="0000FF"/>
          </w:rPr>
          <w:t>https://www.nadp.org/PressReleases/2017/11/23/nadp-analysis-shows-adults-with-medicaid-preventive-dental-benefits-have-lower-medical-costs-for-chronic-conditions</w:t>
        </w:r>
      </w:hyperlink>
      <w:r w:rsidRPr="00653379">
        <w:rPr>
          <w:rFonts w:cs="Arial"/>
          <w:szCs w:val="24"/>
        </w:rPr>
        <w:t xml:space="preserve">. Studies have shown associations between receiving preventive care and reduced costs of treatment for a range of chronic conditions. However, the strongest and most consistent links for reduced cost of care are for diabetes and coronary artery disease. See Yarbrough et al., </w:t>
      </w:r>
      <w:r w:rsidRPr="00653379">
        <w:rPr>
          <w:rFonts w:cs="Arial"/>
          <w:i/>
          <w:iCs/>
          <w:szCs w:val="24"/>
        </w:rPr>
        <w:t>Estimating the Cost of Introducing a Medicaid Adult Dental Benefit</w:t>
      </w:r>
      <w:r w:rsidRPr="00653379">
        <w:rPr>
          <w:rFonts w:cs="Arial"/>
          <w:szCs w:val="24"/>
        </w:rPr>
        <w:t>, 2016.</w:t>
      </w:r>
    </w:p>
  </w:endnote>
  <w:endnote w:id="104">
    <w:p w14:paraId="58642CD2" w14:textId="73D70095" w:rsidR="00FA329E" w:rsidRPr="00653379" w:rsidRDefault="00FA329E" w:rsidP="00A51250">
      <w:pPr>
        <w:spacing w:after="200" w:line="240" w:lineRule="auto"/>
        <w:rPr>
          <w:rFonts w:eastAsia="Times New Roman" w:cs="Arial"/>
          <w:szCs w:val="24"/>
        </w:rPr>
      </w:pPr>
      <w:r w:rsidRPr="00653379">
        <w:rPr>
          <w:rStyle w:val="EndnoteReference"/>
          <w:rFonts w:cs="Arial"/>
          <w:szCs w:val="24"/>
        </w:rPr>
        <w:endnoteRef/>
      </w:r>
      <w:r w:rsidRPr="00653379">
        <w:rPr>
          <w:rFonts w:cs="Arial"/>
          <w:szCs w:val="24"/>
        </w:rPr>
        <w:t xml:space="preserve"> </w:t>
      </w:r>
      <w:r w:rsidRPr="00653379">
        <w:rPr>
          <w:rFonts w:eastAsia="Times New Roman" w:cs="Arial"/>
          <w:szCs w:val="24"/>
        </w:rPr>
        <w:t xml:space="preserve">K.D. Smith, </w:t>
      </w:r>
      <w:r w:rsidRPr="00653379">
        <w:rPr>
          <w:rFonts w:eastAsia="Times New Roman" w:cs="Arial"/>
          <w:i/>
          <w:iCs/>
          <w:szCs w:val="24"/>
        </w:rPr>
        <w:t>Implementing a Medicaid Dental Benefit for Adults with Disabilities Can Yield Significant Cost Savings</w:t>
      </w:r>
      <w:r w:rsidRPr="00653379">
        <w:rPr>
          <w:rFonts w:eastAsia="Times New Roman" w:cs="Arial"/>
          <w:szCs w:val="24"/>
        </w:rPr>
        <w:t xml:space="preserve"> (Austin: Texas Health Institute, 2021).</w:t>
      </w:r>
      <w:r w:rsidRPr="00653379">
        <w:rPr>
          <w:rFonts w:cs="Arial"/>
          <w:szCs w:val="24"/>
        </w:rPr>
        <w:t xml:space="preserve"> </w:t>
      </w:r>
    </w:p>
  </w:endnote>
  <w:endnote w:id="105">
    <w:p w14:paraId="16184CDB" w14:textId="217E293A" w:rsidR="00FA329E" w:rsidRPr="00653379" w:rsidRDefault="00FA329E" w:rsidP="00A51250">
      <w:pPr>
        <w:spacing w:after="200" w:line="240" w:lineRule="auto"/>
        <w:rPr>
          <w:rFonts w:cs="Arial"/>
          <w:szCs w:val="24"/>
        </w:rPr>
      </w:pPr>
      <w:r w:rsidRPr="00653379">
        <w:rPr>
          <w:rStyle w:val="EndnoteReference"/>
          <w:rFonts w:cs="Arial"/>
          <w:szCs w:val="24"/>
        </w:rPr>
        <w:endnoteRef/>
      </w:r>
      <w:r w:rsidRPr="00653379">
        <w:rPr>
          <w:rFonts w:eastAsia="Arial" w:cs="Arial"/>
          <w:szCs w:val="24"/>
        </w:rPr>
        <w:t xml:space="preserve"> </w:t>
      </w:r>
      <w:r w:rsidRPr="00653379">
        <w:rPr>
          <w:rFonts w:cs="Arial"/>
          <w:szCs w:val="24"/>
        </w:rPr>
        <w:t xml:space="preserve">C. Yarbrough, </w:t>
      </w:r>
      <w:r w:rsidRPr="00653379">
        <w:rPr>
          <w:rFonts w:cs="Arial"/>
          <w:i/>
          <w:iCs/>
          <w:szCs w:val="24"/>
        </w:rPr>
        <w:t>Estimating the Cost of Introducing a Medicaid Adult Dental Benefit in Texas STAR Plus Program</w:t>
      </w:r>
      <w:r w:rsidRPr="00653379">
        <w:rPr>
          <w:rFonts w:cs="Arial"/>
          <w:szCs w:val="24"/>
        </w:rPr>
        <w:t xml:space="preserve"> (Chicago: American Dental Association, Health Policy Institute, 2020), </w:t>
      </w:r>
      <w:hyperlink r:id="rId70" w:tooltip="https://www.txdisabilities.org/public/upload/files/general/Texas_Estimate_-_4.22.pdf" w:history="1">
        <w:r w:rsidRPr="00E77F0E">
          <w:rPr>
            <w:rStyle w:val="Hyperlink"/>
            <w:rFonts w:cs="Arial"/>
            <w:color w:val="0000FF"/>
            <w:szCs w:val="24"/>
            <w:u w:color="0000FF"/>
          </w:rPr>
          <w:t>https://www.txdisabilities.org/public/upload/files/general/Texas_Estimate_-_4.22.pdf</w:t>
        </w:r>
      </w:hyperlink>
      <w:r w:rsidRPr="00653379">
        <w:rPr>
          <w:rFonts w:cs="Arial"/>
          <w:szCs w:val="24"/>
        </w:rPr>
        <w:t xml:space="preserve">. </w:t>
      </w:r>
    </w:p>
  </w:endnote>
  <w:endnote w:id="106">
    <w:p w14:paraId="3D493BDC" w14:textId="6B956317" w:rsidR="00FA329E" w:rsidRPr="00653379" w:rsidRDefault="00FA329E" w:rsidP="00A51250">
      <w:pPr>
        <w:spacing w:after="200" w:line="240" w:lineRule="auto"/>
        <w:rPr>
          <w:rFonts w:cs="Arial"/>
          <w:szCs w:val="24"/>
        </w:rPr>
      </w:pPr>
      <w:r w:rsidRPr="00653379">
        <w:rPr>
          <w:rStyle w:val="EndnoteReference"/>
          <w:rFonts w:cs="Arial"/>
          <w:szCs w:val="24"/>
        </w:rPr>
        <w:endnoteRef/>
      </w:r>
      <w:r w:rsidRPr="00653379">
        <w:rPr>
          <w:rFonts w:cs="Arial"/>
          <w:szCs w:val="24"/>
        </w:rPr>
        <w:t xml:space="preserve"> </w:t>
      </w:r>
      <w:r w:rsidRPr="00653379">
        <w:rPr>
          <w:rFonts w:eastAsia="Times New Roman" w:cs="Arial"/>
          <w:szCs w:val="24"/>
        </w:rPr>
        <w:t xml:space="preserve">NCD calculated the number of adult Medicaid beneficiaries with I/DD who received nonemergency dental care in the ED by state, using 2018 T-MSIS data. NCD then multiplied this number by 50 percent, based on the research of ADA HPI suggesting that ED visits for nontraumatic dental care are reduced by 50 percent, using conservative estimates, within three years of implementation of a comprehensive dental benefit in Medicaid. Please see, for example, M. Vujicic, </w:t>
      </w:r>
      <w:r w:rsidRPr="00653379">
        <w:rPr>
          <w:rFonts w:eastAsia="Times New Roman" w:cs="Arial"/>
          <w:i/>
          <w:iCs/>
          <w:szCs w:val="24"/>
        </w:rPr>
        <w:t>Estimating the Cost of Introducing Comprehensive Adult Medicaid Dental Benefits in Hawaii</w:t>
      </w:r>
      <w:r w:rsidRPr="00653379">
        <w:rPr>
          <w:rFonts w:eastAsia="Times New Roman" w:cs="Arial"/>
          <w:szCs w:val="24"/>
        </w:rPr>
        <w:t xml:space="preserve"> (Chicago: Health Policy Institute, American Dental Association, 2020), </w:t>
      </w:r>
      <w:r w:rsidRPr="00A2135F">
        <w:rPr>
          <w:rFonts w:cs="Arial"/>
          <w:color w:val="0000FF"/>
          <w:szCs w:val="24"/>
          <w:u w:val="single"/>
        </w:rPr>
        <w:t>https://www.ada.org/~/media/ADA/Science%20and%20Research/HPI/Files/HPIbrief_0220_1.pdf</w:t>
      </w:r>
      <w:r w:rsidRPr="00A2135F">
        <w:rPr>
          <w:rStyle w:val="Hyperlink"/>
          <w:rFonts w:cs="Arial"/>
          <w:color w:val="auto"/>
          <w:szCs w:val="24"/>
          <w:u w:val="none"/>
        </w:rPr>
        <w:t xml:space="preserve"> (free account creation required to access)</w:t>
      </w:r>
      <w:r w:rsidRPr="00653379">
        <w:rPr>
          <w:rFonts w:cs="Arial"/>
          <w:szCs w:val="24"/>
        </w:rPr>
        <w:t>.</w:t>
      </w:r>
    </w:p>
  </w:endnote>
  <w:endnote w:id="107">
    <w:p w14:paraId="3D8A39A5" w14:textId="4B5C1FFD" w:rsidR="00FA329E" w:rsidRPr="00653379" w:rsidRDefault="00FA329E" w:rsidP="00A51250">
      <w:pPr>
        <w:spacing w:after="200" w:line="240" w:lineRule="auto"/>
        <w:rPr>
          <w:rFonts w:cs="Arial"/>
          <w:szCs w:val="24"/>
        </w:rPr>
      </w:pPr>
      <w:r w:rsidRPr="00653379">
        <w:rPr>
          <w:rStyle w:val="EndnoteReference"/>
          <w:rFonts w:cs="Arial"/>
          <w:szCs w:val="24"/>
        </w:rPr>
        <w:endnoteRef/>
      </w:r>
      <w:r w:rsidRPr="00653379">
        <w:rPr>
          <w:rFonts w:eastAsia="Arial" w:cs="Arial"/>
          <w:szCs w:val="24"/>
        </w:rPr>
        <w:t xml:space="preserve"> </w:t>
      </w:r>
      <w:r w:rsidRPr="00653379">
        <w:rPr>
          <w:rFonts w:cs="Arial"/>
          <w:szCs w:val="24"/>
        </w:rPr>
        <w:t xml:space="preserve">National Association of Dental Plans, “NADP Analysis Shows Adults with Medicaid Preventive Dental Benefits Have Lower Medical Costs for Chronic Conditions,” Press Release (November 23, 2017), accessed September 29, 2021, </w:t>
      </w:r>
      <w:hyperlink r:id="rId71" w:tooltip="https://www.nadp.org/PressReleases/2017/11/23/nadp-analysis-shows-adults-with-medicaid-preventive-dental-benefits-have-lower-medical-costs-for-chronic-conditions" w:history="1">
        <w:r w:rsidRPr="00A2135F">
          <w:rPr>
            <w:rStyle w:val="Hyperlink"/>
            <w:rFonts w:cs="Arial"/>
            <w:color w:val="0000FF"/>
            <w:szCs w:val="24"/>
            <w:u w:color="0000FF"/>
          </w:rPr>
          <w:t>https://www.nadp.org/PressReleases/2017/11/23/nadp-analysis-shows-adults-with-medicaid-preventive-dental-benefits-have-lower-medical-costs-for-chronic-conditions</w:t>
        </w:r>
      </w:hyperlink>
      <w:r w:rsidRPr="00653379">
        <w:rPr>
          <w:rFonts w:cs="Arial"/>
          <w:szCs w:val="24"/>
        </w:rPr>
        <w:t xml:space="preserve">. </w:t>
      </w:r>
    </w:p>
  </w:endnote>
  <w:endnote w:id="108">
    <w:p w14:paraId="7AD236CB" w14:textId="1E8B9191" w:rsidR="00FA329E" w:rsidRPr="00653379" w:rsidRDefault="00FA329E" w:rsidP="00A51250">
      <w:pPr>
        <w:spacing w:after="200" w:line="240" w:lineRule="auto"/>
        <w:rPr>
          <w:rFonts w:eastAsia="Times New Roman" w:cs="Arial"/>
          <w:szCs w:val="24"/>
        </w:rPr>
      </w:pPr>
      <w:r w:rsidRPr="00653379">
        <w:rPr>
          <w:rStyle w:val="EndnoteReference"/>
          <w:rFonts w:cs="Arial"/>
          <w:szCs w:val="24"/>
        </w:rPr>
        <w:endnoteRef/>
      </w:r>
      <w:r w:rsidRPr="00653379">
        <w:rPr>
          <w:rFonts w:cs="Arial"/>
          <w:szCs w:val="24"/>
        </w:rPr>
        <w:t xml:space="preserve"> </w:t>
      </w:r>
      <w:r w:rsidRPr="00653379">
        <w:rPr>
          <w:rFonts w:eastAsia="Times New Roman" w:cs="Arial"/>
          <w:szCs w:val="24"/>
        </w:rPr>
        <w:t xml:space="preserve">S. Rosenbaum, R.D. Mauery, P. Shin, and J. Hidalgo, </w:t>
      </w:r>
      <w:r w:rsidRPr="00653379">
        <w:rPr>
          <w:rFonts w:eastAsia="Times New Roman" w:cs="Arial"/>
          <w:i/>
          <w:iCs/>
          <w:szCs w:val="24"/>
        </w:rPr>
        <w:t>National Security and U.S. Child Health Policy: The Origins and Continuing Role of Medicaid and EPSDT</w:t>
      </w:r>
      <w:r w:rsidRPr="00653379">
        <w:rPr>
          <w:rFonts w:eastAsia="Times New Roman" w:cs="Arial"/>
          <w:szCs w:val="24"/>
        </w:rPr>
        <w:t xml:space="preserve"> (Washington, DC: Department of Health Policy, George Washington University School of Public Health and Health Services, 2005), </w:t>
      </w:r>
      <w:hyperlink r:id="rId72" w:tooltip="https://publichealth.gwu.edu/departments/healthpolicy/CHPR/downloads/mil_prep042605.pdf" w:history="1">
        <w:r w:rsidRPr="00A2135F">
          <w:rPr>
            <w:rStyle w:val="Hyperlink"/>
            <w:rFonts w:eastAsia="Times New Roman" w:cs="Arial"/>
            <w:color w:val="0000FF"/>
            <w:szCs w:val="24"/>
            <w:u w:color="0000FF"/>
          </w:rPr>
          <w:t>https://publichealth.gwu.edu/departments/healthpolicy/CHPR/downloads/mil_prep042605.pdf</w:t>
        </w:r>
      </w:hyperlink>
      <w:r w:rsidRPr="00653379">
        <w:rPr>
          <w:rFonts w:eastAsia="Times New Roman" w:cs="Arial"/>
          <w:szCs w:val="24"/>
        </w:rPr>
        <w:t>.</w:t>
      </w:r>
    </w:p>
  </w:endnote>
  <w:endnote w:id="109">
    <w:p w14:paraId="6D8D115D" w14:textId="1B94FF5A" w:rsidR="00FA329E" w:rsidRPr="00653379" w:rsidRDefault="00FA329E" w:rsidP="00A51250">
      <w:pPr>
        <w:spacing w:after="200" w:line="240" w:lineRule="auto"/>
        <w:rPr>
          <w:rFonts w:cs="Arial"/>
          <w:szCs w:val="24"/>
        </w:rPr>
      </w:pPr>
      <w:r w:rsidRPr="00653379">
        <w:rPr>
          <w:rStyle w:val="EndnoteReference"/>
          <w:rFonts w:cs="Arial"/>
          <w:szCs w:val="24"/>
        </w:rPr>
        <w:endnoteRef/>
      </w:r>
      <w:r w:rsidRPr="00653379">
        <w:rPr>
          <w:rFonts w:eastAsia="Arial" w:cs="Arial"/>
          <w:szCs w:val="24"/>
        </w:rPr>
        <w:t xml:space="preserve"> </w:t>
      </w:r>
      <w:r w:rsidRPr="00653379">
        <w:rPr>
          <w:rFonts w:cs="Arial"/>
          <w:szCs w:val="24"/>
        </w:rPr>
        <w:t xml:space="preserve">Louisiana State Act No. 450, Revision to Louisiana Revised Statutes of 1950 (2021), </w:t>
      </w:r>
      <w:hyperlink r:id="rId73" w:tooltip="https://www.legis.la.gov/legis/ViewDocument.aspx?d=1236011" w:history="1">
        <w:r w:rsidRPr="00A2135F">
          <w:rPr>
            <w:rStyle w:val="Hyperlink"/>
            <w:rFonts w:cs="Arial"/>
            <w:color w:val="0000FF"/>
            <w:szCs w:val="24"/>
            <w:u w:color="0000FF"/>
          </w:rPr>
          <w:t>https://www.legis.la.gov/legis/ViewDocument.aspx?d=1236011</w:t>
        </w:r>
      </w:hyperlink>
      <w:r w:rsidRPr="00653379">
        <w:rPr>
          <w:rFonts w:cs="Arial"/>
          <w:szCs w:val="24"/>
        </w:rPr>
        <w:t xml:space="preserve">. </w:t>
      </w:r>
    </w:p>
  </w:endnote>
  <w:endnote w:id="110">
    <w:p w14:paraId="57E01425" w14:textId="31480E8B" w:rsidR="00FA329E" w:rsidRPr="00653379" w:rsidRDefault="00FA329E" w:rsidP="00A51250">
      <w:pPr>
        <w:spacing w:after="200" w:line="240" w:lineRule="auto"/>
        <w:rPr>
          <w:rFonts w:eastAsia="Times New Roman" w:cs="Arial"/>
          <w:szCs w:val="24"/>
        </w:rPr>
      </w:pPr>
      <w:r w:rsidRPr="00653379">
        <w:rPr>
          <w:rStyle w:val="EndnoteReference"/>
          <w:rFonts w:cs="Arial"/>
          <w:szCs w:val="24"/>
        </w:rPr>
        <w:endnoteRef/>
      </w:r>
      <w:r w:rsidRPr="00653379">
        <w:rPr>
          <w:rFonts w:cs="Arial"/>
          <w:szCs w:val="24"/>
        </w:rPr>
        <w:t xml:space="preserve"> </w:t>
      </w:r>
      <w:r w:rsidRPr="00653379">
        <w:rPr>
          <w:rFonts w:eastAsia="Times New Roman" w:cs="Arial"/>
          <w:szCs w:val="24"/>
        </w:rPr>
        <w:t xml:space="preserve">M. Musumeci, M. O’Malley Watts, and P. Chidambaram, </w:t>
      </w:r>
      <w:r w:rsidRPr="00653379">
        <w:rPr>
          <w:rFonts w:eastAsia="Times New Roman" w:cs="Arial"/>
          <w:i/>
          <w:iCs/>
          <w:szCs w:val="24"/>
        </w:rPr>
        <w:t>Key State Policy Choices About Medicaid Home and Community-Based Services</w:t>
      </w:r>
      <w:r w:rsidRPr="00653379">
        <w:rPr>
          <w:rFonts w:eastAsia="Times New Roman" w:cs="Arial"/>
          <w:szCs w:val="24"/>
        </w:rPr>
        <w:t xml:space="preserve"> (Washington, DC: Kaiser Family Foundation, 2020), </w:t>
      </w:r>
      <w:hyperlink r:id="rId74" w:tooltip="https://www.kff.org/report-section/key-state-policy-choices-about-medicaid-home-and-community-based-services-issue-brief/" w:history="1">
        <w:r w:rsidRPr="00A2135F">
          <w:rPr>
            <w:rStyle w:val="Hyperlink"/>
            <w:rFonts w:eastAsia="Times New Roman" w:cs="Arial"/>
            <w:color w:val="0000FF"/>
            <w:szCs w:val="24"/>
            <w:u w:color="0000FF"/>
          </w:rPr>
          <w:t>https://www.kff.org/report-section/key-state-policy-choices-about-medicaid-home-and-community-based-services-issue-brief/</w:t>
        </w:r>
      </w:hyperlink>
      <w:r w:rsidRPr="00653379">
        <w:rPr>
          <w:rFonts w:eastAsia="Times New Roman" w:cs="Arial"/>
          <w:szCs w:val="24"/>
        </w:rPr>
        <w:t xml:space="preserve">. </w:t>
      </w:r>
    </w:p>
  </w:endnote>
  <w:endnote w:id="111">
    <w:p w14:paraId="4A71B6EB" w14:textId="64F731FF" w:rsidR="00FA329E" w:rsidRPr="00653379" w:rsidRDefault="00FA329E" w:rsidP="00A51250">
      <w:pPr>
        <w:spacing w:after="200" w:line="240" w:lineRule="auto"/>
        <w:rPr>
          <w:rFonts w:eastAsia="Times New Roman" w:cs="Arial"/>
          <w:szCs w:val="24"/>
        </w:rPr>
      </w:pPr>
      <w:r w:rsidRPr="00653379">
        <w:rPr>
          <w:rStyle w:val="EndnoteReference"/>
          <w:rFonts w:cs="Arial"/>
          <w:szCs w:val="24"/>
        </w:rPr>
        <w:endnoteRef/>
      </w:r>
      <w:r w:rsidRPr="00653379">
        <w:rPr>
          <w:rFonts w:cs="Arial"/>
          <w:szCs w:val="24"/>
        </w:rPr>
        <w:t xml:space="preserve"> </w:t>
      </w:r>
      <w:r w:rsidRPr="00653379">
        <w:rPr>
          <w:rFonts w:eastAsia="Times New Roman" w:cs="Arial"/>
          <w:szCs w:val="24"/>
        </w:rPr>
        <w:t xml:space="preserve">Centers for Medicare and Medicaid, </w:t>
      </w:r>
      <w:r w:rsidRPr="00653379">
        <w:rPr>
          <w:rFonts w:eastAsia="Times New Roman" w:cs="Arial"/>
          <w:i/>
          <w:iCs/>
          <w:szCs w:val="24"/>
        </w:rPr>
        <w:t>Home and Community Based Services 1915(i)</w:t>
      </w:r>
      <w:r w:rsidRPr="00653379">
        <w:rPr>
          <w:rFonts w:eastAsia="Times New Roman" w:cs="Arial"/>
          <w:szCs w:val="24"/>
        </w:rPr>
        <w:t xml:space="preserve"> (Washington, DC: Centers for Medicare and Medicaid), accessed January 6, 2022, </w:t>
      </w:r>
      <w:hyperlink r:id="rId75" w:tooltip="https://www.medicaid.gov/medicaid/home-community-based-services/home-community-based-services-authorities/home-community-based-services-1915i/index.html" w:history="1">
        <w:r w:rsidRPr="00A2135F">
          <w:rPr>
            <w:rStyle w:val="Hyperlink"/>
            <w:rFonts w:eastAsia="Times New Roman" w:cs="Arial"/>
            <w:color w:val="0000FF"/>
            <w:szCs w:val="24"/>
            <w:u w:color="0000FF"/>
          </w:rPr>
          <w:t>https://www.medicaid.gov/medicaid/home-community-based-services/home-community-based-services-authorities/home-community-based-services-1915i/index.html</w:t>
        </w:r>
      </w:hyperlink>
      <w:r w:rsidRPr="00653379">
        <w:rPr>
          <w:rFonts w:eastAsia="Times New Roman" w:cs="Arial"/>
          <w:szCs w:val="24"/>
        </w:rPr>
        <w:t>.</w:t>
      </w:r>
    </w:p>
  </w:endnote>
  <w:endnote w:id="112">
    <w:p w14:paraId="0783294B" w14:textId="77777777" w:rsidR="00FA329E" w:rsidRPr="00653379" w:rsidRDefault="00FA329E" w:rsidP="00A51250">
      <w:pPr>
        <w:spacing w:after="200" w:line="240" w:lineRule="auto"/>
        <w:rPr>
          <w:rFonts w:eastAsia="Times New Roman" w:cs="Arial"/>
          <w:szCs w:val="24"/>
        </w:rPr>
      </w:pPr>
      <w:r w:rsidRPr="00653379">
        <w:rPr>
          <w:rStyle w:val="EndnoteReference"/>
          <w:rFonts w:cs="Arial"/>
          <w:szCs w:val="24"/>
        </w:rPr>
        <w:endnoteRef/>
      </w:r>
      <w:r w:rsidRPr="00653379">
        <w:rPr>
          <w:rFonts w:cs="Arial"/>
          <w:szCs w:val="24"/>
        </w:rPr>
        <w:t xml:space="preserve"> </w:t>
      </w:r>
      <w:r w:rsidRPr="00653379">
        <w:rPr>
          <w:rFonts w:eastAsia="Times New Roman" w:cs="Arial"/>
          <w:szCs w:val="24"/>
        </w:rPr>
        <w:t>Texas Health and Human Services, “H.B. 4533 Pilot Dental Study: June 2020 Status Update Center for Analytics and Decision Support,” PowerPoint Presentation (2020).</w:t>
      </w:r>
    </w:p>
  </w:endnote>
  <w:endnote w:id="113">
    <w:p w14:paraId="4DD3E681" w14:textId="77777777" w:rsidR="00FA329E" w:rsidRPr="00653379" w:rsidRDefault="00FA329E" w:rsidP="00A51250">
      <w:pPr>
        <w:spacing w:after="200" w:line="240" w:lineRule="auto"/>
        <w:rPr>
          <w:rFonts w:eastAsia="Times New Roman" w:cs="Arial"/>
          <w:szCs w:val="24"/>
        </w:rPr>
      </w:pPr>
      <w:r w:rsidRPr="00653379">
        <w:rPr>
          <w:rStyle w:val="EndnoteReference"/>
          <w:rFonts w:cs="Arial"/>
          <w:szCs w:val="24"/>
        </w:rPr>
        <w:endnoteRef/>
      </w:r>
      <w:r w:rsidRPr="00653379">
        <w:rPr>
          <w:rFonts w:eastAsia="Arial" w:cs="Arial"/>
          <w:szCs w:val="24"/>
        </w:rPr>
        <w:t xml:space="preserve"> </w:t>
      </w:r>
      <w:r w:rsidRPr="00653379">
        <w:rPr>
          <w:rFonts w:eastAsia="Times New Roman" w:cs="Arial"/>
          <w:szCs w:val="24"/>
        </w:rPr>
        <w:t>Conversation with anonymous key informants and Suma Setty, Senior Research Associate at National Center for Children in Poverty, Bank Street Graduate School of Education, conducted virtually on July 8, 2021.</w:t>
      </w:r>
    </w:p>
  </w:endnote>
  <w:endnote w:id="114">
    <w:p w14:paraId="553ECEE9" w14:textId="77777777" w:rsidR="00FA329E" w:rsidRPr="00653379" w:rsidRDefault="00FA329E" w:rsidP="00A51250">
      <w:pPr>
        <w:spacing w:after="200" w:line="240" w:lineRule="auto"/>
        <w:rPr>
          <w:rFonts w:eastAsia="Times New Roman" w:cs="Arial"/>
          <w:szCs w:val="24"/>
        </w:rPr>
      </w:pPr>
      <w:r w:rsidRPr="00653379">
        <w:rPr>
          <w:rStyle w:val="EndnoteReference"/>
          <w:rFonts w:cs="Arial"/>
          <w:szCs w:val="24"/>
        </w:rPr>
        <w:endnoteRef/>
      </w:r>
      <w:r w:rsidRPr="00653379">
        <w:rPr>
          <w:rFonts w:eastAsia="Arial" w:cs="Arial"/>
          <w:szCs w:val="24"/>
        </w:rPr>
        <w:t xml:space="preserve"> </w:t>
      </w:r>
      <w:r w:rsidRPr="00653379">
        <w:rPr>
          <w:rFonts w:eastAsia="Times New Roman" w:cs="Arial"/>
          <w:szCs w:val="24"/>
        </w:rPr>
        <w:t>Conversations with anonymous key informants, Chelsea Fosse, Senior Health Policy Analyst at Health Policy Institute, American Dental Association, and Suma Setty, Senior Research Associate at National Center for Children in Poverty, Bank Street Graduate School of Education, conducted virtually on January 11, 2021, and July 8, 2021, respectively.</w:t>
      </w:r>
    </w:p>
  </w:endnote>
  <w:endnote w:id="115">
    <w:p w14:paraId="659497A2" w14:textId="08E574D3" w:rsidR="00FA329E" w:rsidRPr="00653379" w:rsidRDefault="00FA329E" w:rsidP="00A51250">
      <w:pPr>
        <w:spacing w:after="200" w:line="240" w:lineRule="auto"/>
        <w:rPr>
          <w:rFonts w:cs="Arial"/>
          <w:szCs w:val="24"/>
        </w:rPr>
      </w:pPr>
      <w:r w:rsidRPr="00653379">
        <w:rPr>
          <w:rStyle w:val="EndnoteReference"/>
          <w:rFonts w:cs="Arial"/>
          <w:szCs w:val="24"/>
        </w:rPr>
        <w:endnoteRef/>
      </w:r>
      <w:r w:rsidRPr="00653379">
        <w:rPr>
          <w:rFonts w:eastAsia="Arial" w:cs="Arial"/>
          <w:szCs w:val="24"/>
        </w:rPr>
        <w:t xml:space="preserve"> </w:t>
      </w:r>
      <w:r w:rsidRPr="00653379">
        <w:rPr>
          <w:rFonts w:cs="Arial"/>
          <w:szCs w:val="24"/>
        </w:rPr>
        <w:t xml:space="preserve">Kaiser Family Foundation, </w:t>
      </w:r>
      <w:r w:rsidRPr="00653379">
        <w:rPr>
          <w:rFonts w:cs="Arial"/>
          <w:i/>
          <w:iCs/>
          <w:szCs w:val="24"/>
        </w:rPr>
        <w:t>Federal Medical Assistance Percentage (FMAP) for Medicaid and Multiplier, FY 2021</w:t>
      </w:r>
      <w:r w:rsidRPr="00653379">
        <w:rPr>
          <w:rFonts w:cs="Arial"/>
          <w:szCs w:val="24"/>
        </w:rPr>
        <w:t xml:space="preserve">, accessed September 29, 2021, </w:t>
      </w:r>
      <w:hyperlink r:id="rId76" w:history="1">
        <w:r w:rsidRPr="00A2135F">
          <w:rPr>
            <w:rStyle w:val="Hyperlink"/>
            <w:rFonts w:cs="Arial"/>
            <w:color w:val="0000FF"/>
            <w:szCs w:val="24"/>
            <w:u w:color="0000FF"/>
          </w:rPr>
          <w:t>https://www.kff.org/medicaid/state-indicator/federal-matching-rate-and-multiplier/?currentTimeframe=0&amp;sortModel=%7B%22colId%22:%22Location%22,%22sort%22:%22asc%22%7D</w:t>
        </w:r>
      </w:hyperlink>
      <w:r w:rsidRPr="00653379">
        <w:rPr>
          <w:rFonts w:cs="Arial"/>
          <w:szCs w:val="24"/>
        </w:rPr>
        <w:t xml:space="preserve">. </w:t>
      </w:r>
    </w:p>
  </w:endnote>
  <w:endnote w:id="116">
    <w:p w14:paraId="108A1DA3" w14:textId="048A2626" w:rsidR="00FA329E" w:rsidRPr="00653379" w:rsidRDefault="00FA329E" w:rsidP="00A51250">
      <w:pPr>
        <w:spacing w:after="200" w:line="240" w:lineRule="auto"/>
        <w:rPr>
          <w:rFonts w:cs="Arial"/>
          <w:szCs w:val="24"/>
        </w:rPr>
      </w:pPr>
      <w:r w:rsidRPr="00653379">
        <w:rPr>
          <w:rStyle w:val="EndnoteReference"/>
          <w:rFonts w:cs="Arial"/>
          <w:szCs w:val="24"/>
        </w:rPr>
        <w:endnoteRef/>
      </w:r>
      <w:r w:rsidRPr="00653379">
        <w:rPr>
          <w:rFonts w:eastAsia="Arial" w:cs="Arial"/>
          <w:szCs w:val="24"/>
        </w:rPr>
        <w:t xml:space="preserve"> </w:t>
      </w:r>
      <w:r w:rsidRPr="00653379">
        <w:rPr>
          <w:rFonts w:cs="Arial"/>
          <w:szCs w:val="24"/>
        </w:rPr>
        <w:t xml:space="preserve">Centers for Medicare and Medicaid Services, </w:t>
      </w:r>
      <w:r w:rsidRPr="00653379">
        <w:rPr>
          <w:rFonts w:cs="Arial"/>
          <w:i/>
          <w:iCs/>
          <w:szCs w:val="24"/>
        </w:rPr>
        <w:t>Balancing Incentive Program</w:t>
      </w:r>
      <w:r w:rsidRPr="00653379">
        <w:rPr>
          <w:rFonts w:cs="Arial"/>
          <w:szCs w:val="24"/>
        </w:rPr>
        <w:t xml:space="preserve"> (Washington, DC: Centers for Medicare and Medicaid), accessed January 6, 2022, </w:t>
      </w:r>
      <w:hyperlink r:id="rId77" w:tooltip="https://www.medicaid.gov/medicaid/long-term-services-supports/balancing-incentive-program/balancing-incentive-program/index.html" w:history="1">
        <w:r w:rsidRPr="00A2135F">
          <w:rPr>
            <w:rStyle w:val="Hyperlink"/>
            <w:rFonts w:cs="Arial"/>
            <w:color w:val="0000FF"/>
            <w:szCs w:val="24"/>
            <w:u w:color="0000FF"/>
          </w:rPr>
          <w:t>https://www.medicaid.gov/medicaid/long-term-services-supports/balancing-incentive-program/balancing-incentive-program/index.html</w:t>
        </w:r>
      </w:hyperlink>
      <w:r w:rsidRPr="00653379">
        <w:rPr>
          <w:rFonts w:cs="Arial"/>
          <w:szCs w:val="24"/>
        </w:rPr>
        <w:t xml:space="preserve">. </w:t>
      </w:r>
    </w:p>
  </w:endnote>
  <w:endnote w:id="117">
    <w:p w14:paraId="1D9FAC64" w14:textId="77777777" w:rsidR="00FA329E" w:rsidRPr="00653379" w:rsidRDefault="00FA329E" w:rsidP="00A51250">
      <w:pPr>
        <w:spacing w:after="200" w:line="240" w:lineRule="auto"/>
        <w:rPr>
          <w:rFonts w:eastAsia="Arial" w:cs="Arial"/>
          <w:szCs w:val="24"/>
        </w:rPr>
      </w:pPr>
      <w:r w:rsidRPr="00653379">
        <w:rPr>
          <w:rStyle w:val="EndnoteReference"/>
          <w:rFonts w:cs="Arial"/>
          <w:szCs w:val="24"/>
        </w:rPr>
        <w:endnoteRef/>
      </w:r>
      <w:r w:rsidRPr="00653379">
        <w:rPr>
          <w:rFonts w:eastAsia="Arial" w:cs="Arial"/>
          <w:szCs w:val="24"/>
        </w:rPr>
        <w:t xml:space="preserve"> See Medicaid Oral Health Policy database in appendixes to compare Medicaid FFS fees across states for a range of CDT codes. The most recently available fee schedules were reviewed. </w:t>
      </w:r>
    </w:p>
  </w:endnote>
  <w:endnote w:id="118">
    <w:p w14:paraId="11A53852" w14:textId="480F7B8C" w:rsidR="00FA329E" w:rsidRPr="00653379" w:rsidRDefault="00FA329E" w:rsidP="00A51250">
      <w:pPr>
        <w:spacing w:after="200" w:line="240" w:lineRule="auto"/>
        <w:rPr>
          <w:rFonts w:cs="Arial"/>
          <w:szCs w:val="24"/>
        </w:rPr>
      </w:pPr>
      <w:r w:rsidRPr="00653379">
        <w:rPr>
          <w:rStyle w:val="EndnoteReference"/>
          <w:rFonts w:cs="Arial"/>
          <w:szCs w:val="24"/>
        </w:rPr>
        <w:endnoteRef/>
      </w:r>
      <w:r w:rsidRPr="00653379">
        <w:rPr>
          <w:rFonts w:eastAsia="Arial" w:cs="Arial"/>
          <w:szCs w:val="24"/>
        </w:rPr>
        <w:t xml:space="preserve"> </w:t>
      </w:r>
      <w:r w:rsidRPr="00653379">
        <w:rPr>
          <w:rFonts w:cs="Arial"/>
          <w:szCs w:val="24"/>
        </w:rPr>
        <w:t xml:space="preserve">Centers for Medicare and Medicaid Services, </w:t>
      </w:r>
      <w:r w:rsidRPr="00653379">
        <w:rPr>
          <w:rFonts w:cs="Arial"/>
          <w:i/>
          <w:iCs/>
          <w:szCs w:val="24"/>
        </w:rPr>
        <w:t>CMCS Informational Bulletin: CMS Oral Health Initiative and Dental Technical Support Opportunity</w:t>
      </w:r>
      <w:r w:rsidRPr="00653379">
        <w:rPr>
          <w:rFonts w:cs="Arial"/>
          <w:szCs w:val="24"/>
        </w:rPr>
        <w:t xml:space="preserve"> (Washington, DC: Centers for Medicare and Medicaid Services, June 25, 2020), </w:t>
      </w:r>
      <w:hyperlink r:id="rId78" w:tooltip="https://www.hhs.gov/guidance/sites/default/files/hhs-guidance-documents/cib062520.pdf" w:history="1">
        <w:r w:rsidRPr="00A2135F">
          <w:rPr>
            <w:rStyle w:val="Hyperlink"/>
            <w:rFonts w:cs="Arial"/>
            <w:color w:val="0000FF"/>
            <w:szCs w:val="24"/>
            <w:u w:color="0000FF"/>
          </w:rPr>
          <w:t>https://www.hhs.gov/guidance/sites/default/files/hhs-guidance-documents/cib062520.pdf</w:t>
        </w:r>
      </w:hyperlink>
      <w:r w:rsidRPr="00653379">
        <w:rPr>
          <w:rFonts w:cs="Arial"/>
          <w:szCs w:val="24"/>
        </w:rPr>
        <w:t>.</w:t>
      </w:r>
    </w:p>
  </w:endnote>
  <w:endnote w:id="119">
    <w:p w14:paraId="0A6E59EA" w14:textId="77777777" w:rsidR="00FA329E" w:rsidRPr="00653379" w:rsidRDefault="00FA329E" w:rsidP="00A51250">
      <w:pPr>
        <w:spacing w:after="200" w:line="240" w:lineRule="auto"/>
        <w:rPr>
          <w:rFonts w:eastAsia="Times New Roman" w:cs="Arial"/>
          <w:szCs w:val="24"/>
        </w:rPr>
      </w:pPr>
      <w:r w:rsidRPr="00653379">
        <w:rPr>
          <w:rStyle w:val="EndnoteReference"/>
          <w:rFonts w:cs="Arial"/>
          <w:szCs w:val="24"/>
        </w:rPr>
        <w:endnoteRef/>
      </w:r>
      <w:r w:rsidRPr="00653379">
        <w:rPr>
          <w:rFonts w:eastAsia="Arial" w:cs="Arial"/>
          <w:szCs w:val="24"/>
        </w:rPr>
        <w:t xml:space="preserve"> </w:t>
      </w:r>
      <w:r w:rsidRPr="00653379">
        <w:rPr>
          <w:rFonts w:eastAsia="Times New Roman" w:cs="Arial"/>
          <w:szCs w:val="24"/>
        </w:rPr>
        <w:t>Conversation with anonymous key informant, Chelsea Fosse, and Suma Setty, conducted virtually on January 11, 2021.</w:t>
      </w:r>
    </w:p>
  </w:endnote>
  <w:endnote w:id="120">
    <w:p w14:paraId="467C1B5B" w14:textId="508C4B8D" w:rsidR="00FA329E" w:rsidRPr="00653379" w:rsidRDefault="00FA329E" w:rsidP="00A51250">
      <w:pPr>
        <w:spacing w:after="200" w:line="240" w:lineRule="auto"/>
        <w:rPr>
          <w:rFonts w:cs="Arial"/>
          <w:szCs w:val="24"/>
        </w:rPr>
      </w:pPr>
      <w:r w:rsidRPr="00653379">
        <w:rPr>
          <w:rStyle w:val="EndnoteReference"/>
          <w:rFonts w:cs="Arial"/>
          <w:szCs w:val="24"/>
        </w:rPr>
        <w:endnoteRef/>
      </w:r>
      <w:r w:rsidRPr="00653379">
        <w:rPr>
          <w:rFonts w:eastAsia="Arial" w:cs="Arial"/>
          <w:szCs w:val="24"/>
        </w:rPr>
        <w:t xml:space="preserve"> </w:t>
      </w:r>
      <w:r w:rsidRPr="00653379">
        <w:rPr>
          <w:rFonts w:cs="Arial"/>
          <w:szCs w:val="24"/>
        </w:rPr>
        <w:t xml:space="preserve">C. Fish-Parcham, </w:t>
      </w:r>
      <w:r w:rsidRPr="00653379">
        <w:rPr>
          <w:rFonts w:cs="Arial"/>
          <w:i/>
          <w:iCs/>
          <w:szCs w:val="24"/>
        </w:rPr>
        <w:t>Improving Access to Oral Health Care for Adults with Disabilities Can Improve Their Health and Well-being</w:t>
      </w:r>
      <w:r w:rsidRPr="00653379">
        <w:rPr>
          <w:rFonts w:cs="Arial"/>
          <w:szCs w:val="24"/>
        </w:rPr>
        <w:t xml:space="preserve"> (Washington, DC: Families USA, 2019), </w:t>
      </w:r>
      <w:hyperlink r:id="rId79" w:tooltip="https://familiesusa.org/wp-content/uploads/2019/10/OH_Oral-Health-and-People-with-Disabilities_IssueBrief.pdf" w:history="1">
        <w:r w:rsidRPr="00A2135F">
          <w:rPr>
            <w:rStyle w:val="Hyperlink"/>
            <w:rFonts w:cs="Arial"/>
            <w:color w:val="0000FF"/>
            <w:szCs w:val="24"/>
            <w:u w:color="0000FF"/>
          </w:rPr>
          <w:t>https://familiesusa.org/wp-content/uploads/2019/10/OH_Oral-Health-and-People-with-Disabilities_IssueBrief.pdf</w:t>
        </w:r>
      </w:hyperlink>
      <w:r w:rsidRPr="00653379">
        <w:rPr>
          <w:rFonts w:cs="Arial"/>
          <w:szCs w:val="24"/>
        </w:rPr>
        <w:t xml:space="preserve">. </w:t>
      </w:r>
    </w:p>
  </w:endnote>
  <w:endnote w:id="121">
    <w:p w14:paraId="2232587D" w14:textId="5357B5D1" w:rsidR="00FA329E" w:rsidRPr="00653379" w:rsidRDefault="00FA329E" w:rsidP="00A51250">
      <w:pPr>
        <w:spacing w:after="200" w:line="240" w:lineRule="auto"/>
        <w:rPr>
          <w:rFonts w:cs="Arial"/>
          <w:szCs w:val="24"/>
        </w:rPr>
      </w:pPr>
      <w:r w:rsidRPr="00653379">
        <w:rPr>
          <w:rStyle w:val="EndnoteReference"/>
          <w:rFonts w:cs="Arial"/>
          <w:szCs w:val="24"/>
        </w:rPr>
        <w:endnoteRef/>
      </w:r>
      <w:r w:rsidRPr="00653379">
        <w:rPr>
          <w:rFonts w:eastAsia="Arial" w:cs="Arial"/>
          <w:szCs w:val="24"/>
        </w:rPr>
        <w:t xml:space="preserve"> </w:t>
      </w:r>
      <w:r w:rsidRPr="00653379">
        <w:rPr>
          <w:rFonts w:cs="Arial"/>
          <w:szCs w:val="24"/>
        </w:rPr>
        <w:t xml:space="preserve">L. Slashcheva, R. Rader, and S. Sulkes, “Would People with Intellectual and Developmental Disabilities Benefit from Being Designated ‘Underserved’?,” </w:t>
      </w:r>
      <w:r w:rsidRPr="00653379">
        <w:rPr>
          <w:rFonts w:cs="Arial"/>
          <w:i/>
          <w:iCs/>
          <w:szCs w:val="24"/>
        </w:rPr>
        <w:t>AMA Journal of Ethics</w:t>
      </w:r>
      <w:r w:rsidRPr="00653379">
        <w:rPr>
          <w:rFonts w:cs="Arial"/>
          <w:szCs w:val="24"/>
        </w:rPr>
        <w:t xml:space="preserve"> 18, no. 4 (2016): 422–29, </w:t>
      </w:r>
      <w:hyperlink r:id="rId80" w:tooltip="https://doi.org/10.1001/journalofethics.2016.18.4.pfor1-1604" w:history="1">
        <w:r w:rsidRPr="00A2135F">
          <w:rPr>
            <w:rStyle w:val="Hyperlink"/>
            <w:rFonts w:cs="Arial"/>
            <w:color w:val="0000FF"/>
            <w:szCs w:val="24"/>
            <w:u w:color="0000FF"/>
          </w:rPr>
          <w:t>https://doi.org/10.1001/journalofethics.2016.18.4.pfor1-1604</w:t>
        </w:r>
      </w:hyperlink>
      <w:r w:rsidRPr="00A2135F">
        <w:rPr>
          <w:rFonts w:cs="Arial"/>
          <w:color w:val="0000FF"/>
          <w:szCs w:val="24"/>
          <w:u w:val="single" w:color="0000FF"/>
        </w:rPr>
        <w:t>.</w:t>
      </w:r>
    </w:p>
  </w:endnote>
  <w:endnote w:id="122">
    <w:p w14:paraId="00797281" w14:textId="77777777" w:rsidR="00FA329E" w:rsidRPr="00653379" w:rsidRDefault="00FA329E" w:rsidP="00A51250">
      <w:pPr>
        <w:spacing w:after="200" w:line="240" w:lineRule="auto"/>
        <w:rPr>
          <w:rFonts w:eastAsia="Arial" w:cs="Arial"/>
          <w:szCs w:val="24"/>
        </w:rPr>
      </w:pPr>
      <w:r w:rsidRPr="00653379">
        <w:rPr>
          <w:rStyle w:val="EndnoteReference"/>
          <w:rFonts w:cs="Arial"/>
          <w:szCs w:val="24"/>
        </w:rPr>
        <w:endnoteRef/>
      </w:r>
      <w:r w:rsidRPr="00653379">
        <w:rPr>
          <w:rFonts w:eastAsia="Arial" w:cs="Arial"/>
          <w:szCs w:val="24"/>
        </w:rPr>
        <w:t xml:space="preserve"> Key stakeholder, National Council on Disability’s Key Stakeholder Virtual Summit: Making Sufficient Oral Healthcare for People with I/DD a Cost-Effective Reality: Examining the Medicaid Reimbursement Rate. Held virtually via Zoom on November 17, 2020.</w:t>
      </w:r>
    </w:p>
  </w:endnote>
  <w:endnote w:id="123">
    <w:p w14:paraId="4E2A7017" w14:textId="487C2461" w:rsidR="00FA329E" w:rsidRPr="00653379" w:rsidRDefault="00FA329E" w:rsidP="00A51250">
      <w:pPr>
        <w:spacing w:after="200" w:line="240" w:lineRule="auto"/>
        <w:rPr>
          <w:rFonts w:cs="Arial"/>
          <w:szCs w:val="24"/>
        </w:rPr>
      </w:pPr>
      <w:r w:rsidRPr="00653379">
        <w:rPr>
          <w:rStyle w:val="EndnoteReference"/>
          <w:rFonts w:cs="Arial"/>
          <w:szCs w:val="24"/>
        </w:rPr>
        <w:endnoteRef/>
      </w:r>
      <w:r w:rsidRPr="00653379">
        <w:rPr>
          <w:rFonts w:eastAsia="Arial" w:cs="Arial"/>
          <w:szCs w:val="24"/>
        </w:rPr>
        <w:t xml:space="preserve"> </w:t>
      </w:r>
      <w:r w:rsidRPr="00653379">
        <w:rPr>
          <w:rFonts w:cs="Arial"/>
          <w:szCs w:val="24"/>
        </w:rPr>
        <w:t xml:space="preserve">J. Lipper, </w:t>
      </w:r>
      <w:r w:rsidRPr="00653379">
        <w:rPr>
          <w:rFonts w:cs="Arial"/>
          <w:i/>
          <w:iCs/>
          <w:szCs w:val="24"/>
        </w:rPr>
        <w:t>Advancing Oral Health Through the Women, Infants, and Children Program: A New Hampshire Pilot Project</w:t>
      </w:r>
      <w:r w:rsidRPr="00653379">
        <w:rPr>
          <w:rFonts w:cs="Arial"/>
          <w:szCs w:val="24"/>
        </w:rPr>
        <w:t xml:space="preserve"> (Hamilton, NJ: Center for Health Care Strategies, Inc., 2016), </w:t>
      </w:r>
      <w:hyperlink r:id="rId81" w:tooltip="https://www.chcs.org/media/NH-State-WIC-Profile_041316.pdf" w:history="1">
        <w:r w:rsidRPr="00A2135F">
          <w:rPr>
            <w:rStyle w:val="Hyperlink"/>
            <w:rFonts w:cs="Arial"/>
            <w:color w:val="0000FF"/>
            <w:szCs w:val="24"/>
            <w:u w:color="0000FF"/>
          </w:rPr>
          <w:t>https://www.chcs.org/media/NH-State-WIC-Profile_041316.pdf</w:t>
        </w:r>
      </w:hyperlink>
      <w:r w:rsidRPr="00653379">
        <w:rPr>
          <w:rFonts w:cs="Arial"/>
          <w:szCs w:val="24"/>
        </w:rPr>
        <w:t>.</w:t>
      </w:r>
    </w:p>
  </w:endnote>
  <w:endnote w:id="124">
    <w:p w14:paraId="4D1B0928" w14:textId="28C8AD40" w:rsidR="00FA329E" w:rsidRPr="00653379" w:rsidRDefault="00FA329E" w:rsidP="00A51250">
      <w:pPr>
        <w:spacing w:after="200" w:line="240" w:lineRule="auto"/>
        <w:rPr>
          <w:rFonts w:cs="Arial"/>
          <w:szCs w:val="24"/>
        </w:rPr>
      </w:pPr>
      <w:r w:rsidRPr="00653379">
        <w:rPr>
          <w:rStyle w:val="EndnoteReference"/>
          <w:rFonts w:cs="Arial"/>
          <w:szCs w:val="24"/>
        </w:rPr>
        <w:endnoteRef/>
      </w:r>
      <w:r w:rsidRPr="00653379">
        <w:rPr>
          <w:rFonts w:cs="Arial"/>
          <w:szCs w:val="24"/>
        </w:rPr>
        <w:t xml:space="preserve"> Missouri Department of Mental Health, “Elks Mobile Dental Program,” accessed September 29, 2021, </w:t>
      </w:r>
      <w:hyperlink r:id="rId82" w:tooltip="https://dmh.mo.gov/dev-disabilities/individuals-families/elk-dental" w:history="1">
        <w:r w:rsidRPr="00A2135F">
          <w:rPr>
            <w:rStyle w:val="Hyperlink"/>
            <w:rFonts w:cs="Arial"/>
            <w:color w:val="0000FF"/>
            <w:szCs w:val="24"/>
            <w:u w:color="0000FF"/>
          </w:rPr>
          <w:t>https://dmh.mo.gov/dev-disabilities/individuals-families/elk-dental</w:t>
        </w:r>
      </w:hyperlink>
      <w:r w:rsidRPr="00653379">
        <w:rPr>
          <w:rFonts w:cs="Arial"/>
          <w:szCs w:val="24"/>
        </w:rPr>
        <w:t>.</w:t>
      </w:r>
    </w:p>
  </w:endnote>
  <w:endnote w:id="125">
    <w:p w14:paraId="213B30EE" w14:textId="77777777" w:rsidR="00FA329E" w:rsidRPr="00653379" w:rsidRDefault="00FA329E" w:rsidP="00A51250">
      <w:pPr>
        <w:spacing w:after="200" w:line="240" w:lineRule="auto"/>
        <w:rPr>
          <w:rFonts w:eastAsia="Arial" w:cs="Arial"/>
          <w:szCs w:val="24"/>
        </w:rPr>
      </w:pPr>
      <w:r w:rsidRPr="00653379">
        <w:rPr>
          <w:rStyle w:val="EndnoteReference"/>
          <w:rFonts w:cs="Arial"/>
          <w:szCs w:val="24"/>
        </w:rPr>
        <w:endnoteRef/>
      </w:r>
      <w:r w:rsidRPr="00653379">
        <w:rPr>
          <w:rFonts w:eastAsia="Arial" w:cs="Arial"/>
          <w:szCs w:val="24"/>
        </w:rPr>
        <w:t xml:space="preserve"> Unpublished research conducted for a project focused on improving access to oral health care in New Jersey, funded by the WITH Foundation. New York: National Center for Children in Poverty.</w:t>
      </w:r>
    </w:p>
  </w:endnote>
  <w:endnote w:id="126">
    <w:p w14:paraId="76D0D56D" w14:textId="32BD7055" w:rsidR="00FA329E" w:rsidRPr="00653379" w:rsidRDefault="00FA329E" w:rsidP="00A51250">
      <w:pPr>
        <w:pStyle w:val="NormalWeb"/>
        <w:spacing w:before="0" w:beforeAutospacing="0" w:after="200" w:afterAutospacing="0"/>
        <w:rPr>
          <w:rFonts w:ascii="Arial" w:hAnsi="Arial" w:cs="Arial"/>
        </w:rPr>
      </w:pPr>
      <w:r w:rsidRPr="00653379">
        <w:rPr>
          <w:rStyle w:val="EndnoteReference"/>
          <w:rFonts w:ascii="Arial" w:eastAsiaTheme="minorEastAsia" w:hAnsi="Arial" w:cs="Arial"/>
        </w:rPr>
        <w:endnoteRef/>
      </w:r>
      <w:r w:rsidRPr="00653379">
        <w:rPr>
          <w:rFonts w:ascii="Arial" w:hAnsi="Arial" w:cs="Arial"/>
        </w:rPr>
        <w:t xml:space="preserve"> </w:t>
      </w:r>
      <w:r w:rsidRPr="00653379">
        <w:rPr>
          <w:rFonts w:ascii="Arial" w:hAnsi="Arial" w:cs="Arial"/>
          <w:i/>
          <w:iCs/>
        </w:rPr>
        <w:t>Improving Access to Oral Health Care for Adults with Disabilities Can Improve Their Health and Well-Being</w:t>
      </w:r>
      <w:r w:rsidRPr="00653379">
        <w:rPr>
          <w:rFonts w:ascii="Arial" w:hAnsi="Arial" w:cs="Arial"/>
        </w:rPr>
        <w:t xml:space="preserve"> (Washington, DC: Families USA, 2019), </w:t>
      </w:r>
      <w:hyperlink r:id="rId83" w:tooltip="https://familiesusa.org/wp-content/uploads/2019/10/OH_Oral-Health-and-People-with-Disabilities_IssueBrief.pdf/" w:history="1">
        <w:r w:rsidRPr="00A2135F">
          <w:rPr>
            <w:rStyle w:val="Hyperlink"/>
            <w:rFonts w:ascii="Arial" w:eastAsiaTheme="majorEastAsia" w:hAnsi="Arial" w:cs="Arial"/>
            <w:color w:val="0000FF"/>
            <w:u w:color="0000FF"/>
          </w:rPr>
          <w:t>https://familiesusa.org/wp-content/uploads/2019/10/OH_Oral-Health-and-People-with-Disabilities_IssueBrief.pdf/</w:t>
        </w:r>
      </w:hyperlink>
      <w:r w:rsidRPr="00A2135F">
        <w:rPr>
          <w:rFonts w:ascii="Arial" w:hAnsi="Arial" w:cs="Arial"/>
          <w:color w:val="0000FF"/>
          <w:u w:val="single" w:color="0000FF"/>
        </w:rPr>
        <w:t>.</w:t>
      </w:r>
    </w:p>
  </w:endnote>
  <w:endnote w:id="127">
    <w:p w14:paraId="4498B4ED" w14:textId="77777777" w:rsidR="00FA329E" w:rsidRPr="00653379" w:rsidRDefault="00FA329E" w:rsidP="00A51250">
      <w:pPr>
        <w:spacing w:after="200" w:line="240" w:lineRule="auto"/>
        <w:rPr>
          <w:rFonts w:cs="Arial"/>
          <w:szCs w:val="24"/>
        </w:rPr>
      </w:pPr>
      <w:r w:rsidRPr="00653379">
        <w:rPr>
          <w:rStyle w:val="EndnoteReference"/>
          <w:rFonts w:cs="Arial"/>
          <w:szCs w:val="24"/>
        </w:rPr>
        <w:endnoteRef/>
      </w:r>
      <w:r w:rsidRPr="00653379">
        <w:rPr>
          <w:rFonts w:eastAsia="Arial" w:cs="Arial"/>
          <w:szCs w:val="24"/>
        </w:rPr>
        <w:t xml:space="preserve"> </w:t>
      </w:r>
      <w:r w:rsidRPr="00653379">
        <w:rPr>
          <w:rFonts w:cs="Arial"/>
          <w:szCs w:val="24"/>
        </w:rPr>
        <w:t xml:space="preserve">Medicare Dental, Vision, and Hearing Act of 2021, H.R. 4311, 117th Cong. (2021–2022), </w:t>
      </w:r>
      <w:hyperlink r:id="rId84" w:history="1">
        <w:r w:rsidRPr="00A2135F">
          <w:rPr>
            <w:rStyle w:val="Hyperlink"/>
            <w:rFonts w:cs="Arial"/>
            <w:color w:val="0000FF"/>
            <w:szCs w:val="24"/>
            <w:u w:color="0000FF"/>
          </w:rPr>
          <w:t>https://www.congress.gov/bill/117th-congress/house-bill/4311?</w:t>
        </w:r>
      </w:hyperlink>
      <w:r w:rsidRPr="00653379">
        <w:rPr>
          <w:rFonts w:cs="Arial"/>
          <w:szCs w:val="24"/>
        </w:rPr>
        <w:t xml:space="preserve">. </w:t>
      </w:r>
    </w:p>
  </w:endnote>
  <w:endnote w:id="128">
    <w:p w14:paraId="3161CB61" w14:textId="240DEB1D" w:rsidR="00FA329E" w:rsidRPr="00653379" w:rsidRDefault="00FA329E" w:rsidP="00A51250">
      <w:pPr>
        <w:spacing w:after="200" w:line="240" w:lineRule="auto"/>
        <w:rPr>
          <w:rFonts w:eastAsia="Times New Roman" w:cs="Arial"/>
          <w:szCs w:val="24"/>
        </w:rPr>
      </w:pPr>
      <w:r w:rsidRPr="00653379">
        <w:rPr>
          <w:rStyle w:val="EndnoteReference"/>
          <w:rFonts w:cs="Arial"/>
          <w:szCs w:val="24"/>
        </w:rPr>
        <w:endnoteRef/>
      </w:r>
      <w:r w:rsidRPr="00653379">
        <w:rPr>
          <w:rFonts w:eastAsia="Arial" w:cs="Arial"/>
          <w:szCs w:val="24"/>
        </w:rPr>
        <w:t xml:space="preserve"> </w:t>
      </w:r>
      <w:r w:rsidRPr="00653379">
        <w:rPr>
          <w:rFonts w:eastAsia="Times New Roman" w:cs="Arial"/>
          <w:szCs w:val="24"/>
        </w:rPr>
        <w:t xml:space="preserve">Department of Veterans Affairs, Office of Research and Development, </w:t>
      </w:r>
      <w:r w:rsidRPr="00653379">
        <w:rPr>
          <w:rFonts w:eastAsia="Times New Roman" w:cs="Arial"/>
          <w:i/>
          <w:iCs/>
          <w:szCs w:val="24"/>
        </w:rPr>
        <w:t>VA Research in Action: Oral Hygiene to Fight Pneumonia</w:t>
      </w:r>
      <w:r w:rsidRPr="00653379">
        <w:rPr>
          <w:rFonts w:eastAsia="Times New Roman" w:cs="Arial"/>
          <w:szCs w:val="24"/>
        </w:rPr>
        <w:t>,</w:t>
      </w:r>
      <w:r w:rsidRPr="00653379">
        <w:rPr>
          <w:rFonts w:eastAsia="Times New Roman" w:cs="Arial"/>
          <w:i/>
          <w:iCs/>
          <w:szCs w:val="24"/>
        </w:rPr>
        <w:t xml:space="preserve"> </w:t>
      </w:r>
      <w:r w:rsidRPr="00653379">
        <w:rPr>
          <w:rFonts w:eastAsia="Times New Roman" w:cs="Arial"/>
          <w:szCs w:val="24"/>
        </w:rPr>
        <w:t xml:space="preserve">accessed September 29, 2021, </w:t>
      </w:r>
      <w:hyperlink r:id="rId85" w:tooltip="https://www.research.va.gov/research_in_action/Oral-hygiene-to-fight-pneumonia.cfm" w:history="1">
        <w:r w:rsidRPr="00A2135F">
          <w:rPr>
            <w:rStyle w:val="Hyperlink"/>
            <w:rFonts w:eastAsia="Times New Roman" w:cs="Arial"/>
            <w:color w:val="0000FF"/>
            <w:szCs w:val="24"/>
            <w:u w:color="0000FF"/>
          </w:rPr>
          <w:t>https://www.research.va.gov/research_in_action/Oral-hygiene-to-fight-pneumonia.cfm</w:t>
        </w:r>
      </w:hyperlink>
      <w:r w:rsidRPr="00653379">
        <w:rPr>
          <w:rFonts w:eastAsia="Times New Roman" w:cs="Arial"/>
          <w:szCs w:val="24"/>
        </w:rPr>
        <w:t>.</w:t>
      </w:r>
    </w:p>
  </w:endnote>
  <w:endnote w:id="129">
    <w:p w14:paraId="0FC41591" w14:textId="540BA9C7" w:rsidR="00FA329E" w:rsidRPr="00653379" w:rsidRDefault="00FA329E" w:rsidP="00A51250">
      <w:pPr>
        <w:spacing w:after="200" w:line="240" w:lineRule="auto"/>
        <w:rPr>
          <w:rFonts w:cs="Arial"/>
          <w:szCs w:val="24"/>
        </w:rPr>
      </w:pPr>
      <w:r w:rsidRPr="00653379">
        <w:rPr>
          <w:rStyle w:val="EndnoteReference"/>
          <w:rFonts w:cs="Arial"/>
          <w:szCs w:val="24"/>
        </w:rPr>
        <w:endnoteRef/>
      </w:r>
      <w:r w:rsidRPr="00653379">
        <w:rPr>
          <w:rFonts w:eastAsia="Arial" w:cs="Arial"/>
          <w:szCs w:val="24"/>
        </w:rPr>
        <w:t xml:space="preserve"> </w:t>
      </w:r>
      <w:r w:rsidRPr="00653379">
        <w:rPr>
          <w:rFonts w:cs="Arial"/>
          <w:szCs w:val="24"/>
        </w:rPr>
        <w:t xml:space="preserve">Harvard School of Dental Medicine, “Harvard Dental Center–Cambridge,” accessed September 29, 2021, </w:t>
      </w:r>
      <w:hyperlink r:id="rId86" w:tooltip="https://hsdm.harvard.edu/harvard-dental-center-cambridge" w:history="1">
        <w:r w:rsidRPr="00A2135F">
          <w:rPr>
            <w:rStyle w:val="Hyperlink"/>
            <w:rFonts w:cs="Arial"/>
            <w:color w:val="0000FF"/>
            <w:szCs w:val="24"/>
            <w:u w:color="0000FF"/>
          </w:rPr>
          <w:t>https://hsdm.harvard.edu/harvard-dental-center-cambridge</w:t>
        </w:r>
      </w:hyperlink>
      <w:r w:rsidRPr="00653379">
        <w:rPr>
          <w:rFonts w:cs="Arial"/>
          <w:szCs w:val="24"/>
        </w:rPr>
        <w:t>.</w:t>
      </w:r>
    </w:p>
  </w:endnote>
  <w:endnote w:id="130">
    <w:p w14:paraId="707C2088" w14:textId="1FCA24B8" w:rsidR="00FA329E" w:rsidRPr="00653379" w:rsidRDefault="00FA329E" w:rsidP="00A51250">
      <w:pPr>
        <w:spacing w:after="200" w:line="240" w:lineRule="auto"/>
        <w:rPr>
          <w:rFonts w:eastAsia="Times New Roman" w:cs="Arial"/>
          <w:szCs w:val="24"/>
        </w:rPr>
      </w:pPr>
      <w:r w:rsidRPr="00653379">
        <w:rPr>
          <w:rStyle w:val="EndnoteReference"/>
          <w:rFonts w:cs="Arial"/>
          <w:szCs w:val="24"/>
        </w:rPr>
        <w:endnoteRef/>
      </w:r>
      <w:r w:rsidRPr="00653379">
        <w:rPr>
          <w:rFonts w:eastAsia="Arial" w:cs="Arial"/>
          <w:szCs w:val="24"/>
        </w:rPr>
        <w:t xml:space="preserve"> </w:t>
      </w:r>
      <w:r w:rsidRPr="00653379">
        <w:rPr>
          <w:rFonts w:eastAsia="Times New Roman" w:cs="Arial"/>
          <w:szCs w:val="24"/>
        </w:rPr>
        <w:t xml:space="preserve">Department of Veterans Affairs, Office of Research and Development, “VA research in action: Oral hygiene to fight pneumonia,” accessed September 29, 2021. </w:t>
      </w:r>
      <w:hyperlink r:id="rId87" w:tooltip="https://www.research.va.gov/research_in_action/Oral-hygiene-to-fight-pneumonia.cfm%23:~:text=VA%20researchers%20developed%20and%20implemented,living%20center%20and%20hospital%20patients.&amp;text=By%20preventing%20hospital%2Dacquired%20pneumonia,million%20as%2" w:history="1">
        <w:r w:rsidRPr="00CF21AD">
          <w:rPr>
            <w:rStyle w:val="Hyperlink"/>
            <w:rFonts w:eastAsia="Times New Roman" w:cs="Arial"/>
            <w:szCs w:val="24"/>
          </w:rPr>
          <w:t>https://www.research.va.gov/research_in_action/Oral-hygiene-to-fight-pneumonia.cfm#:~:text=VA%20researchers%20developed%20and%20implemented,living%20center%20and%20hospital%20patients.&amp;text=By%20preventing%20hospital%2Dacquired%20pneumonia,million%20as%20of%20July%202019</w:t>
        </w:r>
      </w:hyperlink>
      <w:r w:rsidRPr="00653379">
        <w:rPr>
          <w:rFonts w:eastAsia="Times New Roman" w:cs="Arial"/>
          <w:szCs w:val="24"/>
        </w:rPr>
        <w:t>. </w:t>
      </w:r>
    </w:p>
  </w:endnote>
  <w:endnote w:id="131">
    <w:p w14:paraId="64F8FED6" w14:textId="6E6E465B" w:rsidR="00FA329E" w:rsidRPr="00653379" w:rsidRDefault="00FA329E" w:rsidP="00A51250">
      <w:pPr>
        <w:pStyle w:val="NormalWeb"/>
        <w:spacing w:before="0" w:beforeAutospacing="0" w:after="200" w:afterAutospacing="0"/>
        <w:rPr>
          <w:rFonts w:ascii="Arial" w:hAnsi="Arial" w:cs="Arial"/>
        </w:rPr>
      </w:pPr>
      <w:r w:rsidRPr="00653379">
        <w:rPr>
          <w:rStyle w:val="EndnoteReference"/>
          <w:rFonts w:ascii="Arial" w:eastAsiaTheme="minorEastAsia" w:hAnsi="Arial" w:cs="Arial"/>
        </w:rPr>
        <w:endnoteRef/>
      </w:r>
      <w:r w:rsidRPr="00653379">
        <w:rPr>
          <w:rFonts w:ascii="Arial" w:eastAsia="Arial" w:hAnsi="Arial" w:cs="Arial"/>
        </w:rPr>
        <w:t xml:space="preserve"> </w:t>
      </w:r>
      <w:r w:rsidRPr="00653379">
        <w:rPr>
          <w:rFonts w:ascii="Arial" w:hAnsi="Arial" w:cs="Arial"/>
        </w:rPr>
        <w:t xml:space="preserve">Rutgers School of Dental Medicine, “Patient Care,” accessed September 29, 2021, </w:t>
      </w:r>
      <w:hyperlink r:id="rId88" w:tooltip="https://sdm.rutgers.edu/patient-care" w:history="1">
        <w:r w:rsidRPr="00A2135F">
          <w:rPr>
            <w:rStyle w:val="Hyperlink"/>
            <w:rFonts w:ascii="Arial" w:eastAsiaTheme="majorEastAsia" w:hAnsi="Arial" w:cs="Arial"/>
            <w:color w:val="0000FF"/>
            <w:u w:color="0000FF"/>
          </w:rPr>
          <w:t>https://sdm.rutgers.edu/patient-care</w:t>
        </w:r>
      </w:hyperlink>
      <w:r w:rsidRPr="00653379">
        <w:rPr>
          <w:rFonts w:ascii="Arial" w:hAnsi="Arial" w:cs="Arial"/>
        </w:rPr>
        <w:t>. </w:t>
      </w:r>
    </w:p>
  </w:endnote>
  <w:endnote w:id="132">
    <w:p w14:paraId="3F553421" w14:textId="0AE9EB8A" w:rsidR="00FA329E" w:rsidRPr="00653379" w:rsidRDefault="00FA329E" w:rsidP="00A51250">
      <w:pPr>
        <w:spacing w:after="200" w:line="240" w:lineRule="auto"/>
        <w:rPr>
          <w:rFonts w:cs="Arial"/>
          <w:szCs w:val="24"/>
        </w:rPr>
      </w:pPr>
      <w:r w:rsidRPr="00653379">
        <w:rPr>
          <w:rStyle w:val="EndnoteReference"/>
          <w:rFonts w:cs="Arial"/>
          <w:szCs w:val="24"/>
        </w:rPr>
        <w:endnoteRef/>
      </w:r>
      <w:r w:rsidRPr="00653379">
        <w:rPr>
          <w:rFonts w:eastAsia="Arial" w:cs="Arial"/>
          <w:szCs w:val="24"/>
        </w:rPr>
        <w:t xml:space="preserve"> </w:t>
      </w:r>
      <w:r w:rsidRPr="00653379">
        <w:rPr>
          <w:rFonts w:cs="Arial"/>
          <w:szCs w:val="24"/>
        </w:rPr>
        <w:t xml:space="preserve">NYU School of Dentistry, “NYU Dentistry Oral Health Center for People with Disabilities,” accessed September 29, 2021, </w:t>
      </w:r>
      <w:hyperlink r:id="rId89" w:tooltip="https://dental.nyu.edu/patientcare/ohcpd.html" w:history="1">
        <w:r w:rsidRPr="00A2135F">
          <w:rPr>
            <w:rStyle w:val="Hyperlink"/>
            <w:rFonts w:cs="Arial"/>
            <w:color w:val="0000FF"/>
            <w:szCs w:val="24"/>
            <w:u w:color="0000FF"/>
          </w:rPr>
          <w:t>https://dental.nyu.edu/patientcare/ohcpd.html</w:t>
        </w:r>
      </w:hyperlink>
      <w:r w:rsidRPr="00A2135F">
        <w:rPr>
          <w:rFonts w:cs="Arial"/>
          <w:color w:val="0000FF"/>
          <w:szCs w:val="24"/>
          <w:u w:val="single" w:color="0000FF"/>
        </w:rPr>
        <w:t>.</w:t>
      </w:r>
      <w:r w:rsidRPr="00653379">
        <w:rPr>
          <w:rFonts w:cs="Arial"/>
          <w:szCs w:val="24"/>
        </w:rPr>
        <w:t xml:space="preserve"> </w:t>
      </w:r>
    </w:p>
  </w:endnote>
  <w:endnote w:id="133">
    <w:p w14:paraId="42BDAE67" w14:textId="110F4512" w:rsidR="00FA329E" w:rsidRPr="00653379" w:rsidRDefault="00FA329E" w:rsidP="00A51250">
      <w:pPr>
        <w:spacing w:after="200" w:line="240" w:lineRule="auto"/>
        <w:rPr>
          <w:rFonts w:eastAsia="Times New Roman" w:cs="Arial"/>
          <w:szCs w:val="24"/>
        </w:rPr>
      </w:pPr>
      <w:r w:rsidRPr="00653379">
        <w:rPr>
          <w:rStyle w:val="EndnoteReference"/>
          <w:rFonts w:cs="Arial"/>
          <w:szCs w:val="24"/>
        </w:rPr>
        <w:endnoteRef/>
      </w:r>
      <w:r w:rsidRPr="00653379">
        <w:rPr>
          <w:rFonts w:cs="Arial"/>
          <w:szCs w:val="24"/>
        </w:rPr>
        <w:t xml:space="preserve"> Steve </w:t>
      </w:r>
      <w:r w:rsidRPr="00653379">
        <w:rPr>
          <w:rFonts w:eastAsia="Times New Roman" w:cs="Arial"/>
          <w:szCs w:val="24"/>
        </w:rPr>
        <w:t xml:space="preserve">Cook, Executive Director of The Arc of Mercer County, interview conducted on May 19, 2019, for Koball et al., </w:t>
      </w:r>
      <w:r w:rsidRPr="00653379">
        <w:rPr>
          <w:rFonts w:eastAsia="Times New Roman" w:cs="Arial"/>
          <w:i/>
          <w:iCs/>
          <w:szCs w:val="24"/>
        </w:rPr>
        <w:t>Addressing Barriers to Oral Health and Health Care</w:t>
      </w:r>
      <w:r w:rsidRPr="00653379">
        <w:rPr>
          <w:rFonts w:eastAsia="Times New Roman" w:cs="Arial"/>
          <w:szCs w:val="24"/>
        </w:rPr>
        <w:t>, 2020.</w:t>
      </w:r>
    </w:p>
  </w:endnote>
  <w:endnote w:id="134">
    <w:p w14:paraId="01D88C26" w14:textId="77777777" w:rsidR="00FA329E" w:rsidRPr="00653379" w:rsidRDefault="00FA329E" w:rsidP="00A51250">
      <w:pPr>
        <w:spacing w:after="200" w:line="240" w:lineRule="auto"/>
        <w:rPr>
          <w:rFonts w:eastAsia="Arial" w:cs="Arial"/>
          <w:szCs w:val="24"/>
        </w:rPr>
      </w:pPr>
      <w:r w:rsidRPr="00653379">
        <w:rPr>
          <w:rStyle w:val="EndnoteReference"/>
          <w:rFonts w:cs="Arial"/>
          <w:szCs w:val="24"/>
        </w:rPr>
        <w:endnoteRef/>
      </w:r>
      <w:r w:rsidRPr="00653379">
        <w:rPr>
          <w:rFonts w:eastAsia="Arial" w:cs="Arial"/>
          <w:szCs w:val="24"/>
        </w:rPr>
        <w:t xml:space="preserve"> Key stakeholder, National Council on Disability’s Key Stakeholder Virtual Summit: Making Sufficient Oral Healthcare for People with I/DD a Cost-Effective Reality: Examining the Medicaid Reimbursement Rate. Held virtually via Zoom on November 17, 2020, and email correspondence with Steven Perlman, Global Clinical Director and Founder, Special Olympics Special Smiles and Clinical Professor of Pediatric Dentistry at Boston University School of Dental Medicine.</w:t>
      </w:r>
    </w:p>
  </w:endnote>
  <w:endnote w:id="135">
    <w:p w14:paraId="6B854267" w14:textId="77777777" w:rsidR="00FA329E" w:rsidRPr="00653379" w:rsidRDefault="00FA329E" w:rsidP="00A51250">
      <w:pPr>
        <w:spacing w:after="200" w:line="240" w:lineRule="auto"/>
        <w:rPr>
          <w:rFonts w:eastAsia="Arial" w:cs="Arial"/>
          <w:szCs w:val="24"/>
        </w:rPr>
      </w:pPr>
      <w:r w:rsidRPr="00653379">
        <w:rPr>
          <w:rStyle w:val="EndnoteReference"/>
          <w:rFonts w:cs="Arial"/>
          <w:szCs w:val="24"/>
        </w:rPr>
        <w:endnoteRef/>
      </w:r>
      <w:r w:rsidRPr="00653379">
        <w:rPr>
          <w:rFonts w:eastAsia="Arial" w:cs="Arial"/>
          <w:szCs w:val="24"/>
        </w:rPr>
        <w:t xml:space="preserve"> Email correspondence from Juliana David, Program Director–Oral Health, New Jersey chapter of the American Academy of Pediatrics, February 16, 2020. </w:t>
      </w:r>
    </w:p>
  </w:endnote>
  <w:endnote w:id="136">
    <w:p w14:paraId="725156E3" w14:textId="6E25E67D" w:rsidR="00FA329E" w:rsidRPr="00653379" w:rsidRDefault="00FA329E" w:rsidP="00A51250">
      <w:pPr>
        <w:spacing w:after="200" w:line="240" w:lineRule="auto"/>
        <w:rPr>
          <w:rFonts w:cs="Arial"/>
          <w:szCs w:val="24"/>
        </w:rPr>
      </w:pPr>
      <w:r w:rsidRPr="00653379">
        <w:rPr>
          <w:rStyle w:val="EndnoteReference"/>
          <w:rFonts w:cs="Arial"/>
          <w:szCs w:val="24"/>
        </w:rPr>
        <w:endnoteRef/>
      </w:r>
      <w:r w:rsidRPr="00653379">
        <w:rPr>
          <w:rFonts w:eastAsia="Arial" w:cs="Arial"/>
          <w:szCs w:val="24"/>
        </w:rPr>
        <w:t xml:space="preserve"> </w:t>
      </w:r>
      <w:r w:rsidRPr="00653379">
        <w:rPr>
          <w:rFonts w:cs="Arial"/>
          <w:szCs w:val="24"/>
        </w:rPr>
        <w:t xml:space="preserve">R. Tipirneni, S.D. Goold, and J.Z. Ayanian, “Employment Status and Health Characteristics of Adults with Expanded Medicaid Coverage in Michigan,” </w:t>
      </w:r>
      <w:r w:rsidRPr="00653379">
        <w:rPr>
          <w:rFonts w:cs="Arial"/>
          <w:i/>
          <w:iCs/>
          <w:szCs w:val="24"/>
        </w:rPr>
        <w:t>JAMA Internal Medicine</w:t>
      </w:r>
      <w:r w:rsidRPr="00653379">
        <w:rPr>
          <w:rFonts w:cs="Arial"/>
          <w:szCs w:val="24"/>
        </w:rPr>
        <w:t xml:space="preserve"> 178, no. 4 (2018): 564,</w:t>
      </w:r>
      <w:hyperlink r:id="rId90" w:tooltip="https://doi.org/10.1001/jamainternmed.2017.7055" w:history="1">
        <w:r w:rsidRPr="00A2135F">
          <w:rPr>
            <w:rStyle w:val="Hyperlink"/>
            <w:rFonts w:cs="Arial"/>
            <w:color w:val="0000FF"/>
            <w:szCs w:val="24"/>
            <w:u w:color="0000FF"/>
          </w:rPr>
          <w:t xml:space="preserve"> https://doi.org/10.1001/jamainternmed.2017.7055</w:t>
        </w:r>
      </w:hyperlink>
      <w:r w:rsidRPr="00A2135F">
        <w:rPr>
          <w:rFonts w:cs="Arial"/>
          <w:color w:val="0000FF"/>
          <w:szCs w:val="24"/>
          <w:u w:val="single" w:color="0000FF"/>
        </w:rPr>
        <w:t>.</w:t>
      </w:r>
    </w:p>
  </w:endnote>
  <w:endnote w:id="137">
    <w:p w14:paraId="357F41C5" w14:textId="7320D3FA" w:rsidR="00FA329E" w:rsidRPr="00653379" w:rsidRDefault="00FA329E" w:rsidP="00A51250">
      <w:pPr>
        <w:spacing w:after="200" w:line="240" w:lineRule="auto"/>
        <w:rPr>
          <w:rFonts w:cs="Arial"/>
          <w:szCs w:val="24"/>
        </w:rPr>
      </w:pPr>
      <w:r w:rsidRPr="00653379">
        <w:rPr>
          <w:rStyle w:val="EndnoteReference"/>
          <w:rFonts w:cs="Arial"/>
          <w:szCs w:val="24"/>
        </w:rPr>
        <w:endnoteRef/>
      </w:r>
      <w:r w:rsidRPr="00653379">
        <w:rPr>
          <w:rFonts w:cs="Arial"/>
          <w:szCs w:val="24"/>
        </w:rPr>
        <w:t xml:space="preserve"> </w:t>
      </w:r>
      <w:r w:rsidRPr="00653379">
        <w:rPr>
          <w:rFonts w:cs="Arial"/>
          <w:i/>
          <w:iCs/>
          <w:szCs w:val="24"/>
        </w:rPr>
        <w:t>Charles Gresham et al., v. Alex Michael Azar, II, Secretary, United States Department of Health and Human Services in his official capacity, et al. and State of Arkansas</w:t>
      </w:r>
      <w:r w:rsidRPr="00653379">
        <w:rPr>
          <w:rFonts w:cs="Arial"/>
          <w:szCs w:val="24"/>
        </w:rPr>
        <w:t xml:space="preserve">, No. 19-5094, 16 (2020), </w:t>
      </w:r>
      <w:hyperlink r:id="rId91" w:tooltip="https://www.cadc.uscourts.gov/internet/opinions.nsf/DDBA611EB31A1A218525850E00580F2D/$file/19-5094%20-%201828589.pdf" w:history="1">
        <w:r w:rsidRPr="00A2135F">
          <w:rPr>
            <w:rStyle w:val="Hyperlink"/>
            <w:rFonts w:cs="Arial"/>
            <w:color w:val="0000FF"/>
            <w:szCs w:val="24"/>
            <w:u w:color="0000FF"/>
          </w:rPr>
          <w:t>https://www.cadc.uscourts.gov/internet/opinions.nsf/DDBA611EB31A1A218525850E00580F2D/$file/19-5094%20-%201828589.pdf</w:t>
        </w:r>
      </w:hyperlink>
      <w:r w:rsidRPr="00653379">
        <w:rPr>
          <w:rFonts w:cs="Arial"/>
          <w:szCs w:val="24"/>
        </w:rPr>
        <w:t xml:space="preserve">. </w:t>
      </w:r>
    </w:p>
  </w:endnote>
  <w:endnote w:id="138">
    <w:p w14:paraId="6E0AED6B" w14:textId="394C790C" w:rsidR="00FA329E" w:rsidRPr="00653379" w:rsidRDefault="00FA329E" w:rsidP="00A51250">
      <w:pPr>
        <w:pStyle w:val="EndnoteText"/>
        <w:spacing w:after="200"/>
        <w:rPr>
          <w:rFonts w:cs="Arial"/>
          <w:szCs w:val="24"/>
        </w:rPr>
      </w:pPr>
      <w:r w:rsidRPr="00653379">
        <w:rPr>
          <w:rStyle w:val="EndnoteReference"/>
          <w:rFonts w:eastAsiaTheme="minorEastAsia" w:cs="Arial"/>
          <w:szCs w:val="24"/>
        </w:rPr>
        <w:endnoteRef/>
      </w:r>
      <w:r w:rsidRPr="00653379">
        <w:rPr>
          <w:rFonts w:cs="Arial"/>
          <w:szCs w:val="24"/>
        </w:rPr>
        <w:t xml:space="preserve"> American Dental Association, </w:t>
      </w:r>
      <w:r w:rsidRPr="00653379">
        <w:rPr>
          <w:rFonts w:cs="Arial"/>
          <w:i/>
          <w:iCs/>
          <w:szCs w:val="24"/>
        </w:rPr>
        <w:t>Code on Dental Procedures and Nomenclature (CDT Code)</w:t>
      </w:r>
      <w:r w:rsidRPr="00653379">
        <w:rPr>
          <w:rFonts w:cs="Arial"/>
          <w:szCs w:val="24"/>
        </w:rPr>
        <w:t xml:space="preserve">, accessed September 29, 2021, </w:t>
      </w:r>
      <w:hyperlink r:id="rId92" w:tooltip="https://www.ada.org/en/publications/cdt" w:history="1">
        <w:r w:rsidRPr="00A2135F">
          <w:rPr>
            <w:rStyle w:val="Hyperlink"/>
            <w:rFonts w:eastAsiaTheme="majorEastAsia" w:cs="Arial"/>
            <w:color w:val="0000FF"/>
            <w:szCs w:val="24"/>
            <w:u w:color="0000FF"/>
          </w:rPr>
          <w:t>https://www.ada.org/en/publications/cdt</w:t>
        </w:r>
      </w:hyperlink>
      <w:r w:rsidRPr="00653379">
        <w:rPr>
          <w:rFonts w:cs="Arial"/>
          <w:szCs w:val="24"/>
        </w:rPr>
        <w:t>.</w:t>
      </w:r>
    </w:p>
  </w:endnote>
  <w:endnote w:id="139">
    <w:p w14:paraId="34430D52" w14:textId="3D014603" w:rsidR="00FA329E" w:rsidRPr="00653379" w:rsidRDefault="00FA329E" w:rsidP="00A51250">
      <w:pPr>
        <w:pStyle w:val="EndnoteText"/>
        <w:spacing w:after="200"/>
        <w:rPr>
          <w:rFonts w:cs="Arial"/>
          <w:szCs w:val="24"/>
        </w:rPr>
      </w:pPr>
      <w:r w:rsidRPr="00653379">
        <w:rPr>
          <w:rStyle w:val="EndnoteReference"/>
          <w:rFonts w:eastAsiaTheme="minorEastAsia" w:cs="Arial"/>
          <w:szCs w:val="24"/>
        </w:rPr>
        <w:endnoteRef/>
      </w:r>
      <w:r w:rsidRPr="00653379">
        <w:rPr>
          <w:rFonts w:cs="Arial"/>
          <w:szCs w:val="24"/>
        </w:rPr>
        <w:t xml:space="preserve"> </w:t>
      </w:r>
      <w:r w:rsidRPr="00653379">
        <w:rPr>
          <w:rFonts w:cs="Arial"/>
          <w:i/>
          <w:iCs/>
          <w:szCs w:val="24"/>
        </w:rPr>
        <w:t>Practice #34005</w:t>
      </w:r>
      <w:r w:rsidRPr="00653379">
        <w:rPr>
          <w:rFonts w:cs="Arial"/>
          <w:szCs w:val="24"/>
        </w:rPr>
        <w:t>:</w:t>
      </w:r>
      <w:r w:rsidRPr="00653379">
        <w:rPr>
          <w:rFonts w:cs="Arial"/>
          <w:i/>
          <w:iCs/>
          <w:szCs w:val="24"/>
        </w:rPr>
        <w:t xml:space="preserve">The New Mexico Special Needs Dental Procedure Code, Dental Public Health Activities </w:t>
      </w:r>
      <w:r w:rsidRPr="00653379">
        <w:rPr>
          <w:rFonts w:cs="Arial"/>
          <w:szCs w:val="24"/>
        </w:rPr>
        <w:t xml:space="preserve">(Reno, NV: Association of State and Territorial Dental Directors, 2007), </w:t>
      </w:r>
      <w:hyperlink r:id="rId93" w:tooltip="https://www.astdd.org/bestpractices/DES34005NMspecialneedsdentalcode.pdf" w:history="1">
        <w:r w:rsidRPr="00A2135F">
          <w:rPr>
            <w:rStyle w:val="Hyperlink"/>
            <w:rFonts w:eastAsiaTheme="majorEastAsia" w:cs="Arial"/>
            <w:color w:val="0000FF"/>
            <w:szCs w:val="24"/>
            <w:u w:color="0000FF"/>
          </w:rPr>
          <w:t>https://www.astdd.org/bestpractices/DES34005NMspecialneedsdentalcode.pdf</w:t>
        </w:r>
      </w:hyperlink>
      <w:r w:rsidRPr="00653379">
        <w:rPr>
          <w:rFonts w:cs="Arial"/>
          <w:szCs w:val="24"/>
        </w:rPr>
        <w:t>.</w:t>
      </w:r>
    </w:p>
  </w:endnote>
  <w:endnote w:id="140">
    <w:p w14:paraId="0B62C867" w14:textId="5EF6F820" w:rsidR="00FA329E" w:rsidRPr="00653379" w:rsidRDefault="00FA329E" w:rsidP="00A51250">
      <w:pPr>
        <w:pStyle w:val="EndnoteText"/>
        <w:spacing w:after="200"/>
        <w:rPr>
          <w:rFonts w:cs="Arial"/>
          <w:szCs w:val="24"/>
        </w:rPr>
      </w:pPr>
      <w:r w:rsidRPr="00653379">
        <w:rPr>
          <w:rStyle w:val="EndnoteReference"/>
          <w:rFonts w:eastAsiaTheme="minorEastAsia" w:cs="Arial"/>
          <w:szCs w:val="24"/>
        </w:rPr>
        <w:endnoteRef/>
      </w:r>
      <w:r w:rsidRPr="00653379">
        <w:rPr>
          <w:rFonts w:cs="Arial"/>
          <w:szCs w:val="24"/>
        </w:rPr>
        <w:t xml:space="preserve"> Dental Services, 101 C.M.R. 314.00, Code of Massachusetts Regulations, </w:t>
      </w:r>
      <w:hyperlink r:id="rId94" w:tooltip="https://www.mass.gov/doc/101-cmr-314-dental-services/download" w:history="1">
        <w:r w:rsidRPr="00A2135F">
          <w:rPr>
            <w:rStyle w:val="Hyperlink"/>
            <w:rFonts w:eastAsiaTheme="majorEastAsia" w:cs="Arial"/>
            <w:color w:val="0000FF"/>
            <w:szCs w:val="24"/>
            <w:u w:color="0000FF"/>
          </w:rPr>
          <w:t>https://www.mass.gov/doc/101-cmr-314-dental-services/download</w:t>
        </w:r>
      </w:hyperlink>
      <w:r w:rsidRPr="00653379">
        <w:rPr>
          <w:rFonts w:cs="Arial"/>
          <w:szCs w:val="24"/>
        </w:rPr>
        <w:t>.</w:t>
      </w:r>
    </w:p>
  </w:endnote>
  <w:endnote w:id="141">
    <w:p w14:paraId="67AEC113" w14:textId="052EF618" w:rsidR="00FA329E" w:rsidRPr="00653379" w:rsidRDefault="00FA329E" w:rsidP="00A51250">
      <w:pPr>
        <w:pStyle w:val="NormalWeb"/>
        <w:spacing w:before="0" w:beforeAutospacing="0" w:after="200" w:afterAutospacing="0"/>
        <w:rPr>
          <w:rFonts w:ascii="Arial" w:hAnsi="Arial" w:cs="Arial"/>
        </w:rPr>
      </w:pPr>
      <w:r w:rsidRPr="00653379">
        <w:rPr>
          <w:rStyle w:val="EndnoteReference"/>
          <w:rFonts w:ascii="Arial" w:eastAsiaTheme="majorEastAsia" w:hAnsi="Arial" w:cs="Arial"/>
        </w:rPr>
        <w:endnoteRef/>
      </w:r>
      <w:r w:rsidRPr="00653379">
        <w:rPr>
          <w:rFonts w:ascii="Arial" w:hAnsi="Arial" w:cs="Arial"/>
        </w:rPr>
        <w:t xml:space="preserve"> C. Yarbrough, M. Vujicic, K. Aravamudhan, and A. Blatz, An analysis of dental spending among adults with private dental benefits. Program (Chicago: American Dental Association, Health Policy Institute, May 2016), </w:t>
      </w:r>
      <w:hyperlink r:id="rId95" w:tooltip="https://www.ada.org/-/media/project/ada-organization/ada/ada-org/ada/ada/science-and-research/hpi/files/hpibrief_0516_1.pdf." w:history="1">
        <w:r w:rsidRPr="00CF21AD">
          <w:rPr>
            <w:rStyle w:val="Hyperlink"/>
            <w:rFonts w:ascii="Arial" w:hAnsi="Arial" w:cs="Arial"/>
          </w:rPr>
          <w:t>https://www.ada.org/-/media/project/ada-organization/ada/ada-org/ada/ada/science-and-research/hpi/files/hpibrief_0516_1.pdf.</w:t>
        </w:r>
      </w:hyperlink>
    </w:p>
  </w:endnote>
  <w:endnote w:id="142">
    <w:p w14:paraId="3631F5CE" w14:textId="72A17E1B" w:rsidR="00FA329E" w:rsidRPr="00653379" w:rsidRDefault="00FA329E" w:rsidP="00A51250">
      <w:pPr>
        <w:pStyle w:val="EndnoteText"/>
        <w:spacing w:after="200"/>
        <w:rPr>
          <w:rFonts w:cs="Arial"/>
          <w:szCs w:val="24"/>
        </w:rPr>
      </w:pPr>
      <w:r w:rsidRPr="00653379">
        <w:rPr>
          <w:rStyle w:val="EndnoteReference"/>
          <w:rFonts w:eastAsiaTheme="minorEastAsia" w:cs="Arial"/>
          <w:szCs w:val="24"/>
        </w:rPr>
        <w:endnoteRef/>
      </w:r>
      <w:r w:rsidRPr="00653379">
        <w:rPr>
          <w:rFonts w:cs="Arial"/>
          <w:szCs w:val="24"/>
        </w:rPr>
        <w:t xml:space="preserve"> Centers for Medicare and Medicaid Services, </w:t>
      </w:r>
      <w:r w:rsidRPr="00653379">
        <w:rPr>
          <w:rFonts w:cs="Arial"/>
          <w:i/>
          <w:iCs/>
          <w:szCs w:val="24"/>
        </w:rPr>
        <w:t xml:space="preserve">State Waivers List </w:t>
      </w:r>
      <w:r w:rsidRPr="00653379">
        <w:rPr>
          <w:rFonts w:cs="Arial"/>
          <w:szCs w:val="24"/>
        </w:rPr>
        <w:t>(Washington, DC: Centers for Medicare and Medicaid Services),</w:t>
      </w:r>
      <w:r w:rsidRPr="00653379">
        <w:rPr>
          <w:rFonts w:cs="Arial"/>
          <w:i/>
          <w:iCs/>
          <w:szCs w:val="24"/>
        </w:rPr>
        <w:t xml:space="preserve"> </w:t>
      </w:r>
      <w:hyperlink r:id="rId96" w:anchor="content#content#content" w:history="1">
        <w:r w:rsidRPr="00A2135F">
          <w:rPr>
            <w:rStyle w:val="Hyperlink"/>
            <w:rFonts w:eastAsiaTheme="majorEastAsia" w:cs="Arial"/>
            <w:color w:val="0000FF"/>
            <w:szCs w:val="24"/>
            <w:u w:color="0000FF"/>
          </w:rPr>
          <w:t>https://www.medicaid.gov/medicaid/section-1115-demo/demonstration-and-waiver-list/index.html?search_api_fulltext=&amp;items_per_page=50&amp;f%5B0%5D=state_waiver_status_facet%3A1561&amp;f%5B1%5D=waiver_state_facet%3A781#content#content#content</w:t>
        </w:r>
      </w:hyperlink>
      <w:r w:rsidRPr="00653379">
        <w:rPr>
          <w:rFonts w:cs="Arial"/>
          <w:szCs w:val="24"/>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5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10022FF" w:usb1="C000E47F" w:usb2="00000029" w:usb3="00000000" w:csb0="000001DF" w:csb1="00000000"/>
  </w:font>
  <w:font w:name="Univers LT Std 45 Light">
    <w:altName w:val="Calibri"/>
    <w:panose1 w:val="00000000000000000000"/>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Cs w:val="24"/>
      </w:rPr>
      <w:id w:val="693045280"/>
      <w:docPartObj>
        <w:docPartGallery w:val="Page Numbers (Bottom of Page)"/>
        <w:docPartUnique/>
      </w:docPartObj>
    </w:sdtPr>
    <w:sdtEndPr>
      <w:rPr>
        <w:noProof/>
      </w:rPr>
    </w:sdtEndPr>
    <w:sdtContent>
      <w:p w14:paraId="52C5B05A" w14:textId="1D537B2F" w:rsidR="00FA329E" w:rsidRPr="002B54BE" w:rsidRDefault="00FA329E" w:rsidP="002B54BE">
        <w:pPr>
          <w:jc w:val="center"/>
          <w:rPr>
            <w:szCs w:val="24"/>
          </w:rPr>
        </w:pPr>
        <w:r w:rsidRPr="002B54BE">
          <w:rPr>
            <w:szCs w:val="24"/>
          </w:rPr>
          <w:fldChar w:fldCharType="begin"/>
        </w:r>
        <w:r w:rsidRPr="002B54BE">
          <w:rPr>
            <w:szCs w:val="24"/>
          </w:rPr>
          <w:instrText xml:space="preserve"> PAGE   \* MERGEFORMAT </w:instrText>
        </w:r>
        <w:r w:rsidRPr="002B54BE">
          <w:rPr>
            <w:szCs w:val="24"/>
          </w:rPr>
          <w:fldChar w:fldCharType="separate"/>
        </w:r>
        <w:r w:rsidR="003205CA">
          <w:rPr>
            <w:noProof/>
            <w:szCs w:val="24"/>
          </w:rPr>
          <w:t>131</w:t>
        </w:r>
        <w:r w:rsidRPr="002B54BE">
          <w:rPr>
            <w:noProof/>
            <w:szCs w:val="24"/>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E70B7A" w14:textId="77777777" w:rsidR="00A514FF" w:rsidRDefault="00A514FF" w:rsidP="00841C72">
      <w:pPr>
        <w:spacing w:line="240" w:lineRule="auto"/>
      </w:pPr>
      <w:r>
        <w:separator/>
      </w:r>
    </w:p>
  </w:footnote>
  <w:footnote w:type="continuationSeparator" w:id="0">
    <w:p w14:paraId="6576A4C4" w14:textId="77777777" w:rsidR="00A514FF" w:rsidRDefault="00A514FF" w:rsidP="00841C7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hybridMultilevel"/>
    <w:tmpl w:val="930A86DE"/>
    <w:lvl w:ilvl="0" w:tplc="23F27EEC">
      <w:start w:val="1"/>
      <w:numFmt w:val="decimal"/>
      <w:pStyle w:val="ListNumber"/>
      <w:lvlText w:val="%1."/>
      <w:lvlJc w:val="left"/>
      <w:pPr>
        <w:tabs>
          <w:tab w:val="num" w:pos="360"/>
        </w:tabs>
        <w:ind w:left="360" w:hanging="360"/>
      </w:pPr>
    </w:lvl>
    <w:lvl w:ilvl="1" w:tplc="86A2595A">
      <w:numFmt w:val="decimal"/>
      <w:lvlText w:val=""/>
      <w:lvlJc w:val="left"/>
    </w:lvl>
    <w:lvl w:ilvl="2" w:tplc="2B3CF998">
      <w:numFmt w:val="decimal"/>
      <w:lvlText w:val=""/>
      <w:lvlJc w:val="left"/>
    </w:lvl>
    <w:lvl w:ilvl="3" w:tplc="C8D29E48">
      <w:numFmt w:val="decimal"/>
      <w:lvlText w:val=""/>
      <w:lvlJc w:val="left"/>
    </w:lvl>
    <w:lvl w:ilvl="4" w:tplc="B4F2297C">
      <w:numFmt w:val="decimal"/>
      <w:lvlText w:val=""/>
      <w:lvlJc w:val="left"/>
    </w:lvl>
    <w:lvl w:ilvl="5" w:tplc="01E030B8">
      <w:numFmt w:val="decimal"/>
      <w:lvlText w:val=""/>
      <w:lvlJc w:val="left"/>
    </w:lvl>
    <w:lvl w:ilvl="6" w:tplc="78443C76">
      <w:numFmt w:val="decimal"/>
      <w:lvlText w:val=""/>
      <w:lvlJc w:val="left"/>
    </w:lvl>
    <w:lvl w:ilvl="7" w:tplc="FA20580A">
      <w:numFmt w:val="decimal"/>
      <w:lvlText w:val=""/>
      <w:lvlJc w:val="left"/>
    </w:lvl>
    <w:lvl w:ilvl="8" w:tplc="D7405950">
      <w:numFmt w:val="decimal"/>
      <w:lvlText w:val=""/>
      <w:lvlJc w:val="left"/>
    </w:lvl>
  </w:abstractNum>
  <w:abstractNum w:abstractNumId="1">
    <w:nsid w:val="FFFFFF89"/>
    <w:multiLevelType w:val="hybridMultilevel"/>
    <w:tmpl w:val="1682D62C"/>
    <w:lvl w:ilvl="0" w:tplc="73AABAEE">
      <w:start w:val="1"/>
      <w:numFmt w:val="bullet"/>
      <w:pStyle w:val="ListBullet"/>
      <w:lvlText w:val=""/>
      <w:lvlJc w:val="left"/>
      <w:pPr>
        <w:tabs>
          <w:tab w:val="num" w:pos="360"/>
        </w:tabs>
        <w:ind w:left="360" w:hanging="360"/>
      </w:pPr>
      <w:rPr>
        <w:rFonts w:ascii="Symbol" w:hAnsi="Symbol" w:hint="default"/>
      </w:rPr>
    </w:lvl>
    <w:lvl w:ilvl="1" w:tplc="C1B6EE60">
      <w:numFmt w:val="decimal"/>
      <w:lvlText w:val=""/>
      <w:lvlJc w:val="left"/>
    </w:lvl>
    <w:lvl w:ilvl="2" w:tplc="8CAE76B6">
      <w:numFmt w:val="decimal"/>
      <w:lvlText w:val=""/>
      <w:lvlJc w:val="left"/>
    </w:lvl>
    <w:lvl w:ilvl="3" w:tplc="BB706336">
      <w:numFmt w:val="decimal"/>
      <w:lvlText w:val=""/>
      <w:lvlJc w:val="left"/>
    </w:lvl>
    <w:lvl w:ilvl="4" w:tplc="6FBAB074">
      <w:numFmt w:val="decimal"/>
      <w:lvlText w:val=""/>
      <w:lvlJc w:val="left"/>
    </w:lvl>
    <w:lvl w:ilvl="5" w:tplc="D666961E">
      <w:numFmt w:val="decimal"/>
      <w:lvlText w:val=""/>
      <w:lvlJc w:val="left"/>
    </w:lvl>
    <w:lvl w:ilvl="6" w:tplc="89A4EEFC">
      <w:numFmt w:val="decimal"/>
      <w:lvlText w:val=""/>
      <w:lvlJc w:val="left"/>
    </w:lvl>
    <w:lvl w:ilvl="7" w:tplc="C8829DF4">
      <w:numFmt w:val="decimal"/>
      <w:lvlText w:val=""/>
      <w:lvlJc w:val="left"/>
    </w:lvl>
    <w:lvl w:ilvl="8" w:tplc="37341A1C">
      <w:numFmt w:val="decimal"/>
      <w:lvlText w:val=""/>
      <w:lvlJc w:val="left"/>
    </w:lvl>
  </w:abstractNum>
  <w:abstractNum w:abstractNumId="2">
    <w:nsid w:val="02425FCB"/>
    <w:multiLevelType w:val="hybridMultilevel"/>
    <w:tmpl w:val="9962B0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157DAC"/>
    <w:multiLevelType w:val="multilevel"/>
    <w:tmpl w:val="FC5AA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FF543E2"/>
    <w:multiLevelType w:val="hybridMultilevel"/>
    <w:tmpl w:val="707C9D8C"/>
    <w:lvl w:ilvl="0" w:tplc="91F2832A">
      <w:start w:val="1"/>
      <w:numFmt w:val="decimal"/>
      <w:pStyle w:val="NCDNumberedLevel1"/>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9BE1DD9"/>
    <w:multiLevelType w:val="multilevel"/>
    <w:tmpl w:val="1224556C"/>
    <w:styleLink w:val="CurrentList1"/>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2"/>
      <w:numFmt w:val="lowerRoman"/>
      <w:lvlText w:val="%3."/>
      <w:lvlJc w:val="left"/>
      <w:pPr>
        <w:ind w:left="2520" w:hanging="720"/>
      </w:pPr>
      <w:rPr>
        <w:rFonts w:hint="default"/>
      </w:rPr>
    </w:lvl>
    <w:lvl w:ilvl="3">
      <w:start w:val="1"/>
      <w:numFmt w:val="upperLetter"/>
      <w:lvlText w:val="%4."/>
      <w:lvlJc w:val="left"/>
      <w:pPr>
        <w:ind w:left="2880" w:hanging="360"/>
      </w:pPr>
      <w:rPr>
        <w:rFonts w:hint="default"/>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nsid w:val="40900938"/>
    <w:multiLevelType w:val="multilevel"/>
    <w:tmpl w:val="2D5818E2"/>
    <w:lvl w:ilvl="0">
      <w:start w:val="1"/>
      <w:numFmt w:val="decimal"/>
      <w:pStyle w:val="NCDAppendixNumberedLevel1"/>
      <w:lvlText w:val="%1."/>
      <w:lvlJc w:val="left"/>
      <w:pPr>
        <w:ind w:left="720" w:hanging="360"/>
      </w:pPr>
      <w:rPr>
        <w:u w:val="none"/>
      </w:rPr>
    </w:lvl>
    <w:lvl w:ilvl="1">
      <w:start w:val="1"/>
      <w:numFmt w:val="lowerLetter"/>
      <w:pStyle w:val="NCDAppendixNumberedLevel2"/>
      <w:lvlText w:val="%2."/>
      <w:lvlJc w:val="left"/>
      <w:pPr>
        <w:ind w:left="1440" w:hanging="360"/>
      </w:pPr>
      <w:rPr>
        <w:u w:val="none"/>
      </w:rPr>
    </w:lvl>
    <w:lvl w:ilvl="2">
      <w:start w:val="1"/>
      <w:numFmt w:val="lowerRoman"/>
      <w:pStyle w:val="NCDAppendixNumberedLevel3"/>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43BE165E"/>
    <w:multiLevelType w:val="hybridMultilevel"/>
    <w:tmpl w:val="9586B21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0DF3F09"/>
    <w:multiLevelType w:val="hybridMultilevel"/>
    <w:tmpl w:val="5E5442C2"/>
    <w:lvl w:ilvl="0" w:tplc="0409000F">
      <w:start w:val="1"/>
      <w:numFmt w:val="decimal"/>
      <w:lvlText w:val="%1."/>
      <w:lvlJc w:val="left"/>
      <w:pPr>
        <w:ind w:left="720" w:hanging="360"/>
      </w:pPr>
    </w:lvl>
    <w:lvl w:ilvl="1" w:tplc="C736EA98">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2554673"/>
    <w:multiLevelType w:val="hybridMultilevel"/>
    <w:tmpl w:val="D7300228"/>
    <w:lvl w:ilvl="0" w:tplc="04090001">
      <w:start w:val="1"/>
      <w:numFmt w:val="bullet"/>
      <w:lvlText w:val=""/>
      <w:lvlJc w:val="left"/>
      <w:pPr>
        <w:ind w:left="720" w:hanging="360"/>
      </w:pPr>
      <w:rPr>
        <w:rFonts w:ascii="Symbol" w:hAnsi="Symbol" w:hint="default"/>
        <w:color w:val="000000"/>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nsid w:val="54E2334E"/>
    <w:multiLevelType w:val="hybridMultilevel"/>
    <w:tmpl w:val="A6104894"/>
    <w:lvl w:ilvl="0" w:tplc="D3EED2DA">
      <w:start w:val="1"/>
      <w:numFmt w:val="decimal"/>
      <w:lvlText w:val="%1."/>
      <w:lvlJc w:val="left"/>
      <w:pPr>
        <w:ind w:left="720" w:hanging="360"/>
      </w:pPr>
      <w:rPr>
        <w:rFonts w:ascii="Arial" w:hAnsi="Arial" w:cs="Aria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F72603E"/>
    <w:multiLevelType w:val="hybridMultilevel"/>
    <w:tmpl w:val="FA788BAC"/>
    <w:lvl w:ilvl="0" w:tplc="DD7A4ACC">
      <w:start w:val="1"/>
      <w:numFmt w:val="bullet"/>
      <w:pStyle w:val="NCDBulletsLevel1"/>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FE77365"/>
    <w:multiLevelType w:val="hybridMultilevel"/>
    <w:tmpl w:val="60368EB4"/>
    <w:lvl w:ilvl="0" w:tplc="7DBE4836">
      <w:start w:val="1"/>
      <w:numFmt w:val="upperLetter"/>
      <w:pStyle w:val="NCDLetteredLevel1"/>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639A66C6"/>
    <w:multiLevelType w:val="hybridMultilevel"/>
    <w:tmpl w:val="2990B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3B73BA8"/>
    <w:multiLevelType w:val="hybridMultilevel"/>
    <w:tmpl w:val="B242FA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6150AAE"/>
    <w:multiLevelType w:val="multilevel"/>
    <w:tmpl w:val="CA28F78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68BB0C62"/>
    <w:multiLevelType w:val="hybridMultilevel"/>
    <w:tmpl w:val="7352B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15637D1"/>
    <w:multiLevelType w:val="hybridMultilevel"/>
    <w:tmpl w:val="1FD454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A0D1EEA"/>
    <w:multiLevelType w:val="hybridMultilevel"/>
    <w:tmpl w:val="544097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5"/>
  </w:num>
  <w:num w:numId="4">
    <w:abstractNumId w:val="11"/>
  </w:num>
  <w:num w:numId="5">
    <w:abstractNumId w:val="4"/>
  </w:num>
  <w:num w:numId="6">
    <w:abstractNumId w:val="6"/>
  </w:num>
  <w:num w:numId="7">
    <w:abstractNumId w:val="3"/>
  </w:num>
  <w:num w:numId="8">
    <w:abstractNumId w:val="8"/>
  </w:num>
  <w:num w:numId="9">
    <w:abstractNumId w:val="10"/>
  </w:num>
  <w:num w:numId="10">
    <w:abstractNumId w:val="2"/>
  </w:num>
  <w:num w:numId="11">
    <w:abstractNumId w:val="14"/>
  </w:num>
  <w:num w:numId="12">
    <w:abstractNumId w:val="17"/>
  </w:num>
  <w:num w:numId="13">
    <w:abstractNumId w:val="12"/>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5"/>
  </w:num>
  <w:num w:numId="22">
    <w:abstractNumId w:val="12"/>
    <w:lvlOverride w:ilvl="0">
      <w:startOverride w:val="1"/>
    </w:lvlOverride>
  </w:num>
  <w:num w:numId="23">
    <w:abstractNumId w:val="16"/>
  </w:num>
  <w:num w:numId="24">
    <w:abstractNumId w:val="9"/>
  </w:num>
  <w:num w:numId="25">
    <w:abstractNumId w:val="13"/>
  </w:num>
  <w:num w:numId="26">
    <w:abstractNumId w:val="7"/>
  </w:num>
  <w:num w:numId="27">
    <w:abstractNumId w:val="1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numFmt w:val="chicago"/>
    <w:footnote w:id="-1"/>
    <w:footnote w:id="0"/>
  </w:footnotePr>
  <w:endnotePr>
    <w:numFmt w:val="decimal"/>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C94586CB-D24B-4DC9-B5E1-4270BF7B51B6}"/>
    <w:docVar w:name="dgnword-eventsink" w:val="552805896"/>
    <w:docVar w:name="dgnword-lastRevisionsView" w:val="0"/>
  </w:docVars>
  <w:rsids>
    <w:rsidRoot w:val="00AB3DA7"/>
    <w:rsid w:val="000000A7"/>
    <w:rsid w:val="000000D3"/>
    <w:rsid w:val="000004FD"/>
    <w:rsid w:val="00000610"/>
    <w:rsid w:val="000007C9"/>
    <w:rsid w:val="00000862"/>
    <w:rsid w:val="000017F4"/>
    <w:rsid w:val="000019B6"/>
    <w:rsid w:val="00002065"/>
    <w:rsid w:val="00002B3D"/>
    <w:rsid w:val="00002EA0"/>
    <w:rsid w:val="0000426B"/>
    <w:rsid w:val="000049C9"/>
    <w:rsid w:val="00004B76"/>
    <w:rsid w:val="000051FC"/>
    <w:rsid w:val="00006306"/>
    <w:rsid w:val="00006E2F"/>
    <w:rsid w:val="0000737A"/>
    <w:rsid w:val="0000737D"/>
    <w:rsid w:val="0000758E"/>
    <w:rsid w:val="000102E5"/>
    <w:rsid w:val="00010376"/>
    <w:rsid w:val="00010434"/>
    <w:rsid w:val="0001052C"/>
    <w:rsid w:val="00011289"/>
    <w:rsid w:val="000113A7"/>
    <w:rsid w:val="000118A8"/>
    <w:rsid w:val="00011DF9"/>
    <w:rsid w:val="000123CC"/>
    <w:rsid w:val="000130C1"/>
    <w:rsid w:val="000157C6"/>
    <w:rsid w:val="00015C6D"/>
    <w:rsid w:val="00015D1A"/>
    <w:rsid w:val="00016385"/>
    <w:rsid w:val="000163D9"/>
    <w:rsid w:val="00016C6D"/>
    <w:rsid w:val="00016EDA"/>
    <w:rsid w:val="000207D7"/>
    <w:rsid w:val="00020AC3"/>
    <w:rsid w:val="00020F4D"/>
    <w:rsid w:val="00021130"/>
    <w:rsid w:val="00021261"/>
    <w:rsid w:val="00021D35"/>
    <w:rsid w:val="000228BA"/>
    <w:rsid w:val="00022B50"/>
    <w:rsid w:val="00022D03"/>
    <w:rsid w:val="00023527"/>
    <w:rsid w:val="00024031"/>
    <w:rsid w:val="000257F6"/>
    <w:rsid w:val="00026495"/>
    <w:rsid w:val="00030D8D"/>
    <w:rsid w:val="0003136B"/>
    <w:rsid w:val="00031901"/>
    <w:rsid w:val="00031B19"/>
    <w:rsid w:val="000329F3"/>
    <w:rsid w:val="00032A5A"/>
    <w:rsid w:val="00032A7A"/>
    <w:rsid w:val="000332BD"/>
    <w:rsid w:val="000332FA"/>
    <w:rsid w:val="00034D45"/>
    <w:rsid w:val="00035F81"/>
    <w:rsid w:val="00036014"/>
    <w:rsid w:val="00036C45"/>
    <w:rsid w:val="00037559"/>
    <w:rsid w:val="000378E0"/>
    <w:rsid w:val="00037AA7"/>
    <w:rsid w:val="00037AD9"/>
    <w:rsid w:val="00037C02"/>
    <w:rsid w:val="000406D9"/>
    <w:rsid w:val="000412D9"/>
    <w:rsid w:val="00041BE1"/>
    <w:rsid w:val="00041DDA"/>
    <w:rsid w:val="00041EA3"/>
    <w:rsid w:val="000424A3"/>
    <w:rsid w:val="00042638"/>
    <w:rsid w:val="00042B28"/>
    <w:rsid w:val="00043682"/>
    <w:rsid w:val="00043A14"/>
    <w:rsid w:val="00044DDB"/>
    <w:rsid w:val="000456A0"/>
    <w:rsid w:val="00045C50"/>
    <w:rsid w:val="00046181"/>
    <w:rsid w:val="00046301"/>
    <w:rsid w:val="00047948"/>
    <w:rsid w:val="00047954"/>
    <w:rsid w:val="000479DD"/>
    <w:rsid w:val="00050306"/>
    <w:rsid w:val="00051AF8"/>
    <w:rsid w:val="0005287D"/>
    <w:rsid w:val="00052C1C"/>
    <w:rsid w:val="00053876"/>
    <w:rsid w:val="00053889"/>
    <w:rsid w:val="0005401E"/>
    <w:rsid w:val="000554C4"/>
    <w:rsid w:val="0005564F"/>
    <w:rsid w:val="00055991"/>
    <w:rsid w:val="00055F44"/>
    <w:rsid w:val="00060097"/>
    <w:rsid w:val="000603EC"/>
    <w:rsid w:val="00060B27"/>
    <w:rsid w:val="00060F10"/>
    <w:rsid w:val="000612BA"/>
    <w:rsid w:val="000613DA"/>
    <w:rsid w:val="0006161A"/>
    <w:rsid w:val="000616DC"/>
    <w:rsid w:val="00061781"/>
    <w:rsid w:val="0006189F"/>
    <w:rsid w:val="0006234C"/>
    <w:rsid w:val="000623FB"/>
    <w:rsid w:val="00062AEE"/>
    <w:rsid w:val="000634E4"/>
    <w:rsid w:val="000636E8"/>
    <w:rsid w:val="000638E5"/>
    <w:rsid w:val="00063CCD"/>
    <w:rsid w:val="00064095"/>
    <w:rsid w:val="000651DF"/>
    <w:rsid w:val="00065257"/>
    <w:rsid w:val="00065E65"/>
    <w:rsid w:val="00067464"/>
    <w:rsid w:val="0006755F"/>
    <w:rsid w:val="0007082D"/>
    <w:rsid w:val="00071569"/>
    <w:rsid w:val="000716B0"/>
    <w:rsid w:val="0007179A"/>
    <w:rsid w:val="00071CA3"/>
    <w:rsid w:val="00072E09"/>
    <w:rsid w:val="00072EA3"/>
    <w:rsid w:val="00072EEE"/>
    <w:rsid w:val="0007302C"/>
    <w:rsid w:val="000735A4"/>
    <w:rsid w:val="000753AA"/>
    <w:rsid w:val="000757BC"/>
    <w:rsid w:val="00075911"/>
    <w:rsid w:val="00075CE1"/>
    <w:rsid w:val="00075D0A"/>
    <w:rsid w:val="000760A2"/>
    <w:rsid w:val="00080E6A"/>
    <w:rsid w:val="00081F8F"/>
    <w:rsid w:val="0008276F"/>
    <w:rsid w:val="00085C40"/>
    <w:rsid w:val="00086051"/>
    <w:rsid w:val="000861F9"/>
    <w:rsid w:val="00086BA4"/>
    <w:rsid w:val="00087084"/>
    <w:rsid w:val="00087110"/>
    <w:rsid w:val="0008750C"/>
    <w:rsid w:val="00087734"/>
    <w:rsid w:val="00087899"/>
    <w:rsid w:val="00087964"/>
    <w:rsid w:val="0009010A"/>
    <w:rsid w:val="0009035D"/>
    <w:rsid w:val="00090511"/>
    <w:rsid w:val="00090A5F"/>
    <w:rsid w:val="000913CA"/>
    <w:rsid w:val="00091790"/>
    <w:rsid w:val="000918AA"/>
    <w:rsid w:val="00091DFB"/>
    <w:rsid w:val="000945D9"/>
    <w:rsid w:val="000960AA"/>
    <w:rsid w:val="00096610"/>
    <w:rsid w:val="00096A46"/>
    <w:rsid w:val="00097643"/>
    <w:rsid w:val="000A031B"/>
    <w:rsid w:val="000A0388"/>
    <w:rsid w:val="000A06A6"/>
    <w:rsid w:val="000A07C7"/>
    <w:rsid w:val="000A0928"/>
    <w:rsid w:val="000A1CB4"/>
    <w:rsid w:val="000A2367"/>
    <w:rsid w:val="000A2731"/>
    <w:rsid w:val="000A2944"/>
    <w:rsid w:val="000A2B4D"/>
    <w:rsid w:val="000A2EE2"/>
    <w:rsid w:val="000A36DB"/>
    <w:rsid w:val="000A4239"/>
    <w:rsid w:val="000A4259"/>
    <w:rsid w:val="000A5988"/>
    <w:rsid w:val="000A6577"/>
    <w:rsid w:val="000A6921"/>
    <w:rsid w:val="000A72B7"/>
    <w:rsid w:val="000B0109"/>
    <w:rsid w:val="000B073C"/>
    <w:rsid w:val="000B07B2"/>
    <w:rsid w:val="000B0837"/>
    <w:rsid w:val="000B0E0F"/>
    <w:rsid w:val="000B0E38"/>
    <w:rsid w:val="000B0F7F"/>
    <w:rsid w:val="000B1EB1"/>
    <w:rsid w:val="000B1F14"/>
    <w:rsid w:val="000B23C8"/>
    <w:rsid w:val="000B3398"/>
    <w:rsid w:val="000B448E"/>
    <w:rsid w:val="000B4969"/>
    <w:rsid w:val="000B4EF4"/>
    <w:rsid w:val="000B585C"/>
    <w:rsid w:val="000B5C37"/>
    <w:rsid w:val="000B602A"/>
    <w:rsid w:val="000B6815"/>
    <w:rsid w:val="000B6F46"/>
    <w:rsid w:val="000B722C"/>
    <w:rsid w:val="000B7574"/>
    <w:rsid w:val="000C09D8"/>
    <w:rsid w:val="000C1248"/>
    <w:rsid w:val="000C1C23"/>
    <w:rsid w:val="000C1EE4"/>
    <w:rsid w:val="000C213B"/>
    <w:rsid w:val="000C286C"/>
    <w:rsid w:val="000C3A85"/>
    <w:rsid w:val="000C3B97"/>
    <w:rsid w:val="000C4388"/>
    <w:rsid w:val="000C5511"/>
    <w:rsid w:val="000C6F87"/>
    <w:rsid w:val="000C7FAD"/>
    <w:rsid w:val="000D0859"/>
    <w:rsid w:val="000D0B91"/>
    <w:rsid w:val="000D0FF8"/>
    <w:rsid w:val="000D1FDB"/>
    <w:rsid w:val="000D25B0"/>
    <w:rsid w:val="000D2909"/>
    <w:rsid w:val="000D29E9"/>
    <w:rsid w:val="000D31E9"/>
    <w:rsid w:val="000D3218"/>
    <w:rsid w:val="000D32D8"/>
    <w:rsid w:val="000D3E9C"/>
    <w:rsid w:val="000D4782"/>
    <w:rsid w:val="000D4B35"/>
    <w:rsid w:val="000D4F98"/>
    <w:rsid w:val="000D5BC9"/>
    <w:rsid w:val="000D5E4F"/>
    <w:rsid w:val="000D6605"/>
    <w:rsid w:val="000D6735"/>
    <w:rsid w:val="000D750E"/>
    <w:rsid w:val="000D7F1E"/>
    <w:rsid w:val="000E05BB"/>
    <w:rsid w:val="000E0D03"/>
    <w:rsid w:val="000E1075"/>
    <w:rsid w:val="000E1340"/>
    <w:rsid w:val="000E3520"/>
    <w:rsid w:val="000E3BA7"/>
    <w:rsid w:val="000E50B0"/>
    <w:rsid w:val="000E6112"/>
    <w:rsid w:val="000E62C8"/>
    <w:rsid w:val="000E65A2"/>
    <w:rsid w:val="000E6AC0"/>
    <w:rsid w:val="000E6ED6"/>
    <w:rsid w:val="000E70CC"/>
    <w:rsid w:val="000E75CB"/>
    <w:rsid w:val="000E7A32"/>
    <w:rsid w:val="000E7B26"/>
    <w:rsid w:val="000E7B6B"/>
    <w:rsid w:val="000F0DDC"/>
    <w:rsid w:val="000F11EE"/>
    <w:rsid w:val="000F16E4"/>
    <w:rsid w:val="000F1993"/>
    <w:rsid w:val="000F1ADA"/>
    <w:rsid w:val="000F31FE"/>
    <w:rsid w:val="000F398E"/>
    <w:rsid w:val="000F438F"/>
    <w:rsid w:val="000F4632"/>
    <w:rsid w:val="000F4992"/>
    <w:rsid w:val="000F5764"/>
    <w:rsid w:val="000F5905"/>
    <w:rsid w:val="000F6463"/>
    <w:rsid w:val="000F7181"/>
    <w:rsid w:val="000F7A59"/>
    <w:rsid w:val="000F7EFB"/>
    <w:rsid w:val="00100044"/>
    <w:rsid w:val="001003DE"/>
    <w:rsid w:val="00101B24"/>
    <w:rsid w:val="00101EAF"/>
    <w:rsid w:val="00102A46"/>
    <w:rsid w:val="0010557E"/>
    <w:rsid w:val="001057D8"/>
    <w:rsid w:val="00105AD2"/>
    <w:rsid w:val="00105AE9"/>
    <w:rsid w:val="00105C64"/>
    <w:rsid w:val="0010692B"/>
    <w:rsid w:val="00106D9E"/>
    <w:rsid w:val="00107B68"/>
    <w:rsid w:val="0011098D"/>
    <w:rsid w:val="00110BAD"/>
    <w:rsid w:val="001111B5"/>
    <w:rsid w:val="0011139E"/>
    <w:rsid w:val="00111443"/>
    <w:rsid w:val="001115C1"/>
    <w:rsid w:val="00112E8C"/>
    <w:rsid w:val="001141E6"/>
    <w:rsid w:val="00114B1E"/>
    <w:rsid w:val="00114C38"/>
    <w:rsid w:val="00114F11"/>
    <w:rsid w:val="00115A4C"/>
    <w:rsid w:val="00117041"/>
    <w:rsid w:val="001175CA"/>
    <w:rsid w:val="001177B6"/>
    <w:rsid w:val="001177CE"/>
    <w:rsid w:val="00120A98"/>
    <w:rsid w:val="00120FD2"/>
    <w:rsid w:val="001217ED"/>
    <w:rsid w:val="0012257A"/>
    <w:rsid w:val="00122CCF"/>
    <w:rsid w:val="00122FC3"/>
    <w:rsid w:val="001236BD"/>
    <w:rsid w:val="0012408E"/>
    <w:rsid w:val="00124FC7"/>
    <w:rsid w:val="0012682F"/>
    <w:rsid w:val="00126F74"/>
    <w:rsid w:val="0012732D"/>
    <w:rsid w:val="00127573"/>
    <w:rsid w:val="0012779F"/>
    <w:rsid w:val="00130536"/>
    <w:rsid w:val="001306F2"/>
    <w:rsid w:val="00131922"/>
    <w:rsid w:val="001322B6"/>
    <w:rsid w:val="00133887"/>
    <w:rsid w:val="00133E8B"/>
    <w:rsid w:val="00133F5E"/>
    <w:rsid w:val="0013480A"/>
    <w:rsid w:val="00134CEF"/>
    <w:rsid w:val="00135AA9"/>
    <w:rsid w:val="001363FF"/>
    <w:rsid w:val="00136938"/>
    <w:rsid w:val="00140293"/>
    <w:rsid w:val="001404BF"/>
    <w:rsid w:val="001406DF"/>
    <w:rsid w:val="00140836"/>
    <w:rsid w:val="00140BDB"/>
    <w:rsid w:val="001412E0"/>
    <w:rsid w:val="00141572"/>
    <w:rsid w:val="00141A4F"/>
    <w:rsid w:val="00141AA6"/>
    <w:rsid w:val="00141FA8"/>
    <w:rsid w:val="001428F4"/>
    <w:rsid w:val="001428F5"/>
    <w:rsid w:val="00142BBF"/>
    <w:rsid w:val="00142D2A"/>
    <w:rsid w:val="00143048"/>
    <w:rsid w:val="001436F9"/>
    <w:rsid w:val="00143B49"/>
    <w:rsid w:val="00143C40"/>
    <w:rsid w:val="00144230"/>
    <w:rsid w:val="001451E6"/>
    <w:rsid w:val="00145242"/>
    <w:rsid w:val="001500B4"/>
    <w:rsid w:val="001501A5"/>
    <w:rsid w:val="0015093A"/>
    <w:rsid w:val="00151197"/>
    <w:rsid w:val="0015121D"/>
    <w:rsid w:val="00151385"/>
    <w:rsid w:val="00152335"/>
    <w:rsid w:val="00154B58"/>
    <w:rsid w:val="00154B85"/>
    <w:rsid w:val="00155E3C"/>
    <w:rsid w:val="0015665E"/>
    <w:rsid w:val="0015701B"/>
    <w:rsid w:val="00157863"/>
    <w:rsid w:val="00160741"/>
    <w:rsid w:val="0016198D"/>
    <w:rsid w:val="0016364F"/>
    <w:rsid w:val="00165169"/>
    <w:rsid w:val="001657F4"/>
    <w:rsid w:val="00165BA5"/>
    <w:rsid w:val="001670FE"/>
    <w:rsid w:val="00167A11"/>
    <w:rsid w:val="00167B8A"/>
    <w:rsid w:val="0017021D"/>
    <w:rsid w:val="00171673"/>
    <w:rsid w:val="00171B3F"/>
    <w:rsid w:val="001720DF"/>
    <w:rsid w:val="0017224E"/>
    <w:rsid w:val="001726CB"/>
    <w:rsid w:val="001734C3"/>
    <w:rsid w:val="00173755"/>
    <w:rsid w:val="001737D7"/>
    <w:rsid w:val="00173F52"/>
    <w:rsid w:val="00174349"/>
    <w:rsid w:val="0017544D"/>
    <w:rsid w:val="00175E12"/>
    <w:rsid w:val="0017735B"/>
    <w:rsid w:val="00177766"/>
    <w:rsid w:val="00177C18"/>
    <w:rsid w:val="00177D42"/>
    <w:rsid w:val="001801D0"/>
    <w:rsid w:val="00180507"/>
    <w:rsid w:val="00180509"/>
    <w:rsid w:val="00180A58"/>
    <w:rsid w:val="001816A2"/>
    <w:rsid w:val="00181EAC"/>
    <w:rsid w:val="001828A2"/>
    <w:rsid w:val="0018299E"/>
    <w:rsid w:val="00182C4A"/>
    <w:rsid w:val="00182CF4"/>
    <w:rsid w:val="00183FEF"/>
    <w:rsid w:val="001841C7"/>
    <w:rsid w:val="001842E2"/>
    <w:rsid w:val="0018438E"/>
    <w:rsid w:val="0018439A"/>
    <w:rsid w:val="001843C0"/>
    <w:rsid w:val="001849F2"/>
    <w:rsid w:val="00184C1A"/>
    <w:rsid w:val="0018555C"/>
    <w:rsid w:val="001868DE"/>
    <w:rsid w:val="00186F2F"/>
    <w:rsid w:val="0018711F"/>
    <w:rsid w:val="00187341"/>
    <w:rsid w:val="001878BF"/>
    <w:rsid w:val="001878D4"/>
    <w:rsid w:val="00187FDA"/>
    <w:rsid w:val="00190E56"/>
    <w:rsid w:val="001910C6"/>
    <w:rsid w:val="0019132C"/>
    <w:rsid w:val="0019154A"/>
    <w:rsid w:val="0019154D"/>
    <w:rsid w:val="00191627"/>
    <w:rsid w:val="00191A45"/>
    <w:rsid w:val="00191C5F"/>
    <w:rsid w:val="00192549"/>
    <w:rsid w:val="00192B26"/>
    <w:rsid w:val="001934EE"/>
    <w:rsid w:val="00193573"/>
    <w:rsid w:val="00193809"/>
    <w:rsid w:val="00193835"/>
    <w:rsid w:val="00193933"/>
    <w:rsid w:val="00195107"/>
    <w:rsid w:val="00195490"/>
    <w:rsid w:val="001956F8"/>
    <w:rsid w:val="00195E72"/>
    <w:rsid w:val="0019617C"/>
    <w:rsid w:val="00196BD6"/>
    <w:rsid w:val="001972F8"/>
    <w:rsid w:val="00197E58"/>
    <w:rsid w:val="001A1A26"/>
    <w:rsid w:val="001A1BC9"/>
    <w:rsid w:val="001A2636"/>
    <w:rsid w:val="001A307E"/>
    <w:rsid w:val="001A3135"/>
    <w:rsid w:val="001A3145"/>
    <w:rsid w:val="001A3855"/>
    <w:rsid w:val="001A456E"/>
    <w:rsid w:val="001A4950"/>
    <w:rsid w:val="001A54B0"/>
    <w:rsid w:val="001A55A7"/>
    <w:rsid w:val="001A5B3D"/>
    <w:rsid w:val="001A6223"/>
    <w:rsid w:val="001A6906"/>
    <w:rsid w:val="001A6DD3"/>
    <w:rsid w:val="001A71EF"/>
    <w:rsid w:val="001B05D3"/>
    <w:rsid w:val="001B07C9"/>
    <w:rsid w:val="001B0B60"/>
    <w:rsid w:val="001B1562"/>
    <w:rsid w:val="001B2BDB"/>
    <w:rsid w:val="001B3506"/>
    <w:rsid w:val="001B3723"/>
    <w:rsid w:val="001B39B0"/>
    <w:rsid w:val="001B3A8D"/>
    <w:rsid w:val="001B3FFC"/>
    <w:rsid w:val="001B5A77"/>
    <w:rsid w:val="001B5A8F"/>
    <w:rsid w:val="001B6815"/>
    <w:rsid w:val="001B69F3"/>
    <w:rsid w:val="001B6E59"/>
    <w:rsid w:val="001B71C6"/>
    <w:rsid w:val="001B7B84"/>
    <w:rsid w:val="001B7E46"/>
    <w:rsid w:val="001C1146"/>
    <w:rsid w:val="001C1530"/>
    <w:rsid w:val="001C1FF8"/>
    <w:rsid w:val="001C2D00"/>
    <w:rsid w:val="001C2D5A"/>
    <w:rsid w:val="001C30D9"/>
    <w:rsid w:val="001C3345"/>
    <w:rsid w:val="001C364D"/>
    <w:rsid w:val="001C3B34"/>
    <w:rsid w:val="001C47D1"/>
    <w:rsid w:val="001C5C2B"/>
    <w:rsid w:val="001C5E43"/>
    <w:rsid w:val="001C5F72"/>
    <w:rsid w:val="001C61BF"/>
    <w:rsid w:val="001C65EB"/>
    <w:rsid w:val="001C70E4"/>
    <w:rsid w:val="001C737E"/>
    <w:rsid w:val="001D0821"/>
    <w:rsid w:val="001D0C96"/>
    <w:rsid w:val="001D18B9"/>
    <w:rsid w:val="001D1F7F"/>
    <w:rsid w:val="001D2359"/>
    <w:rsid w:val="001D2C3F"/>
    <w:rsid w:val="001D313C"/>
    <w:rsid w:val="001D3AA3"/>
    <w:rsid w:val="001D3BBE"/>
    <w:rsid w:val="001D44F6"/>
    <w:rsid w:val="001D4C99"/>
    <w:rsid w:val="001D4ECC"/>
    <w:rsid w:val="001D579E"/>
    <w:rsid w:val="001D5F59"/>
    <w:rsid w:val="001D6677"/>
    <w:rsid w:val="001D69A5"/>
    <w:rsid w:val="001D6D6B"/>
    <w:rsid w:val="001D7AF1"/>
    <w:rsid w:val="001D7F1C"/>
    <w:rsid w:val="001E100E"/>
    <w:rsid w:val="001E134E"/>
    <w:rsid w:val="001E180D"/>
    <w:rsid w:val="001E27EF"/>
    <w:rsid w:val="001E2D29"/>
    <w:rsid w:val="001E5005"/>
    <w:rsid w:val="001E5C6B"/>
    <w:rsid w:val="001E5D80"/>
    <w:rsid w:val="001E5EC1"/>
    <w:rsid w:val="001E6D61"/>
    <w:rsid w:val="001E6F65"/>
    <w:rsid w:val="001F0072"/>
    <w:rsid w:val="001F0178"/>
    <w:rsid w:val="001F14D5"/>
    <w:rsid w:val="001F158E"/>
    <w:rsid w:val="001F17A4"/>
    <w:rsid w:val="001F1BA1"/>
    <w:rsid w:val="001F1D69"/>
    <w:rsid w:val="001F1E6E"/>
    <w:rsid w:val="001F2238"/>
    <w:rsid w:val="001F4DED"/>
    <w:rsid w:val="001F4FD8"/>
    <w:rsid w:val="001F51A2"/>
    <w:rsid w:val="001F55E2"/>
    <w:rsid w:val="001F5C20"/>
    <w:rsid w:val="001F5F1D"/>
    <w:rsid w:val="001F6698"/>
    <w:rsid w:val="001F7AF8"/>
    <w:rsid w:val="001F7BA7"/>
    <w:rsid w:val="001F7C9B"/>
    <w:rsid w:val="0020003D"/>
    <w:rsid w:val="002009A9"/>
    <w:rsid w:val="00200A16"/>
    <w:rsid w:val="00200DC6"/>
    <w:rsid w:val="002013A0"/>
    <w:rsid w:val="00201BB4"/>
    <w:rsid w:val="0020247B"/>
    <w:rsid w:val="0020254E"/>
    <w:rsid w:val="0020275F"/>
    <w:rsid w:val="00202FF4"/>
    <w:rsid w:val="002032B3"/>
    <w:rsid w:val="002035FD"/>
    <w:rsid w:val="00203682"/>
    <w:rsid w:val="00204DCB"/>
    <w:rsid w:val="00205090"/>
    <w:rsid w:val="00205485"/>
    <w:rsid w:val="002058B2"/>
    <w:rsid w:val="002059E9"/>
    <w:rsid w:val="00205DEB"/>
    <w:rsid w:val="002060E5"/>
    <w:rsid w:val="00207182"/>
    <w:rsid w:val="00210226"/>
    <w:rsid w:val="0021032A"/>
    <w:rsid w:val="0021079B"/>
    <w:rsid w:val="00210A88"/>
    <w:rsid w:val="00210ED6"/>
    <w:rsid w:val="002111A2"/>
    <w:rsid w:val="0021142D"/>
    <w:rsid w:val="00211846"/>
    <w:rsid w:val="00212424"/>
    <w:rsid w:val="0021255D"/>
    <w:rsid w:val="00212DD1"/>
    <w:rsid w:val="00212ECD"/>
    <w:rsid w:val="00213C95"/>
    <w:rsid w:val="00214C3C"/>
    <w:rsid w:val="00215D2C"/>
    <w:rsid w:val="00216342"/>
    <w:rsid w:val="002166B9"/>
    <w:rsid w:val="00216CEA"/>
    <w:rsid w:val="00217A34"/>
    <w:rsid w:val="00217FF8"/>
    <w:rsid w:val="0022049E"/>
    <w:rsid w:val="00220832"/>
    <w:rsid w:val="00221354"/>
    <w:rsid w:val="00221D77"/>
    <w:rsid w:val="00222259"/>
    <w:rsid w:val="002226EA"/>
    <w:rsid w:val="002228A2"/>
    <w:rsid w:val="00222D3A"/>
    <w:rsid w:val="002230C4"/>
    <w:rsid w:val="00223D7D"/>
    <w:rsid w:val="00224015"/>
    <w:rsid w:val="00224FDB"/>
    <w:rsid w:val="0022533B"/>
    <w:rsid w:val="0022562E"/>
    <w:rsid w:val="00225638"/>
    <w:rsid w:val="00225A0F"/>
    <w:rsid w:val="00226156"/>
    <w:rsid w:val="00226936"/>
    <w:rsid w:val="00226A59"/>
    <w:rsid w:val="00226B5D"/>
    <w:rsid w:val="00226E53"/>
    <w:rsid w:val="00230404"/>
    <w:rsid w:val="0023078D"/>
    <w:rsid w:val="00230B8F"/>
    <w:rsid w:val="00230D0E"/>
    <w:rsid w:val="00230DDE"/>
    <w:rsid w:val="00231544"/>
    <w:rsid w:val="00231707"/>
    <w:rsid w:val="00231759"/>
    <w:rsid w:val="002333C3"/>
    <w:rsid w:val="00234731"/>
    <w:rsid w:val="0023513D"/>
    <w:rsid w:val="00235376"/>
    <w:rsid w:val="00235946"/>
    <w:rsid w:val="00235B82"/>
    <w:rsid w:val="00236149"/>
    <w:rsid w:val="0023793A"/>
    <w:rsid w:val="00237BB9"/>
    <w:rsid w:val="00237DB8"/>
    <w:rsid w:val="00240357"/>
    <w:rsid w:val="002407E0"/>
    <w:rsid w:val="00240B3B"/>
    <w:rsid w:val="0024127E"/>
    <w:rsid w:val="00241DF1"/>
    <w:rsid w:val="0024261E"/>
    <w:rsid w:val="00242AEF"/>
    <w:rsid w:val="00242B06"/>
    <w:rsid w:val="0024335B"/>
    <w:rsid w:val="00243994"/>
    <w:rsid w:val="00243BA6"/>
    <w:rsid w:val="002442EE"/>
    <w:rsid w:val="002444E1"/>
    <w:rsid w:val="0024459D"/>
    <w:rsid w:val="0024501D"/>
    <w:rsid w:val="00245CC6"/>
    <w:rsid w:val="00245F23"/>
    <w:rsid w:val="0024709A"/>
    <w:rsid w:val="002473D4"/>
    <w:rsid w:val="002512EE"/>
    <w:rsid w:val="002513DA"/>
    <w:rsid w:val="00251C60"/>
    <w:rsid w:val="002535C0"/>
    <w:rsid w:val="0025361F"/>
    <w:rsid w:val="0025424E"/>
    <w:rsid w:val="00254E18"/>
    <w:rsid w:val="002561C0"/>
    <w:rsid w:val="002564AF"/>
    <w:rsid w:val="00256596"/>
    <w:rsid w:val="00256897"/>
    <w:rsid w:val="002571B8"/>
    <w:rsid w:val="00257424"/>
    <w:rsid w:val="00257D88"/>
    <w:rsid w:val="00260226"/>
    <w:rsid w:val="002604BB"/>
    <w:rsid w:val="00260E5C"/>
    <w:rsid w:val="002614ED"/>
    <w:rsid w:val="00261C88"/>
    <w:rsid w:val="00262365"/>
    <w:rsid w:val="00263070"/>
    <w:rsid w:val="0026318A"/>
    <w:rsid w:val="002636E3"/>
    <w:rsid w:val="00264048"/>
    <w:rsid w:val="0026457A"/>
    <w:rsid w:val="00264906"/>
    <w:rsid w:val="00265798"/>
    <w:rsid w:val="00266AFC"/>
    <w:rsid w:val="00266FBC"/>
    <w:rsid w:val="00267DC3"/>
    <w:rsid w:val="00270715"/>
    <w:rsid w:val="00270E51"/>
    <w:rsid w:val="00270FDA"/>
    <w:rsid w:val="00271387"/>
    <w:rsid w:val="0027171F"/>
    <w:rsid w:val="00271915"/>
    <w:rsid w:val="002721E7"/>
    <w:rsid w:val="00272636"/>
    <w:rsid w:val="00272A36"/>
    <w:rsid w:val="00272F64"/>
    <w:rsid w:val="002736CA"/>
    <w:rsid w:val="00273770"/>
    <w:rsid w:val="002740A5"/>
    <w:rsid w:val="002744EA"/>
    <w:rsid w:val="00274B57"/>
    <w:rsid w:val="00274BBB"/>
    <w:rsid w:val="00274D6A"/>
    <w:rsid w:val="0027509F"/>
    <w:rsid w:val="00275104"/>
    <w:rsid w:val="00275218"/>
    <w:rsid w:val="0027537C"/>
    <w:rsid w:val="00276179"/>
    <w:rsid w:val="002764D9"/>
    <w:rsid w:val="00276843"/>
    <w:rsid w:val="00276926"/>
    <w:rsid w:val="00276B3F"/>
    <w:rsid w:val="00277A5A"/>
    <w:rsid w:val="00280077"/>
    <w:rsid w:val="00281674"/>
    <w:rsid w:val="00283241"/>
    <w:rsid w:val="00283596"/>
    <w:rsid w:val="00284024"/>
    <w:rsid w:val="00284265"/>
    <w:rsid w:val="002848F9"/>
    <w:rsid w:val="00285D74"/>
    <w:rsid w:val="00286242"/>
    <w:rsid w:val="002868E3"/>
    <w:rsid w:val="00287403"/>
    <w:rsid w:val="0028742B"/>
    <w:rsid w:val="002876B2"/>
    <w:rsid w:val="00287B11"/>
    <w:rsid w:val="00287BC5"/>
    <w:rsid w:val="00291DDD"/>
    <w:rsid w:val="0029338D"/>
    <w:rsid w:val="002936D2"/>
    <w:rsid w:val="002947C3"/>
    <w:rsid w:val="00295289"/>
    <w:rsid w:val="002957E2"/>
    <w:rsid w:val="00295990"/>
    <w:rsid w:val="00296607"/>
    <w:rsid w:val="002966DC"/>
    <w:rsid w:val="00296DA5"/>
    <w:rsid w:val="0029702D"/>
    <w:rsid w:val="00297316"/>
    <w:rsid w:val="00297998"/>
    <w:rsid w:val="00297A67"/>
    <w:rsid w:val="002A070B"/>
    <w:rsid w:val="002A153D"/>
    <w:rsid w:val="002A1736"/>
    <w:rsid w:val="002A2266"/>
    <w:rsid w:val="002A287E"/>
    <w:rsid w:val="002A30E8"/>
    <w:rsid w:val="002A3766"/>
    <w:rsid w:val="002A3C14"/>
    <w:rsid w:val="002A3D1D"/>
    <w:rsid w:val="002A4632"/>
    <w:rsid w:val="002A61D6"/>
    <w:rsid w:val="002A656B"/>
    <w:rsid w:val="002A7069"/>
    <w:rsid w:val="002B01BB"/>
    <w:rsid w:val="002B0ED6"/>
    <w:rsid w:val="002B10CA"/>
    <w:rsid w:val="002B227B"/>
    <w:rsid w:val="002B24AA"/>
    <w:rsid w:val="002B2D61"/>
    <w:rsid w:val="002B3029"/>
    <w:rsid w:val="002B34DD"/>
    <w:rsid w:val="002B3EC2"/>
    <w:rsid w:val="002B45B1"/>
    <w:rsid w:val="002B4829"/>
    <w:rsid w:val="002B49A0"/>
    <w:rsid w:val="002B5013"/>
    <w:rsid w:val="002B54BE"/>
    <w:rsid w:val="002B5B82"/>
    <w:rsid w:val="002B6177"/>
    <w:rsid w:val="002B68F6"/>
    <w:rsid w:val="002B6DB1"/>
    <w:rsid w:val="002B6E53"/>
    <w:rsid w:val="002B7826"/>
    <w:rsid w:val="002B78E2"/>
    <w:rsid w:val="002C083D"/>
    <w:rsid w:val="002C09BE"/>
    <w:rsid w:val="002C0D39"/>
    <w:rsid w:val="002C1087"/>
    <w:rsid w:val="002C1E9B"/>
    <w:rsid w:val="002C3BAC"/>
    <w:rsid w:val="002C51C1"/>
    <w:rsid w:val="002C7C16"/>
    <w:rsid w:val="002C7E88"/>
    <w:rsid w:val="002D0469"/>
    <w:rsid w:val="002D1CE5"/>
    <w:rsid w:val="002D1D67"/>
    <w:rsid w:val="002D1E82"/>
    <w:rsid w:val="002D2103"/>
    <w:rsid w:val="002D27D8"/>
    <w:rsid w:val="002D3021"/>
    <w:rsid w:val="002D3ED2"/>
    <w:rsid w:val="002D55BD"/>
    <w:rsid w:val="002D5620"/>
    <w:rsid w:val="002D5C37"/>
    <w:rsid w:val="002D5D08"/>
    <w:rsid w:val="002D5F85"/>
    <w:rsid w:val="002D620F"/>
    <w:rsid w:val="002D6943"/>
    <w:rsid w:val="002D72C0"/>
    <w:rsid w:val="002D770B"/>
    <w:rsid w:val="002D7B94"/>
    <w:rsid w:val="002E0120"/>
    <w:rsid w:val="002E051F"/>
    <w:rsid w:val="002E05CC"/>
    <w:rsid w:val="002E0786"/>
    <w:rsid w:val="002E1766"/>
    <w:rsid w:val="002E18D3"/>
    <w:rsid w:val="002E2545"/>
    <w:rsid w:val="002E2C1E"/>
    <w:rsid w:val="002E3DA6"/>
    <w:rsid w:val="002E42E5"/>
    <w:rsid w:val="002E59E7"/>
    <w:rsid w:val="002E5C57"/>
    <w:rsid w:val="002E63B7"/>
    <w:rsid w:val="002E67AC"/>
    <w:rsid w:val="002E6972"/>
    <w:rsid w:val="002E6A65"/>
    <w:rsid w:val="002F0446"/>
    <w:rsid w:val="002F10E3"/>
    <w:rsid w:val="002F2249"/>
    <w:rsid w:val="002F2538"/>
    <w:rsid w:val="002F3DE3"/>
    <w:rsid w:val="002F3E81"/>
    <w:rsid w:val="002F4388"/>
    <w:rsid w:val="002F4F74"/>
    <w:rsid w:val="002F54D4"/>
    <w:rsid w:val="002F5EAF"/>
    <w:rsid w:val="002F5F07"/>
    <w:rsid w:val="002F64EB"/>
    <w:rsid w:val="002F6A9A"/>
    <w:rsid w:val="002F6AC2"/>
    <w:rsid w:val="002F70EB"/>
    <w:rsid w:val="002F77F9"/>
    <w:rsid w:val="002F78B9"/>
    <w:rsid w:val="002F78F8"/>
    <w:rsid w:val="00300479"/>
    <w:rsid w:val="003010C0"/>
    <w:rsid w:val="00301A2B"/>
    <w:rsid w:val="00301E6D"/>
    <w:rsid w:val="00301EB2"/>
    <w:rsid w:val="00301ECD"/>
    <w:rsid w:val="003039C5"/>
    <w:rsid w:val="00303A68"/>
    <w:rsid w:val="00303F93"/>
    <w:rsid w:val="0030441C"/>
    <w:rsid w:val="003048A7"/>
    <w:rsid w:val="00305A61"/>
    <w:rsid w:val="00305B04"/>
    <w:rsid w:val="0030620D"/>
    <w:rsid w:val="00310225"/>
    <w:rsid w:val="003103AB"/>
    <w:rsid w:val="00310DB0"/>
    <w:rsid w:val="003117F8"/>
    <w:rsid w:val="00312908"/>
    <w:rsid w:val="00312AFC"/>
    <w:rsid w:val="0031301A"/>
    <w:rsid w:val="003132D7"/>
    <w:rsid w:val="00314876"/>
    <w:rsid w:val="00314DB8"/>
    <w:rsid w:val="003165C7"/>
    <w:rsid w:val="003168DE"/>
    <w:rsid w:val="00316ACA"/>
    <w:rsid w:val="003170A7"/>
    <w:rsid w:val="00317350"/>
    <w:rsid w:val="00317DB6"/>
    <w:rsid w:val="003205CA"/>
    <w:rsid w:val="00320B71"/>
    <w:rsid w:val="00321365"/>
    <w:rsid w:val="00321519"/>
    <w:rsid w:val="003221C8"/>
    <w:rsid w:val="003225B5"/>
    <w:rsid w:val="00322ECB"/>
    <w:rsid w:val="003232B9"/>
    <w:rsid w:val="003234DC"/>
    <w:rsid w:val="00323DCF"/>
    <w:rsid w:val="003241DF"/>
    <w:rsid w:val="00324629"/>
    <w:rsid w:val="003249CD"/>
    <w:rsid w:val="00324B7D"/>
    <w:rsid w:val="003251D5"/>
    <w:rsid w:val="0032549F"/>
    <w:rsid w:val="00325C5C"/>
    <w:rsid w:val="00327498"/>
    <w:rsid w:val="00327632"/>
    <w:rsid w:val="00327A28"/>
    <w:rsid w:val="00327CF5"/>
    <w:rsid w:val="003301A2"/>
    <w:rsid w:val="00330B6C"/>
    <w:rsid w:val="00330E7A"/>
    <w:rsid w:val="0033193D"/>
    <w:rsid w:val="0033221A"/>
    <w:rsid w:val="00332530"/>
    <w:rsid w:val="003326BC"/>
    <w:rsid w:val="00332D17"/>
    <w:rsid w:val="00333903"/>
    <w:rsid w:val="0033396C"/>
    <w:rsid w:val="00333C83"/>
    <w:rsid w:val="003341AB"/>
    <w:rsid w:val="003343E6"/>
    <w:rsid w:val="00334422"/>
    <w:rsid w:val="0033518B"/>
    <w:rsid w:val="003363EC"/>
    <w:rsid w:val="00337221"/>
    <w:rsid w:val="00337D5B"/>
    <w:rsid w:val="00337EE3"/>
    <w:rsid w:val="00340153"/>
    <w:rsid w:val="003406D8"/>
    <w:rsid w:val="00340A90"/>
    <w:rsid w:val="00341333"/>
    <w:rsid w:val="003417D8"/>
    <w:rsid w:val="00341AA3"/>
    <w:rsid w:val="00341E51"/>
    <w:rsid w:val="0034283C"/>
    <w:rsid w:val="003429E0"/>
    <w:rsid w:val="00342EA2"/>
    <w:rsid w:val="00343EE6"/>
    <w:rsid w:val="0034491F"/>
    <w:rsid w:val="00344B47"/>
    <w:rsid w:val="00344D15"/>
    <w:rsid w:val="003458DD"/>
    <w:rsid w:val="003460F9"/>
    <w:rsid w:val="0034625B"/>
    <w:rsid w:val="003464D7"/>
    <w:rsid w:val="0034677E"/>
    <w:rsid w:val="003471ED"/>
    <w:rsid w:val="00347BF4"/>
    <w:rsid w:val="00347C68"/>
    <w:rsid w:val="003505B5"/>
    <w:rsid w:val="003506E3"/>
    <w:rsid w:val="003506EB"/>
    <w:rsid w:val="003510F5"/>
    <w:rsid w:val="0035136A"/>
    <w:rsid w:val="00351E73"/>
    <w:rsid w:val="00352A5E"/>
    <w:rsid w:val="00352BE2"/>
    <w:rsid w:val="00352CB2"/>
    <w:rsid w:val="00353DC7"/>
    <w:rsid w:val="00354DB0"/>
    <w:rsid w:val="00355320"/>
    <w:rsid w:val="0035605A"/>
    <w:rsid w:val="00356410"/>
    <w:rsid w:val="003571A5"/>
    <w:rsid w:val="0035768A"/>
    <w:rsid w:val="00357971"/>
    <w:rsid w:val="00357B39"/>
    <w:rsid w:val="00360801"/>
    <w:rsid w:val="0036147D"/>
    <w:rsid w:val="00361A80"/>
    <w:rsid w:val="00361EEB"/>
    <w:rsid w:val="003629B9"/>
    <w:rsid w:val="00362BAA"/>
    <w:rsid w:val="00363573"/>
    <w:rsid w:val="003642C0"/>
    <w:rsid w:val="00364FC8"/>
    <w:rsid w:val="00365193"/>
    <w:rsid w:val="00365B63"/>
    <w:rsid w:val="00365D86"/>
    <w:rsid w:val="003663FC"/>
    <w:rsid w:val="00366EFB"/>
    <w:rsid w:val="00370017"/>
    <w:rsid w:val="00370A71"/>
    <w:rsid w:val="00370F6C"/>
    <w:rsid w:val="00371410"/>
    <w:rsid w:val="0037211F"/>
    <w:rsid w:val="00373051"/>
    <w:rsid w:val="0037340D"/>
    <w:rsid w:val="00374B19"/>
    <w:rsid w:val="003751AF"/>
    <w:rsid w:val="003754F6"/>
    <w:rsid w:val="003757BF"/>
    <w:rsid w:val="0037602C"/>
    <w:rsid w:val="00377858"/>
    <w:rsid w:val="00380A88"/>
    <w:rsid w:val="0038125D"/>
    <w:rsid w:val="00382345"/>
    <w:rsid w:val="00382ABA"/>
    <w:rsid w:val="003837E2"/>
    <w:rsid w:val="00384BF0"/>
    <w:rsid w:val="00384ECD"/>
    <w:rsid w:val="00384EEC"/>
    <w:rsid w:val="003862A8"/>
    <w:rsid w:val="003864B5"/>
    <w:rsid w:val="00387167"/>
    <w:rsid w:val="00387559"/>
    <w:rsid w:val="00387E17"/>
    <w:rsid w:val="00390069"/>
    <w:rsid w:val="003904DE"/>
    <w:rsid w:val="00390773"/>
    <w:rsid w:val="003907CC"/>
    <w:rsid w:val="003909E6"/>
    <w:rsid w:val="00390B06"/>
    <w:rsid w:val="00391391"/>
    <w:rsid w:val="00391D43"/>
    <w:rsid w:val="00391EB7"/>
    <w:rsid w:val="003922D9"/>
    <w:rsid w:val="0039256D"/>
    <w:rsid w:val="0039262F"/>
    <w:rsid w:val="00392A20"/>
    <w:rsid w:val="00392C7B"/>
    <w:rsid w:val="00392C93"/>
    <w:rsid w:val="00393B62"/>
    <w:rsid w:val="00394449"/>
    <w:rsid w:val="003945A2"/>
    <w:rsid w:val="003951D5"/>
    <w:rsid w:val="0039604B"/>
    <w:rsid w:val="00396405"/>
    <w:rsid w:val="00396808"/>
    <w:rsid w:val="00396A3D"/>
    <w:rsid w:val="00396A97"/>
    <w:rsid w:val="00396F53"/>
    <w:rsid w:val="00397100"/>
    <w:rsid w:val="003971BB"/>
    <w:rsid w:val="003A0843"/>
    <w:rsid w:val="003A0F35"/>
    <w:rsid w:val="003A149D"/>
    <w:rsid w:val="003A16F8"/>
    <w:rsid w:val="003A3092"/>
    <w:rsid w:val="003A511E"/>
    <w:rsid w:val="003A5487"/>
    <w:rsid w:val="003A6395"/>
    <w:rsid w:val="003A65C3"/>
    <w:rsid w:val="003A752D"/>
    <w:rsid w:val="003A7C92"/>
    <w:rsid w:val="003A7E99"/>
    <w:rsid w:val="003B00D6"/>
    <w:rsid w:val="003B0808"/>
    <w:rsid w:val="003B08EB"/>
    <w:rsid w:val="003B0A2F"/>
    <w:rsid w:val="003B0EF0"/>
    <w:rsid w:val="003B11E2"/>
    <w:rsid w:val="003B2864"/>
    <w:rsid w:val="003B38D1"/>
    <w:rsid w:val="003B40CD"/>
    <w:rsid w:val="003B424F"/>
    <w:rsid w:val="003B4AA4"/>
    <w:rsid w:val="003B52D8"/>
    <w:rsid w:val="003B6330"/>
    <w:rsid w:val="003C0523"/>
    <w:rsid w:val="003C1520"/>
    <w:rsid w:val="003C175D"/>
    <w:rsid w:val="003C183D"/>
    <w:rsid w:val="003C1E57"/>
    <w:rsid w:val="003C204A"/>
    <w:rsid w:val="003C232E"/>
    <w:rsid w:val="003C269C"/>
    <w:rsid w:val="003C2E3F"/>
    <w:rsid w:val="003C2FA7"/>
    <w:rsid w:val="003C32E5"/>
    <w:rsid w:val="003C3807"/>
    <w:rsid w:val="003C384E"/>
    <w:rsid w:val="003C3D20"/>
    <w:rsid w:val="003C46D2"/>
    <w:rsid w:val="003C4E11"/>
    <w:rsid w:val="003C4E41"/>
    <w:rsid w:val="003C5E89"/>
    <w:rsid w:val="003C6524"/>
    <w:rsid w:val="003C695E"/>
    <w:rsid w:val="003C6A36"/>
    <w:rsid w:val="003C6E30"/>
    <w:rsid w:val="003C7017"/>
    <w:rsid w:val="003C70DB"/>
    <w:rsid w:val="003C7240"/>
    <w:rsid w:val="003C7C4B"/>
    <w:rsid w:val="003D00C5"/>
    <w:rsid w:val="003D1111"/>
    <w:rsid w:val="003D128E"/>
    <w:rsid w:val="003D17A3"/>
    <w:rsid w:val="003D21AF"/>
    <w:rsid w:val="003D249D"/>
    <w:rsid w:val="003D293C"/>
    <w:rsid w:val="003D36BC"/>
    <w:rsid w:val="003D40F3"/>
    <w:rsid w:val="003D4B91"/>
    <w:rsid w:val="003D4ECD"/>
    <w:rsid w:val="003D5942"/>
    <w:rsid w:val="003D5B05"/>
    <w:rsid w:val="003D5CBA"/>
    <w:rsid w:val="003D5F6A"/>
    <w:rsid w:val="003D69F9"/>
    <w:rsid w:val="003D6F40"/>
    <w:rsid w:val="003D700F"/>
    <w:rsid w:val="003D79CC"/>
    <w:rsid w:val="003E0325"/>
    <w:rsid w:val="003E14D0"/>
    <w:rsid w:val="003E18A0"/>
    <w:rsid w:val="003E29D6"/>
    <w:rsid w:val="003E2C3E"/>
    <w:rsid w:val="003E3408"/>
    <w:rsid w:val="003E3676"/>
    <w:rsid w:val="003E4583"/>
    <w:rsid w:val="003E4B64"/>
    <w:rsid w:val="003E5236"/>
    <w:rsid w:val="003E58DD"/>
    <w:rsid w:val="003E5ABF"/>
    <w:rsid w:val="003E6537"/>
    <w:rsid w:val="003F0782"/>
    <w:rsid w:val="003F132A"/>
    <w:rsid w:val="003F2269"/>
    <w:rsid w:val="003F2929"/>
    <w:rsid w:val="003F3203"/>
    <w:rsid w:val="003F34E7"/>
    <w:rsid w:val="003F3A7E"/>
    <w:rsid w:val="003F5998"/>
    <w:rsid w:val="003F5A39"/>
    <w:rsid w:val="003F7D39"/>
    <w:rsid w:val="0040131D"/>
    <w:rsid w:val="00401D57"/>
    <w:rsid w:val="00401FB3"/>
    <w:rsid w:val="00402166"/>
    <w:rsid w:val="00402655"/>
    <w:rsid w:val="004029ED"/>
    <w:rsid w:val="0040350B"/>
    <w:rsid w:val="0040400C"/>
    <w:rsid w:val="00405B43"/>
    <w:rsid w:val="00405E02"/>
    <w:rsid w:val="004060FB"/>
    <w:rsid w:val="004101C7"/>
    <w:rsid w:val="004107F1"/>
    <w:rsid w:val="0041089E"/>
    <w:rsid w:val="00411C98"/>
    <w:rsid w:val="00412831"/>
    <w:rsid w:val="004128BC"/>
    <w:rsid w:val="0041299B"/>
    <w:rsid w:val="00412A3B"/>
    <w:rsid w:val="00413732"/>
    <w:rsid w:val="00413DAB"/>
    <w:rsid w:val="00413F78"/>
    <w:rsid w:val="00414517"/>
    <w:rsid w:val="004157F6"/>
    <w:rsid w:val="004158F9"/>
    <w:rsid w:val="00415A65"/>
    <w:rsid w:val="00415B9F"/>
    <w:rsid w:val="00416497"/>
    <w:rsid w:val="00416945"/>
    <w:rsid w:val="00417603"/>
    <w:rsid w:val="00417A87"/>
    <w:rsid w:val="00417B24"/>
    <w:rsid w:val="00417F86"/>
    <w:rsid w:val="00420465"/>
    <w:rsid w:val="00422178"/>
    <w:rsid w:val="00422229"/>
    <w:rsid w:val="004226C5"/>
    <w:rsid w:val="00422C79"/>
    <w:rsid w:val="004233AC"/>
    <w:rsid w:val="00423551"/>
    <w:rsid w:val="004237DE"/>
    <w:rsid w:val="00423A99"/>
    <w:rsid w:val="00423D2F"/>
    <w:rsid w:val="004243BB"/>
    <w:rsid w:val="00424658"/>
    <w:rsid w:val="00424845"/>
    <w:rsid w:val="00425A23"/>
    <w:rsid w:val="00425BBA"/>
    <w:rsid w:val="00426019"/>
    <w:rsid w:val="004263C3"/>
    <w:rsid w:val="00426D8D"/>
    <w:rsid w:val="00426F6A"/>
    <w:rsid w:val="00427502"/>
    <w:rsid w:val="00427E76"/>
    <w:rsid w:val="00430BEE"/>
    <w:rsid w:val="00431467"/>
    <w:rsid w:val="00431753"/>
    <w:rsid w:val="00431D51"/>
    <w:rsid w:val="00431EC1"/>
    <w:rsid w:val="00432E86"/>
    <w:rsid w:val="0043366F"/>
    <w:rsid w:val="00433EF6"/>
    <w:rsid w:val="00435528"/>
    <w:rsid w:val="00435B12"/>
    <w:rsid w:val="00435C83"/>
    <w:rsid w:val="00436A7A"/>
    <w:rsid w:val="00437970"/>
    <w:rsid w:val="00437DB2"/>
    <w:rsid w:val="0044037D"/>
    <w:rsid w:val="004403CF"/>
    <w:rsid w:val="0044060B"/>
    <w:rsid w:val="0044091A"/>
    <w:rsid w:val="00440F9A"/>
    <w:rsid w:val="004418B6"/>
    <w:rsid w:val="00441CB4"/>
    <w:rsid w:val="004432B2"/>
    <w:rsid w:val="004434BC"/>
    <w:rsid w:val="00443F3F"/>
    <w:rsid w:val="004445B8"/>
    <w:rsid w:val="004446C4"/>
    <w:rsid w:val="00444926"/>
    <w:rsid w:val="0045014B"/>
    <w:rsid w:val="00450661"/>
    <w:rsid w:val="00451FFB"/>
    <w:rsid w:val="0045227E"/>
    <w:rsid w:val="004527F1"/>
    <w:rsid w:val="00452A86"/>
    <w:rsid w:val="0045321D"/>
    <w:rsid w:val="004534FE"/>
    <w:rsid w:val="0045399A"/>
    <w:rsid w:val="004546B5"/>
    <w:rsid w:val="00454B20"/>
    <w:rsid w:val="00454DD1"/>
    <w:rsid w:val="00455392"/>
    <w:rsid w:val="004553F9"/>
    <w:rsid w:val="00455ECB"/>
    <w:rsid w:val="004567EA"/>
    <w:rsid w:val="00456BEB"/>
    <w:rsid w:val="00457B2A"/>
    <w:rsid w:val="0046067D"/>
    <w:rsid w:val="00460741"/>
    <w:rsid w:val="00460EF8"/>
    <w:rsid w:val="00462407"/>
    <w:rsid w:val="004628DE"/>
    <w:rsid w:val="00464243"/>
    <w:rsid w:val="00464B8D"/>
    <w:rsid w:val="00465235"/>
    <w:rsid w:val="00465281"/>
    <w:rsid w:val="00465F58"/>
    <w:rsid w:val="00467543"/>
    <w:rsid w:val="004677E7"/>
    <w:rsid w:val="004677EB"/>
    <w:rsid w:val="00470056"/>
    <w:rsid w:val="004702EA"/>
    <w:rsid w:val="0047034E"/>
    <w:rsid w:val="004703FF"/>
    <w:rsid w:val="0047162B"/>
    <w:rsid w:val="00471E0B"/>
    <w:rsid w:val="00471E8F"/>
    <w:rsid w:val="00472243"/>
    <w:rsid w:val="004729FC"/>
    <w:rsid w:val="00473BEF"/>
    <w:rsid w:val="00474FD8"/>
    <w:rsid w:val="00475168"/>
    <w:rsid w:val="0047527D"/>
    <w:rsid w:val="00475CEE"/>
    <w:rsid w:val="00476400"/>
    <w:rsid w:val="00477A86"/>
    <w:rsid w:val="00480E31"/>
    <w:rsid w:val="004814FC"/>
    <w:rsid w:val="00481AB8"/>
    <w:rsid w:val="004820C0"/>
    <w:rsid w:val="00483D44"/>
    <w:rsid w:val="00483F6C"/>
    <w:rsid w:val="004848D4"/>
    <w:rsid w:val="004855B1"/>
    <w:rsid w:val="004859EC"/>
    <w:rsid w:val="004870BC"/>
    <w:rsid w:val="004875B9"/>
    <w:rsid w:val="004876DE"/>
    <w:rsid w:val="004877EF"/>
    <w:rsid w:val="00487F15"/>
    <w:rsid w:val="004907F4"/>
    <w:rsid w:val="00490F8C"/>
    <w:rsid w:val="00491CB3"/>
    <w:rsid w:val="004920D2"/>
    <w:rsid w:val="00492EFF"/>
    <w:rsid w:val="00493EF1"/>
    <w:rsid w:val="00494806"/>
    <w:rsid w:val="0049498B"/>
    <w:rsid w:val="00495A75"/>
    <w:rsid w:val="00496676"/>
    <w:rsid w:val="004968E7"/>
    <w:rsid w:val="00496B84"/>
    <w:rsid w:val="004975AC"/>
    <w:rsid w:val="004A04E2"/>
    <w:rsid w:val="004A095C"/>
    <w:rsid w:val="004A15C1"/>
    <w:rsid w:val="004A1887"/>
    <w:rsid w:val="004A214A"/>
    <w:rsid w:val="004A2ADA"/>
    <w:rsid w:val="004A2FCE"/>
    <w:rsid w:val="004A3A37"/>
    <w:rsid w:val="004A3B2B"/>
    <w:rsid w:val="004A5840"/>
    <w:rsid w:val="004A71F7"/>
    <w:rsid w:val="004A749F"/>
    <w:rsid w:val="004A7915"/>
    <w:rsid w:val="004A7BC0"/>
    <w:rsid w:val="004A7D1F"/>
    <w:rsid w:val="004B0346"/>
    <w:rsid w:val="004B068B"/>
    <w:rsid w:val="004B0CB8"/>
    <w:rsid w:val="004B1670"/>
    <w:rsid w:val="004B1E6A"/>
    <w:rsid w:val="004B218E"/>
    <w:rsid w:val="004B27CD"/>
    <w:rsid w:val="004B3E48"/>
    <w:rsid w:val="004B3FF5"/>
    <w:rsid w:val="004B4490"/>
    <w:rsid w:val="004B4C9D"/>
    <w:rsid w:val="004B6006"/>
    <w:rsid w:val="004B65EA"/>
    <w:rsid w:val="004B6689"/>
    <w:rsid w:val="004B6BE2"/>
    <w:rsid w:val="004B6D08"/>
    <w:rsid w:val="004B6DEF"/>
    <w:rsid w:val="004B6E0D"/>
    <w:rsid w:val="004B7940"/>
    <w:rsid w:val="004C1646"/>
    <w:rsid w:val="004C3270"/>
    <w:rsid w:val="004C39B4"/>
    <w:rsid w:val="004C3D5A"/>
    <w:rsid w:val="004C4DF7"/>
    <w:rsid w:val="004C50BC"/>
    <w:rsid w:val="004C5D71"/>
    <w:rsid w:val="004C632A"/>
    <w:rsid w:val="004C69B2"/>
    <w:rsid w:val="004D03F9"/>
    <w:rsid w:val="004D09FF"/>
    <w:rsid w:val="004D14FC"/>
    <w:rsid w:val="004D179F"/>
    <w:rsid w:val="004D1CB5"/>
    <w:rsid w:val="004D2FE2"/>
    <w:rsid w:val="004D35AE"/>
    <w:rsid w:val="004D38D3"/>
    <w:rsid w:val="004D4D86"/>
    <w:rsid w:val="004D5E12"/>
    <w:rsid w:val="004D61F1"/>
    <w:rsid w:val="004D6A65"/>
    <w:rsid w:val="004D6F72"/>
    <w:rsid w:val="004D6F7F"/>
    <w:rsid w:val="004D7301"/>
    <w:rsid w:val="004D7443"/>
    <w:rsid w:val="004D784A"/>
    <w:rsid w:val="004E02FD"/>
    <w:rsid w:val="004E0488"/>
    <w:rsid w:val="004E20BF"/>
    <w:rsid w:val="004E2C93"/>
    <w:rsid w:val="004E2E4B"/>
    <w:rsid w:val="004E3A36"/>
    <w:rsid w:val="004E43EC"/>
    <w:rsid w:val="004E4589"/>
    <w:rsid w:val="004E599F"/>
    <w:rsid w:val="004E5FD5"/>
    <w:rsid w:val="004E6636"/>
    <w:rsid w:val="004E689B"/>
    <w:rsid w:val="004E6B56"/>
    <w:rsid w:val="004E6E6F"/>
    <w:rsid w:val="004E72AC"/>
    <w:rsid w:val="004E76C1"/>
    <w:rsid w:val="004E7839"/>
    <w:rsid w:val="004E7D2E"/>
    <w:rsid w:val="004F05B8"/>
    <w:rsid w:val="004F080A"/>
    <w:rsid w:val="004F0AB6"/>
    <w:rsid w:val="004F0B32"/>
    <w:rsid w:val="004F0C8B"/>
    <w:rsid w:val="004F1394"/>
    <w:rsid w:val="004F15B5"/>
    <w:rsid w:val="004F1B11"/>
    <w:rsid w:val="004F295C"/>
    <w:rsid w:val="004F2CC3"/>
    <w:rsid w:val="004F2DDA"/>
    <w:rsid w:val="004F3471"/>
    <w:rsid w:val="004F3572"/>
    <w:rsid w:val="004F357B"/>
    <w:rsid w:val="004F391C"/>
    <w:rsid w:val="004F48AD"/>
    <w:rsid w:val="004F52E3"/>
    <w:rsid w:val="004F6404"/>
    <w:rsid w:val="004F7F26"/>
    <w:rsid w:val="00501749"/>
    <w:rsid w:val="00501CB1"/>
    <w:rsid w:val="005023B3"/>
    <w:rsid w:val="005026A6"/>
    <w:rsid w:val="00502A85"/>
    <w:rsid w:val="0050335C"/>
    <w:rsid w:val="00503A82"/>
    <w:rsid w:val="00503D2F"/>
    <w:rsid w:val="0050496A"/>
    <w:rsid w:val="005060B3"/>
    <w:rsid w:val="005062CC"/>
    <w:rsid w:val="005067CA"/>
    <w:rsid w:val="00506DC6"/>
    <w:rsid w:val="0050751A"/>
    <w:rsid w:val="00507F4F"/>
    <w:rsid w:val="00510393"/>
    <w:rsid w:val="005104E8"/>
    <w:rsid w:val="005104ED"/>
    <w:rsid w:val="00510AA9"/>
    <w:rsid w:val="00510BDE"/>
    <w:rsid w:val="005125EA"/>
    <w:rsid w:val="00512D71"/>
    <w:rsid w:val="00512E36"/>
    <w:rsid w:val="00513B4F"/>
    <w:rsid w:val="00513BCB"/>
    <w:rsid w:val="00513CB4"/>
    <w:rsid w:val="00514513"/>
    <w:rsid w:val="00514672"/>
    <w:rsid w:val="00514763"/>
    <w:rsid w:val="00514792"/>
    <w:rsid w:val="005149E8"/>
    <w:rsid w:val="00514A68"/>
    <w:rsid w:val="0051522A"/>
    <w:rsid w:val="00515675"/>
    <w:rsid w:val="00516B20"/>
    <w:rsid w:val="00516BAA"/>
    <w:rsid w:val="005178D2"/>
    <w:rsid w:val="005179C6"/>
    <w:rsid w:val="005207C1"/>
    <w:rsid w:val="00521351"/>
    <w:rsid w:val="00521B67"/>
    <w:rsid w:val="00521FF9"/>
    <w:rsid w:val="00522F90"/>
    <w:rsid w:val="00523417"/>
    <w:rsid w:val="00524087"/>
    <w:rsid w:val="00524127"/>
    <w:rsid w:val="00524B02"/>
    <w:rsid w:val="00524D4E"/>
    <w:rsid w:val="00525794"/>
    <w:rsid w:val="00526C15"/>
    <w:rsid w:val="0052730D"/>
    <w:rsid w:val="00531255"/>
    <w:rsid w:val="00531DB5"/>
    <w:rsid w:val="00531E9D"/>
    <w:rsid w:val="0053215E"/>
    <w:rsid w:val="00532263"/>
    <w:rsid w:val="00532E37"/>
    <w:rsid w:val="00533C8C"/>
    <w:rsid w:val="005341F2"/>
    <w:rsid w:val="005342E8"/>
    <w:rsid w:val="00536503"/>
    <w:rsid w:val="005377F8"/>
    <w:rsid w:val="00537B09"/>
    <w:rsid w:val="00537C07"/>
    <w:rsid w:val="00537F90"/>
    <w:rsid w:val="005405E4"/>
    <w:rsid w:val="00540655"/>
    <w:rsid w:val="00540EA2"/>
    <w:rsid w:val="00541174"/>
    <w:rsid w:val="005414C2"/>
    <w:rsid w:val="005414DC"/>
    <w:rsid w:val="00541651"/>
    <w:rsid w:val="00541E45"/>
    <w:rsid w:val="00542281"/>
    <w:rsid w:val="005422A8"/>
    <w:rsid w:val="0054232E"/>
    <w:rsid w:val="0054246B"/>
    <w:rsid w:val="00543361"/>
    <w:rsid w:val="005441A4"/>
    <w:rsid w:val="00544FFB"/>
    <w:rsid w:val="00545E3A"/>
    <w:rsid w:val="00546ACD"/>
    <w:rsid w:val="00547443"/>
    <w:rsid w:val="00547481"/>
    <w:rsid w:val="00547E4F"/>
    <w:rsid w:val="00547EFD"/>
    <w:rsid w:val="0055036B"/>
    <w:rsid w:val="00550B37"/>
    <w:rsid w:val="00550EFC"/>
    <w:rsid w:val="00551A30"/>
    <w:rsid w:val="00552958"/>
    <w:rsid w:val="00552C2A"/>
    <w:rsid w:val="005530B8"/>
    <w:rsid w:val="0055334C"/>
    <w:rsid w:val="00553E3C"/>
    <w:rsid w:val="00553E40"/>
    <w:rsid w:val="005541BF"/>
    <w:rsid w:val="00554B28"/>
    <w:rsid w:val="00555DF6"/>
    <w:rsid w:val="005561F0"/>
    <w:rsid w:val="00556403"/>
    <w:rsid w:val="00556439"/>
    <w:rsid w:val="005574A3"/>
    <w:rsid w:val="0055780E"/>
    <w:rsid w:val="005579DD"/>
    <w:rsid w:val="00557FA1"/>
    <w:rsid w:val="00560729"/>
    <w:rsid w:val="00560B82"/>
    <w:rsid w:val="00561303"/>
    <w:rsid w:val="0056188D"/>
    <w:rsid w:val="0056277B"/>
    <w:rsid w:val="00562EA3"/>
    <w:rsid w:val="00563659"/>
    <w:rsid w:val="00563E9B"/>
    <w:rsid w:val="00564756"/>
    <w:rsid w:val="00564A81"/>
    <w:rsid w:val="005653D6"/>
    <w:rsid w:val="00565EF6"/>
    <w:rsid w:val="0056626A"/>
    <w:rsid w:val="005664AA"/>
    <w:rsid w:val="005664BA"/>
    <w:rsid w:val="0056658A"/>
    <w:rsid w:val="00566703"/>
    <w:rsid w:val="0057027C"/>
    <w:rsid w:val="00570708"/>
    <w:rsid w:val="00570E40"/>
    <w:rsid w:val="00570F1D"/>
    <w:rsid w:val="0057251B"/>
    <w:rsid w:val="00573C0E"/>
    <w:rsid w:val="005756C4"/>
    <w:rsid w:val="005756DE"/>
    <w:rsid w:val="005764EF"/>
    <w:rsid w:val="0057660E"/>
    <w:rsid w:val="005768A4"/>
    <w:rsid w:val="005773F9"/>
    <w:rsid w:val="005779DC"/>
    <w:rsid w:val="005804E7"/>
    <w:rsid w:val="0058055E"/>
    <w:rsid w:val="00580896"/>
    <w:rsid w:val="005811AC"/>
    <w:rsid w:val="005825C8"/>
    <w:rsid w:val="0058278C"/>
    <w:rsid w:val="00584DE5"/>
    <w:rsid w:val="00584E99"/>
    <w:rsid w:val="005851C1"/>
    <w:rsid w:val="00585B62"/>
    <w:rsid w:val="00585CEE"/>
    <w:rsid w:val="0058685F"/>
    <w:rsid w:val="00586981"/>
    <w:rsid w:val="00586C6F"/>
    <w:rsid w:val="00587345"/>
    <w:rsid w:val="00587411"/>
    <w:rsid w:val="0058757F"/>
    <w:rsid w:val="005879D2"/>
    <w:rsid w:val="005905AA"/>
    <w:rsid w:val="005908B8"/>
    <w:rsid w:val="00590C37"/>
    <w:rsid w:val="005912E4"/>
    <w:rsid w:val="005914DF"/>
    <w:rsid w:val="00592DE1"/>
    <w:rsid w:val="00592E29"/>
    <w:rsid w:val="00592E9D"/>
    <w:rsid w:val="0059357D"/>
    <w:rsid w:val="005954E8"/>
    <w:rsid w:val="00595EE9"/>
    <w:rsid w:val="00596237"/>
    <w:rsid w:val="00596D8A"/>
    <w:rsid w:val="00597C28"/>
    <w:rsid w:val="00597C8C"/>
    <w:rsid w:val="00597E42"/>
    <w:rsid w:val="005A0117"/>
    <w:rsid w:val="005A114F"/>
    <w:rsid w:val="005A15C7"/>
    <w:rsid w:val="005A1E03"/>
    <w:rsid w:val="005A29E6"/>
    <w:rsid w:val="005A2B23"/>
    <w:rsid w:val="005A2D9B"/>
    <w:rsid w:val="005A3BE9"/>
    <w:rsid w:val="005A49BC"/>
    <w:rsid w:val="005A515F"/>
    <w:rsid w:val="005A585A"/>
    <w:rsid w:val="005A5E84"/>
    <w:rsid w:val="005A6ADB"/>
    <w:rsid w:val="005A6F64"/>
    <w:rsid w:val="005A7418"/>
    <w:rsid w:val="005A77C6"/>
    <w:rsid w:val="005B0080"/>
    <w:rsid w:val="005B11DE"/>
    <w:rsid w:val="005B32E2"/>
    <w:rsid w:val="005B3E62"/>
    <w:rsid w:val="005B476D"/>
    <w:rsid w:val="005B4A06"/>
    <w:rsid w:val="005B5670"/>
    <w:rsid w:val="005B5787"/>
    <w:rsid w:val="005B681A"/>
    <w:rsid w:val="005B7705"/>
    <w:rsid w:val="005B785E"/>
    <w:rsid w:val="005B7887"/>
    <w:rsid w:val="005B7F6D"/>
    <w:rsid w:val="005C0107"/>
    <w:rsid w:val="005C06D0"/>
    <w:rsid w:val="005C0983"/>
    <w:rsid w:val="005C15AD"/>
    <w:rsid w:val="005C3299"/>
    <w:rsid w:val="005C360E"/>
    <w:rsid w:val="005C408E"/>
    <w:rsid w:val="005C4E9C"/>
    <w:rsid w:val="005C4F00"/>
    <w:rsid w:val="005C5160"/>
    <w:rsid w:val="005C523D"/>
    <w:rsid w:val="005C580E"/>
    <w:rsid w:val="005C5A26"/>
    <w:rsid w:val="005C5A76"/>
    <w:rsid w:val="005C6145"/>
    <w:rsid w:val="005C7710"/>
    <w:rsid w:val="005C7A61"/>
    <w:rsid w:val="005C7EF5"/>
    <w:rsid w:val="005D0330"/>
    <w:rsid w:val="005D21A8"/>
    <w:rsid w:val="005D21EA"/>
    <w:rsid w:val="005D288A"/>
    <w:rsid w:val="005D2FD7"/>
    <w:rsid w:val="005D3C78"/>
    <w:rsid w:val="005D3D82"/>
    <w:rsid w:val="005D446C"/>
    <w:rsid w:val="005D4754"/>
    <w:rsid w:val="005D55C2"/>
    <w:rsid w:val="005D5A9B"/>
    <w:rsid w:val="005D5C21"/>
    <w:rsid w:val="005D5CBC"/>
    <w:rsid w:val="005D5DDA"/>
    <w:rsid w:val="005D66E3"/>
    <w:rsid w:val="005D66FE"/>
    <w:rsid w:val="005D68F6"/>
    <w:rsid w:val="005D7748"/>
    <w:rsid w:val="005D7BB4"/>
    <w:rsid w:val="005D7EAE"/>
    <w:rsid w:val="005E06EC"/>
    <w:rsid w:val="005E0AF7"/>
    <w:rsid w:val="005E1201"/>
    <w:rsid w:val="005E180E"/>
    <w:rsid w:val="005E1A45"/>
    <w:rsid w:val="005E3498"/>
    <w:rsid w:val="005E37A6"/>
    <w:rsid w:val="005E38F6"/>
    <w:rsid w:val="005E4DD5"/>
    <w:rsid w:val="005E50DA"/>
    <w:rsid w:val="005E5C54"/>
    <w:rsid w:val="005E5CEF"/>
    <w:rsid w:val="005E6FA4"/>
    <w:rsid w:val="005E706F"/>
    <w:rsid w:val="005E736E"/>
    <w:rsid w:val="005F03CE"/>
    <w:rsid w:val="005F0F93"/>
    <w:rsid w:val="005F15DB"/>
    <w:rsid w:val="005F1DEA"/>
    <w:rsid w:val="005F25DB"/>
    <w:rsid w:val="005F2D4D"/>
    <w:rsid w:val="005F2F49"/>
    <w:rsid w:val="005F4385"/>
    <w:rsid w:val="005F46A1"/>
    <w:rsid w:val="005F46D7"/>
    <w:rsid w:val="005F4725"/>
    <w:rsid w:val="005F476E"/>
    <w:rsid w:val="005F4A2E"/>
    <w:rsid w:val="005F545F"/>
    <w:rsid w:val="005F62F7"/>
    <w:rsid w:val="005F659C"/>
    <w:rsid w:val="005F6B65"/>
    <w:rsid w:val="005F6EE0"/>
    <w:rsid w:val="005F716F"/>
    <w:rsid w:val="00600673"/>
    <w:rsid w:val="0060092F"/>
    <w:rsid w:val="00600B24"/>
    <w:rsid w:val="0060133B"/>
    <w:rsid w:val="006022EE"/>
    <w:rsid w:val="00602F98"/>
    <w:rsid w:val="00604CD1"/>
    <w:rsid w:val="00605248"/>
    <w:rsid w:val="00605678"/>
    <w:rsid w:val="00605A2B"/>
    <w:rsid w:val="00605B86"/>
    <w:rsid w:val="0060657B"/>
    <w:rsid w:val="006077A0"/>
    <w:rsid w:val="006102F2"/>
    <w:rsid w:val="00610609"/>
    <w:rsid w:val="00610F89"/>
    <w:rsid w:val="0061103F"/>
    <w:rsid w:val="00611117"/>
    <w:rsid w:val="00611E4D"/>
    <w:rsid w:val="00613365"/>
    <w:rsid w:val="00613C97"/>
    <w:rsid w:val="00614C69"/>
    <w:rsid w:val="00615945"/>
    <w:rsid w:val="00615C15"/>
    <w:rsid w:val="00615D4C"/>
    <w:rsid w:val="00620676"/>
    <w:rsid w:val="00621D45"/>
    <w:rsid w:val="00622929"/>
    <w:rsid w:val="006248CA"/>
    <w:rsid w:val="00624BB7"/>
    <w:rsid w:val="0062573D"/>
    <w:rsid w:val="00625850"/>
    <w:rsid w:val="00625A33"/>
    <w:rsid w:val="00626AAC"/>
    <w:rsid w:val="00627CC1"/>
    <w:rsid w:val="00627E59"/>
    <w:rsid w:val="0063081D"/>
    <w:rsid w:val="00630D1F"/>
    <w:rsid w:val="00631007"/>
    <w:rsid w:val="00631C03"/>
    <w:rsid w:val="00631E24"/>
    <w:rsid w:val="006339C9"/>
    <w:rsid w:val="006339E3"/>
    <w:rsid w:val="00633E33"/>
    <w:rsid w:val="00635750"/>
    <w:rsid w:val="00635860"/>
    <w:rsid w:val="006366CC"/>
    <w:rsid w:val="00636C1A"/>
    <w:rsid w:val="00637803"/>
    <w:rsid w:val="00640493"/>
    <w:rsid w:val="006411AA"/>
    <w:rsid w:val="006436D5"/>
    <w:rsid w:val="00644A41"/>
    <w:rsid w:val="00644B6D"/>
    <w:rsid w:val="006451EA"/>
    <w:rsid w:val="00646D51"/>
    <w:rsid w:val="00647004"/>
    <w:rsid w:val="00647291"/>
    <w:rsid w:val="006474CA"/>
    <w:rsid w:val="00647EF7"/>
    <w:rsid w:val="00650B9B"/>
    <w:rsid w:val="00651052"/>
    <w:rsid w:val="0065115D"/>
    <w:rsid w:val="0065209E"/>
    <w:rsid w:val="00653379"/>
    <w:rsid w:val="0065340F"/>
    <w:rsid w:val="00654600"/>
    <w:rsid w:val="006547F6"/>
    <w:rsid w:val="00655234"/>
    <w:rsid w:val="0065629D"/>
    <w:rsid w:val="006564F4"/>
    <w:rsid w:val="006569D6"/>
    <w:rsid w:val="00656EBF"/>
    <w:rsid w:val="006606F6"/>
    <w:rsid w:val="00660754"/>
    <w:rsid w:val="00661038"/>
    <w:rsid w:val="00661A3F"/>
    <w:rsid w:val="00661EB7"/>
    <w:rsid w:val="00661F22"/>
    <w:rsid w:val="00662285"/>
    <w:rsid w:val="0066264C"/>
    <w:rsid w:val="006626F2"/>
    <w:rsid w:val="006628FD"/>
    <w:rsid w:val="00662A90"/>
    <w:rsid w:val="00663008"/>
    <w:rsid w:val="00663245"/>
    <w:rsid w:val="00663550"/>
    <w:rsid w:val="00663EF7"/>
    <w:rsid w:val="0066488A"/>
    <w:rsid w:val="00664D57"/>
    <w:rsid w:val="00665A72"/>
    <w:rsid w:val="00665E4B"/>
    <w:rsid w:val="00665E8B"/>
    <w:rsid w:val="00666312"/>
    <w:rsid w:val="00666A1A"/>
    <w:rsid w:val="00666C2C"/>
    <w:rsid w:val="006675D4"/>
    <w:rsid w:val="00667C07"/>
    <w:rsid w:val="00670373"/>
    <w:rsid w:val="00670DB9"/>
    <w:rsid w:val="006710E6"/>
    <w:rsid w:val="006717FB"/>
    <w:rsid w:val="00671AD7"/>
    <w:rsid w:val="00671B11"/>
    <w:rsid w:val="00671FB1"/>
    <w:rsid w:val="00672422"/>
    <w:rsid w:val="0067250D"/>
    <w:rsid w:val="00672CA4"/>
    <w:rsid w:val="00673096"/>
    <w:rsid w:val="00673356"/>
    <w:rsid w:val="0067354A"/>
    <w:rsid w:val="00675755"/>
    <w:rsid w:val="00675BB0"/>
    <w:rsid w:val="00676450"/>
    <w:rsid w:val="0067655E"/>
    <w:rsid w:val="00676A96"/>
    <w:rsid w:val="0067776B"/>
    <w:rsid w:val="00677A23"/>
    <w:rsid w:val="00680D61"/>
    <w:rsid w:val="00680E06"/>
    <w:rsid w:val="00682A80"/>
    <w:rsid w:val="00682D45"/>
    <w:rsid w:val="006835F7"/>
    <w:rsid w:val="006840E7"/>
    <w:rsid w:val="006859C6"/>
    <w:rsid w:val="00685EA2"/>
    <w:rsid w:val="0068624D"/>
    <w:rsid w:val="00686690"/>
    <w:rsid w:val="00686BA2"/>
    <w:rsid w:val="006872E3"/>
    <w:rsid w:val="00687798"/>
    <w:rsid w:val="00687E4A"/>
    <w:rsid w:val="00690FA7"/>
    <w:rsid w:val="00691F26"/>
    <w:rsid w:val="006920C4"/>
    <w:rsid w:val="006936C7"/>
    <w:rsid w:val="0069386B"/>
    <w:rsid w:val="00693B1F"/>
    <w:rsid w:val="00695022"/>
    <w:rsid w:val="006956D7"/>
    <w:rsid w:val="00695762"/>
    <w:rsid w:val="00695963"/>
    <w:rsid w:val="00695CEB"/>
    <w:rsid w:val="00695ED0"/>
    <w:rsid w:val="00697E57"/>
    <w:rsid w:val="00697F24"/>
    <w:rsid w:val="006A0557"/>
    <w:rsid w:val="006A0566"/>
    <w:rsid w:val="006A18A6"/>
    <w:rsid w:val="006A19D0"/>
    <w:rsid w:val="006A1DCD"/>
    <w:rsid w:val="006A2449"/>
    <w:rsid w:val="006A302E"/>
    <w:rsid w:val="006A326C"/>
    <w:rsid w:val="006A32B1"/>
    <w:rsid w:val="006A362D"/>
    <w:rsid w:val="006A38D6"/>
    <w:rsid w:val="006A3D1C"/>
    <w:rsid w:val="006A4727"/>
    <w:rsid w:val="006A47E9"/>
    <w:rsid w:val="006A5EE7"/>
    <w:rsid w:val="006A60FA"/>
    <w:rsid w:val="006A61CF"/>
    <w:rsid w:val="006A64EB"/>
    <w:rsid w:val="006A6C49"/>
    <w:rsid w:val="006A72E5"/>
    <w:rsid w:val="006B1135"/>
    <w:rsid w:val="006B1D43"/>
    <w:rsid w:val="006B2751"/>
    <w:rsid w:val="006B299A"/>
    <w:rsid w:val="006B2C0B"/>
    <w:rsid w:val="006B2FB6"/>
    <w:rsid w:val="006B34B0"/>
    <w:rsid w:val="006B3CF0"/>
    <w:rsid w:val="006B4665"/>
    <w:rsid w:val="006B4841"/>
    <w:rsid w:val="006B4931"/>
    <w:rsid w:val="006B4AE8"/>
    <w:rsid w:val="006B515F"/>
    <w:rsid w:val="006B59AF"/>
    <w:rsid w:val="006B66CB"/>
    <w:rsid w:val="006B69CA"/>
    <w:rsid w:val="006B6A6F"/>
    <w:rsid w:val="006B6D27"/>
    <w:rsid w:val="006B6DBB"/>
    <w:rsid w:val="006B6F86"/>
    <w:rsid w:val="006C040F"/>
    <w:rsid w:val="006C1993"/>
    <w:rsid w:val="006C1FE1"/>
    <w:rsid w:val="006C2479"/>
    <w:rsid w:val="006C2F81"/>
    <w:rsid w:val="006C3828"/>
    <w:rsid w:val="006C49E7"/>
    <w:rsid w:val="006C4B0D"/>
    <w:rsid w:val="006C4F54"/>
    <w:rsid w:val="006C54D4"/>
    <w:rsid w:val="006C59F2"/>
    <w:rsid w:val="006C5A32"/>
    <w:rsid w:val="006C6484"/>
    <w:rsid w:val="006C7616"/>
    <w:rsid w:val="006D1440"/>
    <w:rsid w:val="006D1DB8"/>
    <w:rsid w:val="006D1DED"/>
    <w:rsid w:val="006D1E04"/>
    <w:rsid w:val="006D236D"/>
    <w:rsid w:val="006D2591"/>
    <w:rsid w:val="006D2659"/>
    <w:rsid w:val="006D294D"/>
    <w:rsid w:val="006D2B9C"/>
    <w:rsid w:val="006D2F2F"/>
    <w:rsid w:val="006D4DE1"/>
    <w:rsid w:val="006D53DA"/>
    <w:rsid w:val="006D5CAF"/>
    <w:rsid w:val="006D62E3"/>
    <w:rsid w:val="006D687B"/>
    <w:rsid w:val="006D6DC2"/>
    <w:rsid w:val="006D70C0"/>
    <w:rsid w:val="006D77EE"/>
    <w:rsid w:val="006E000F"/>
    <w:rsid w:val="006E0113"/>
    <w:rsid w:val="006E1438"/>
    <w:rsid w:val="006E211C"/>
    <w:rsid w:val="006E37D6"/>
    <w:rsid w:val="006E46EB"/>
    <w:rsid w:val="006E4824"/>
    <w:rsid w:val="006E484B"/>
    <w:rsid w:val="006E50DB"/>
    <w:rsid w:val="006E641C"/>
    <w:rsid w:val="006E6941"/>
    <w:rsid w:val="006E74C0"/>
    <w:rsid w:val="006E76B1"/>
    <w:rsid w:val="006E7A97"/>
    <w:rsid w:val="006F0A34"/>
    <w:rsid w:val="006F0B8F"/>
    <w:rsid w:val="006F10E7"/>
    <w:rsid w:val="006F1473"/>
    <w:rsid w:val="006F14CE"/>
    <w:rsid w:val="006F1EDD"/>
    <w:rsid w:val="006F28B4"/>
    <w:rsid w:val="006F2A04"/>
    <w:rsid w:val="006F4942"/>
    <w:rsid w:val="006F56D6"/>
    <w:rsid w:val="006F5E22"/>
    <w:rsid w:val="006F7579"/>
    <w:rsid w:val="006F7B1D"/>
    <w:rsid w:val="006F7DAE"/>
    <w:rsid w:val="00700A89"/>
    <w:rsid w:val="00701679"/>
    <w:rsid w:val="00701E56"/>
    <w:rsid w:val="00702BA9"/>
    <w:rsid w:val="007039E4"/>
    <w:rsid w:val="00703EB9"/>
    <w:rsid w:val="007059F0"/>
    <w:rsid w:val="00705EFF"/>
    <w:rsid w:val="00706131"/>
    <w:rsid w:val="007070B8"/>
    <w:rsid w:val="007108B5"/>
    <w:rsid w:val="00710901"/>
    <w:rsid w:val="00711929"/>
    <w:rsid w:val="00711ED5"/>
    <w:rsid w:val="00712631"/>
    <w:rsid w:val="007138C9"/>
    <w:rsid w:val="007140AD"/>
    <w:rsid w:val="0071444E"/>
    <w:rsid w:val="00714ECF"/>
    <w:rsid w:val="007150B1"/>
    <w:rsid w:val="00715C29"/>
    <w:rsid w:val="00715DA9"/>
    <w:rsid w:val="00715F28"/>
    <w:rsid w:val="00716C8A"/>
    <w:rsid w:val="00716D6A"/>
    <w:rsid w:val="00716E4E"/>
    <w:rsid w:val="00717020"/>
    <w:rsid w:val="00717234"/>
    <w:rsid w:val="0071752A"/>
    <w:rsid w:val="007175BA"/>
    <w:rsid w:val="007201A8"/>
    <w:rsid w:val="007207DC"/>
    <w:rsid w:val="007208BC"/>
    <w:rsid w:val="00721317"/>
    <w:rsid w:val="007216E2"/>
    <w:rsid w:val="00721AED"/>
    <w:rsid w:val="007221E5"/>
    <w:rsid w:val="0072244F"/>
    <w:rsid w:val="007227B8"/>
    <w:rsid w:val="00722C8A"/>
    <w:rsid w:val="00722D46"/>
    <w:rsid w:val="00722D55"/>
    <w:rsid w:val="00723856"/>
    <w:rsid w:val="0072415B"/>
    <w:rsid w:val="00725130"/>
    <w:rsid w:val="0072531C"/>
    <w:rsid w:val="00725749"/>
    <w:rsid w:val="0072636A"/>
    <w:rsid w:val="0072670C"/>
    <w:rsid w:val="007267A0"/>
    <w:rsid w:val="007268F8"/>
    <w:rsid w:val="00726B62"/>
    <w:rsid w:val="00730BE6"/>
    <w:rsid w:val="00731C74"/>
    <w:rsid w:val="007320AD"/>
    <w:rsid w:val="00732679"/>
    <w:rsid w:val="00733874"/>
    <w:rsid w:val="007341A8"/>
    <w:rsid w:val="00735CE7"/>
    <w:rsid w:val="007364E2"/>
    <w:rsid w:val="00736AEE"/>
    <w:rsid w:val="00736C90"/>
    <w:rsid w:val="00736DA8"/>
    <w:rsid w:val="00736DB7"/>
    <w:rsid w:val="007373CA"/>
    <w:rsid w:val="0073756A"/>
    <w:rsid w:val="00737CCC"/>
    <w:rsid w:val="007409F8"/>
    <w:rsid w:val="00740ECD"/>
    <w:rsid w:val="00740FFB"/>
    <w:rsid w:val="00741352"/>
    <w:rsid w:val="00742BF8"/>
    <w:rsid w:val="00742E48"/>
    <w:rsid w:val="00743AFC"/>
    <w:rsid w:val="00744B8B"/>
    <w:rsid w:val="00745029"/>
    <w:rsid w:val="00745239"/>
    <w:rsid w:val="00745F13"/>
    <w:rsid w:val="007461B4"/>
    <w:rsid w:val="0074673B"/>
    <w:rsid w:val="00750895"/>
    <w:rsid w:val="00751518"/>
    <w:rsid w:val="0075156F"/>
    <w:rsid w:val="007516FC"/>
    <w:rsid w:val="007518D4"/>
    <w:rsid w:val="0075204E"/>
    <w:rsid w:val="00752148"/>
    <w:rsid w:val="00752BCD"/>
    <w:rsid w:val="00752C26"/>
    <w:rsid w:val="00752D6F"/>
    <w:rsid w:val="00753A8A"/>
    <w:rsid w:val="0075458B"/>
    <w:rsid w:val="007546AD"/>
    <w:rsid w:val="0075481B"/>
    <w:rsid w:val="00754FC5"/>
    <w:rsid w:val="00755733"/>
    <w:rsid w:val="00755EEC"/>
    <w:rsid w:val="007565B5"/>
    <w:rsid w:val="00756785"/>
    <w:rsid w:val="00756C25"/>
    <w:rsid w:val="00756E2B"/>
    <w:rsid w:val="00756EF4"/>
    <w:rsid w:val="00757531"/>
    <w:rsid w:val="007577F0"/>
    <w:rsid w:val="007579C3"/>
    <w:rsid w:val="0076033E"/>
    <w:rsid w:val="00760EF2"/>
    <w:rsid w:val="0076190D"/>
    <w:rsid w:val="007625BF"/>
    <w:rsid w:val="00763161"/>
    <w:rsid w:val="007637CE"/>
    <w:rsid w:val="00764EED"/>
    <w:rsid w:val="00765256"/>
    <w:rsid w:val="0076564F"/>
    <w:rsid w:val="00765AC6"/>
    <w:rsid w:val="0076669A"/>
    <w:rsid w:val="00770986"/>
    <w:rsid w:val="00770C44"/>
    <w:rsid w:val="00771380"/>
    <w:rsid w:val="0077260B"/>
    <w:rsid w:val="00772A65"/>
    <w:rsid w:val="00772BB5"/>
    <w:rsid w:val="00772F82"/>
    <w:rsid w:val="007732EB"/>
    <w:rsid w:val="0077441E"/>
    <w:rsid w:val="007745F2"/>
    <w:rsid w:val="007746B8"/>
    <w:rsid w:val="00774C2B"/>
    <w:rsid w:val="00775507"/>
    <w:rsid w:val="00775573"/>
    <w:rsid w:val="00776091"/>
    <w:rsid w:val="0077609E"/>
    <w:rsid w:val="00776A0C"/>
    <w:rsid w:val="00780244"/>
    <w:rsid w:val="00780B85"/>
    <w:rsid w:val="00781AFE"/>
    <w:rsid w:val="00782615"/>
    <w:rsid w:val="00783040"/>
    <w:rsid w:val="007830DC"/>
    <w:rsid w:val="0078384C"/>
    <w:rsid w:val="00783F5C"/>
    <w:rsid w:val="007851FC"/>
    <w:rsid w:val="007852F1"/>
    <w:rsid w:val="00785C4D"/>
    <w:rsid w:val="00785DF1"/>
    <w:rsid w:val="00786E5D"/>
    <w:rsid w:val="0078711C"/>
    <w:rsid w:val="007872AE"/>
    <w:rsid w:val="007906B5"/>
    <w:rsid w:val="00790F18"/>
    <w:rsid w:val="00791558"/>
    <w:rsid w:val="00791726"/>
    <w:rsid w:val="007919AD"/>
    <w:rsid w:val="00791A84"/>
    <w:rsid w:val="00792A97"/>
    <w:rsid w:val="0079353D"/>
    <w:rsid w:val="007939DC"/>
    <w:rsid w:val="007943AF"/>
    <w:rsid w:val="007948D8"/>
    <w:rsid w:val="007949F8"/>
    <w:rsid w:val="007954DA"/>
    <w:rsid w:val="00795DCE"/>
    <w:rsid w:val="0079611C"/>
    <w:rsid w:val="007961F7"/>
    <w:rsid w:val="007966EC"/>
    <w:rsid w:val="00796A1A"/>
    <w:rsid w:val="00796AF8"/>
    <w:rsid w:val="007978D3"/>
    <w:rsid w:val="007A0CCA"/>
    <w:rsid w:val="007A1BAD"/>
    <w:rsid w:val="007A1F68"/>
    <w:rsid w:val="007A2413"/>
    <w:rsid w:val="007A2B9D"/>
    <w:rsid w:val="007A339B"/>
    <w:rsid w:val="007A3F88"/>
    <w:rsid w:val="007A487E"/>
    <w:rsid w:val="007A5433"/>
    <w:rsid w:val="007A5E08"/>
    <w:rsid w:val="007A62AE"/>
    <w:rsid w:val="007A635F"/>
    <w:rsid w:val="007A73BA"/>
    <w:rsid w:val="007A76DC"/>
    <w:rsid w:val="007A7EC0"/>
    <w:rsid w:val="007B054B"/>
    <w:rsid w:val="007B09A6"/>
    <w:rsid w:val="007B0D88"/>
    <w:rsid w:val="007B1425"/>
    <w:rsid w:val="007B1432"/>
    <w:rsid w:val="007B14F4"/>
    <w:rsid w:val="007B239A"/>
    <w:rsid w:val="007B2704"/>
    <w:rsid w:val="007B46D0"/>
    <w:rsid w:val="007B6D93"/>
    <w:rsid w:val="007B6FFD"/>
    <w:rsid w:val="007B71BF"/>
    <w:rsid w:val="007B7E10"/>
    <w:rsid w:val="007C0767"/>
    <w:rsid w:val="007C1AAE"/>
    <w:rsid w:val="007C1E9F"/>
    <w:rsid w:val="007C2088"/>
    <w:rsid w:val="007C29DA"/>
    <w:rsid w:val="007C3328"/>
    <w:rsid w:val="007C3774"/>
    <w:rsid w:val="007C523E"/>
    <w:rsid w:val="007C52E1"/>
    <w:rsid w:val="007C6207"/>
    <w:rsid w:val="007C62CA"/>
    <w:rsid w:val="007C62E6"/>
    <w:rsid w:val="007C6FE6"/>
    <w:rsid w:val="007C77E4"/>
    <w:rsid w:val="007C7CE3"/>
    <w:rsid w:val="007C7D25"/>
    <w:rsid w:val="007D100B"/>
    <w:rsid w:val="007D2481"/>
    <w:rsid w:val="007D3876"/>
    <w:rsid w:val="007D40A9"/>
    <w:rsid w:val="007D5059"/>
    <w:rsid w:val="007D51E3"/>
    <w:rsid w:val="007D5A15"/>
    <w:rsid w:val="007D6723"/>
    <w:rsid w:val="007D6961"/>
    <w:rsid w:val="007D791B"/>
    <w:rsid w:val="007E1175"/>
    <w:rsid w:val="007E1593"/>
    <w:rsid w:val="007E1B0D"/>
    <w:rsid w:val="007E1E66"/>
    <w:rsid w:val="007E24CD"/>
    <w:rsid w:val="007E2A3C"/>
    <w:rsid w:val="007E3C7B"/>
    <w:rsid w:val="007E54C7"/>
    <w:rsid w:val="007E56C2"/>
    <w:rsid w:val="007E6206"/>
    <w:rsid w:val="007E66DE"/>
    <w:rsid w:val="007E6E26"/>
    <w:rsid w:val="007E73BE"/>
    <w:rsid w:val="007F041B"/>
    <w:rsid w:val="007F0438"/>
    <w:rsid w:val="007F0743"/>
    <w:rsid w:val="007F0AAE"/>
    <w:rsid w:val="007F112C"/>
    <w:rsid w:val="007F1601"/>
    <w:rsid w:val="007F1883"/>
    <w:rsid w:val="007F1F67"/>
    <w:rsid w:val="007F2000"/>
    <w:rsid w:val="007F23DC"/>
    <w:rsid w:val="007F23FC"/>
    <w:rsid w:val="007F278E"/>
    <w:rsid w:val="007F290D"/>
    <w:rsid w:val="007F29DE"/>
    <w:rsid w:val="007F3016"/>
    <w:rsid w:val="007F4036"/>
    <w:rsid w:val="007F4116"/>
    <w:rsid w:val="007F41FE"/>
    <w:rsid w:val="007F597F"/>
    <w:rsid w:val="007F5B42"/>
    <w:rsid w:val="007F620E"/>
    <w:rsid w:val="007F6E50"/>
    <w:rsid w:val="007F7103"/>
    <w:rsid w:val="007F7843"/>
    <w:rsid w:val="007F7A0A"/>
    <w:rsid w:val="00800EB8"/>
    <w:rsid w:val="00801954"/>
    <w:rsid w:val="00802252"/>
    <w:rsid w:val="008027F5"/>
    <w:rsid w:val="00802995"/>
    <w:rsid w:val="008035DB"/>
    <w:rsid w:val="00803707"/>
    <w:rsid w:val="00803F18"/>
    <w:rsid w:val="0080486C"/>
    <w:rsid w:val="008053D6"/>
    <w:rsid w:val="008053F0"/>
    <w:rsid w:val="0080751A"/>
    <w:rsid w:val="008075BC"/>
    <w:rsid w:val="0081015E"/>
    <w:rsid w:val="008104BC"/>
    <w:rsid w:val="0081078D"/>
    <w:rsid w:val="00810B7E"/>
    <w:rsid w:val="008111B7"/>
    <w:rsid w:val="00811E99"/>
    <w:rsid w:val="00812E28"/>
    <w:rsid w:val="0081306E"/>
    <w:rsid w:val="00813111"/>
    <w:rsid w:val="00813A57"/>
    <w:rsid w:val="00813E63"/>
    <w:rsid w:val="00816165"/>
    <w:rsid w:val="0081631A"/>
    <w:rsid w:val="00817308"/>
    <w:rsid w:val="00817F4E"/>
    <w:rsid w:val="00820D13"/>
    <w:rsid w:val="00821387"/>
    <w:rsid w:val="0082221D"/>
    <w:rsid w:val="00822325"/>
    <w:rsid w:val="0082278C"/>
    <w:rsid w:val="00822ABC"/>
    <w:rsid w:val="008234B4"/>
    <w:rsid w:val="00823D8F"/>
    <w:rsid w:val="0082457A"/>
    <w:rsid w:val="008249C6"/>
    <w:rsid w:val="00825986"/>
    <w:rsid w:val="008263B5"/>
    <w:rsid w:val="00826958"/>
    <w:rsid w:val="00826AE6"/>
    <w:rsid w:val="00826D62"/>
    <w:rsid w:val="008273D7"/>
    <w:rsid w:val="00827DBB"/>
    <w:rsid w:val="00830D99"/>
    <w:rsid w:val="00831588"/>
    <w:rsid w:val="008320F3"/>
    <w:rsid w:val="00833BDA"/>
    <w:rsid w:val="00835DC1"/>
    <w:rsid w:val="00836FA9"/>
    <w:rsid w:val="0083753C"/>
    <w:rsid w:val="00837FD2"/>
    <w:rsid w:val="0084063E"/>
    <w:rsid w:val="00840CD1"/>
    <w:rsid w:val="00841C72"/>
    <w:rsid w:val="00842335"/>
    <w:rsid w:val="00842409"/>
    <w:rsid w:val="00842B57"/>
    <w:rsid w:val="008430A7"/>
    <w:rsid w:val="008441E0"/>
    <w:rsid w:val="008442B4"/>
    <w:rsid w:val="008450F8"/>
    <w:rsid w:val="00845C87"/>
    <w:rsid w:val="00845F08"/>
    <w:rsid w:val="008468A2"/>
    <w:rsid w:val="00847087"/>
    <w:rsid w:val="00850AEA"/>
    <w:rsid w:val="00851388"/>
    <w:rsid w:val="008518A3"/>
    <w:rsid w:val="00852824"/>
    <w:rsid w:val="00852CC6"/>
    <w:rsid w:val="00852FA8"/>
    <w:rsid w:val="0085368D"/>
    <w:rsid w:val="00853D1E"/>
    <w:rsid w:val="00855FC3"/>
    <w:rsid w:val="00856EA5"/>
    <w:rsid w:val="00857A1F"/>
    <w:rsid w:val="00857A5C"/>
    <w:rsid w:val="00857D29"/>
    <w:rsid w:val="00860244"/>
    <w:rsid w:val="0086040C"/>
    <w:rsid w:val="00860459"/>
    <w:rsid w:val="00861098"/>
    <w:rsid w:val="008612C3"/>
    <w:rsid w:val="0086131D"/>
    <w:rsid w:val="00861471"/>
    <w:rsid w:val="00861FCB"/>
    <w:rsid w:val="0086227B"/>
    <w:rsid w:val="0086336F"/>
    <w:rsid w:val="008634B3"/>
    <w:rsid w:val="008636A5"/>
    <w:rsid w:val="00863859"/>
    <w:rsid w:val="00865CA7"/>
    <w:rsid w:val="00865E89"/>
    <w:rsid w:val="008660D4"/>
    <w:rsid w:val="00866306"/>
    <w:rsid w:val="008666C1"/>
    <w:rsid w:val="0086726B"/>
    <w:rsid w:val="008674E2"/>
    <w:rsid w:val="00870531"/>
    <w:rsid w:val="00872864"/>
    <w:rsid w:val="008731B5"/>
    <w:rsid w:val="008733E7"/>
    <w:rsid w:val="00873BDB"/>
    <w:rsid w:val="00874003"/>
    <w:rsid w:val="008740BF"/>
    <w:rsid w:val="00874555"/>
    <w:rsid w:val="0087474B"/>
    <w:rsid w:val="00874CC5"/>
    <w:rsid w:val="0087591D"/>
    <w:rsid w:val="008765BD"/>
    <w:rsid w:val="00877259"/>
    <w:rsid w:val="00877CB8"/>
    <w:rsid w:val="00880323"/>
    <w:rsid w:val="00880D30"/>
    <w:rsid w:val="00880DBF"/>
    <w:rsid w:val="00881637"/>
    <w:rsid w:val="00881FA5"/>
    <w:rsid w:val="00883386"/>
    <w:rsid w:val="00883657"/>
    <w:rsid w:val="00883DCC"/>
    <w:rsid w:val="00883DD3"/>
    <w:rsid w:val="00884575"/>
    <w:rsid w:val="008845AC"/>
    <w:rsid w:val="008858A1"/>
    <w:rsid w:val="0088748B"/>
    <w:rsid w:val="00887A2B"/>
    <w:rsid w:val="00887AE6"/>
    <w:rsid w:val="00891293"/>
    <w:rsid w:val="008920BA"/>
    <w:rsid w:val="008923C4"/>
    <w:rsid w:val="00892AD8"/>
    <w:rsid w:val="00893685"/>
    <w:rsid w:val="00893F03"/>
    <w:rsid w:val="00893FC7"/>
    <w:rsid w:val="00894DEC"/>
    <w:rsid w:val="00895677"/>
    <w:rsid w:val="008958AF"/>
    <w:rsid w:val="00896023"/>
    <w:rsid w:val="00896D60"/>
    <w:rsid w:val="008974F8"/>
    <w:rsid w:val="008977B0"/>
    <w:rsid w:val="00897FF6"/>
    <w:rsid w:val="008A0FAD"/>
    <w:rsid w:val="008A1588"/>
    <w:rsid w:val="008A1A93"/>
    <w:rsid w:val="008A2385"/>
    <w:rsid w:val="008A2814"/>
    <w:rsid w:val="008A30A4"/>
    <w:rsid w:val="008A3358"/>
    <w:rsid w:val="008A3584"/>
    <w:rsid w:val="008A36DA"/>
    <w:rsid w:val="008A4474"/>
    <w:rsid w:val="008A48CE"/>
    <w:rsid w:val="008A4A41"/>
    <w:rsid w:val="008A5133"/>
    <w:rsid w:val="008A5DB6"/>
    <w:rsid w:val="008A663B"/>
    <w:rsid w:val="008A735B"/>
    <w:rsid w:val="008A7B06"/>
    <w:rsid w:val="008A7EF4"/>
    <w:rsid w:val="008B0293"/>
    <w:rsid w:val="008B05BF"/>
    <w:rsid w:val="008B09E3"/>
    <w:rsid w:val="008B0A40"/>
    <w:rsid w:val="008B15D1"/>
    <w:rsid w:val="008B1A8F"/>
    <w:rsid w:val="008B1B55"/>
    <w:rsid w:val="008B1E17"/>
    <w:rsid w:val="008B1F98"/>
    <w:rsid w:val="008B26A9"/>
    <w:rsid w:val="008B2BCA"/>
    <w:rsid w:val="008B3437"/>
    <w:rsid w:val="008B3763"/>
    <w:rsid w:val="008B3D9D"/>
    <w:rsid w:val="008B526A"/>
    <w:rsid w:val="008B548C"/>
    <w:rsid w:val="008B5C45"/>
    <w:rsid w:val="008B6F57"/>
    <w:rsid w:val="008B7450"/>
    <w:rsid w:val="008B76B5"/>
    <w:rsid w:val="008B7AC4"/>
    <w:rsid w:val="008B7BDC"/>
    <w:rsid w:val="008B7E9B"/>
    <w:rsid w:val="008C0596"/>
    <w:rsid w:val="008C090D"/>
    <w:rsid w:val="008C0F6E"/>
    <w:rsid w:val="008C2574"/>
    <w:rsid w:val="008C2B5D"/>
    <w:rsid w:val="008C3185"/>
    <w:rsid w:val="008C340C"/>
    <w:rsid w:val="008C4000"/>
    <w:rsid w:val="008C4BEC"/>
    <w:rsid w:val="008C524D"/>
    <w:rsid w:val="008C52BA"/>
    <w:rsid w:val="008C557F"/>
    <w:rsid w:val="008C5612"/>
    <w:rsid w:val="008C568D"/>
    <w:rsid w:val="008C60BF"/>
    <w:rsid w:val="008C6A36"/>
    <w:rsid w:val="008C6B39"/>
    <w:rsid w:val="008D1009"/>
    <w:rsid w:val="008D14C9"/>
    <w:rsid w:val="008D1542"/>
    <w:rsid w:val="008D16E8"/>
    <w:rsid w:val="008D1EA7"/>
    <w:rsid w:val="008D2B05"/>
    <w:rsid w:val="008D2E97"/>
    <w:rsid w:val="008D37D5"/>
    <w:rsid w:val="008D3C95"/>
    <w:rsid w:val="008D49AE"/>
    <w:rsid w:val="008D63BC"/>
    <w:rsid w:val="008D65F9"/>
    <w:rsid w:val="008D6889"/>
    <w:rsid w:val="008D7AE6"/>
    <w:rsid w:val="008D7CDF"/>
    <w:rsid w:val="008E03C8"/>
    <w:rsid w:val="008E14E3"/>
    <w:rsid w:val="008E1D50"/>
    <w:rsid w:val="008E2632"/>
    <w:rsid w:val="008E3122"/>
    <w:rsid w:val="008E5EDE"/>
    <w:rsid w:val="008E69A9"/>
    <w:rsid w:val="008E73C8"/>
    <w:rsid w:val="008E795D"/>
    <w:rsid w:val="008E7BA2"/>
    <w:rsid w:val="008F00B4"/>
    <w:rsid w:val="008F0505"/>
    <w:rsid w:val="008F061B"/>
    <w:rsid w:val="008F09A8"/>
    <w:rsid w:val="008F0B48"/>
    <w:rsid w:val="008F1F67"/>
    <w:rsid w:val="008F244C"/>
    <w:rsid w:val="008F259F"/>
    <w:rsid w:val="008F2C93"/>
    <w:rsid w:val="008F396F"/>
    <w:rsid w:val="008F3B14"/>
    <w:rsid w:val="008F3CFC"/>
    <w:rsid w:val="008F474A"/>
    <w:rsid w:val="008F4850"/>
    <w:rsid w:val="008F48C0"/>
    <w:rsid w:val="008F4FCF"/>
    <w:rsid w:val="008F56CB"/>
    <w:rsid w:val="008F5918"/>
    <w:rsid w:val="008F6769"/>
    <w:rsid w:val="008F6ADD"/>
    <w:rsid w:val="0090087C"/>
    <w:rsid w:val="009009BB"/>
    <w:rsid w:val="00901041"/>
    <w:rsid w:val="0090152A"/>
    <w:rsid w:val="00901616"/>
    <w:rsid w:val="0090222F"/>
    <w:rsid w:val="009027A5"/>
    <w:rsid w:val="009029E9"/>
    <w:rsid w:val="00902AEB"/>
    <w:rsid w:val="009030A3"/>
    <w:rsid w:val="0090374D"/>
    <w:rsid w:val="00904364"/>
    <w:rsid w:val="00904F35"/>
    <w:rsid w:val="009051E1"/>
    <w:rsid w:val="00907927"/>
    <w:rsid w:val="00907FDB"/>
    <w:rsid w:val="009100F1"/>
    <w:rsid w:val="00910303"/>
    <w:rsid w:val="00910348"/>
    <w:rsid w:val="00910B53"/>
    <w:rsid w:val="00910DDF"/>
    <w:rsid w:val="00910EC9"/>
    <w:rsid w:val="00911696"/>
    <w:rsid w:val="0091282C"/>
    <w:rsid w:val="009130AF"/>
    <w:rsid w:val="0091478D"/>
    <w:rsid w:val="00914B55"/>
    <w:rsid w:val="0091517B"/>
    <w:rsid w:val="009171C0"/>
    <w:rsid w:val="00917900"/>
    <w:rsid w:val="009211A4"/>
    <w:rsid w:val="0092200C"/>
    <w:rsid w:val="00923565"/>
    <w:rsid w:val="0092388A"/>
    <w:rsid w:val="0092497A"/>
    <w:rsid w:val="00924F3F"/>
    <w:rsid w:val="00925508"/>
    <w:rsid w:val="009256B0"/>
    <w:rsid w:val="00925F70"/>
    <w:rsid w:val="00926711"/>
    <w:rsid w:val="009273C3"/>
    <w:rsid w:val="00930A80"/>
    <w:rsid w:val="00930D97"/>
    <w:rsid w:val="00930FAF"/>
    <w:rsid w:val="00931042"/>
    <w:rsid w:val="0093162D"/>
    <w:rsid w:val="0093261A"/>
    <w:rsid w:val="0093316E"/>
    <w:rsid w:val="009332B7"/>
    <w:rsid w:val="00933930"/>
    <w:rsid w:val="00933A78"/>
    <w:rsid w:val="00933D8D"/>
    <w:rsid w:val="0093470A"/>
    <w:rsid w:val="00934CE7"/>
    <w:rsid w:val="00934DB5"/>
    <w:rsid w:val="00935001"/>
    <w:rsid w:val="009356E0"/>
    <w:rsid w:val="00935CAF"/>
    <w:rsid w:val="00936D5B"/>
    <w:rsid w:val="00937331"/>
    <w:rsid w:val="00937460"/>
    <w:rsid w:val="0093749E"/>
    <w:rsid w:val="00940273"/>
    <w:rsid w:val="00940510"/>
    <w:rsid w:val="00940BFF"/>
    <w:rsid w:val="00940D12"/>
    <w:rsid w:val="00941336"/>
    <w:rsid w:val="009416E5"/>
    <w:rsid w:val="00941901"/>
    <w:rsid w:val="00941F4A"/>
    <w:rsid w:val="009427E0"/>
    <w:rsid w:val="009428D6"/>
    <w:rsid w:val="00942BF3"/>
    <w:rsid w:val="00942E38"/>
    <w:rsid w:val="0094399C"/>
    <w:rsid w:val="009448AD"/>
    <w:rsid w:val="00945033"/>
    <w:rsid w:val="00945265"/>
    <w:rsid w:val="00946397"/>
    <w:rsid w:val="009466D7"/>
    <w:rsid w:val="00947C54"/>
    <w:rsid w:val="00950769"/>
    <w:rsid w:val="00950C1F"/>
    <w:rsid w:val="009521A9"/>
    <w:rsid w:val="00952751"/>
    <w:rsid w:val="00953756"/>
    <w:rsid w:val="00954B72"/>
    <w:rsid w:val="009559E9"/>
    <w:rsid w:val="00957FC4"/>
    <w:rsid w:val="00960010"/>
    <w:rsid w:val="00960423"/>
    <w:rsid w:val="00960652"/>
    <w:rsid w:val="009613FF"/>
    <w:rsid w:val="00961844"/>
    <w:rsid w:val="00961C21"/>
    <w:rsid w:val="00961E1B"/>
    <w:rsid w:val="00961FB5"/>
    <w:rsid w:val="00961FB9"/>
    <w:rsid w:val="00962CE2"/>
    <w:rsid w:val="00963B18"/>
    <w:rsid w:val="009644E9"/>
    <w:rsid w:val="00965237"/>
    <w:rsid w:val="00965884"/>
    <w:rsid w:val="00965BDB"/>
    <w:rsid w:val="00966382"/>
    <w:rsid w:val="00966505"/>
    <w:rsid w:val="00966B61"/>
    <w:rsid w:val="0096769F"/>
    <w:rsid w:val="009678C6"/>
    <w:rsid w:val="00967900"/>
    <w:rsid w:val="009703CC"/>
    <w:rsid w:val="00970407"/>
    <w:rsid w:val="009708FD"/>
    <w:rsid w:val="00971258"/>
    <w:rsid w:val="009716D6"/>
    <w:rsid w:val="00971B10"/>
    <w:rsid w:val="00971D0B"/>
    <w:rsid w:val="00973D3F"/>
    <w:rsid w:val="00974087"/>
    <w:rsid w:val="009743CC"/>
    <w:rsid w:val="0097529B"/>
    <w:rsid w:val="00975779"/>
    <w:rsid w:val="009765BE"/>
    <w:rsid w:val="00976C62"/>
    <w:rsid w:val="00976ED7"/>
    <w:rsid w:val="009770A2"/>
    <w:rsid w:val="00981364"/>
    <w:rsid w:val="00981E0E"/>
    <w:rsid w:val="00982C63"/>
    <w:rsid w:val="009836CF"/>
    <w:rsid w:val="00983B9A"/>
    <w:rsid w:val="00984336"/>
    <w:rsid w:val="009844E7"/>
    <w:rsid w:val="00984A0E"/>
    <w:rsid w:val="00986516"/>
    <w:rsid w:val="00986CD7"/>
    <w:rsid w:val="00990C55"/>
    <w:rsid w:val="0099144C"/>
    <w:rsid w:val="00992B3C"/>
    <w:rsid w:val="0099378C"/>
    <w:rsid w:val="00994EAA"/>
    <w:rsid w:val="00996A93"/>
    <w:rsid w:val="00996EF6"/>
    <w:rsid w:val="009971B0"/>
    <w:rsid w:val="009975B7"/>
    <w:rsid w:val="009A040B"/>
    <w:rsid w:val="009A0668"/>
    <w:rsid w:val="009A0CAD"/>
    <w:rsid w:val="009A1515"/>
    <w:rsid w:val="009A1B7A"/>
    <w:rsid w:val="009A3E7E"/>
    <w:rsid w:val="009A4461"/>
    <w:rsid w:val="009A506E"/>
    <w:rsid w:val="009A5D26"/>
    <w:rsid w:val="009A6001"/>
    <w:rsid w:val="009A6E3D"/>
    <w:rsid w:val="009B080B"/>
    <w:rsid w:val="009B0903"/>
    <w:rsid w:val="009B0AEC"/>
    <w:rsid w:val="009B1A28"/>
    <w:rsid w:val="009B1EB6"/>
    <w:rsid w:val="009B2B3D"/>
    <w:rsid w:val="009B3998"/>
    <w:rsid w:val="009B3BDE"/>
    <w:rsid w:val="009B4371"/>
    <w:rsid w:val="009B592C"/>
    <w:rsid w:val="009B5D70"/>
    <w:rsid w:val="009B6FEC"/>
    <w:rsid w:val="009B7774"/>
    <w:rsid w:val="009B799D"/>
    <w:rsid w:val="009C0072"/>
    <w:rsid w:val="009C07E9"/>
    <w:rsid w:val="009C0B00"/>
    <w:rsid w:val="009C1294"/>
    <w:rsid w:val="009C20AE"/>
    <w:rsid w:val="009C2637"/>
    <w:rsid w:val="009C2A20"/>
    <w:rsid w:val="009C300D"/>
    <w:rsid w:val="009C3257"/>
    <w:rsid w:val="009C3641"/>
    <w:rsid w:val="009C4848"/>
    <w:rsid w:val="009C488D"/>
    <w:rsid w:val="009C49BB"/>
    <w:rsid w:val="009C5835"/>
    <w:rsid w:val="009C6244"/>
    <w:rsid w:val="009C71C2"/>
    <w:rsid w:val="009C784B"/>
    <w:rsid w:val="009C7963"/>
    <w:rsid w:val="009D054E"/>
    <w:rsid w:val="009D1031"/>
    <w:rsid w:val="009D1554"/>
    <w:rsid w:val="009D2008"/>
    <w:rsid w:val="009D225A"/>
    <w:rsid w:val="009D29B3"/>
    <w:rsid w:val="009D3737"/>
    <w:rsid w:val="009D4C67"/>
    <w:rsid w:val="009D55C4"/>
    <w:rsid w:val="009D7897"/>
    <w:rsid w:val="009D7D3B"/>
    <w:rsid w:val="009E06D9"/>
    <w:rsid w:val="009E1E98"/>
    <w:rsid w:val="009E2254"/>
    <w:rsid w:val="009E2348"/>
    <w:rsid w:val="009E26C7"/>
    <w:rsid w:val="009E32D0"/>
    <w:rsid w:val="009E34BD"/>
    <w:rsid w:val="009E36BB"/>
    <w:rsid w:val="009E4200"/>
    <w:rsid w:val="009E48B9"/>
    <w:rsid w:val="009E4954"/>
    <w:rsid w:val="009E4C4C"/>
    <w:rsid w:val="009E6611"/>
    <w:rsid w:val="009E6A84"/>
    <w:rsid w:val="009E6C88"/>
    <w:rsid w:val="009E71B2"/>
    <w:rsid w:val="009E7A3F"/>
    <w:rsid w:val="009F01F0"/>
    <w:rsid w:val="009F1D23"/>
    <w:rsid w:val="009F1DEB"/>
    <w:rsid w:val="009F222C"/>
    <w:rsid w:val="009F4519"/>
    <w:rsid w:val="009F5222"/>
    <w:rsid w:val="009F6166"/>
    <w:rsid w:val="009F6B8C"/>
    <w:rsid w:val="00A00BA9"/>
    <w:rsid w:val="00A00CED"/>
    <w:rsid w:val="00A00EE8"/>
    <w:rsid w:val="00A01573"/>
    <w:rsid w:val="00A018B8"/>
    <w:rsid w:val="00A01D1B"/>
    <w:rsid w:val="00A0214F"/>
    <w:rsid w:val="00A027EB"/>
    <w:rsid w:val="00A05229"/>
    <w:rsid w:val="00A05662"/>
    <w:rsid w:val="00A0570A"/>
    <w:rsid w:val="00A05F09"/>
    <w:rsid w:val="00A07220"/>
    <w:rsid w:val="00A0793B"/>
    <w:rsid w:val="00A07AB0"/>
    <w:rsid w:val="00A07E69"/>
    <w:rsid w:val="00A07FB4"/>
    <w:rsid w:val="00A105B0"/>
    <w:rsid w:val="00A10A79"/>
    <w:rsid w:val="00A10D7B"/>
    <w:rsid w:val="00A11688"/>
    <w:rsid w:val="00A11CC6"/>
    <w:rsid w:val="00A124BD"/>
    <w:rsid w:val="00A139FE"/>
    <w:rsid w:val="00A14571"/>
    <w:rsid w:val="00A16112"/>
    <w:rsid w:val="00A16CEE"/>
    <w:rsid w:val="00A2017C"/>
    <w:rsid w:val="00A2029F"/>
    <w:rsid w:val="00A2135F"/>
    <w:rsid w:val="00A22156"/>
    <w:rsid w:val="00A223F1"/>
    <w:rsid w:val="00A22C44"/>
    <w:rsid w:val="00A22E23"/>
    <w:rsid w:val="00A23A6F"/>
    <w:rsid w:val="00A23FA0"/>
    <w:rsid w:val="00A24060"/>
    <w:rsid w:val="00A24C51"/>
    <w:rsid w:val="00A24EA8"/>
    <w:rsid w:val="00A25C12"/>
    <w:rsid w:val="00A25D5E"/>
    <w:rsid w:val="00A26E97"/>
    <w:rsid w:val="00A3031C"/>
    <w:rsid w:val="00A309A6"/>
    <w:rsid w:val="00A3151B"/>
    <w:rsid w:val="00A31F32"/>
    <w:rsid w:val="00A322AA"/>
    <w:rsid w:val="00A32575"/>
    <w:rsid w:val="00A32C7C"/>
    <w:rsid w:val="00A332B2"/>
    <w:rsid w:val="00A3332F"/>
    <w:rsid w:val="00A3345A"/>
    <w:rsid w:val="00A3362F"/>
    <w:rsid w:val="00A33CE5"/>
    <w:rsid w:val="00A343E9"/>
    <w:rsid w:val="00A35129"/>
    <w:rsid w:val="00A35B08"/>
    <w:rsid w:val="00A364FB"/>
    <w:rsid w:val="00A36733"/>
    <w:rsid w:val="00A37077"/>
    <w:rsid w:val="00A371DF"/>
    <w:rsid w:val="00A373FC"/>
    <w:rsid w:val="00A4028D"/>
    <w:rsid w:val="00A403FB"/>
    <w:rsid w:val="00A40410"/>
    <w:rsid w:val="00A40DC3"/>
    <w:rsid w:val="00A41964"/>
    <w:rsid w:val="00A41E8F"/>
    <w:rsid w:val="00A4202C"/>
    <w:rsid w:val="00A4245F"/>
    <w:rsid w:val="00A42473"/>
    <w:rsid w:val="00A454C7"/>
    <w:rsid w:val="00A454F2"/>
    <w:rsid w:val="00A4653F"/>
    <w:rsid w:val="00A46F95"/>
    <w:rsid w:val="00A4714C"/>
    <w:rsid w:val="00A47477"/>
    <w:rsid w:val="00A50338"/>
    <w:rsid w:val="00A51250"/>
    <w:rsid w:val="00A514FF"/>
    <w:rsid w:val="00A517BB"/>
    <w:rsid w:val="00A51ADC"/>
    <w:rsid w:val="00A52703"/>
    <w:rsid w:val="00A5297D"/>
    <w:rsid w:val="00A541AC"/>
    <w:rsid w:val="00A54302"/>
    <w:rsid w:val="00A547A6"/>
    <w:rsid w:val="00A54C77"/>
    <w:rsid w:val="00A552AC"/>
    <w:rsid w:val="00A5564F"/>
    <w:rsid w:val="00A5645B"/>
    <w:rsid w:val="00A568BE"/>
    <w:rsid w:val="00A56973"/>
    <w:rsid w:val="00A56FB3"/>
    <w:rsid w:val="00A573F4"/>
    <w:rsid w:val="00A57BCF"/>
    <w:rsid w:val="00A57DDB"/>
    <w:rsid w:val="00A57F82"/>
    <w:rsid w:val="00A60054"/>
    <w:rsid w:val="00A60E84"/>
    <w:rsid w:val="00A61C59"/>
    <w:rsid w:val="00A6275E"/>
    <w:rsid w:val="00A62CBE"/>
    <w:rsid w:val="00A63099"/>
    <w:rsid w:val="00A63BF4"/>
    <w:rsid w:val="00A65671"/>
    <w:rsid w:val="00A6581C"/>
    <w:rsid w:val="00A65D88"/>
    <w:rsid w:val="00A660D2"/>
    <w:rsid w:val="00A6683A"/>
    <w:rsid w:val="00A66EF3"/>
    <w:rsid w:val="00A67991"/>
    <w:rsid w:val="00A67A2B"/>
    <w:rsid w:val="00A70444"/>
    <w:rsid w:val="00A70522"/>
    <w:rsid w:val="00A71DF4"/>
    <w:rsid w:val="00A720F1"/>
    <w:rsid w:val="00A72EE1"/>
    <w:rsid w:val="00A7385F"/>
    <w:rsid w:val="00A73B58"/>
    <w:rsid w:val="00A75AED"/>
    <w:rsid w:val="00A76D68"/>
    <w:rsid w:val="00A8154F"/>
    <w:rsid w:val="00A81749"/>
    <w:rsid w:val="00A817B2"/>
    <w:rsid w:val="00A8192B"/>
    <w:rsid w:val="00A839D4"/>
    <w:rsid w:val="00A83D3D"/>
    <w:rsid w:val="00A84B58"/>
    <w:rsid w:val="00A85931"/>
    <w:rsid w:val="00A85E97"/>
    <w:rsid w:val="00A86608"/>
    <w:rsid w:val="00A8690A"/>
    <w:rsid w:val="00A87835"/>
    <w:rsid w:val="00A8793C"/>
    <w:rsid w:val="00A87A1B"/>
    <w:rsid w:val="00A90334"/>
    <w:rsid w:val="00A90E0F"/>
    <w:rsid w:val="00A92095"/>
    <w:rsid w:val="00A93179"/>
    <w:rsid w:val="00A939DF"/>
    <w:rsid w:val="00A93D53"/>
    <w:rsid w:val="00A93FEF"/>
    <w:rsid w:val="00A945C7"/>
    <w:rsid w:val="00A953F8"/>
    <w:rsid w:val="00A95E89"/>
    <w:rsid w:val="00A96C3E"/>
    <w:rsid w:val="00A96FF7"/>
    <w:rsid w:val="00A97CB8"/>
    <w:rsid w:val="00AA18BB"/>
    <w:rsid w:val="00AA20D4"/>
    <w:rsid w:val="00AA223A"/>
    <w:rsid w:val="00AA2BF5"/>
    <w:rsid w:val="00AA3988"/>
    <w:rsid w:val="00AA41A2"/>
    <w:rsid w:val="00AA438F"/>
    <w:rsid w:val="00AA58E1"/>
    <w:rsid w:val="00AA6252"/>
    <w:rsid w:val="00AA6D7D"/>
    <w:rsid w:val="00AA730C"/>
    <w:rsid w:val="00AB071A"/>
    <w:rsid w:val="00AB1DB4"/>
    <w:rsid w:val="00AB22E2"/>
    <w:rsid w:val="00AB2864"/>
    <w:rsid w:val="00AB3DA7"/>
    <w:rsid w:val="00AB4122"/>
    <w:rsid w:val="00AB4773"/>
    <w:rsid w:val="00AB510A"/>
    <w:rsid w:val="00AB5422"/>
    <w:rsid w:val="00AB5BB1"/>
    <w:rsid w:val="00AB71DE"/>
    <w:rsid w:val="00AB7295"/>
    <w:rsid w:val="00AB733F"/>
    <w:rsid w:val="00AC0C88"/>
    <w:rsid w:val="00AC1223"/>
    <w:rsid w:val="00AC17B7"/>
    <w:rsid w:val="00AC1823"/>
    <w:rsid w:val="00AC27EC"/>
    <w:rsid w:val="00AC3464"/>
    <w:rsid w:val="00AC35B6"/>
    <w:rsid w:val="00AC4EEC"/>
    <w:rsid w:val="00AC6D47"/>
    <w:rsid w:val="00AD039B"/>
    <w:rsid w:val="00AD1041"/>
    <w:rsid w:val="00AD1839"/>
    <w:rsid w:val="00AD257D"/>
    <w:rsid w:val="00AD28C3"/>
    <w:rsid w:val="00AD2A9B"/>
    <w:rsid w:val="00AD3572"/>
    <w:rsid w:val="00AD387A"/>
    <w:rsid w:val="00AD39BE"/>
    <w:rsid w:val="00AD400A"/>
    <w:rsid w:val="00AD45EA"/>
    <w:rsid w:val="00AD492D"/>
    <w:rsid w:val="00AD4C83"/>
    <w:rsid w:val="00AD4FEC"/>
    <w:rsid w:val="00AD5C27"/>
    <w:rsid w:val="00AD6851"/>
    <w:rsid w:val="00AD68DB"/>
    <w:rsid w:val="00AD704B"/>
    <w:rsid w:val="00AD783B"/>
    <w:rsid w:val="00AE0468"/>
    <w:rsid w:val="00AE0E44"/>
    <w:rsid w:val="00AE1006"/>
    <w:rsid w:val="00AE10D9"/>
    <w:rsid w:val="00AE136D"/>
    <w:rsid w:val="00AE1C18"/>
    <w:rsid w:val="00AE21D3"/>
    <w:rsid w:val="00AE2C3D"/>
    <w:rsid w:val="00AE2E80"/>
    <w:rsid w:val="00AE2FF9"/>
    <w:rsid w:val="00AE3122"/>
    <w:rsid w:val="00AE4E05"/>
    <w:rsid w:val="00AE6C2B"/>
    <w:rsid w:val="00AE729E"/>
    <w:rsid w:val="00AE764C"/>
    <w:rsid w:val="00AE77FF"/>
    <w:rsid w:val="00AF090B"/>
    <w:rsid w:val="00AF0C5F"/>
    <w:rsid w:val="00AF1C28"/>
    <w:rsid w:val="00AF2074"/>
    <w:rsid w:val="00AF213A"/>
    <w:rsid w:val="00AF41B4"/>
    <w:rsid w:val="00AF41E4"/>
    <w:rsid w:val="00AF4575"/>
    <w:rsid w:val="00AF58BB"/>
    <w:rsid w:val="00AF5ADA"/>
    <w:rsid w:val="00AF5BF1"/>
    <w:rsid w:val="00AF6545"/>
    <w:rsid w:val="00AF689A"/>
    <w:rsid w:val="00AF712E"/>
    <w:rsid w:val="00AF7231"/>
    <w:rsid w:val="00AF7EA5"/>
    <w:rsid w:val="00B01E39"/>
    <w:rsid w:val="00B03500"/>
    <w:rsid w:val="00B035EA"/>
    <w:rsid w:val="00B0391E"/>
    <w:rsid w:val="00B0394F"/>
    <w:rsid w:val="00B04DAD"/>
    <w:rsid w:val="00B05408"/>
    <w:rsid w:val="00B0570D"/>
    <w:rsid w:val="00B05EB0"/>
    <w:rsid w:val="00B06977"/>
    <w:rsid w:val="00B06CCC"/>
    <w:rsid w:val="00B1043C"/>
    <w:rsid w:val="00B10B0B"/>
    <w:rsid w:val="00B11228"/>
    <w:rsid w:val="00B11320"/>
    <w:rsid w:val="00B1150D"/>
    <w:rsid w:val="00B115D7"/>
    <w:rsid w:val="00B11923"/>
    <w:rsid w:val="00B11A59"/>
    <w:rsid w:val="00B11C02"/>
    <w:rsid w:val="00B11F4B"/>
    <w:rsid w:val="00B12AC9"/>
    <w:rsid w:val="00B1328A"/>
    <w:rsid w:val="00B13C50"/>
    <w:rsid w:val="00B140AF"/>
    <w:rsid w:val="00B144EA"/>
    <w:rsid w:val="00B145B3"/>
    <w:rsid w:val="00B16604"/>
    <w:rsid w:val="00B16AB9"/>
    <w:rsid w:val="00B17069"/>
    <w:rsid w:val="00B172CE"/>
    <w:rsid w:val="00B17990"/>
    <w:rsid w:val="00B21700"/>
    <w:rsid w:val="00B21F11"/>
    <w:rsid w:val="00B22875"/>
    <w:rsid w:val="00B22A78"/>
    <w:rsid w:val="00B22CFA"/>
    <w:rsid w:val="00B22D54"/>
    <w:rsid w:val="00B23AAD"/>
    <w:rsid w:val="00B23CF1"/>
    <w:rsid w:val="00B23D11"/>
    <w:rsid w:val="00B2452C"/>
    <w:rsid w:val="00B246E4"/>
    <w:rsid w:val="00B24BAD"/>
    <w:rsid w:val="00B24E0E"/>
    <w:rsid w:val="00B24F32"/>
    <w:rsid w:val="00B25573"/>
    <w:rsid w:val="00B25852"/>
    <w:rsid w:val="00B266D1"/>
    <w:rsid w:val="00B2687C"/>
    <w:rsid w:val="00B26C83"/>
    <w:rsid w:val="00B270DD"/>
    <w:rsid w:val="00B30596"/>
    <w:rsid w:val="00B33252"/>
    <w:rsid w:val="00B33BCC"/>
    <w:rsid w:val="00B33D31"/>
    <w:rsid w:val="00B340F1"/>
    <w:rsid w:val="00B3464F"/>
    <w:rsid w:val="00B35E2D"/>
    <w:rsid w:val="00B367A3"/>
    <w:rsid w:val="00B37984"/>
    <w:rsid w:val="00B37B19"/>
    <w:rsid w:val="00B37F0C"/>
    <w:rsid w:val="00B37FFB"/>
    <w:rsid w:val="00B405CE"/>
    <w:rsid w:val="00B41F29"/>
    <w:rsid w:val="00B42CC7"/>
    <w:rsid w:val="00B42CE8"/>
    <w:rsid w:val="00B43C35"/>
    <w:rsid w:val="00B44432"/>
    <w:rsid w:val="00B453C5"/>
    <w:rsid w:val="00B4550E"/>
    <w:rsid w:val="00B45C2E"/>
    <w:rsid w:val="00B45D53"/>
    <w:rsid w:val="00B45D83"/>
    <w:rsid w:val="00B45F5D"/>
    <w:rsid w:val="00B474B0"/>
    <w:rsid w:val="00B47741"/>
    <w:rsid w:val="00B478BA"/>
    <w:rsid w:val="00B47DF3"/>
    <w:rsid w:val="00B500C0"/>
    <w:rsid w:val="00B50314"/>
    <w:rsid w:val="00B5057C"/>
    <w:rsid w:val="00B50799"/>
    <w:rsid w:val="00B50B1A"/>
    <w:rsid w:val="00B5152D"/>
    <w:rsid w:val="00B5263F"/>
    <w:rsid w:val="00B531F8"/>
    <w:rsid w:val="00B53492"/>
    <w:rsid w:val="00B5419A"/>
    <w:rsid w:val="00B542EB"/>
    <w:rsid w:val="00B54D8A"/>
    <w:rsid w:val="00B55655"/>
    <w:rsid w:val="00B55A9B"/>
    <w:rsid w:val="00B55E5B"/>
    <w:rsid w:val="00B564E5"/>
    <w:rsid w:val="00B57A83"/>
    <w:rsid w:val="00B57C13"/>
    <w:rsid w:val="00B60DE6"/>
    <w:rsid w:val="00B610CC"/>
    <w:rsid w:val="00B610D0"/>
    <w:rsid w:val="00B618C0"/>
    <w:rsid w:val="00B62016"/>
    <w:rsid w:val="00B623D2"/>
    <w:rsid w:val="00B6243D"/>
    <w:rsid w:val="00B631DE"/>
    <w:rsid w:val="00B64EC4"/>
    <w:rsid w:val="00B652F1"/>
    <w:rsid w:val="00B65FBF"/>
    <w:rsid w:val="00B6607C"/>
    <w:rsid w:val="00B674C4"/>
    <w:rsid w:val="00B720D1"/>
    <w:rsid w:val="00B72A79"/>
    <w:rsid w:val="00B72C1B"/>
    <w:rsid w:val="00B733B4"/>
    <w:rsid w:val="00B73AD8"/>
    <w:rsid w:val="00B73DBA"/>
    <w:rsid w:val="00B74982"/>
    <w:rsid w:val="00B7527F"/>
    <w:rsid w:val="00B75B39"/>
    <w:rsid w:val="00B75FDC"/>
    <w:rsid w:val="00B765A7"/>
    <w:rsid w:val="00B76CCE"/>
    <w:rsid w:val="00B7729B"/>
    <w:rsid w:val="00B775A5"/>
    <w:rsid w:val="00B77774"/>
    <w:rsid w:val="00B77949"/>
    <w:rsid w:val="00B81135"/>
    <w:rsid w:val="00B818A4"/>
    <w:rsid w:val="00B828C3"/>
    <w:rsid w:val="00B82CFA"/>
    <w:rsid w:val="00B82F1E"/>
    <w:rsid w:val="00B82FFE"/>
    <w:rsid w:val="00B8380B"/>
    <w:rsid w:val="00B83B1E"/>
    <w:rsid w:val="00B83F09"/>
    <w:rsid w:val="00B83FF7"/>
    <w:rsid w:val="00B844F0"/>
    <w:rsid w:val="00B8459B"/>
    <w:rsid w:val="00B84A0E"/>
    <w:rsid w:val="00B85337"/>
    <w:rsid w:val="00B85556"/>
    <w:rsid w:val="00B865B3"/>
    <w:rsid w:val="00B86C3C"/>
    <w:rsid w:val="00B872E1"/>
    <w:rsid w:val="00B905BF"/>
    <w:rsid w:val="00B90717"/>
    <w:rsid w:val="00B90719"/>
    <w:rsid w:val="00B90C53"/>
    <w:rsid w:val="00B90C6C"/>
    <w:rsid w:val="00B914B3"/>
    <w:rsid w:val="00B918E0"/>
    <w:rsid w:val="00B92637"/>
    <w:rsid w:val="00B92A8E"/>
    <w:rsid w:val="00B92C6C"/>
    <w:rsid w:val="00B92D24"/>
    <w:rsid w:val="00B92FA7"/>
    <w:rsid w:val="00B937FF"/>
    <w:rsid w:val="00B94E00"/>
    <w:rsid w:val="00B95501"/>
    <w:rsid w:val="00B95ECE"/>
    <w:rsid w:val="00B95F7D"/>
    <w:rsid w:val="00B967CC"/>
    <w:rsid w:val="00B96964"/>
    <w:rsid w:val="00B9699D"/>
    <w:rsid w:val="00B9775F"/>
    <w:rsid w:val="00BA02A7"/>
    <w:rsid w:val="00BA0761"/>
    <w:rsid w:val="00BA0AF9"/>
    <w:rsid w:val="00BA123C"/>
    <w:rsid w:val="00BA15EF"/>
    <w:rsid w:val="00BA17DB"/>
    <w:rsid w:val="00BA1A23"/>
    <w:rsid w:val="00BA1C0D"/>
    <w:rsid w:val="00BA1CAB"/>
    <w:rsid w:val="00BA1D75"/>
    <w:rsid w:val="00BA2B89"/>
    <w:rsid w:val="00BA2C4D"/>
    <w:rsid w:val="00BA3764"/>
    <w:rsid w:val="00BA3C5B"/>
    <w:rsid w:val="00BA3DDE"/>
    <w:rsid w:val="00BA441C"/>
    <w:rsid w:val="00BA4545"/>
    <w:rsid w:val="00BA4582"/>
    <w:rsid w:val="00BA4E79"/>
    <w:rsid w:val="00BA51F9"/>
    <w:rsid w:val="00BA576C"/>
    <w:rsid w:val="00BA5A60"/>
    <w:rsid w:val="00BA6109"/>
    <w:rsid w:val="00BA6CA0"/>
    <w:rsid w:val="00BA7CDD"/>
    <w:rsid w:val="00BB16B0"/>
    <w:rsid w:val="00BB177D"/>
    <w:rsid w:val="00BB2423"/>
    <w:rsid w:val="00BB4987"/>
    <w:rsid w:val="00BB4AD4"/>
    <w:rsid w:val="00BB4EBC"/>
    <w:rsid w:val="00BB608E"/>
    <w:rsid w:val="00BB7254"/>
    <w:rsid w:val="00BB7342"/>
    <w:rsid w:val="00BB7343"/>
    <w:rsid w:val="00BC018B"/>
    <w:rsid w:val="00BC058A"/>
    <w:rsid w:val="00BC0BB6"/>
    <w:rsid w:val="00BC1BB2"/>
    <w:rsid w:val="00BC1EEA"/>
    <w:rsid w:val="00BC2849"/>
    <w:rsid w:val="00BC455E"/>
    <w:rsid w:val="00BC52DB"/>
    <w:rsid w:val="00BC5E12"/>
    <w:rsid w:val="00BC5EA5"/>
    <w:rsid w:val="00BC6F75"/>
    <w:rsid w:val="00BC71BB"/>
    <w:rsid w:val="00BC7EB1"/>
    <w:rsid w:val="00BD1154"/>
    <w:rsid w:val="00BD1C5D"/>
    <w:rsid w:val="00BD2B66"/>
    <w:rsid w:val="00BD44D3"/>
    <w:rsid w:val="00BD51FD"/>
    <w:rsid w:val="00BD54C2"/>
    <w:rsid w:val="00BD65AF"/>
    <w:rsid w:val="00BD6637"/>
    <w:rsid w:val="00BD6AF0"/>
    <w:rsid w:val="00BD751C"/>
    <w:rsid w:val="00BD7EFC"/>
    <w:rsid w:val="00BE0B8E"/>
    <w:rsid w:val="00BE1060"/>
    <w:rsid w:val="00BE1603"/>
    <w:rsid w:val="00BE1926"/>
    <w:rsid w:val="00BE2256"/>
    <w:rsid w:val="00BE2F78"/>
    <w:rsid w:val="00BE2FDD"/>
    <w:rsid w:val="00BE3430"/>
    <w:rsid w:val="00BE38C7"/>
    <w:rsid w:val="00BE3996"/>
    <w:rsid w:val="00BE45EE"/>
    <w:rsid w:val="00BE4943"/>
    <w:rsid w:val="00BE5CA6"/>
    <w:rsid w:val="00BE65EE"/>
    <w:rsid w:val="00BE6673"/>
    <w:rsid w:val="00BE70F4"/>
    <w:rsid w:val="00BE7257"/>
    <w:rsid w:val="00BE7282"/>
    <w:rsid w:val="00BE7781"/>
    <w:rsid w:val="00BF19BC"/>
    <w:rsid w:val="00BF1D58"/>
    <w:rsid w:val="00BF1E45"/>
    <w:rsid w:val="00BF1F73"/>
    <w:rsid w:val="00BF2052"/>
    <w:rsid w:val="00BF2558"/>
    <w:rsid w:val="00BF278B"/>
    <w:rsid w:val="00BF3127"/>
    <w:rsid w:val="00BF3212"/>
    <w:rsid w:val="00BF40BB"/>
    <w:rsid w:val="00BF41E8"/>
    <w:rsid w:val="00BF42EA"/>
    <w:rsid w:val="00BF42EB"/>
    <w:rsid w:val="00BF478F"/>
    <w:rsid w:val="00BF4AF9"/>
    <w:rsid w:val="00BF54DE"/>
    <w:rsid w:val="00BF551C"/>
    <w:rsid w:val="00BF5B3B"/>
    <w:rsid w:val="00BF6022"/>
    <w:rsid w:val="00BF6235"/>
    <w:rsid w:val="00BF6A4C"/>
    <w:rsid w:val="00BF6DA0"/>
    <w:rsid w:val="00BF7675"/>
    <w:rsid w:val="00BF7FE8"/>
    <w:rsid w:val="00C0162F"/>
    <w:rsid w:val="00C018E4"/>
    <w:rsid w:val="00C01B3F"/>
    <w:rsid w:val="00C01DAE"/>
    <w:rsid w:val="00C025BA"/>
    <w:rsid w:val="00C02ACB"/>
    <w:rsid w:val="00C02E00"/>
    <w:rsid w:val="00C02E3C"/>
    <w:rsid w:val="00C03338"/>
    <w:rsid w:val="00C04810"/>
    <w:rsid w:val="00C04C1C"/>
    <w:rsid w:val="00C04C7A"/>
    <w:rsid w:val="00C04F27"/>
    <w:rsid w:val="00C050EA"/>
    <w:rsid w:val="00C05256"/>
    <w:rsid w:val="00C0599D"/>
    <w:rsid w:val="00C05AC9"/>
    <w:rsid w:val="00C061D6"/>
    <w:rsid w:val="00C0635D"/>
    <w:rsid w:val="00C0642E"/>
    <w:rsid w:val="00C1027E"/>
    <w:rsid w:val="00C1073E"/>
    <w:rsid w:val="00C10879"/>
    <w:rsid w:val="00C10CF5"/>
    <w:rsid w:val="00C11174"/>
    <w:rsid w:val="00C1128D"/>
    <w:rsid w:val="00C112D5"/>
    <w:rsid w:val="00C11C3D"/>
    <w:rsid w:val="00C11F28"/>
    <w:rsid w:val="00C11F5B"/>
    <w:rsid w:val="00C1274E"/>
    <w:rsid w:val="00C136BB"/>
    <w:rsid w:val="00C14959"/>
    <w:rsid w:val="00C152F4"/>
    <w:rsid w:val="00C15595"/>
    <w:rsid w:val="00C16D93"/>
    <w:rsid w:val="00C17CD2"/>
    <w:rsid w:val="00C20556"/>
    <w:rsid w:val="00C21224"/>
    <w:rsid w:val="00C22CAE"/>
    <w:rsid w:val="00C246FC"/>
    <w:rsid w:val="00C24E46"/>
    <w:rsid w:val="00C251C3"/>
    <w:rsid w:val="00C26485"/>
    <w:rsid w:val="00C2670B"/>
    <w:rsid w:val="00C2677D"/>
    <w:rsid w:val="00C26E64"/>
    <w:rsid w:val="00C26E6E"/>
    <w:rsid w:val="00C274AC"/>
    <w:rsid w:val="00C30CD7"/>
    <w:rsid w:val="00C31A7D"/>
    <w:rsid w:val="00C33911"/>
    <w:rsid w:val="00C3398D"/>
    <w:rsid w:val="00C348E9"/>
    <w:rsid w:val="00C35AF9"/>
    <w:rsid w:val="00C36312"/>
    <w:rsid w:val="00C367ED"/>
    <w:rsid w:val="00C36AEC"/>
    <w:rsid w:val="00C36C24"/>
    <w:rsid w:val="00C37350"/>
    <w:rsid w:val="00C374CB"/>
    <w:rsid w:val="00C379B2"/>
    <w:rsid w:val="00C37A78"/>
    <w:rsid w:val="00C37AE1"/>
    <w:rsid w:val="00C37B3B"/>
    <w:rsid w:val="00C37C0E"/>
    <w:rsid w:val="00C40209"/>
    <w:rsid w:val="00C41CBC"/>
    <w:rsid w:val="00C42510"/>
    <w:rsid w:val="00C42994"/>
    <w:rsid w:val="00C434D1"/>
    <w:rsid w:val="00C44051"/>
    <w:rsid w:val="00C4459F"/>
    <w:rsid w:val="00C4494D"/>
    <w:rsid w:val="00C44A3D"/>
    <w:rsid w:val="00C45786"/>
    <w:rsid w:val="00C45D70"/>
    <w:rsid w:val="00C461D8"/>
    <w:rsid w:val="00C462E9"/>
    <w:rsid w:val="00C4659A"/>
    <w:rsid w:val="00C470A5"/>
    <w:rsid w:val="00C474C4"/>
    <w:rsid w:val="00C47EC5"/>
    <w:rsid w:val="00C50395"/>
    <w:rsid w:val="00C5146E"/>
    <w:rsid w:val="00C51666"/>
    <w:rsid w:val="00C51DA5"/>
    <w:rsid w:val="00C525DE"/>
    <w:rsid w:val="00C528E2"/>
    <w:rsid w:val="00C52F83"/>
    <w:rsid w:val="00C53289"/>
    <w:rsid w:val="00C534E3"/>
    <w:rsid w:val="00C53959"/>
    <w:rsid w:val="00C53F62"/>
    <w:rsid w:val="00C54638"/>
    <w:rsid w:val="00C546AA"/>
    <w:rsid w:val="00C54CCF"/>
    <w:rsid w:val="00C55296"/>
    <w:rsid w:val="00C554BD"/>
    <w:rsid w:val="00C558AC"/>
    <w:rsid w:val="00C560E3"/>
    <w:rsid w:val="00C561A1"/>
    <w:rsid w:val="00C56381"/>
    <w:rsid w:val="00C564D4"/>
    <w:rsid w:val="00C56BF3"/>
    <w:rsid w:val="00C56D16"/>
    <w:rsid w:val="00C6080C"/>
    <w:rsid w:val="00C60E45"/>
    <w:rsid w:val="00C61799"/>
    <w:rsid w:val="00C61B35"/>
    <w:rsid w:val="00C61E91"/>
    <w:rsid w:val="00C6229C"/>
    <w:rsid w:val="00C62746"/>
    <w:rsid w:val="00C64118"/>
    <w:rsid w:val="00C64557"/>
    <w:rsid w:val="00C64C1C"/>
    <w:rsid w:val="00C6539B"/>
    <w:rsid w:val="00C66C8A"/>
    <w:rsid w:val="00C70373"/>
    <w:rsid w:val="00C70ABD"/>
    <w:rsid w:val="00C70D95"/>
    <w:rsid w:val="00C70DF5"/>
    <w:rsid w:val="00C74617"/>
    <w:rsid w:val="00C768C8"/>
    <w:rsid w:val="00C76D29"/>
    <w:rsid w:val="00C7709E"/>
    <w:rsid w:val="00C77A22"/>
    <w:rsid w:val="00C808FC"/>
    <w:rsid w:val="00C80EB0"/>
    <w:rsid w:val="00C81C58"/>
    <w:rsid w:val="00C81D1F"/>
    <w:rsid w:val="00C82450"/>
    <w:rsid w:val="00C83B32"/>
    <w:rsid w:val="00C83BFA"/>
    <w:rsid w:val="00C83F9B"/>
    <w:rsid w:val="00C847C1"/>
    <w:rsid w:val="00C84E27"/>
    <w:rsid w:val="00C863DC"/>
    <w:rsid w:val="00C864C6"/>
    <w:rsid w:val="00C86860"/>
    <w:rsid w:val="00C8694C"/>
    <w:rsid w:val="00C87064"/>
    <w:rsid w:val="00C87701"/>
    <w:rsid w:val="00C90169"/>
    <w:rsid w:val="00C9027B"/>
    <w:rsid w:val="00C90487"/>
    <w:rsid w:val="00C912CD"/>
    <w:rsid w:val="00C915D2"/>
    <w:rsid w:val="00C92404"/>
    <w:rsid w:val="00C928B3"/>
    <w:rsid w:val="00C92989"/>
    <w:rsid w:val="00C92BC0"/>
    <w:rsid w:val="00C92F15"/>
    <w:rsid w:val="00C9313D"/>
    <w:rsid w:val="00C94130"/>
    <w:rsid w:val="00C94899"/>
    <w:rsid w:val="00C95BA2"/>
    <w:rsid w:val="00C95CDE"/>
    <w:rsid w:val="00C95ED7"/>
    <w:rsid w:val="00C9703D"/>
    <w:rsid w:val="00CA0417"/>
    <w:rsid w:val="00CA0535"/>
    <w:rsid w:val="00CA0F7E"/>
    <w:rsid w:val="00CA0FBD"/>
    <w:rsid w:val="00CA1787"/>
    <w:rsid w:val="00CA22AE"/>
    <w:rsid w:val="00CA288E"/>
    <w:rsid w:val="00CA3305"/>
    <w:rsid w:val="00CA40F7"/>
    <w:rsid w:val="00CA43A9"/>
    <w:rsid w:val="00CA4465"/>
    <w:rsid w:val="00CA5796"/>
    <w:rsid w:val="00CA5D45"/>
    <w:rsid w:val="00CA61FA"/>
    <w:rsid w:val="00CA6741"/>
    <w:rsid w:val="00CA6BAF"/>
    <w:rsid w:val="00CA7BB4"/>
    <w:rsid w:val="00CA7C5A"/>
    <w:rsid w:val="00CA7C6E"/>
    <w:rsid w:val="00CB0275"/>
    <w:rsid w:val="00CB19ED"/>
    <w:rsid w:val="00CB29F8"/>
    <w:rsid w:val="00CB2BDE"/>
    <w:rsid w:val="00CB2C10"/>
    <w:rsid w:val="00CB2FBC"/>
    <w:rsid w:val="00CB322D"/>
    <w:rsid w:val="00CB3EFF"/>
    <w:rsid w:val="00CB5A25"/>
    <w:rsid w:val="00CB637B"/>
    <w:rsid w:val="00CB6469"/>
    <w:rsid w:val="00CB736C"/>
    <w:rsid w:val="00CB7E54"/>
    <w:rsid w:val="00CC0162"/>
    <w:rsid w:val="00CC057E"/>
    <w:rsid w:val="00CC05A6"/>
    <w:rsid w:val="00CC064C"/>
    <w:rsid w:val="00CC0C00"/>
    <w:rsid w:val="00CC120B"/>
    <w:rsid w:val="00CC15F1"/>
    <w:rsid w:val="00CC1865"/>
    <w:rsid w:val="00CC2331"/>
    <w:rsid w:val="00CC2BC1"/>
    <w:rsid w:val="00CC3536"/>
    <w:rsid w:val="00CC357A"/>
    <w:rsid w:val="00CC4451"/>
    <w:rsid w:val="00CC4BFE"/>
    <w:rsid w:val="00CC4C0B"/>
    <w:rsid w:val="00CC4FA5"/>
    <w:rsid w:val="00CC514B"/>
    <w:rsid w:val="00CC59E3"/>
    <w:rsid w:val="00CC607E"/>
    <w:rsid w:val="00CC61B2"/>
    <w:rsid w:val="00CC63DB"/>
    <w:rsid w:val="00CC6434"/>
    <w:rsid w:val="00CC6689"/>
    <w:rsid w:val="00CC6AA8"/>
    <w:rsid w:val="00CC7636"/>
    <w:rsid w:val="00CC7A60"/>
    <w:rsid w:val="00CD002F"/>
    <w:rsid w:val="00CD0DFF"/>
    <w:rsid w:val="00CD14BB"/>
    <w:rsid w:val="00CD15E1"/>
    <w:rsid w:val="00CD1B9E"/>
    <w:rsid w:val="00CD1F36"/>
    <w:rsid w:val="00CD2163"/>
    <w:rsid w:val="00CD23E2"/>
    <w:rsid w:val="00CD2DD3"/>
    <w:rsid w:val="00CD35F3"/>
    <w:rsid w:val="00CD3F35"/>
    <w:rsid w:val="00CD3FEA"/>
    <w:rsid w:val="00CD409A"/>
    <w:rsid w:val="00CD4C81"/>
    <w:rsid w:val="00CD56F8"/>
    <w:rsid w:val="00CD599F"/>
    <w:rsid w:val="00CD7733"/>
    <w:rsid w:val="00CE0481"/>
    <w:rsid w:val="00CE0EAF"/>
    <w:rsid w:val="00CE107A"/>
    <w:rsid w:val="00CE161A"/>
    <w:rsid w:val="00CE2880"/>
    <w:rsid w:val="00CE2AD3"/>
    <w:rsid w:val="00CE34D8"/>
    <w:rsid w:val="00CE38E1"/>
    <w:rsid w:val="00CE39B0"/>
    <w:rsid w:val="00CE44A6"/>
    <w:rsid w:val="00CE5653"/>
    <w:rsid w:val="00CE6D3C"/>
    <w:rsid w:val="00CE75A2"/>
    <w:rsid w:val="00CF1375"/>
    <w:rsid w:val="00CF21AD"/>
    <w:rsid w:val="00CF2BA6"/>
    <w:rsid w:val="00CF2D56"/>
    <w:rsid w:val="00CF3038"/>
    <w:rsid w:val="00CF35BC"/>
    <w:rsid w:val="00CF417C"/>
    <w:rsid w:val="00CF4F03"/>
    <w:rsid w:val="00CF5045"/>
    <w:rsid w:val="00CF511B"/>
    <w:rsid w:val="00CF5341"/>
    <w:rsid w:val="00CF5DB5"/>
    <w:rsid w:val="00CF6613"/>
    <w:rsid w:val="00CF6813"/>
    <w:rsid w:val="00CF6EAA"/>
    <w:rsid w:val="00CF71AF"/>
    <w:rsid w:val="00CF7D25"/>
    <w:rsid w:val="00D0076B"/>
    <w:rsid w:val="00D01CDE"/>
    <w:rsid w:val="00D0220A"/>
    <w:rsid w:val="00D02842"/>
    <w:rsid w:val="00D02CC6"/>
    <w:rsid w:val="00D02E32"/>
    <w:rsid w:val="00D032EA"/>
    <w:rsid w:val="00D037DD"/>
    <w:rsid w:val="00D041B2"/>
    <w:rsid w:val="00D04415"/>
    <w:rsid w:val="00D052B0"/>
    <w:rsid w:val="00D05A89"/>
    <w:rsid w:val="00D06CB2"/>
    <w:rsid w:val="00D06DB6"/>
    <w:rsid w:val="00D06F3A"/>
    <w:rsid w:val="00D0721A"/>
    <w:rsid w:val="00D07C07"/>
    <w:rsid w:val="00D07C86"/>
    <w:rsid w:val="00D10784"/>
    <w:rsid w:val="00D109BA"/>
    <w:rsid w:val="00D12225"/>
    <w:rsid w:val="00D125EB"/>
    <w:rsid w:val="00D12681"/>
    <w:rsid w:val="00D13CA0"/>
    <w:rsid w:val="00D13DFE"/>
    <w:rsid w:val="00D14151"/>
    <w:rsid w:val="00D14575"/>
    <w:rsid w:val="00D15191"/>
    <w:rsid w:val="00D15A5F"/>
    <w:rsid w:val="00D15F95"/>
    <w:rsid w:val="00D170A2"/>
    <w:rsid w:val="00D17A79"/>
    <w:rsid w:val="00D17C4A"/>
    <w:rsid w:val="00D20045"/>
    <w:rsid w:val="00D2044F"/>
    <w:rsid w:val="00D20526"/>
    <w:rsid w:val="00D2088E"/>
    <w:rsid w:val="00D20B1D"/>
    <w:rsid w:val="00D20D72"/>
    <w:rsid w:val="00D20DEB"/>
    <w:rsid w:val="00D2188C"/>
    <w:rsid w:val="00D224BB"/>
    <w:rsid w:val="00D2278A"/>
    <w:rsid w:val="00D24101"/>
    <w:rsid w:val="00D24270"/>
    <w:rsid w:val="00D24753"/>
    <w:rsid w:val="00D2576A"/>
    <w:rsid w:val="00D26254"/>
    <w:rsid w:val="00D269CB"/>
    <w:rsid w:val="00D26BBD"/>
    <w:rsid w:val="00D26C2B"/>
    <w:rsid w:val="00D279EA"/>
    <w:rsid w:val="00D3032C"/>
    <w:rsid w:val="00D30886"/>
    <w:rsid w:val="00D33214"/>
    <w:rsid w:val="00D34AC1"/>
    <w:rsid w:val="00D34F8C"/>
    <w:rsid w:val="00D35334"/>
    <w:rsid w:val="00D35D4B"/>
    <w:rsid w:val="00D368EA"/>
    <w:rsid w:val="00D37B93"/>
    <w:rsid w:val="00D37CE9"/>
    <w:rsid w:val="00D37D5C"/>
    <w:rsid w:val="00D4071B"/>
    <w:rsid w:val="00D41ACF"/>
    <w:rsid w:val="00D41D9B"/>
    <w:rsid w:val="00D41EDD"/>
    <w:rsid w:val="00D43591"/>
    <w:rsid w:val="00D449F4"/>
    <w:rsid w:val="00D44EE1"/>
    <w:rsid w:val="00D4671D"/>
    <w:rsid w:val="00D475CC"/>
    <w:rsid w:val="00D47DCC"/>
    <w:rsid w:val="00D50E2E"/>
    <w:rsid w:val="00D51094"/>
    <w:rsid w:val="00D51BCA"/>
    <w:rsid w:val="00D51D00"/>
    <w:rsid w:val="00D52BE6"/>
    <w:rsid w:val="00D52F65"/>
    <w:rsid w:val="00D53F48"/>
    <w:rsid w:val="00D5412E"/>
    <w:rsid w:val="00D55450"/>
    <w:rsid w:val="00D55698"/>
    <w:rsid w:val="00D557D1"/>
    <w:rsid w:val="00D55A28"/>
    <w:rsid w:val="00D56C1A"/>
    <w:rsid w:val="00D572F7"/>
    <w:rsid w:val="00D57D44"/>
    <w:rsid w:val="00D57DEA"/>
    <w:rsid w:val="00D6014E"/>
    <w:rsid w:val="00D6045A"/>
    <w:rsid w:val="00D606EB"/>
    <w:rsid w:val="00D608D2"/>
    <w:rsid w:val="00D60D9A"/>
    <w:rsid w:val="00D615DF"/>
    <w:rsid w:val="00D61C48"/>
    <w:rsid w:val="00D6254E"/>
    <w:rsid w:val="00D62C42"/>
    <w:rsid w:val="00D63B54"/>
    <w:rsid w:val="00D6454D"/>
    <w:rsid w:val="00D64647"/>
    <w:rsid w:val="00D64E18"/>
    <w:rsid w:val="00D65605"/>
    <w:rsid w:val="00D65D15"/>
    <w:rsid w:val="00D66FF4"/>
    <w:rsid w:val="00D67274"/>
    <w:rsid w:val="00D6751E"/>
    <w:rsid w:val="00D67A86"/>
    <w:rsid w:val="00D67BA5"/>
    <w:rsid w:val="00D7005F"/>
    <w:rsid w:val="00D701E2"/>
    <w:rsid w:val="00D7054E"/>
    <w:rsid w:val="00D7064E"/>
    <w:rsid w:val="00D70765"/>
    <w:rsid w:val="00D70AA0"/>
    <w:rsid w:val="00D70CEB"/>
    <w:rsid w:val="00D711D0"/>
    <w:rsid w:val="00D7180B"/>
    <w:rsid w:val="00D7262D"/>
    <w:rsid w:val="00D72859"/>
    <w:rsid w:val="00D72908"/>
    <w:rsid w:val="00D730C8"/>
    <w:rsid w:val="00D73232"/>
    <w:rsid w:val="00D73733"/>
    <w:rsid w:val="00D73900"/>
    <w:rsid w:val="00D74447"/>
    <w:rsid w:val="00D744D9"/>
    <w:rsid w:val="00D751F0"/>
    <w:rsid w:val="00D7526D"/>
    <w:rsid w:val="00D754B1"/>
    <w:rsid w:val="00D75664"/>
    <w:rsid w:val="00D757DB"/>
    <w:rsid w:val="00D75CA1"/>
    <w:rsid w:val="00D75F00"/>
    <w:rsid w:val="00D762FC"/>
    <w:rsid w:val="00D7644E"/>
    <w:rsid w:val="00D76910"/>
    <w:rsid w:val="00D76FB1"/>
    <w:rsid w:val="00D800B7"/>
    <w:rsid w:val="00D80E88"/>
    <w:rsid w:val="00D812E6"/>
    <w:rsid w:val="00D81EA4"/>
    <w:rsid w:val="00D820F9"/>
    <w:rsid w:val="00D826D7"/>
    <w:rsid w:val="00D82A31"/>
    <w:rsid w:val="00D83542"/>
    <w:rsid w:val="00D83AC9"/>
    <w:rsid w:val="00D859DF"/>
    <w:rsid w:val="00D85A05"/>
    <w:rsid w:val="00D85EF6"/>
    <w:rsid w:val="00D8658E"/>
    <w:rsid w:val="00D87A39"/>
    <w:rsid w:val="00D90647"/>
    <w:rsid w:val="00D90D9B"/>
    <w:rsid w:val="00D90E1D"/>
    <w:rsid w:val="00D9125E"/>
    <w:rsid w:val="00D91788"/>
    <w:rsid w:val="00D91DEE"/>
    <w:rsid w:val="00D92194"/>
    <w:rsid w:val="00D92662"/>
    <w:rsid w:val="00D926EA"/>
    <w:rsid w:val="00D929B5"/>
    <w:rsid w:val="00D92AC1"/>
    <w:rsid w:val="00D9361B"/>
    <w:rsid w:val="00D93659"/>
    <w:rsid w:val="00D93D5F"/>
    <w:rsid w:val="00D93F7A"/>
    <w:rsid w:val="00D94175"/>
    <w:rsid w:val="00D941A9"/>
    <w:rsid w:val="00D9449E"/>
    <w:rsid w:val="00D95024"/>
    <w:rsid w:val="00D950BD"/>
    <w:rsid w:val="00D95402"/>
    <w:rsid w:val="00D959DF"/>
    <w:rsid w:val="00D95B48"/>
    <w:rsid w:val="00D9600C"/>
    <w:rsid w:val="00D961EC"/>
    <w:rsid w:val="00D96B9F"/>
    <w:rsid w:val="00D96BB2"/>
    <w:rsid w:val="00DA0870"/>
    <w:rsid w:val="00DA0B29"/>
    <w:rsid w:val="00DA10AA"/>
    <w:rsid w:val="00DA159E"/>
    <w:rsid w:val="00DA2E13"/>
    <w:rsid w:val="00DA2E61"/>
    <w:rsid w:val="00DA30EC"/>
    <w:rsid w:val="00DA378B"/>
    <w:rsid w:val="00DA3CF0"/>
    <w:rsid w:val="00DA56E4"/>
    <w:rsid w:val="00DA6BB6"/>
    <w:rsid w:val="00DB078C"/>
    <w:rsid w:val="00DB0DB2"/>
    <w:rsid w:val="00DB14B0"/>
    <w:rsid w:val="00DB1A99"/>
    <w:rsid w:val="00DB1E1A"/>
    <w:rsid w:val="00DB353D"/>
    <w:rsid w:val="00DB36D0"/>
    <w:rsid w:val="00DB61D3"/>
    <w:rsid w:val="00DB68B9"/>
    <w:rsid w:val="00DB6CA7"/>
    <w:rsid w:val="00DB7147"/>
    <w:rsid w:val="00DB71C7"/>
    <w:rsid w:val="00DB798A"/>
    <w:rsid w:val="00DB79F4"/>
    <w:rsid w:val="00DB7A4F"/>
    <w:rsid w:val="00DB7EEA"/>
    <w:rsid w:val="00DB7F73"/>
    <w:rsid w:val="00DC01F9"/>
    <w:rsid w:val="00DC041E"/>
    <w:rsid w:val="00DC0F6F"/>
    <w:rsid w:val="00DC14B6"/>
    <w:rsid w:val="00DC1D82"/>
    <w:rsid w:val="00DC3271"/>
    <w:rsid w:val="00DC5231"/>
    <w:rsid w:val="00DC5F3F"/>
    <w:rsid w:val="00DC5FCB"/>
    <w:rsid w:val="00DC5FDE"/>
    <w:rsid w:val="00DC65AA"/>
    <w:rsid w:val="00DC6BA9"/>
    <w:rsid w:val="00DC786B"/>
    <w:rsid w:val="00DC7921"/>
    <w:rsid w:val="00DD0549"/>
    <w:rsid w:val="00DD0733"/>
    <w:rsid w:val="00DD081D"/>
    <w:rsid w:val="00DD2A89"/>
    <w:rsid w:val="00DD2BED"/>
    <w:rsid w:val="00DD49CF"/>
    <w:rsid w:val="00DD5435"/>
    <w:rsid w:val="00DD5B5F"/>
    <w:rsid w:val="00DD5EAC"/>
    <w:rsid w:val="00DD6DCF"/>
    <w:rsid w:val="00DD7E65"/>
    <w:rsid w:val="00DE0DF0"/>
    <w:rsid w:val="00DE2E14"/>
    <w:rsid w:val="00DE2FFC"/>
    <w:rsid w:val="00DE55D0"/>
    <w:rsid w:val="00DE5ADB"/>
    <w:rsid w:val="00DE6848"/>
    <w:rsid w:val="00DE6FE6"/>
    <w:rsid w:val="00DF01E0"/>
    <w:rsid w:val="00DF11A2"/>
    <w:rsid w:val="00DF24CF"/>
    <w:rsid w:val="00DF2725"/>
    <w:rsid w:val="00DF2FA2"/>
    <w:rsid w:val="00DF3337"/>
    <w:rsid w:val="00DF3717"/>
    <w:rsid w:val="00DF3760"/>
    <w:rsid w:val="00DF47F1"/>
    <w:rsid w:val="00DF5328"/>
    <w:rsid w:val="00DF5605"/>
    <w:rsid w:val="00DF6532"/>
    <w:rsid w:val="00DF6667"/>
    <w:rsid w:val="00DF6F23"/>
    <w:rsid w:val="00E004D1"/>
    <w:rsid w:val="00E009A5"/>
    <w:rsid w:val="00E00BCE"/>
    <w:rsid w:val="00E00D62"/>
    <w:rsid w:val="00E00ECD"/>
    <w:rsid w:val="00E0118C"/>
    <w:rsid w:val="00E01320"/>
    <w:rsid w:val="00E014ED"/>
    <w:rsid w:val="00E01FEC"/>
    <w:rsid w:val="00E020AA"/>
    <w:rsid w:val="00E02611"/>
    <w:rsid w:val="00E02731"/>
    <w:rsid w:val="00E03507"/>
    <w:rsid w:val="00E0404B"/>
    <w:rsid w:val="00E04669"/>
    <w:rsid w:val="00E04CB0"/>
    <w:rsid w:val="00E051AE"/>
    <w:rsid w:val="00E05359"/>
    <w:rsid w:val="00E059D2"/>
    <w:rsid w:val="00E05C55"/>
    <w:rsid w:val="00E06823"/>
    <w:rsid w:val="00E06A40"/>
    <w:rsid w:val="00E06CAC"/>
    <w:rsid w:val="00E07168"/>
    <w:rsid w:val="00E11787"/>
    <w:rsid w:val="00E11A36"/>
    <w:rsid w:val="00E120E2"/>
    <w:rsid w:val="00E12256"/>
    <w:rsid w:val="00E13D6A"/>
    <w:rsid w:val="00E14B76"/>
    <w:rsid w:val="00E14F64"/>
    <w:rsid w:val="00E15066"/>
    <w:rsid w:val="00E15ACD"/>
    <w:rsid w:val="00E16886"/>
    <w:rsid w:val="00E16B5B"/>
    <w:rsid w:val="00E17BFA"/>
    <w:rsid w:val="00E20329"/>
    <w:rsid w:val="00E20476"/>
    <w:rsid w:val="00E216F5"/>
    <w:rsid w:val="00E21A5D"/>
    <w:rsid w:val="00E21ADB"/>
    <w:rsid w:val="00E21BD8"/>
    <w:rsid w:val="00E225AE"/>
    <w:rsid w:val="00E22EE4"/>
    <w:rsid w:val="00E23A80"/>
    <w:rsid w:val="00E241CD"/>
    <w:rsid w:val="00E24558"/>
    <w:rsid w:val="00E24D81"/>
    <w:rsid w:val="00E25A77"/>
    <w:rsid w:val="00E27569"/>
    <w:rsid w:val="00E275F0"/>
    <w:rsid w:val="00E276DA"/>
    <w:rsid w:val="00E27F73"/>
    <w:rsid w:val="00E30B49"/>
    <w:rsid w:val="00E31037"/>
    <w:rsid w:val="00E310EA"/>
    <w:rsid w:val="00E31149"/>
    <w:rsid w:val="00E31E80"/>
    <w:rsid w:val="00E33E53"/>
    <w:rsid w:val="00E33F5C"/>
    <w:rsid w:val="00E3433B"/>
    <w:rsid w:val="00E402A4"/>
    <w:rsid w:val="00E40F6C"/>
    <w:rsid w:val="00E4144C"/>
    <w:rsid w:val="00E4163B"/>
    <w:rsid w:val="00E41ED5"/>
    <w:rsid w:val="00E42593"/>
    <w:rsid w:val="00E42ED0"/>
    <w:rsid w:val="00E43311"/>
    <w:rsid w:val="00E437C6"/>
    <w:rsid w:val="00E43AA7"/>
    <w:rsid w:val="00E43C31"/>
    <w:rsid w:val="00E43D84"/>
    <w:rsid w:val="00E4531A"/>
    <w:rsid w:val="00E45428"/>
    <w:rsid w:val="00E46117"/>
    <w:rsid w:val="00E4650B"/>
    <w:rsid w:val="00E47103"/>
    <w:rsid w:val="00E50028"/>
    <w:rsid w:val="00E5005D"/>
    <w:rsid w:val="00E509D4"/>
    <w:rsid w:val="00E51017"/>
    <w:rsid w:val="00E51A86"/>
    <w:rsid w:val="00E51FB3"/>
    <w:rsid w:val="00E52184"/>
    <w:rsid w:val="00E521B0"/>
    <w:rsid w:val="00E5287E"/>
    <w:rsid w:val="00E52AB3"/>
    <w:rsid w:val="00E52AE8"/>
    <w:rsid w:val="00E52FA0"/>
    <w:rsid w:val="00E53998"/>
    <w:rsid w:val="00E53B5D"/>
    <w:rsid w:val="00E53DCD"/>
    <w:rsid w:val="00E54D39"/>
    <w:rsid w:val="00E5526D"/>
    <w:rsid w:val="00E55414"/>
    <w:rsid w:val="00E55A54"/>
    <w:rsid w:val="00E55BF1"/>
    <w:rsid w:val="00E56183"/>
    <w:rsid w:val="00E56192"/>
    <w:rsid w:val="00E57300"/>
    <w:rsid w:val="00E579E2"/>
    <w:rsid w:val="00E57A15"/>
    <w:rsid w:val="00E62917"/>
    <w:rsid w:val="00E62920"/>
    <w:rsid w:val="00E630E3"/>
    <w:rsid w:val="00E63F73"/>
    <w:rsid w:val="00E64104"/>
    <w:rsid w:val="00E6421A"/>
    <w:rsid w:val="00E6457F"/>
    <w:rsid w:val="00E653CF"/>
    <w:rsid w:val="00E6718B"/>
    <w:rsid w:val="00E677FA"/>
    <w:rsid w:val="00E715BC"/>
    <w:rsid w:val="00E718C4"/>
    <w:rsid w:val="00E71FD2"/>
    <w:rsid w:val="00E7238C"/>
    <w:rsid w:val="00E72A89"/>
    <w:rsid w:val="00E7381C"/>
    <w:rsid w:val="00E740CA"/>
    <w:rsid w:val="00E7456F"/>
    <w:rsid w:val="00E747C3"/>
    <w:rsid w:val="00E750EF"/>
    <w:rsid w:val="00E7594C"/>
    <w:rsid w:val="00E766A8"/>
    <w:rsid w:val="00E76701"/>
    <w:rsid w:val="00E776EB"/>
    <w:rsid w:val="00E77F0E"/>
    <w:rsid w:val="00E80833"/>
    <w:rsid w:val="00E80A97"/>
    <w:rsid w:val="00E82287"/>
    <w:rsid w:val="00E828A1"/>
    <w:rsid w:val="00E82D3D"/>
    <w:rsid w:val="00E830A2"/>
    <w:rsid w:val="00E838DE"/>
    <w:rsid w:val="00E839B4"/>
    <w:rsid w:val="00E84E8A"/>
    <w:rsid w:val="00E85867"/>
    <w:rsid w:val="00E85934"/>
    <w:rsid w:val="00E859E1"/>
    <w:rsid w:val="00E865B6"/>
    <w:rsid w:val="00E86AA5"/>
    <w:rsid w:val="00E87DAE"/>
    <w:rsid w:val="00E902D3"/>
    <w:rsid w:val="00E91132"/>
    <w:rsid w:val="00E913C4"/>
    <w:rsid w:val="00E91749"/>
    <w:rsid w:val="00E931C4"/>
    <w:rsid w:val="00E932DB"/>
    <w:rsid w:val="00E93557"/>
    <w:rsid w:val="00E935F8"/>
    <w:rsid w:val="00E9416F"/>
    <w:rsid w:val="00E94528"/>
    <w:rsid w:val="00E962EE"/>
    <w:rsid w:val="00E96EF7"/>
    <w:rsid w:val="00E9749C"/>
    <w:rsid w:val="00E97E5D"/>
    <w:rsid w:val="00EA022E"/>
    <w:rsid w:val="00EA15FA"/>
    <w:rsid w:val="00EA198E"/>
    <w:rsid w:val="00EA2147"/>
    <w:rsid w:val="00EA2E82"/>
    <w:rsid w:val="00EA3127"/>
    <w:rsid w:val="00EA36B5"/>
    <w:rsid w:val="00EA3E41"/>
    <w:rsid w:val="00EA3E52"/>
    <w:rsid w:val="00EA4899"/>
    <w:rsid w:val="00EA4A29"/>
    <w:rsid w:val="00EA5283"/>
    <w:rsid w:val="00EB1049"/>
    <w:rsid w:val="00EB138D"/>
    <w:rsid w:val="00EB13B1"/>
    <w:rsid w:val="00EB17B6"/>
    <w:rsid w:val="00EB17D6"/>
    <w:rsid w:val="00EB1971"/>
    <w:rsid w:val="00EB19F9"/>
    <w:rsid w:val="00EB243B"/>
    <w:rsid w:val="00EB2BA6"/>
    <w:rsid w:val="00EB2F80"/>
    <w:rsid w:val="00EB350C"/>
    <w:rsid w:val="00EB3698"/>
    <w:rsid w:val="00EB3B99"/>
    <w:rsid w:val="00EB3C82"/>
    <w:rsid w:val="00EB3EDF"/>
    <w:rsid w:val="00EB4466"/>
    <w:rsid w:val="00EB4570"/>
    <w:rsid w:val="00EB4602"/>
    <w:rsid w:val="00EB4A90"/>
    <w:rsid w:val="00EB4B6B"/>
    <w:rsid w:val="00EB4C37"/>
    <w:rsid w:val="00EB526B"/>
    <w:rsid w:val="00EB63B6"/>
    <w:rsid w:val="00EB68D2"/>
    <w:rsid w:val="00EB7564"/>
    <w:rsid w:val="00EC11A2"/>
    <w:rsid w:val="00EC1621"/>
    <w:rsid w:val="00EC1841"/>
    <w:rsid w:val="00EC21E3"/>
    <w:rsid w:val="00EC2663"/>
    <w:rsid w:val="00EC279B"/>
    <w:rsid w:val="00EC27BD"/>
    <w:rsid w:val="00EC37AF"/>
    <w:rsid w:val="00EC3BED"/>
    <w:rsid w:val="00EC4866"/>
    <w:rsid w:val="00EC4AA7"/>
    <w:rsid w:val="00EC4E3A"/>
    <w:rsid w:val="00EC5216"/>
    <w:rsid w:val="00EC598A"/>
    <w:rsid w:val="00EC61E9"/>
    <w:rsid w:val="00EC672D"/>
    <w:rsid w:val="00EC6B9E"/>
    <w:rsid w:val="00EC6FAB"/>
    <w:rsid w:val="00EC7BD1"/>
    <w:rsid w:val="00EC7CD9"/>
    <w:rsid w:val="00ED07E0"/>
    <w:rsid w:val="00ED0B09"/>
    <w:rsid w:val="00ED1871"/>
    <w:rsid w:val="00ED1FBD"/>
    <w:rsid w:val="00ED2328"/>
    <w:rsid w:val="00ED2622"/>
    <w:rsid w:val="00ED2A88"/>
    <w:rsid w:val="00ED2BAE"/>
    <w:rsid w:val="00ED4DB2"/>
    <w:rsid w:val="00ED5FBC"/>
    <w:rsid w:val="00ED607C"/>
    <w:rsid w:val="00ED68CA"/>
    <w:rsid w:val="00ED6CDC"/>
    <w:rsid w:val="00ED751E"/>
    <w:rsid w:val="00ED7FEC"/>
    <w:rsid w:val="00EE033F"/>
    <w:rsid w:val="00EE041F"/>
    <w:rsid w:val="00EE0D3A"/>
    <w:rsid w:val="00EE1131"/>
    <w:rsid w:val="00EE2D66"/>
    <w:rsid w:val="00EE2E71"/>
    <w:rsid w:val="00EE33D1"/>
    <w:rsid w:val="00EE378D"/>
    <w:rsid w:val="00EE39CD"/>
    <w:rsid w:val="00EE4B16"/>
    <w:rsid w:val="00EE5123"/>
    <w:rsid w:val="00EE516A"/>
    <w:rsid w:val="00EE544D"/>
    <w:rsid w:val="00EE54F5"/>
    <w:rsid w:val="00EE59E4"/>
    <w:rsid w:val="00EE5A4C"/>
    <w:rsid w:val="00EE5AF4"/>
    <w:rsid w:val="00EE5D65"/>
    <w:rsid w:val="00EE6B3B"/>
    <w:rsid w:val="00EE6D48"/>
    <w:rsid w:val="00EE6D63"/>
    <w:rsid w:val="00EE6EB9"/>
    <w:rsid w:val="00EE7F98"/>
    <w:rsid w:val="00EF00D5"/>
    <w:rsid w:val="00EF0CAF"/>
    <w:rsid w:val="00EF2B09"/>
    <w:rsid w:val="00EF2CDF"/>
    <w:rsid w:val="00EF311B"/>
    <w:rsid w:val="00EF33F5"/>
    <w:rsid w:val="00EF38BC"/>
    <w:rsid w:val="00EF5B91"/>
    <w:rsid w:val="00EF5CF6"/>
    <w:rsid w:val="00EF609A"/>
    <w:rsid w:val="00EF6371"/>
    <w:rsid w:val="00EF6C9F"/>
    <w:rsid w:val="00EF6EAF"/>
    <w:rsid w:val="00EF7C24"/>
    <w:rsid w:val="00EF7CE7"/>
    <w:rsid w:val="00F00DC3"/>
    <w:rsid w:val="00F012F2"/>
    <w:rsid w:val="00F01A64"/>
    <w:rsid w:val="00F02D23"/>
    <w:rsid w:val="00F0325C"/>
    <w:rsid w:val="00F0326A"/>
    <w:rsid w:val="00F0416D"/>
    <w:rsid w:val="00F042CC"/>
    <w:rsid w:val="00F043D5"/>
    <w:rsid w:val="00F050BE"/>
    <w:rsid w:val="00F059A5"/>
    <w:rsid w:val="00F066DC"/>
    <w:rsid w:val="00F1094A"/>
    <w:rsid w:val="00F121CD"/>
    <w:rsid w:val="00F12959"/>
    <w:rsid w:val="00F12A09"/>
    <w:rsid w:val="00F13385"/>
    <w:rsid w:val="00F13B4D"/>
    <w:rsid w:val="00F13E1B"/>
    <w:rsid w:val="00F142B5"/>
    <w:rsid w:val="00F14312"/>
    <w:rsid w:val="00F15D2A"/>
    <w:rsid w:val="00F168F1"/>
    <w:rsid w:val="00F170E3"/>
    <w:rsid w:val="00F2001C"/>
    <w:rsid w:val="00F2051C"/>
    <w:rsid w:val="00F20812"/>
    <w:rsid w:val="00F20B7A"/>
    <w:rsid w:val="00F2194D"/>
    <w:rsid w:val="00F22E18"/>
    <w:rsid w:val="00F23AF4"/>
    <w:rsid w:val="00F246A6"/>
    <w:rsid w:val="00F24E03"/>
    <w:rsid w:val="00F25A53"/>
    <w:rsid w:val="00F263D7"/>
    <w:rsid w:val="00F26AE8"/>
    <w:rsid w:val="00F26B2E"/>
    <w:rsid w:val="00F26D3A"/>
    <w:rsid w:val="00F305FD"/>
    <w:rsid w:val="00F3087D"/>
    <w:rsid w:val="00F30A25"/>
    <w:rsid w:val="00F31616"/>
    <w:rsid w:val="00F31686"/>
    <w:rsid w:val="00F319A6"/>
    <w:rsid w:val="00F319C9"/>
    <w:rsid w:val="00F31D9D"/>
    <w:rsid w:val="00F3221C"/>
    <w:rsid w:val="00F32C38"/>
    <w:rsid w:val="00F3319B"/>
    <w:rsid w:val="00F3344B"/>
    <w:rsid w:val="00F3352E"/>
    <w:rsid w:val="00F34391"/>
    <w:rsid w:val="00F34885"/>
    <w:rsid w:val="00F353D8"/>
    <w:rsid w:val="00F355EF"/>
    <w:rsid w:val="00F35AE0"/>
    <w:rsid w:val="00F362E2"/>
    <w:rsid w:val="00F36AED"/>
    <w:rsid w:val="00F370C7"/>
    <w:rsid w:val="00F376EE"/>
    <w:rsid w:val="00F3775A"/>
    <w:rsid w:val="00F378A3"/>
    <w:rsid w:val="00F379FE"/>
    <w:rsid w:val="00F37E82"/>
    <w:rsid w:val="00F37FC2"/>
    <w:rsid w:val="00F40DD0"/>
    <w:rsid w:val="00F41CEB"/>
    <w:rsid w:val="00F42C68"/>
    <w:rsid w:val="00F42EF7"/>
    <w:rsid w:val="00F43B86"/>
    <w:rsid w:val="00F44777"/>
    <w:rsid w:val="00F44A72"/>
    <w:rsid w:val="00F44CD1"/>
    <w:rsid w:val="00F454B0"/>
    <w:rsid w:val="00F45600"/>
    <w:rsid w:val="00F45772"/>
    <w:rsid w:val="00F47444"/>
    <w:rsid w:val="00F50585"/>
    <w:rsid w:val="00F5069F"/>
    <w:rsid w:val="00F50C4E"/>
    <w:rsid w:val="00F522AC"/>
    <w:rsid w:val="00F52421"/>
    <w:rsid w:val="00F5285D"/>
    <w:rsid w:val="00F54928"/>
    <w:rsid w:val="00F54EFE"/>
    <w:rsid w:val="00F558C4"/>
    <w:rsid w:val="00F56528"/>
    <w:rsid w:val="00F56B79"/>
    <w:rsid w:val="00F56EDE"/>
    <w:rsid w:val="00F56F2F"/>
    <w:rsid w:val="00F60EC8"/>
    <w:rsid w:val="00F617D3"/>
    <w:rsid w:val="00F61DDA"/>
    <w:rsid w:val="00F623AF"/>
    <w:rsid w:val="00F63432"/>
    <w:rsid w:val="00F637E5"/>
    <w:rsid w:val="00F648CF"/>
    <w:rsid w:val="00F64AA1"/>
    <w:rsid w:val="00F659D8"/>
    <w:rsid w:val="00F65A7C"/>
    <w:rsid w:val="00F65DCD"/>
    <w:rsid w:val="00F6717F"/>
    <w:rsid w:val="00F6792F"/>
    <w:rsid w:val="00F67A61"/>
    <w:rsid w:val="00F7098C"/>
    <w:rsid w:val="00F71070"/>
    <w:rsid w:val="00F71779"/>
    <w:rsid w:val="00F75323"/>
    <w:rsid w:val="00F754B8"/>
    <w:rsid w:val="00F7599F"/>
    <w:rsid w:val="00F75B4C"/>
    <w:rsid w:val="00F75D33"/>
    <w:rsid w:val="00F75E6B"/>
    <w:rsid w:val="00F76B34"/>
    <w:rsid w:val="00F77ACB"/>
    <w:rsid w:val="00F77D72"/>
    <w:rsid w:val="00F804EE"/>
    <w:rsid w:val="00F8057D"/>
    <w:rsid w:val="00F80DC5"/>
    <w:rsid w:val="00F81A36"/>
    <w:rsid w:val="00F81CEF"/>
    <w:rsid w:val="00F81D56"/>
    <w:rsid w:val="00F82A57"/>
    <w:rsid w:val="00F82E64"/>
    <w:rsid w:val="00F82F9C"/>
    <w:rsid w:val="00F8339A"/>
    <w:rsid w:val="00F83523"/>
    <w:rsid w:val="00F85102"/>
    <w:rsid w:val="00F860BB"/>
    <w:rsid w:val="00F86285"/>
    <w:rsid w:val="00F8728F"/>
    <w:rsid w:val="00F8746F"/>
    <w:rsid w:val="00F90097"/>
    <w:rsid w:val="00F909DB"/>
    <w:rsid w:val="00F90CE7"/>
    <w:rsid w:val="00F91312"/>
    <w:rsid w:val="00F91329"/>
    <w:rsid w:val="00F9182E"/>
    <w:rsid w:val="00F91A0B"/>
    <w:rsid w:val="00F93558"/>
    <w:rsid w:val="00F937BD"/>
    <w:rsid w:val="00F93EC2"/>
    <w:rsid w:val="00F94F74"/>
    <w:rsid w:val="00F952DF"/>
    <w:rsid w:val="00F95421"/>
    <w:rsid w:val="00F9543D"/>
    <w:rsid w:val="00F9579E"/>
    <w:rsid w:val="00F95C17"/>
    <w:rsid w:val="00F96DAA"/>
    <w:rsid w:val="00F97175"/>
    <w:rsid w:val="00F971EB"/>
    <w:rsid w:val="00F97426"/>
    <w:rsid w:val="00F9778A"/>
    <w:rsid w:val="00F97DEF"/>
    <w:rsid w:val="00FA025A"/>
    <w:rsid w:val="00FA03F2"/>
    <w:rsid w:val="00FA143E"/>
    <w:rsid w:val="00FA16F0"/>
    <w:rsid w:val="00FA17B8"/>
    <w:rsid w:val="00FA2DD5"/>
    <w:rsid w:val="00FA329E"/>
    <w:rsid w:val="00FA3763"/>
    <w:rsid w:val="00FA3E09"/>
    <w:rsid w:val="00FA42E7"/>
    <w:rsid w:val="00FA466C"/>
    <w:rsid w:val="00FA4855"/>
    <w:rsid w:val="00FA4DC7"/>
    <w:rsid w:val="00FA4E87"/>
    <w:rsid w:val="00FA6158"/>
    <w:rsid w:val="00FA6DEE"/>
    <w:rsid w:val="00FA7713"/>
    <w:rsid w:val="00FA7895"/>
    <w:rsid w:val="00FB03E8"/>
    <w:rsid w:val="00FB0E99"/>
    <w:rsid w:val="00FB1156"/>
    <w:rsid w:val="00FB13F0"/>
    <w:rsid w:val="00FB2011"/>
    <w:rsid w:val="00FB2020"/>
    <w:rsid w:val="00FB2047"/>
    <w:rsid w:val="00FB20E8"/>
    <w:rsid w:val="00FB23A9"/>
    <w:rsid w:val="00FB26B1"/>
    <w:rsid w:val="00FB349A"/>
    <w:rsid w:val="00FB45D7"/>
    <w:rsid w:val="00FB5144"/>
    <w:rsid w:val="00FB59D7"/>
    <w:rsid w:val="00FB6465"/>
    <w:rsid w:val="00FB687A"/>
    <w:rsid w:val="00FB70B5"/>
    <w:rsid w:val="00FB7AD6"/>
    <w:rsid w:val="00FB7CCD"/>
    <w:rsid w:val="00FC0458"/>
    <w:rsid w:val="00FC09D8"/>
    <w:rsid w:val="00FC180B"/>
    <w:rsid w:val="00FC1D4F"/>
    <w:rsid w:val="00FC1D6C"/>
    <w:rsid w:val="00FC1EB2"/>
    <w:rsid w:val="00FC2827"/>
    <w:rsid w:val="00FC2FF2"/>
    <w:rsid w:val="00FC3A66"/>
    <w:rsid w:val="00FC42F4"/>
    <w:rsid w:val="00FC622E"/>
    <w:rsid w:val="00FC67CB"/>
    <w:rsid w:val="00FC695A"/>
    <w:rsid w:val="00FC6DA4"/>
    <w:rsid w:val="00FC77E2"/>
    <w:rsid w:val="00FD01A2"/>
    <w:rsid w:val="00FD0265"/>
    <w:rsid w:val="00FD02A4"/>
    <w:rsid w:val="00FD032F"/>
    <w:rsid w:val="00FD0700"/>
    <w:rsid w:val="00FD08DC"/>
    <w:rsid w:val="00FD0B7D"/>
    <w:rsid w:val="00FD14E3"/>
    <w:rsid w:val="00FD307B"/>
    <w:rsid w:val="00FD3941"/>
    <w:rsid w:val="00FD3DED"/>
    <w:rsid w:val="00FD53B7"/>
    <w:rsid w:val="00FD55AE"/>
    <w:rsid w:val="00FD5B65"/>
    <w:rsid w:val="00FD636F"/>
    <w:rsid w:val="00FD6372"/>
    <w:rsid w:val="00FD66F7"/>
    <w:rsid w:val="00FD688D"/>
    <w:rsid w:val="00FD7182"/>
    <w:rsid w:val="00FE0097"/>
    <w:rsid w:val="00FE083A"/>
    <w:rsid w:val="00FE0A71"/>
    <w:rsid w:val="00FE0B61"/>
    <w:rsid w:val="00FE11DC"/>
    <w:rsid w:val="00FE125E"/>
    <w:rsid w:val="00FE1997"/>
    <w:rsid w:val="00FE1BE9"/>
    <w:rsid w:val="00FE1F15"/>
    <w:rsid w:val="00FE21E8"/>
    <w:rsid w:val="00FE26ED"/>
    <w:rsid w:val="00FE3A02"/>
    <w:rsid w:val="00FE4656"/>
    <w:rsid w:val="00FE4A36"/>
    <w:rsid w:val="00FE4AB6"/>
    <w:rsid w:val="00FE4B6C"/>
    <w:rsid w:val="00FE5096"/>
    <w:rsid w:val="00FE5E8F"/>
    <w:rsid w:val="00FE6077"/>
    <w:rsid w:val="00FE7226"/>
    <w:rsid w:val="00FE7639"/>
    <w:rsid w:val="00FE7A31"/>
    <w:rsid w:val="00FE7DFA"/>
    <w:rsid w:val="00FF0005"/>
    <w:rsid w:val="00FF00D7"/>
    <w:rsid w:val="00FF09E7"/>
    <w:rsid w:val="00FF0DA7"/>
    <w:rsid w:val="00FF20C3"/>
    <w:rsid w:val="00FF213F"/>
    <w:rsid w:val="00FF2DEA"/>
    <w:rsid w:val="00FF38D3"/>
    <w:rsid w:val="00FF3986"/>
    <w:rsid w:val="00FF3DD6"/>
    <w:rsid w:val="00FF4437"/>
    <w:rsid w:val="00FF5019"/>
    <w:rsid w:val="00FF514C"/>
    <w:rsid w:val="00FF6039"/>
    <w:rsid w:val="00FF7036"/>
    <w:rsid w:val="00FF7110"/>
    <w:rsid w:val="00FF77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B6D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List Bullet" w:uiPriority="9"/>
    <w:lsdException w:name="List Number" w:uiPriority="9"/>
    <w:lsdException w:name="Title" w:semiHidden="0" w:uiPriority="0" w:unhideWhenUsed="0" w:qFormat="1"/>
    <w:lsdException w:name="Default Paragraph Font" w:uiPriority="1"/>
    <w:lsdException w:name="Body Text" w:uiPriority="1" w:qFormat="1"/>
    <w:lsdException w:name="Subtitle" w:semiHidden="0" w:uiPriority="0"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7E4A"/>
    <w:pPr>
      <w:spacing w:after="0" w:line="360" w:lineRule="auto"/>
    </w:pPr>
    <w:rPr>
      <w:rFonts w:ascii="Arial" w:hAnsi="Arial"/>
      <w:sz w:val="24"/>
    </w:rPr>
  </w:style>
  <w:style w:type="paragraph" w:styleId="Heading1">
    <w:name w:val="heading 1"/>
    <w:basedOn w:val="Normal"/>
    <w:next w:val="Normal"/>
    <w:link w:val="Heading1Char"/>
    <w:qFormat/>
    <w:rsid w:val="003C3D20"/>
    <w:pPr>
      <w:keepNext/>
      <w:keepLines/>
      <w:spacing w:after="200"/>
      <w:jc w:val="center"/>
      <w:outlineLvl w:val="0"/>
    </w:pPr>
    <w:rPr>
      <w:rFonts w:cs="Arial"/>
      <w:b/>
      <w:sz w:val="36"/>
      <w:szCs w:val="32"/>
    </w:rPr>
  </w:style>
  <w:style w:type="paragraph" w:styleId="Heading2">
    <w:name w:val="heading 2"/>
    <w:aliases w:val="NCD.Heading 2"/>
    <w:basedOn w:val="ListParagraph"/>
    <w:next w:val="Normal"/>
    <w:link w:val="Heading2Char"/>
    <w:unhideWhenUsed/>
    <w:qFormat/>
    <w:rsid w:val="00D82A31"/>
    <w:pPr>
      <w:keepNext/>
      <w:keepLines/>
      <w:spacing w:line="480" w:lineRule="auto"/>
      <w:ind w:left="360" w:hanging="360"/>
      <w:contextualSpacing w:val="0"/>
      <w:outlineLvl w:val="1"/>
    </w:pPr>
    <w:rPr>
      <w:rFonts w:eastAsia="Times New Roman" w:cs="Times New Roman"/>
      <w:b/>
      <w:color w:val="auto"/>
      <w:sz w:val="28"/>
      <w:szCs w:val="32"/>
    </w:rPr>
  </w:style>
  <w:style w:type="paragraph" w:styleId="Heading3">
    <w:name w:val="heading 3"/>
    <w:aliases w:val="NCD.Heading 3"/>
    <w:basedOn w:val="Normal"/>
    <w:next w:val="Normal"/>
    <w:link w:val="Heading3Char"/>
    <w:unhideWhenUsed/>
    <w:qFormat/>
    <w:rsid w:val="00224015"/>
    <w:pPr>
      <w:keepNext/>
      <w:spacing w:line="480" w:lineRule="auto"/>
      <w:ind w:left="360" w:hanging="360"/>
      <w:outlineLvl w:val="2"/>
    </w:pPr>
    <w:rPr>
      <w:rFonts w:eastAsia="Calibri" w:cs="Arial"/>
      <w:b/>
      <w:i/>
      <w:color w:val="000000" w:themeColor="text1"/>
      <w:szCs w:val="24"/>
    </w:rPr>
  </w:style>
  <w:style w:type="paragraph" w:styleId="Heading4">
    <w:name w:val="heading 4"/>
    <w:basedOn w:val="Normal"/>
    <w:next w:val="Normal"/>
    <w:link w:val="Heading4Char"/>
    <w:unhideWhenUsed/>
    <w:qFormat/>
    <w:rsid w:val="007C5C98"/>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nhideWhenUsed/>
    <w:qFormat/>
    <w:rsid w:val="007C5C98"/>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nhideWhenUsed/>
    <w:qFormat/>
    <w:rsid w:val="007C5C98"/>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7C5C98"/>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7C5C98"/>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C5C98"/>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C3D20"/>
    <w:rPr>
      <w:rFonts w:ascii="Arial" w:hAnsi="Arial" w:cs="Arial"/>
      <w:b/>
      <w:sz w:val="36"/>
      <w:szCs w:val="32"/>
    </w:rPr>
  </w:style>
  <w:style w:type="character" w:customStyle="1" w:styleId="Heading2Char">
    <w:name w:val="Heading 2 Char"/>
    <w:aliases w:val="NCD.Heading 2 Char"/>
    <w:basedOn w:val="DefaultParagraphFont"/>
    <w:link w:val="Heading2"/>
    <w:uiPriority w:val="9"/>
    <w:rsid w:val="00D82A31"/>
    <w:rPr>
      <w:rFonts w:ascii="Arial" w:eastAsia="Times New Roman" w:hAnsi="Arial" w:cs="Times New Roman"/>
      <w:b/>
      <w:sz w:val="28"/>
      <w:szCs w:val="32"/>
    </w:rPr>
  </w:style>
  <w:style w:type="character" w:customStyle="1" w:styleId="Heading3Char">
    <w:name w:val="Heading 3 Char"/>
    <w:aliases w:val="NCD.Heading 3 Char"/>
    <w:basedOn w:val="DefaultParagraphFont"/>
    <w:link w:val="Heading3"/>
    <w:uiPriority w:val="9"/>
    <w:rsid w:val="00224015"/>
    <w:rPr>
      <w:rFonts w:ascii="Arial" w:eastAsia="Calibri" w:hAnsi="Arial" w:cs="Arial"/>
      <w:b/>
      <w:i/>
      <w:color w:val="000000" w:themeColor="text1"/>
      <w:sz w:val="24"/>
      <w:szCs w:val="24"/>
    </w:rPr>
  </w:style>
  <w:style w:type="character" w:customStyle="1" w:styleId="Heading4Char">
    <w:name w:val="Heading 4 Char"/>
    <w:basedOn w:val="DefaultParagraphFont"/>
    <w:link w:val="Heading4"/>
    <w:uiPriority w:val="9"/>
    <w:rsid w:val="007C5C98"/>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7C5C98"/>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7C5C98"/>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7C5C98"/>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7C5C9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C5C98"/>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qFormat/>
    <w:rsid w:val="007C5C98"/>
    <w:pPr>
      <w:spacing w:line="240" w:lineRule="auto"/>
    </w:pPr>
  </w:style>
  <w:style w:type="character" w:customStyle="1" w:styleId="HeaderChar">
    <w:name w:val="Header Char"/>
    <w:basedOn w:val="DefaultParagraphFont"/>
    <w:link w:val="Header"/>
    <w:uiPriority w:val="99"/>
    <w:rsid w:val="007C5C98"/>
  </w:style>
  <w:style w:type="paragraph" w:styleId="Footer">
    <w:name w:val="footer"/>
    <w:basedOn w:val="Normal"/>
    <w:link w:val="FooterChar"/>
    <w:uiPriority w:val="99"/>
    <w:unhideWhenUsed/>
    <w:qFormat/>
    <w:rsid w:val="007C5C98"/>
    <w:pPr>
      <w:spacing w:line="240" w:lineRule="auto"/>
    </w:pPr>
  </w:style>
  <w:style w:type="character" w:customStyle="1" w:styleId="FooterChar">
    <w:name w:val="Footer Char"/>
    <w:basedOn w:val="DefaultParagraphFont"/>
    <w:link w:val="Footer"/>
    <w:uiPriority w:val="99"/>
    <w:rsid w:val="007C5C98"/>
  </w:style>
  <w:style w:type="paragraph" w:styleId="Caption">
    <w:name w:val="caption"/>
    <w:basedOn w:val="Normal"/>
    <w:next w:val="Normal"/>
    <w:uiPriority w:val="35"/>
    <w:semiHidden/>
    <w:unhideWhenUsed/>
    <w:qFormat/>
    <w:rsid w:val="007C5C98"/>
    <w:pPr>
      <w:spacing w:after="200" w:line="240" w:lineRule="auto"/>
    </w:pPr>
    <w:rPr>
      <w:i/>
      <w:iCs/>
      <w:color w:val="1F497D" w:themeColor="text2"/>
      <w:sz w:val="18"/>
      <w:szCs w:val="18"/>
    </w:rPr>
  </w:style>
  <w:style w:type="paragraph" w:styleId="ListBullet">
    <w:name w:val="List Bullet"/>
    <w:basedOn w:val="Normal"/>
    <w:uiPriority w:val="9"/>
    <w:rsid w:val="007C5C98"/>
    <w:pPr>
      <w:numPr>
        <w:numId w:val="1"/>
      </w:numPr>
    </w:pPr>
  </w:style>
  <w:style w:type="paragraph" w:styleId="ListNumber">
    <w:name w:val="List Number"/>
    <w:basedOn w:val="Normal"/>
    <w:uiPriority w:val="9"/>
    <w:rsid w:val="007C5C98"/>
    <w:pPr>
      <w:numPr>
        <w:numId w:val="2"/>
      </w:numPr>
    </w:pPr>
  </w:style>
  <w:style w:type="paragraph" w:styleId="Title">
    <w:name w:val="Title"/>
    <w:basedOn w:val="Heading1"/>
    <w:next w:val="Normal"/>
    <w:link w:val="TitleChar"/>
    <w:qFormat/>
    <w:rsid w:val="007C5C98"/>
    <w:rPr>
      <w:sz w:val="28"/>
      <w:szCs w:val="28"/>
    </w:rPr>
  </w:style>
  <w:style w:type="character" w:customStyle="1" w:styleId="TitleChar">
    <w:name w:val="Title Char"/>
    <w:basedOn w:val="DefaultParagraphFont"/>
    <w:link w:val="Title"/>
    <w:uiPriority w:val="10"/>
    <w:rsid w:val="007C5C98"/>
    <w:rPr>
      <w:rFonts w:ascii="Arial" w:hAnsi="Arial" w:cs="Arial"/>
      <w:b/>
      <w:bCs/>
      <w:sz w:val="28"/>
      <w:szCs w:val="28"/>
    </w:rPr>
  </w:style>
  <w:style w:type="paragraph" w:styleId="Subtitle">
    <w:name w:val="Subtitle"/>
    <w:basedOn w:val="Normal"/>
    <w:link w:val="SubtitleChar"/>
    <w:qFormat/>
    <w:rsid w:val="007C5C9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C5C98"/>
    <w:rPr>
      <w:rFonts w:eastAsiaTheme="minorEastAsia"/>
      <w:color w:val="5A5A5A" w:themeColor="text1" w:themeTint="A5"/>
      <w:spacing w:val="15"/>
    </w:rPr>
  </w:style>
  <w:style w:type="character" w:styleId="Strong">
    <w:name w:val="Strong"/>
    <w:basedOn w:val="DefaultParagraphFont"/>
    <w:uiPriority w:val="22"/>
    <w:qFormat/>
    <w:rsid w:val="007C5C98"/>
    <w:rPr>
      <w:b/>
      <w:bCs/>
    </w:rPr>
  </w:style>
  <w:style w:type="character" w:styleId="Emphasis">
    <w:name w:val="Emphasis"/>
    <w:basedOn w:val="DefaultParagraphFont"/>
    <w:uiPriority w:val="20"/>
    <w:qFormat/>
    <w:rsid w:val="007C5C98"/>
    <w:rPr>
      <w:i/>
      <w:iCs/>
    </w:rPr>
  </w:style>
  <w:style w:type="paragraph" w:styleId="NoSpacing">
    <w:name w:val="No Spacing"/>
    <w:uiPriority w:val="1"/>
    <w:qFormat/>
    <w:rsid w:val="007C5C98"/>
    <w:pPr>
      <w:spacing w:after="0" w:line="240" w:lineRule="auto"/>
    </w:pPr>
  </w:style>
  <w:style w:type="paragraph" w:styleId="ListParagraph">
    <w:name w:val="List Paragraph"/>
    <w:basedOn w:val="Normal"/>
    <w:link w:val="ListParagraphChar"/>
    <w:uiPriority w:val="34"/>
    <w:unhideWhenUsed/>
    <w:qFormat/>
    <w:rsid w:val="00AE0363"/>
    <w:pPr>
      <w:ind w:left="720"/>
      <w:contextualSpacing/>
    </w:pPr>
    <w:rPr>
      <w:color w:val="000000" w:themeColor="text1"/>
      <w:szCs w:val="30"/>
    </w:rPr>
  </w:style>
  <w:style w:type="character" w:customStyle="1" w:styleId="ListParagraphChar">
    <w:name w:val="List Paragraph Char"/>
    <w:basedOn w:val="DefaultParagraphFont"/>
    <w:link w:val="ListParagraph"/>
    <w:uiPriority w:val="34"/>
    <w:rsid w:val="00AE0363"/>
    <w:rPr>
      <w:rFonts w:ascii="Arial" w:hAnsi="Arial"/>
      <w:color w:val="000000" w:themeColor="text1"/>
      <w:sz w:val="24"/>
      <w:szCs w:val="30"/>
    </w:rPr>
  </w:style>
  <w:style w:type="paragraph" w:styleId="Quote">
    <w:name w:val="Quote"/>
    <w:basedOn w:val="Normal"/>
    <w:next w:val="Normal"/>
    <w:link w:val="QuoteChar"/>
    <w:uiPriority w:val="29"/>
    <w:qFormat/>
    <w:rsid w:val="007C5C98"/>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7C5C98"/>
    <w:rPr>
      <w:i/>
      <w:iCs/>
      <w:color w:val="404040" w:themeColor="text1" w:themeTint="BF"/>
    </w:rPr>
  </w:style>
  <w:style w:type="paragraph" w:styleId="IntenseQuote">
    <w:name w:val="Intense Quote"/>
    <w:basedOn w:val="Normal"/>
    <w:next w:val="Normal"/>
    <w:link w:val="IntenseQuoteChar"/>
    <w:uiPriority w:val="30"/>
    <w:qFormat/>
    <w:rsid w:val="007C5C98"/>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7C5C98"/>
    <w:rPr>
      <w:i/>
      <w:iCs/>
      <w:color w:val="4F81BD" w:themeColor="accent1"/>
    </w:rPr>
  </w:style>
  <w:style w:type="character" w:styleId="SubtleEmphasis">
    <w:name w:val="Subtle Emphasis"/>
    <w:basedOn w:val="DefaultParagraphFont"/>
    <w:uiPriority w:val="19"/>
    <w:qFormat/>
    <w:rsid w:val="007C5C98"/>
    <w:rPr>
      <w:i/>
      <w:iCs/>
      <w:color w:val="404040" w:themeColor="text1" w:themeTint="BF"/>
    </w:rPr>
  </w:style>
  <w:style w:type="character" w:styleId="IntenseEmphasis">
    <w:name w:val="Intense Emphasis"/>
    <w:basedOn w:val="DefaultParagraphFont"/>
    <w:uiPriority w:val="21"/>
    <w:qFormat/>
    <w:rsid w:val="007C5C98"/>
    <w:rPr>
      <w:i/>
      <w:iCs/>
      <w:color w:val="4F81BD" w:themeColor="accent1"/>
    </w:rPr>
  </w:style>
  <w:style w:type="character" w:styleId="SubtleReference">
    <w:name w:val="Subtle Reference"/>
    <w:basedOn w:val="DefaultParagraphFont"/>
    <w:uiPriority w:val="31"/>
    <w:qFormat/>
    <w:rsid w:val="007C5C98"/>
    <w:rPr>
      <w:smallCaps/>
      <w:color w:val="5A5A5A" w:themeColor="text1" w:themeTint="A5"/>
    </w:rPr>
  </w:style>
  <w:style w:type="character" w:styleId="IntenseReference">
    <w:name w:val="Intense Reference"/>
    <w:basedOn w:val="DefaultParagraphFont"/>
    <w:uiPriority w:val="32"/>
    <w:qFormat/>
    <w:rsid w:val="007C5C98"/>
    <w:rPr>
      <w:b/>
      <w:bCs/>
      <w:smallCaps/>
      <w:color w:val="4F81BD" w:themeColor="accent1"/>
      <w:spacing w:val="5"/>
    </w:rPr>
  </w:style>
  <w:style w:type="paragraph" w:styleId="TOCHeading">
    <w:name w:val="TOC Heading"/>
    <w:basedOn w:val="Heading1"/>
    <w:next w:val="Normal"/>
    <w:uiPriority w:val="39"/>
    <w:unhideWhenUsed/>
    <w:qFormat/>
    <w:rsid w:val="00571465"/>
    <w:pPr>
      <w:spacing w:before="240" w:line="259" w:lineRule="auto"/>
      <w:outlineLvl w:val="9"/>
    </w:pPr>
    <w:rPr>
      <w:rFonts w:eastAsiaTheme="majorEastAsia" w:cstheme="majorBidi"/>
      <w:b w:val="0"/>
      <w:bCs/>
      <w:color w:val="000000" w:themeColor="text1"/>
    </w:rPr>
  </w:style>
  <w:style w:type="paragraph" w:customStyle="1" w:styleId="SYStyle">
    <w:name w:val="SY Style"/>
    <w:basedOn w:val="Title"/>
    <w:link w:val="SYStyleChar"/>
    <w:qFormat/>
    <w:rsid w:val="007C5C98"/>
    <w:rPr>
      <w:b w:val="0"/>
      <w:bCs/>
    </w:rPr>
  </w:style>
  <w:style w:type="character" w:customStyle="1" w:styleId="SYStyleChar">
    <w:name w:val="SY Style Char"/>
    <w:basedOn w:val="TitleChar"/>
    <w:link w:val="SYStyle"/>
    <w:rsid w:val="007C5C98"/>
    <w:rPr>
      <w:rFonts w:ascii="Arial" w:hAnsi="Arial" w:cs="Arial"/>
      <w:b w:val="0"/>
      <w:bCs w:val="0"/>
      <w:sz w:val="28"/>
      <w:szCs w:val="28"/>
    </w:rPr>
  </w:style>
  <w:style w:type="paragraph" w:styleId="EndnoteText">
    <w:name w:val="endnote text"/>
    <w:basedOn w:val="Normal"/>
    <w:link w:val="EndnoteTextChar"/>
    <w:uiPriority w:val="99"/>
    <w:unhideWhenUsed/>
    <w:rsid w:val="002261A1"/>
    <w:pPr>
      <w:spacing w:line="240" w:lineRule="auto"/>
    </w:pPr>
    <w:rPr>
      <w:rFonts w:eastAsia="Times New Roman" w:cs="Times New Roman"/>
      <w:szCs w:val="20"/>
    </w:rPr>
  </w:style>
  <w:style w:type="character" w:customStyle="1" w:styleId="EndnoteTextChar">
    <w:name w:val="Endnote Text Char"/>
    <w:basedOn w:val="DefaultParagraphFont"/>
    <w:link w:val="EndnoteText"/>
    <w:uiPriority w:val="99"/>
    <w:rsid w:val="002261A1"/>
    <w:rPr>
      <w:rFonts w:ascii="Arial" w:eastAsia="Times New Roman" w:hAnsi="Arial" w:cs="Times New Roman"/>
      <w:sz w:val="24"/>
      <w:szCs w:val="20"/>
    </w:rPr>
  </w:style>
  <w:style w:type="character" w:styleId="EndnoteReference">
    <w:name w:val="endnote reference"/>
    <w:uiPriority w:val="99"/>
    <w:unhideWhenUsed/>
    <w:rsid w:val="00AD7125"/>
    <w:rPr>
      <w:vertAlign w:val="superscript"/>
    </w:rPr>
  </w:style>
  <w:style w:type="character" w:styleId="Hyperlink">
    <w:name w:val="Hyperlink"/>
    <w:basedOn w:val="DefaultParagraphFont"/>
    <w:uiPriority w:val="99"/>
    <w:unhideWhenUsed/>
    <w:qFormat/>
    <w:rsid w:val="00AC7D93"/>
    <w:rPr>
      <w:color w:val="0000FF" w:themeColor="hyperlink"/>
      <w:u w:val="single"/>
    </w:rPr>
  </w:style>
  <w:style w:type="character" w:customStyle="1" w:styleId="UnresolvedMention">
    <w:name w:val="Unresolved Mention"/>
    <w:basedOn w:val="DefaultParagraphFont"/>
    <w:uiPriority w:val="99"/>
    <w:rsid w:val="00AC7D93"/>
    <w:rPr>
      <w:color w:val="605E5C"/>
      <w:shd w:val="clear" w:color="auto" w:fill="E1DFDD"/>
    </w:rPr>
  </w:style>
  <w:style w:type="paragraph" w:styleId="FootnoteText">
    <w:name w:val="footnote text"/>
    <w:basedOn w:val="Normal"/>
    <w:link w:val="FootnoteTextChar"/>
    <w:uiPriority w:val="99"/>
    <w:semiHidden/>
    <w:unhideWhenUsed/>
    <w:rsid w:val="00AC7D93"/>
    <w:pPr>
      <w:spacing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semiHidden/>
    <w:rsid w:val="00AC7D93"/>
    <w:rPr>
      <w:rFonts w:ascii="Times New Roman" w:eastAsia="Times New Roman" w:hAnsi="Times New Roman" w:cs="Times New Roman"/>
      <w:sz w:val="20"/>
      <w:szCs w:val="20"/>
    </w:rPr>
  </w:style>
  <w:style w:type="character" w:customStyle="1" w:styleId="il">
    <w:name w:val="il"/>
    <w:basedOn w:val="DefaultParagraphFont"/>
    <w:rsid w:val="00AC7D93"/>
  </w:style>
  <w:style w:type="paragraph" w:customStyle="1" w:styleId="SYHeading1">
    <w:name w:val="SY Heading 1"/>
    <w:basedOn w:val="ListParagraph"/>
    <w:link w:val="SYHeading1Char"/>
    <w:qFormat/>
    <w:rsid w:val="00AC7D93"/>
    <w:pPr>
      <w:ind w:left="0"/>
    </w:pPr>
    <w:rPr>
      <w:rFonts w:cs="Arial"/>
      <w:szCs w:val="24"/>
      <w:u w:val="single"/>
    </w:rPr>
  </w:style>
  <w:style w:type="character" w:customStyle="1" w:styleId="SYHeading1Char">
    <w:name w:val="SY Heading 1 Char"/>
    <w:basedOn w:val="ListParagraphChar"/>
    <w:link w:val="SYHeading1"/>
    <w:rsid w:val="00AC7D93"/>
    <w:rPr>
      <w:rFonts w:ascii="Arial" w:hAnsi="Arial" w:cs="Arial"/>
      <w:color w:val="000000" w:themeColor="text1"/>
      <w:sz w:val="24"/>
      <w:szCs w:val="24"/>
      <w:u w:val="single"/>
    </w:rPr>
  </w:style>
  <w:style w:type="character" w:customStyle="1" w:styleId="apple-converted-space">
    <w:name w:val="apple-converted-space"/>
    <w:basedOn w:val="DefaultParagraphFont"/>
    <w:rsid w:val="00AC7D93"/>
  </w:style>
  <w:style w:type="paragraph" w:styleId="NormalWeb">
    <w:name w:val="Normal (Web)"/>
    <w:basedOn w:val="Normal"/>
    <w:uiPriority w:val="99"/>
    <w:unhideWhenUsed/>
    <w:rsid w:val="00AC7D93"/>
    <w:pPr>
      <w:spacing w:before="100" w:beforeAutospacing="1" w:after="100" w:afterAutospacing="1" w:line="240" w:lineRule="auto"/>
    </w:pPr>
    <w:rPr>
      <w:rFonts w:ascii="Times New Roman" w:eastAsia="Times New Roman" w:hAnsi="Times New Roman" w:cs="Times New Roman"/>
      <w:szCs w:val="24"/>
    </w:rPr>
  </w:style>
  <w:style w:type="paragraph" w:customStyle="1" w:styleId="Body">
    <w:name w:val="Body"/>
    <w:rsid w:val="00AC7D93"/>
    <w:pPr>
      <w:pBdr>
        <w:top w:val="nil"/>
        <w:left w:val="nil"/>
        <w:bottom w:val="nil"/>
        <w:right w:val="nil"/>
        <w:between w:val="nil"/>
        <w:bar w:val="nil"/>
      </w:pBdr>
      <w:spacing w:after="0" w:line="276" w:lineRule="auto"/>
    </w:pPr>
    <w:rPr>
      <w:rFonts w:ascii="Arial" w:eastAsia="Arial Unicode MS" w:hAnsi="Arial" w:cs="Arial Unicode MS"/>
      <w:color w:val="000000"/>
      <w:u w:color="000000"/>
      <w:bdr w:val="nil"/>
    </w:rPr>
  </w:style>
  <w:style w:type="paragraph" w:styleId="TOC1">
    <w:name w:val="toc 1"/>
    <w:basedOn w:val="Normal"/>
    <w:next w:val="Normal"/>
    <w:uiPriority w:val="39"/>
    <w:unhideWhenUsed/>
    <w:rsid w:val="00075D0A"/>
    <w:pPr>
      <w:tabs>
        <w:tab w:val="right" w:leader="dot" w:pos="9350"/>
      </w:tabs>
      <w:spacing w:before="240" w:after="40" w:line="240" w:lineRule="auto"/>
    </w:pPr>
    <w:rPr>
      <w:rFonts w:eastAsia="Times New Roman" w:cs="Arial"/>
      <w:noProof/>
      <w:szCs w:val="24"/>
    </w:rPr>
  </w:style>
  <w:style w:type="paragraph" w:styleId="TOC2">
    <w:name w:val="toc 2"/>
    <w:basedOn w:val="Normal"/>
    <w:next w:val="Normal"/>
    <w:uiPriority w:val="39"/>
    <w:unhideWhenUsed/>
    <w:rsid w:val="00075D0A"/>
    <w:pPr>
      <w:tabs>
        <w:tab w:val="left" w:pos="660"/>
        <w:tab w:val="left" w:pos="880"/>
        <w:tab w:val="right" w:leader="dot" w:pos="9350"/>
      </w:tabs>
      <w:spacing w:after="100" w:line="240" w:lineRule="auto"/>
      <w:ind w:left="720" w:hanging="360"/>
    </w:pPr>
    <w:rPr>
      <w:rFonts w:ascii="Times New Roman" w:eastAsia="Times New Roman" w:hAnsi="Times New Roman" w:cs="Times New Roman"/>
      <w:szCs w:val="24"/>
    </w:rPr>
  </w:style>
  <w:style w:type="paragraph" w:styleId="TOC3">
    <w:name w:val="toc 3"/>
    <w:basedOn w:val="Normal"/>
    <w:next w:val="Normal"/>
    <w:autoRedefine/>
    <w:uiPriority w:val="39"/>
    <w:unhideWhenUsed/>
    <w:rsid w:val="00075D0A"/>
    <w:pPr>
      <w:tabs>
        <w:tab w:val="left" w:pos="1100"/>
        <w:tab w:val="right" w:leader="dot" w:pos="9350"/>
      </w:tabs>
      <w:spacing w:after="100" w:line="240" w:lineRule="auto"/>
      <w:ind w:left="1080" w:hanging="360"/>
    </w:pPr>
    <w:rPr>
      <w:rFonts w:ascii="Times New Roman" w:eastAsia="Times New Roman" w:hAnsi="Times New Roman" w:cs="Times New Roman"/>
      <w:szCs w:val="24"/>
    </w:rPr>
  </w:style>
  <w:style w:type="character" w:styleId="CommentReference">
    <w:name w:val="annotation reference"/>
    <w:basedOn w:val="DefaultParagraphFont"/>
    <w:uiPriority w:val="99"/>
    <w:semiHidden/>
    <w:unhideWhenUsed/>
    <w:rsid w:val="00AC7D93"/>
    <w:rPr>
      <w:sz w:val="16"/>
      <w:szCs w:val="16"/>
    </w:rPr>
  </w:style>
  <w:style w:type="paragraph" w:styleId="CommentText">
    <w:name w:val="annotation text"/>
    <w:basedOn w:val="Normal"/>
    <w:link w:val="CommentTextChar"/>
    <w:uiPriority w:val="99"/>
    <w:unhideWhenUsed/>
    <w:rsid w:val="00AC7D93"/>
    <w:pPr>
      <w:spacing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rsid w:val="00AC7D93"/>
    <w:rPr>
      <w:rFonts w:ascii="Times New Roman" w:eastAsia="Times New Roman" w:hAnsi="Times New Roman" w:cs="Times New Roman"/>
      <w:sz w:val="20"/>
      <w:szCs w:val="20"/>
    </w:rPr>
  </w:style>
  <w:style w:type="character" w:customStyle="1" w:styleId="CommentSubjectChar">
    <w:name w:val="Comment Subject Char"/>
    <w:basedOn w:val="CommentTextChar"/>
    <w:link w:val="CommentSubject"/>
    <w:uiPriority w:val="99"/>
    <w:semiHidden/>
    <w:rsid w:val="00AC7D93"/>
    <w:rPr>
      <w:rFonts w:ascii="Times New Roman" w:eastAsia="Times New Roman" w:hAnsi="Times New Roman" w:cs="Times New Roman"/>
      <w:b/>
      <w:bCs/>
      <w:sz w:val="20"/>
      <w:szCs w:val="20"/>
    </w:rPr>
  </w:style>
  <w:style w:type="paragraph" w:styleId="CommentSubject">
    <w:name w:val="annotation subject"/>
    <w:basedOn w:val="CommentText"/>
    <w:next w:val="CommentText"/>
    <w:link w:val="CommentSubjectChar"/>
    <w:uiPriority w:val="99"/>
    <w:semiHidden/>
    <w:unhideWhenUsed/>
    <w:rsid w:val="00AC7D93"/>
    <w:rPr>
      <w:b/>
      <w:bCs/>
    </w:rPr>
  </w:style>
  <w:style w:type="paragraph" w:styleId="BalloonText">
    <w:name w:val="Balloon Text"/>
    <w:basedOn w:val="Normal"/>
    <w:link w:val="BalloonTextChar"/>
    <w:uiPriority w:val="99"/>
    <w:semiHidden/>
    <w:unhideWhenUsed/>
    <w:rsid w:val="00AC7D93"/>
    <w:pPr>
      <w:spacing w:line="240" w:lineRule="auto"/>
    </w:pPr>
    <w:rPr>
      <w:rFonts w:ascii="Segoe UI" w:eastAsia="Times New Roman" w:hAnsi="Segoe UI" w:cs="Segoe UI"/>
      <w:sz w:val="18"/>
      <w:szCs w:val="18"/>
    </w:rPr>
  </w:style>
  <w:style w:type="character" w:customStyle="1" w:styleId="BalloonTextChar">
    <w:name w:val="Balloon Text Char"/>
    <w:basedOn w:val="DefaultParagraphFont"/>
    <w:link w:val="BalloonText"/>
    <w:uiPriority w:val="99"/>
    <w:semiHidden/>
    <w:rsid w:val="00AC7D93"/>
    <w:rPr>
      <w:rFonts w:ascii="Segoe UI" w:eastAsia="Times New Roman" w:hAnsi="Segoe UI" w:cs="Segoe UI"/>
      <w:sz w:val="18"/>
      <w:szCs w:val="18"/>
    </w:rPr>
  </w:style>
  <w:style w:type="character" w:customStyle="1" w:styleId="css-1baulvz">
    <w:name w:val="css-1baulvz"/>
    <w:basedOn w:val="DefaultParagraphFont"/>
    <w:rsid w:val="00AC7D93"/>
  </w:style>
  <w:style w:type="character" w:customStyle="1" w:styleId="field-content">
    <w:name w:val="field-content"/>
    <w:basedOn w:val="DefaultParagraphFont"/>
    <w:rsid w:val="00AC7D93"/>
  </w:style>
  <w:style w:type="character" w:customStyle="1" w:styleId="Hyperlink1">
    <w:name w:val="Hyperlink1"/>
    <w:basedOn w:val="DefaultParagraphFont"/>
    <w:uiPriority w:val="99"/>
    <w:unhideWhenUsed/>
    <w:rsid w:val="00AC7D93"/>
    <w:rPr>
      <w:color w:val="0563C1"/>
      <w:u w:val="single"/>
    </w:rPr>
  </w:style>
  <w:style w:type="character" w:customStyle="1" w:styleId="sr-only">
    <w:name w:val="sr-only"/>
    <w:basedOn w:val="DefaultParagraphFont"/>
    <w:rsid w:val="00AC7D93"/>
  </w:style>
  <w:style w:type="character" w:customStyle="1" w:styleId="crumblink">
    <w:name w:val="crumb_link"/>
    <w:basedOn w:val="DefaultParagraphFont"/>
    <w:rsid w:val="00AC7D93"/>
  </w:style>
  <w:style w:type="character" w:customStyle="1" w:styleId="ref-journal">
    <w:name w:val="ref-journal"/>
    <w:basedOn w:val="DefaultParagraphFont"/>
    <w:rsid w:val="00AC7D93"/>
  </w:style>
  <w:style w:type="character" w:customStyle="1" w:styleId="hgkelc">
    <w:name w:val="hgkelc"/>
    <w:basedOn w:val="DefaultParagraphFont"/>
    <w:rsid w:val="00AC7D93"/>
  </w:style>
  <w:style w:type="character" w:customStyle="1" w:styleId="ls1">
    <w:name w:val="ls1"/>
    <w:basedOn w:val="DefaultParagraphFont"/>
    <w:rsid w:val="00AC7D93"/>
  </w:style>
  <w:style w:type="character" w:customStyle="1" w:styleId="ws3">
    <w:name w:val="ws3"/>
    <w:basedOn w:val="DefaultParagraphFont"/>
    <w:rsid w:val="00AC7D93"/>
  </w:style>
  <w:style w:type="character" w:customStyle="1" w:styleId="ls4">
    <w:name w:val="ls4"/>
    <w:basedOn w:val="DefaultParagraphFont"/>
    <w:rsid w:val="00AC7D93"/>
  </w:style>
  <w:style w:type="paragraph" w:customStyle="1" w:styleId="t5">
    <w:name w:val="t5"/>
    <w:basedOn w:val="Normal"/>
    <w:rsid w:val="00AC7D93"/>
    <w:pPr>
      <w:spacing w:before="100" w:beforeAutospacing="1" w:after="100" w:afterAutospacing="1" w:line="240" w:lineRule="auto"/>
    </w:pPr>
    <w:rPr>
      <w:rFonts w:ascii="Times New Roman" w:eastAsia="Times New Roman" w:hAnsi="Times New Roman" w:cs="Times New Roman"/>
      <w:szCs w:val="24"/>
    </w:rPr>
  </w:style>
  <w:style w:type="paragraph" w:customStyle="1" w:styleId="newsletterformdisclaimer">
    <w:name w:val="newsletterform__disclaimer"/>
    <w:basedOn w:val="Normal"/>
    <w:rsid w:val="00AC7D93"/>
    <w:pPr>
      <w:spacing w:before="100" w:beforeAutospacing="1" w:after="100" w:afterAutospacing="1" w:line="240" w:lineRule="auto"/>
    </w:pPr>
    <w:rPr>
      <w:rFonts w:ascii="Times New Roman" w:eastAsia="Times New Roman" w:hAnsi="Times New Roman" w:cs="Times New Roman"/>
      <w:szCs w:val="24"/>
    </w:rPr>
  </w:style>
  <w:style w:type="paragraph" w:customStyle="1" w:styleId="counter-paragraph">
    <w:name w:val="counter-paragraph"/>
    <w:basedOn w:val="Normal"/>
    <w:rsid w:val="00AC7D93"/>
    <w:pPr>
      <w:spacing w:before="100" w:beforeAutospacing="1" w:after="100" w:afterAutospacing="1" w:line="240" w:lineRule="auto"/>
    </w:pPr>
    <w:rPr>
      <w:rFonts w:ascii="Times New Roman" w:eastAsia="Times New Roman" w:hAnsi="Times New Roman" w:cs="Times New Roman"/>
      <w:szCs w:val="24"/>
    </w:rPr>
  </w:style>
  <w:style w:type="character" w:customStyle="1" w:styleId="field">
    <w:name w:val="field"/>
    <w:basedOn w:val="DefaultParagraphFont"/>
    <w:rsid w:val="00AC7D93"/>
  </w:style>
  <w:style w:type="character" w:customStyle="1" w:styleId="meta-citation-journal-name">
    <w:name w:val="meta-citation-journal-name"/>
    <w:basedOn w:val="DefaultParagraphFont"/>
    <w:rsid w:val="00AC7D93"/>
  </w:style>
  <w:style w:type="character" w:customStyle="1" w:styleId="meta-citation">
    <w:name w:val="meta-citation"/>
    <w:basedOn w:val="DefaultParagraphFont"/>
    <w:rsid w:val="00AC7D93"/>
  </w:style>
  <w:style w:type="character" w:customStyle="1" w:styleId="epub-sectionitem">
    <w:name w:val="epub-section__item"/>
    <w:basedOn w:val="DefaultParagraphFont"/>
    <w:rsid w:val="00AC7D93"/>
  </w:style>
  <w:style w:type="paragraph" w:styleId="TOC4">
    <w:name w:val="toc 4"/>
    <w:basedOn w:val="Normal"/>
    <w:next w:val="Normal"/>
    <w:autoRedefine/>
    <w:uiPriority w:val="39"/>
    <w:unhideWhenUsed/>
    <w:rsid w:val="00224015"/>
    <w:pPr>
      <w:tabs>
        <w:tab w:val="left" w:pos="873"/>
        <w:tab w:val="left" w:pos="945"/>
      </w:tabs>
      <w:spacing w:after="40" w:line="259" w:lineRule="auto"/>
      <w:ind w:left="660"/>
    </w:pPr>
    <w:rPr>
      <w:rFonts w:asciiTheme="minorHAnsi" w:eastAsiaTheme="minorEastAsia" w:hAnsiTheme="minorHAnsi"/>
      <w:sz w:val="22"/>
    </w:rPr>
  </w:style>
  <w:style w:type="paragraph" w:styleId="TOC5">
    <w:name w:val="toc 5"/>
    <w:basedOn w:val="Normal"/>
    <w:next w:val="Normal"/>
    <w:autoRedefine/>
    <w:uiPriority w:val="39"/>
    <w:unhideWhenUsed/>
    <w:rsid w:val="00AC7D93"/>
    <w:pPr>
      <w:spacing w:after="100" w:line="259" w:lineRule="auto"/>
      <w:ind w:left="880"/>
    </w:pPr>
    <w:rPr>
      <w:rFonts w:asciiTheme="minorHAnsi" w:eastAsiaTheme="minorEastAsia" w:hAnsiTheme="minorHAnsi"/>
      <w:sz w:val="22"/>
    </w:rPr>
  </w:style>
  <w:style w:type="paragraph" w:styleId="TOC6">
    <w:name w:val="toc 6"/>
    <w:basedOn w:val="Normal"/>
    <w:next w:val="Normal"/>
    <w:autoRedefine/>
    <w:uiPriority w:val="39"/>
    <w:unhideWhenUsed/>
    <w:rsid w:val="00AC7D93"/>
    <w:pPr>
      <w:spacing w:after="100" w:line="259" w:lineRule="auto"/>
      <w:ind w:left="1100"/>
    </w:pPr>
    <w:rPr>
      <w:rFonts w:asciiTheme="minorHAnsi" w:eastAsiaTheme="minorEastAsia" w:hAnsiTheme="minorHAnsi"/>
      <w:sz w:val="22"/>
    </w:rPr>
  </w:style>
  <w:style w:type="paragraph" w:styleId="TOC7">
    <w:name w:val="toc 7"/>
    <w:basedOn w:val="Normal"/>
    <w:next w:val="Normal"/>
    <w:autoRedefine/>
    <w:uiPriority w:val="39"/>
    <w:unhideWhenUsed/>
    <w:rsid w:val="00AC7D93"/>
    <w:pPr>
      <w:spacing w:after="100" w:line="259" w:lineRule="auto"/>
      <w:ind w:left="1320"/>
    </w:pPr>
    <w:rPr>
      <w:rFonts w:asciiTheme="minorHAnsi" w:eastAsiaTheme="minorEastAsia" w:hAnsiTheme="minorHAnsi"/>
      <w:sz w:val="22"/>
    </w:rPr>
  </w:style>
  <w:style w:type="paragraph" w:styleId="TOC8">
    <w:name w:val="toc 8"/>
    <w:basedOn w:val="Normal"/>
    <w:next w:val="Normal"/>
    <w:autoRedefine/>
    <w:uiPriority w:val="39"/>
    <w:unhideWhenUsed/>
    <w:rsid w:val="00AC7D93"/>
    <w:pPr>
      <w:spacing w:after="100" w:line="259" w:lineRule="auto"/>
      <w:ind w:left="1540"/>
    </w:pPr>
    <w:rPr>
      <w:rFonts w:asciiTheme="minorHAnsi" w:eastAsiaTheme="minorEastAsia" w:hAnsiTheme="minorHAnsi"/>
      <w:sz w:val="22"/>
    </w:rPr>
  </w:style>
  <w:style w:type="paragraph" w:styleId="TOC9">
    <w:name w:val="toc 9"/>
    <w:basedOn w:val="Normal"/>
    <w:next w:val="Normal"/>
    <w:autoRedefine/>
    <w:uiPriority w:val="39"/>
    <w:unhideWhenUsed/>
    <w:rsid w:val="00AC7D93"/>
    <w:pPr>
      <w:spacing w:after="100" w:line="259" w:lineRule="auto"/>
      <w:ind w:left="1760"/>
    </w:pPr>
    <w:rPr>
      <w:rFonts w:asciiTheme="minorHAnsi" w:eastAsiaTheme="minorEastAsia" w:hAnsiTheme="minorHAnsi"/>
      <w:sz w:val="22"/>
    </w:rPr>
  </w:style>
  <w:style w:type="character" w:styleId="FootnoteReference">
    <w:name w:val="footnote reference"/>
    <w:basedOn w:val="DefaultParagraphFont"/>
    <w:uiPriority w:val="99"/>
    <w:semiHidden/>
    <w:unhideWhenUsed/>
    <w:rsid w:val="00ED668E"/>
    <w:rPr>
      <w:vertAlign w:val="superscript"/>
    </w:rPr>
  </w:style>
  <w:style w:type="paragraph" w:customStyle="1" w:styleId="pf0">
    <w:name w:val="pf0"/>
    <w:basedOn w:val="Normal"/>
    <w:rsid w:val="001E43D4"/>
    <w:pPr>
      <w:spacing w:before="100" w:beforeAutospacing="1" w:after="100" w:afterAutospacing="1" w:line="240" w:lineRule="auto"/>
    </w:pPr>
    <w:rPr>
      <w:rFonts w:ascii="Times New Roman" w:eastAsia="Times New Roman" w:hAnsi="Times New Roman" w:cs="Times New Roman"/>
      <w:szCs w:val="24"/>
    </w:rPr>
  </w:style>
  <w:style w:type="character" w:customStyle="1" w:styleId="cf01">
    <w:name w:val="cf01"/>
    <w:basedOn w:val="DefaultParagraphFont"/>
    <w:rsid w:val="001E43D4"/>
    <w:rPr>
      <w:rFonts w:ascii="Segoe UI" w:hAnsi="Segoe UI" w:cs="Segoe UI" w:hint="default"/>
      <w:sz w:val="18"/>
      <w:szCs w:val="18"/>
    </w:rPr>
  </w:style>
  <w:style w:type="character" w:customStyle="1" w:styleId="screen-reader-text">
    <w:name w:val="screen-reader-text"/>
    <w:basedOn w:val="DefaultParagraphFont"/>
    <w:rsid w:val="004764A7"/>
  </w:style>
  <w:style w:type="character" w:styleId="FollowedHyperlink">
    <w:name w:val="FollowedHyperlink"/>
    <w:basedOn w:val="DefaultParagraphFont"/>
    <w:uiPriority w:val="99"/>
    <w:semiHidden/>
    <w:unhideWhenUsed/>
    <w:rsid w:val="00540A45"/>
    <w:rPr>
      <w:color w:val="800080" w:themeColor="followedHyperlink"/>
      <w:u w:val="single"/>
    </w:rPr>
  </w:style>
  <w:style w:type="paragraph" w:styleId="Revision">
    <w:name w:val="Revision"/>
    <w:hidden/>
    <w:uiPriority w:val="99"/>
    <w:semiHidden/>
    <w:rsid w:val="009F55D8"/>
    <w:pPr>
      <w:spacing w:after="0" w:line="240" w:lineRule="auto"/>
    </w:pPr>
    <w:rPr>
      <w:rFonts w:ascii="Arial" w:hAnsi="Arial"/>
      <w:sz w:val="24"/>
    </w:rPr>
  </w:style>
  <w:style w:type="numbering" w:customStyle="1" w:styleId="CurrentList1">
    <w:name w:val="Current List1"/>
    <w:uiPriority w:val="99"/>
    <w:rsid w:val="00337169"/>
    <w:pPr>
      <w:numPr>
        <w:numId w:val="3"/>
      </w:numPr>
    </w:pPr>
  </w:style>
  <w:style w:type="paragraph" w:customStyle="1" w:styleId="Default">
    <w:name w:val="Default"/>
    <w:rsid w:val="0008212C"/>
    <w:pPr>
      <w:autoSpaceDE w:val="0"/>
      <w:autoSpaceDN w:val="0"/>
      <w:adjustRightInd w:val="0"/>
      <w:spacing w:after="0" w:line="240" w:lineRule="auto"/>
    </w:pPr>
    <w:rPr>
      <w:rFonts w:ascii="Univers LT Std 45 Light" w:hAnsi="Univers LT Std 45 Light" w:cs="Univers LT Std 45 Light"/>
      <w:color w:val="000000"/>
      <w:sz w:val="24"/>
      <w:szCs w:val="24"/>
    </w:rPr>
  </w:style>
  <w:style w:type="paragraph" w:customStyle="1" w:styleId="Pa8">
    <w:name w:val="Pa8"/>
    <w:basedOn w:val="Default"/>
    <w:next w:val="Default"/>
    <w:uiPriority w:val="99"/>
    <w:rsid w:val="0008212C"/>
    <w:pPr>
      <w:spacing w:line="231" w:lineRule="atLeast"/>
    </w:pPr>
    <w:rPr>
      <w:rFonts w:cstheme="minorBidi"/>
      <w:color w:val="auto"/>
    </w:rPr>
  </w:style>
  <w:style w:type="paragraph" w:customStyle="1" w:styleId="Pa9">
    <w:name w:val="Pa9"/>
    <w:basedOn w:val="Default"/>
    <w:next w:val="Default"/>
    <w:uiPriority w:val="99"/>
    <w:rsid w:val="0008212C"/>
    <w:pPr>
      <w:spacing w:line="201" w:lineRule="atLeast"/>
    </w:pPr>
    <w:rPr>
      <w:rFonts w:cstheme="minorBidi"/>
      <w:color w:val="auto"/>
    </w:rPr>
  </w:style>
  <w:style w:type="paragraph" w:customStyle="1" w:styleId="NCDBodyText">
    <w:name w:val="NCD.Body Text"/>
    <w:rsid w:val="006920C4"/>
    <w:pPr>
      <w:pBdr>
        <w:top w:val="nil"/>
        <w:left w:val="nil"/>
        <w:bottom w:val="nil"/>
        <w:right w:val="nil"/>
        <w:between w:val="nil"/>
        <w:bar w:val="nil"/>
      </w:pBdr>
      <w:spacing w:after="200" w:line="360" w:lineRule="auto"/>
    </w:pPr>
    <w:rPr>
      <w:rFonts w:ascii="Arial" w:eastAsia="Calibri" w:hAnsi="Arial" w:cs="Calibri"/>
      <w:color w:val="000000"/>
      <w:sz w:val="24"/>
      <w:szCs w:val="24"/>
      <w:u w:color="000000"/>
      <w:bdr w:val="nil"/>
    </w:rPr>
  </w:style>
  <w:style w:type="paragraph" w:customStyle="1" w:styleId="NCDBulletsLevel1">
    <w:name w:val="NCD.Bullets Level 1"/>
    <w:qFormat/>
    <w:rsid w:val="006920C4"/>
    <w:pPr>
      <w:numPr>
        <w:numId w:val="4"/>
      </w:numPr>
      <w:spacing w:after="200" w:line="360" w:lineRule="auto"/>
    </w:pPr>
    <w:rPr>
      <w:rFonts w:ascii="Arial" w:eastAsia="Calibri" w:hAnsi="Arial" w:cs="Arial"/>
      <w:sz w:val="24"/>
      <w:szCs w:val="24"/>
    </w:rPr>
  </w:style>
  <w:style w:type="paragraph" w:customStyle="1" w:styleId="NCDExtract">
    <w:name w:val="NCD.Extract"/>
    <w:basedOn w:val="NCDBodyText"/>
    <w:qFormat/>
    <w:rsid w:val="00783F5C"/>
    <w:pPr>
      <w:ind w:left="360" w:right="360"/>
    </w:pPr>
    <w:rPr>
      <w:rFonts w:cs="Arial"/>
    </w:rPr>
  </w:style>
  <w:style w:type="paragraph" w:customStyle="1" w:styleId="NCDNumberedLevel1">
    <w:name w:val="NCD.Numbered Level 1"/>
    <w:basedOn w:val="NCDBulletsLevel1"/>
    <w:qFormat/>
    <w:rsid w:val="00E31037"/>
    <w:pPr>
      <w:numPr>
        <w:numId w:val="5"/>
      </w:numPr>
    </w:pPr>
  </w:style>
  <w:style w:type="paragraph" w:customStyle="1" w:styleId="NCDTableHeader">
    <w:name w:val="NCD.Table Header"/>
    <w:basedOn w:val="Normal"/>
    <w:qFormat/>
    <w:rsid w:val="00E5526D"/>
    <w:rPr>
      <w:rFonts w:eastAsia="Times New Roman" w:cs="Arial"/>
      <w:b/>
      <w:bCs/>
      <w:szCs w:val="24"/>
    </w:rPr>
  </w:style>
  <w:style w:type="paragraph" w:customStyle="1" w:styleId="NCDTableText">
    <w:name w:val="NCD.Table Text"/>
    <w:qFormat/>
    <w:rsid w:val="00E5526D"/>
    <w:pPr>
      <w:spacing w:after="0" w:line="360" w:lineRule="auto"/>
    </w:pPr>
    <w:rPr>
      <w:rFonts w:ascii="Arial" w:eastAsia="Times New Roman" w:hAnsi="Arial" w:cs="Arial"/>
      <w:sz w:val="24"/>
      <w:szCs w:val="24"/>
    </w:rPr>
  </w:style>
  <w:style w:type="paragraph" w:customStyle="1" w:styleId="NCDNationalCouncilStaff">
    <w:name w:val="NCD.National Council Staff"/>
    <w:qFormat/>
    <w:rsid w:val="00744B8B"/>
    <w:pPr>
      <w:keepNext/>
      <w:keepLines/>
      <w:spacing w:before="480" w:after="0" w:line="276" w:lineRule="auto"/>
      <w:jc w:val="center"/>
      <w:outlineLvl w:val="0"/>
    </w:pPr>
    <w:rPr>
      <w:rFonts w:ascii="Arial" w:eastAsiaTheme="majorEastAsia" w:hAnsi="Arial" w:cs="Arial"/>
      <w:b/>
      <w:bCs/>
      <w:sz w:val="36"/>
      <w:szCs w:val="28"/>
    </w:rPr>
  </w:style>
  <w:style w:type="table" w:styleId="TableGrid">
    <w:name w:val="Table Grid"/>
    <w:basedOn w:val="TableNormal"/>
    <w:uiPriority w:val="59"/>
    <w:rsid w:val="000D4F98"/>
    <w:pPr>
      <w:spacing w:after="0" w:line="240" w:lineRule="auto"/>
    </w:pPr>
    <w:rPr>
      <w:rFonts w:ascii="Calibri" w:eastAsia="Calibri" w:hAnsi="Calibri" w:cs="Calibri"/>
      <w:sz w:val="24"/>
      <w:szCs w:val="24"/>
      <w:lang w:bidi="hi-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CDBodyTextSpaceBefore">
    <w:name w:val="NCD.Body Text Space Before"/>
    <w:basedOn w:val="NCDBodyText"/>
    <w:qFormat/>
    <w:rsid w:val="000D4F98"/>
    <w:pPr>
      <w:spacing w:before="240" w:after="360"/>
    </w:pPr>
    <w:rPr>
      <w:lang w:bidi="hi-IN"/>
    </w:rPr>
  </w:style>
  <w:style w:type="character" w:customStyle="1" w:styleId="UnresolvedMention1">
    <w:name w:val="Unresolved Mention1"/>
    <w:basedOn w:val="DefaultParagraphFont"/>
    <w:uiPriority w:val="99"/>
    <w:semiHidden/>
    <w:unhideWhenUsed/>
    <w:rsid w:val="000D4F98"/>
    <w:rPr>
      <w:color w:val="605E5C"/>
      <w:shd w:val="clear" w:color="auto" w:fill="E1DFDD"/>
    </w:rPr>
  </w:style>
  <w:style w:type="character" w:customStyle="1" w:styleId="UnresolvedMention2">
    <w:name w:val="Unresolved Mention2"/>
    <w:basedOn w:val="DefaultParagraphFont"/>
    <w:uiPriority w:val="99"/>
    <w:semiHidden/>
    <w:unhideWhenUsed/>
    <w:rsid w:val="000D4F98"/>
    <w:rPr>
      <w:color w:val="605E5C"/>
      <w:shd w:val="clear" w:color="auto" w:fill="E1DFDD"/>
    </w:rPr>
  </w:style>
  <w:style w:type="table" w:customStyle="1" w:styleId="PlainTable1">
    <w:name w:val="Plain Table 1"/>
    <w:basedOn w:val="TableNormal"/>
    <w:uiPriority w:val="41"/>
    <w:rsid w:val="000D4F98"/>
    <w:pPr>
      <w:spacing w:after="0" w:line="240" w:lineRule="auto"/>
    </w:pPr>
    <w:rPr>
      <w:rFonts w:ascii="Calibri" w:eastAsia="Calibri" w:hAnsi="Calibri" w:cs="Calibri"/>
      <w:sz w:val="24"/>
      <w:szCs w:val="24"/>
      <w:lang w:bidi="hi-IN"/>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ListTable1LightAccent1">
    <w:name w:val="List Table 1 Light Accent 1"/>
    <w:basedOn w:val="TableNormal"/>
    <w:uiPriority w:val="46"/>
    <w:rsid w:val="000D4F98"/>
    <w:pPr>
      <w:spacing w:after="0" w:line="240" w:lineRule="auto"/>
    </w:pPr>
    <w:rPr>
      <w:rFonts w:ascii="Calibri" w:eastAsia="Calibri" w:hAnsi="Calibri" w:cs="Calibri"/>
      <w:sz w:val="24"/>
      <w:szCs w:val="24"/>
      <w:lang w:bidi="hi-IN"/>
    </w:r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BodyText">
    <w:name w:val="Body Text"/>
    <w:basedOn w:val="Normal"/>
    <w:link w:val="BodyTextChar"/>
    <w:uiPriority w:val="1"/>
    <w:qFormat/>
    <w:rsid w:val="000D4F98"/>
    <w:pPr>
      <w:widowControl w:val="0"/>
      <w:autoSpaceDE w:val="0"/>
      <w:autoSpaceDN w:val="0"/>
      <w:spacing w:line="240" w:lineRule="auto"/>
    </w:pPr>
    <w:rPr>
      <w:rFonts w:eastAsia="Arial" w:cs="Arial"/>
      <w:sz w:val="22"/>
      <w:lang w:bidi="en-US"/>
    </w:rPr>
  </w:style>
  <w:style w:type="character" w:customStyle="1" w:styleId="BodyTextChar">
    <w:name w:val="Body Text Char"/>
    <w:basedOn w:val="DefaultParagraphFont"/>
    <w:link w:val="BodyText"/>
    <w:uiPriority w:val="1"/>
    <w:rsid w:val="000D4F98"/>
    <w:rPr>
      <w:rFonts w:ascii="Arial" w:eastAsia="Arial" w:hAnsi="Arial" w:cs="Arial"/>
      <w:lang w:bidi="en-US"/>
    </w:rPr>
  </w:style>
  <w:style w:type="paragraph" w:customStyle="1" w:styleId="NCDLetteredLevel1">
    <w:name w:val="NCD.Lettered Level 1"/>
    <w:basedOn w:val="NCDNumberedLevel1"/>
    <w:qFormat/>
    <w:rsid w:val="00544FFB"/>
    <w:pPr>
      <w:numPr>
        <w:numId w:val="13"/>
      </w:numPr>
    </w:pPr>
  </w:style>
  <w:style w:type="paragraph" w:customStyle="1" w:styleId="NCDAppendixNumberedLevel1">
    <w:name w:val="NCD. Appendix Numbered Level 1"/>
    <w:basedOn w:val="Normal"/>
    <w:qFormat/>
    <w:rsid w:val="00687E4A"/>
    <w:pPr>
      <w:numPr>
        <w:numId w:val="6"/>
      </w:numPr>
      <w:spacing w:after="200" w:line="240" w:lineRule="auto"/>
      <w:ind w:left="360"/>
    </w:pPr>
  </w:style>
  <w:style w:type="paragraph" w:customStyle="1" w:styleId="NCDAppendixNumberedLevel2">
    <w:name w:val="NCD. Appendix Numbered Level 2"/>
    <w:basedOn w:val="Normal"/>
    <w:qFormat/>
    <w:rsid w:val="00687E4A"/>
    <w:pPr>
      <w:numPr>
        <w:ilvl w:val="1"/>
        <w:numId w:val="6"/>
      </w:numPr>
      <w:spacing w:after="200" w:line="240" w:lineRule="auto"/>
      <w:ind w:left="720"/>
    </w:pPr>
  </w:style>
  <w:style w:type="paragraph" w:customStyle="1" w:styleId="NCDAppendixNumberedLevel3">
    <w:name w:val="NCD. Appendix Numbered Level 3"/>
    <w:basedOn w:val="Normal"/>
    <w:qFormat/>
    <w:rsid w:val="00687E4A"/>
    <w:pPr>
      <w:numPr>
        <w:ilvl w:val="2"/>
        <w:numId w:val="6"/>
      </w:numPr>
      <w:spacing w:after="200" w:line="240" w:lineRule="auto"/>
      <w:ind w:left="1296"/>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List Bullet" w:uiPriority="9"/>
    <w:lsdException w:name="List Number" w:uiPriority="9"/>
    <w:lsdException w:name="Title" w:semiHidden="0" w:uiPriority="0" w:unhideWhenUsed="0" w:qFormat="1"/>
    <w:lsdException w:name="Default Paragraph Font" w:uiPriority="1"/>
    <w:lsdException w:name="Body Text" w:uiPriority="1" w:qFormat="1"/>
    <w:lsdException w:name="Subtitle" w:semiHidden="0" w:uiPriority="0"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7E4A"/>
    <w:pPr>
      <w:spacing w:after="0" w:line="360" w:lineRule="auto"/>
    </w:pPr>
    <w:rPr>
      <w:rFonts w:ascii="Arial" w:hAnsi="Arial"/>
      <w:sz w:val="24"/>
    </w:rPr>
  </w:style>
  <w:style w:type="paragraph" w:styleId="Heading1">
    <w:name w:val="heading 1"/>
    <w:basedOn w:val="Normal"/>
    <w:next w:val="Normal"/>
    <w:link w:val="Heading1Char"/>
    <w:qFormat/>
    <w:rsid w:val="003C3D20"/>
    <w:pPr>
      <w:keepNext/>
      <w:keepLines/>
      <w:spacing w:after="200"/>
      <w:jc w:val="center"/>
      <w:outlineLvl w:val="0"/>
    </w:pPr>
    <w:rPr>
      <w:rFonts w:cs="Arial"/>
      <w:b/>
      <w:sz w:val="36"/>
      <w:szCs w:val="32"/>
    </w:rPr>
  </w:style>
  <w:style w:type="paragraph" w:styleId="Heading2">
    <w:name w:val="heading 2"/>
    <w:aliases w:val="NCD.Heading 2"/>
    <w:basedOn w:val="ListParagraph"/>
    <w:next w:val="Normal"/>
    <w:link w:val="Heading2Char"/>
    <w:unhideWhenUsed/>
    <w:qFormat/>
    <w:rsid w:val="00D82A31"/>
    <w:pPr>
      <w:keepNext/>
      <w:keepLines/>
      <w:spacing w:line="480" w:lineRule="auto"/>
      <w:ind w:left="360" w:hanging="360"/>
      <w:contextualSpacing w:val="0"/>
      <w:outlineLvl w:val="1"/>
    </w:pPr>
    <w:rPr>
      <w:rFonts w:eastAsia="Times New Roman" w:cs="Times New Roman"/>
      <w:b/>
      <w:color w:val="auto"/>
      <w:sz w:val="28"/>
      <w:szCs w:val="32"/>
    </w:rPr>
  </w:style>
  <w:style w:type="paragraph" w:styleId="Heading3">
    <w:name w:val="heading 3"/>
    <w:aliases w:val="NCD.Heading 3"/>
    <w:basedOn w:val="Normal"/>
    <w:next w:val="Normal"/>
    <w:link w:val="Heading3Char"/>
    <w:unhideWhenUsed/>
    <w:qFormat/>
    <w:rsid w:val="00224015"/>
    <w:pPr>
      <w:keepNext/>
      <w:spacing w:line="480" w:lineRule="auto"/>
      <w:ind w:left="360" w:hanging="360"/>
      <w:outlineLvl w:val="2"/>
    </w:pPr>
    <w:rPr>
      <w:rFonts w:eastAsia="Calibri" w:cs="Arial"/>
      <w:b/>
      <w:i/>
      <w:color w:val="000000" w:themeColor="text1"/>
      <w:szCs w:val="24"/>
    </w:rPr>
  </w:style>
  <w:style w:type="paragraph" w:styleId="Heading4">
    <w:name w:val="heading 4"/>
    <w:basedOn w:val="Normal"/>
    <w:next w:val="Normal"/>
    <w:link w:val="Heading4Char"/>
    <w:unhideWhenUsed/>
    <w:qFormat/>
    <w:rsid w:val="007C5C98"/>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nhideWhenUsed/>
    <w:qFormat/>
    <w:rsid w:val="007C5C98"/>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nhideWhenUsed/>
    <w:qFormat/>
    <w:rsid w:val="007C5C98"/>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7C5C98"/>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7C5C98"/>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C5C98"/>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C3D20"/>
    <w:rPr>
      <w:rFonts w:ascii="Arial" w:hAnsi="Arial" w:cs="Arial"/>
      <w:b/>
      <w:sz w:val="36"/>
      <w:szCs w:val="32"/>
    </w:rPr>
  </w:style>
  <w:style w:type="character" w:customStyle="1" w:styleId="Heading2Char">
    <w:name w:val="Heading 2 Char"/>
    <w:aliases w:val="NCD.Heading 2 Char"/>
    <w:basedOn w:val="DefaultParagraphFont"/>
    <w:link w:val="Heading2"/>
    <w:uiPriority w:val="9"/>
    <w:rsid w:val="00D82A31"/>
    <w:rPr>
      <w:rFonts w:ascii="Arial" w:eastAsia="Times New Roman" w:hAnsi="Arial" w:cs="Times New Roman"/>
      <w:b/>
      <w:sz w:val="28"/>
      <w:szCs w:val="32"/>
    </w:rPr>
  </w:style>
  <w:style w:type="character" w:customStyle="1" w:styleId="Heading3Char">
    <w:name w:val="Heading 3 Char"/>
    <w:aliases w:val="NCD.Heading 3 Char"/>
    <w:basedOn w:val="DefaultParagraphFont"/>
    <w:link w:val="Heading3"/>
    <w:uiPriority w:val="9"/>
    <w:rsid w:val="00224015"/>
    <w:rPr>
      <w:rFonts w:ascii="Arial" w:eastAsia="Calibri" w:hAnsi="Arial" w:cs="Arial"/>
      <w:b/>
      <w:i/>
      <w:color w:val="000000" w:themeColor="text1"/>
      <w:sz w:val="24"/>
      <w:szCs w:val="24"/>
    </w:rPr>
  </w:style>
  <w:style w:type="character" w:customStyle="1" w:styleId="Heading4Char">
    <w:name w:val="Heading 4 Char"/>
    <w:basedOn w:val="DefaultParagraphFont"/>
    <w:link w:val="Heading4"/>
    <w:uiPriority w:val="9"/>
    <w:rsid w:val="007C5C98"/>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7C5C98"/>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7C5C98"/>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7C5C98"/>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7C5C9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C5C98"/>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qFormat/>
    <w:rsid w:val="007C5C98"/>
    <w:pPr>
      <w:spacing w:line="240" w:lineRule="auto"/>
    </w:pPr>
  </w:style>
  <w:style w:type="character" w:customStyle="1" w:styleId="HeaderChar">
    <w:name w:val="Header Char"/>
    <w:basedOn w:val="DefaultParagraphFont"/>
    <w:link w:val="Header"/>
    <w:uiPriority w:val="99"/>
    <w:rsid w:val="007C5C98"/>
  </w:style>
  <w:style w:type="paragraph" w:styleId="Footer">
    <w:name w:val="footer"/>
    <w:basedOn w:val="Normal"/>
    <w:link w:val="FooterChar"/>
    <w:uiPriority w:val="99"/>
    <w:unhideWhenUsed/>
    <w:qFormat/>
    <w:rsid w:val="007C5C98"/>
    <w:pPr>
      <w:spacing w:line="240" w:lineRule="auto"/>
    </w:pPr>
  </w:style>
  <w:style w:type="character" w:customStyle="1" w:styleId="FooterChar">
    <w:name w:val="Footer Char"/>
    <w:basedOn w:val="DefaultParagraphFont"/>
    <w:link w:val="Footer"/>
    <w:uiPriority w:val="99"/>
    <w:rsid w:val="007C5C98"/>
  </w:style>
  <w:style w:type="paragraph" w:styleId="Caption">
    <w:name w:val="caption"/>
    <w:basedOn w:val="Normal"/>
    <w:next w:val="Normal"/>
    <w:uiPriority w:val="35"/>
    <w:semiHidden/>
    <w:unhideWhenUsed/>
    <w:qFormat/>
    <w:rsid w:val="007C5C98"/>
    <w:pPr>
      <w:spacing w:after="200" w:line="240" w:lineRule="auto"/>
    </w:pPr>
    <w:rPr>
      <w:i/>
      <w:iCs/>
      <w:color w:val="1F497D" w:themeColor="text2"/>
      <w:sz w:val="18"/>
      <w:szCs w:val="18"/>
    </w:rPr>
  </w:style>
  <w:style w:type="paragraph" w:styleId="ListBullet">
    <w:name w:val="List Bullet"/>
    <w:basedOn w:val="Normal"/>
    <w:uiPriority w:val="9"/>
    <w:rsid w:val="007C5C98"/>
    <w:pPr>
      <w:numPr>
        <w:numId w:val="1"/>
      </w:numPr>
    </w:pPr>
  </w:style>
  <w:style w:type="paragraph" w:styleId="ListNumber">
    <w:name w:val="List Number"/>
    <w:basedOn w:val="Normal"/>
    <w:uiPriority w:val="9"/>
    <w:rsid w:val="007C5C98"/>
    <w:pPr>
      <w:numPr>
        <w:numId w:val="2"/>
      </w:numPr>
    </w:pPr>
  </w:style>
  <w:style w:type="paragraph" w:styleId="Title">
    <w:name w:val="Title"/>
    <w:basedOn w:val="Heading1"/>
    <w:next w:val="Normal"/>
    <w:link w:val="TitleChar"/>
    <w:qFormat/>
    <w:rsid w:val="007C5C98"/>
    <w:rPr>
      <w:sz w:val="28"/>
      <w:szCs w:val="28"/>
    </w:rPr>
  </w:style>
  <w:style w:type="character" w:customStyle="1" w:styleId="TitleChar">
    <w:name w:val="Title Char"/>
    <w:basedOn w:val="DefaultParagraphFont"/>
    <w:link w:val="Title"/>
    <w:uiPriority w:val="10"/>
    <w:rsid w:val="007C5C98"/>
    <w:rPr>
      <w:rFonts w:ascii="Arial" w:hAnsi="Arial" w:cs="Arial"/>
      <w:b/>
      <w:bCs/>
      <w:sz w:val="28"/>
      <w:szCs w:val="28"/>
    </w:rPr>
  </w:style>
  <w:style w:type="paragraph" w:styleId="Subtitle">
    <w:name w:val="Subtitle"/>
    <w:basedOn w:val="Normal"/>
    <w:link w:val="SubtitleChar"/>
    <w:qFormat/>
    <w:rsid w:val="007C5C9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C5C98"/>
    <w:rPr>
      <w:rFonts w:eastAsiaTheme="minorEastAsia"/>
      <w:color w:val="5A5A5A" w:themeColor="text1" w:themeTint="A5"/>
      <w:spacing w:val="15"/>
    </w:rPr>
  </w:style>
  <w:style w:type="character" w:styleId="Strong">
    <w:name w:val="Strong"/>
    <w:basedOn w:val="DefaultParagraphFont"/>
    <w:uiPriority w:val="22"/>
    <w:qFormat/>
    <w:rsid w:val="007C5C98"/>
    <w:rPr>
      <w:b/>
      <w:bCs/>
    </w:rPr>
  </w:style>
  <w:style w:type="character" w:styleId="Emphasis">
    <w:name w:val="Emphasis"/>
    <w:basedOn w:val="DefaultParagraphFont"/>
    <w:uiPriority w:val="20"/>
    <w:qFormat/>
    <w:rsid w:val="007C5C98"/>
    <w:rPr>
      <w:i/>
      <w:iCs/>
    </w:rPr>
  </w:style>
  <w:style w:type="paragraph" w:styleId="NoSpacing">
    <w:name w:val="No Spacing"/>
    <w:uiPriority w:val="1"/>
    <w:qFormat/>
    <w:rsid w:val="007C5C98"/>
    <w:pPr>
      <w:spacing w:after="0" w:line="240" w:lineRule="auto"/>
    </w:pPr>
  </w:style>
  <w:style w:type="paragraph" w:styleId="ListParagraph">
    <w:name w:val="List Paragraph"/>
    <w:basedOn w:val="Normal"/>
    <w:link w:val="ListParagraphChar"/>
    <w:uiPriority w:val="34"/>
    <w:unhideWhenUsed/>
    <w:qFormat/>
    <w:rsid w:val="00AE0363"/>
    <w:pPr>
      <w:ind w:left="720"/>
      <w:contextualSpacing/>
    </w:pPr>
    <w:rPr>
      <w:color w:val="000000" w:themeColor="text1"/>
      <w:szCs w:val="30"/>
    </w:rPr>
  </w:style>
  <w:style w:type="character" w:customStyle="1" w:styleId="ListParagraphChar">
    <w:name w:val="List Paragraph Char"/>
    <w:basedOn w:val="DefaultParagraphFont"/>
    <w:link w:val="ListParagraph"/>
    <w:uiPriority w:val="34"/>
    <w:rsid w:val="00AE0363"/>
    <w:rPr>
      <w:rFonts w:ascii="Arial" w:hAnsi="Arial"/>
      <w:color w:val="000000" w:themeColor="text1"/>
      <w:sz w:val="24"/>
      <w:szCs w:val="30"/>
    </w:rPr>
  </w:style>
  <w:style w:type="paragraph" w:styleId="Quote">
    <w:name w:val="Quote"/>
    <w:basedOn w:val="Normal"/>
    <w:next w:val="Normal"/>
    <w:link w:val="QuoteChar"/>
    <w:uiPriority w:val="29"/>
    <w:qFormat/>
    <w:rsid w:val="007C5C98"/>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7C5C98"/>
    <w:rPr>
      <w:i/>
      <w:iCs/>
      <w:color w:val="404040" w:themeColor="text1" w:themeTint="BF"/>
    </w:rPr>
  </w:style>
  <w:style w:type="paragraph" w:styleId="IntenseQuote">
    <w:name w:val="Intense Quote"/>
    <w:basedOn w:val="Normal"/>
    <w:next w:val="Normal"/>
    <w:link w:val="IntenseQuoteChar"/>
    <w:uiPriority w:val="30"/>
    <w:qFormat/>
    <w:rsid w:val="007C5C98"/>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7C5C98"/>
    <w:rPr>
      <w:i/>
      <w:iCs/>
      <w:color w:val="4F81BD" w:themeColor="accent1"/>
    </w:rPr>
  </w:style>
  <w:style w:type="character" w:styleId="SubtleEmphasis">
    <w:name w:val="Subtle Emphasis"/>
    <w:basedOn w:val="DefaultParagraphFont"/>
    <w:uiPriority w:val="19"/>
    <w:qFormat/>
    <w:rsid w:val="007C5C98"/>
    <w:rPr>
      <w:i/>
      <w:iCs/>
      <w:color w:val="404040" w:themeColor="text1" w:themeTint="BF"/>
    </w:rPr>
  </w:style>
  <w:style w:type="character" w:styleId="IntenseEmphasis">
    <w:name w:val="Intense Emphasis"/>
    <w:basedOn w:val="DefaultParagraphFont"/>
    <w:uiPriority w:val="21"/>
    <w:qFormat/>
    <w:rsid w:val="007C5C98"/>
    <w:rPr>
      <w:i/>
      <w:iCs/>
      <w:color w:val="4F81BD" w:themeColor="accent1"/>
    </w:rPr>
  </w:style>
  <w:style w:type="character" w:styleId="SubtleReference">
    <w:name w:val="Subtle Reference"/>
    <w:basedOn w:val="DefaultParagraphFont"/>
    <w:uiPriority w:val="31"/>
    <w:qFormat/>
    <w:rsid w:val="007C5C98"/>
    <w:rPr>
      <w:smallCaps/>
      <w:color w:val="5A5A5A" w:themeColor="text1" w:themeTint="A5"/>
    </w:rPr>
  </w:style>
  <w:style w:type="character" w:styleId="IntenseReference">
    <w:name w:val="Intense Reference"/>
    <w:basedOn w:val="DefaultParagraphFont"/>
    <w:uiPriority w:val="32"/>
    <w:qFormat/>
    <w:rsid w:val="007C5C98"/>
    <w:rPr>
      <w:b/>
      <w:bCs/>
      <w:smallCaps/>
      <w:color w:val="4F81BD" w:themeColor="accent1"/>
      <w:spacing w:val="5"/>
    </w:rPr>
  </w:style>
  <w:style w:type="paragraph" w:styleId="TOCHeading">
    <w:name w:val="TOC Heading"/>
    <w:basedOn w:val="Heading1"/>
    <w:next w:val="Normal"/>
    <w:uiPriority w:val="39"/>
    <w:unhideWhenUsed/>
    <w:qFormat/>
    <w:rsid w:val="00571465"/>
    <w:pPr>
      <w:spacing w:before="240" w:line="259" w:lineRule="auto"/>
      <w:outlineLvl w:val="9"/>
    </w:pPr>
    <w:rPr>
      <w:rFonts w:eastAsiaTheme="majorEastAsia" w:cstheme="majorBidi"/>
      <w:b w:val="0"/>
      <w:bCs/>
      <w:color w:val="000000" w:themeColor="text1"/>
    </w:rPr>
  </w:style>
  <w:style w:type="paragraph" w:customStyle="1" w:styleId="SYStyle">
    <w:name w:val="SY Style"/>
    <w:basedOn w:val="Title"/>
    <w:link w:val="SYStyleChar"/>
    <w:qFormat/>
    <w:rsid w:val="007C5C98"/>
    <w:rPr>
      <w:b w:val="0"/>
      <w:bCs/>
    </w:rPr>
  </w:style>
  <w:style w:type="character" w:customStyle="1" w:styleId="SYStyleChar">
    <w:name w:val="SY Style Char"/>
    <w:basedOn w:val="TitleChar"/>
    <w:link w:val="SYStyle"/>
    <w:rsid w:val="007C5C98"/>
    <w:rPr>
      <w:rFonts w:ascii="Arial" w:hAnsi="Arial" w:cs="Arial"/>
      <w:b w:val="0"/>
      <w:bCs w:val="0"/>
      <w:sz w:val="28"/>
      <w:szCs w:val="28"/>
    </w:rPr>
  </w:style>
  <w:style w:type="paragraph" w:styleId="EndnoteText">
    <w:name w:val="endnote text"/>
    <w:basedOn w:val="Normal"/>
    <w:link w:val="EndnoteTextChar"/>
    <w:uiPriority w:val="99"/>
    <w:unhideWhenUsed/>
    <w:rsid w:val="002261A1"/>
    <w:pPr>
      <w:spacing w:line="240" w:lineRule="auto"/>
    </w:pPr>
    <w:rPr>
      <w:rFonts w:eastAsia="Times New Roman" w:cs="Times New Roman"/>
      <w:szCs w:val="20"/>
    </w:rPr>
  </w:style>
  <w:style w:type="character" w:customStyle="1" w:styleId="EndnoteTextChar">
    <w:name w:val="Endnote Text Char"/>
    <w:basedOn w:val="DefaultParagraphFont"/>
    <w:link w:val="EndnoteText"/>
    <w:uiPriority w:val="99"/>
    <w:rsid w:val="002261A1"/>
    <w:rPr>
      <w:rFonts w:ascii="Arial" w:eastAsia="Times New Roman" w:hAnsi="Arial" w:cs="Times New Roman"/>
      <w:sz w:val="24"/>
      <w:szCs w:val="20"/>
    </w:rPr>
  </w:style>
  <w:style w:type="character" w:styleId="EndnoteReference">
    <w:name w:val="endnote reference"/>
    <w:uiPriority w:val="99"/>
    <w:unhideWhenUsed/>
    <w:rsid w:val="00AD7125"/>
    <w:rPr>
      <w:vertAlign w:val="superscript"/>
    </w:rPr>
  </w:style>
  <w:style w:type="character" w:styleId="Hyperlink">
    <w:name w:val="Hyperlink"/>
    <w:basedOn w:val="DefaultParagraphFont"/>
    <w:uiPriority w:val="99"/>
    <w:unhideWhenUsed/>
    <w:qFormat/>
    <w:rsid w:val="00AC7D93"/>
    <w:rPr>
      <w:color w:val="0000FF" w:themeColor="hyperlink"/>
      <w:u w:val="single"/>
    </w:rPr>
  </w:style>
  <w:style w:type="character" w:customStyle="1" w:styleId="UnresolvedMention">
    <w:name w:val="Unresolved Mention"/>
    <w:basedOn w:val="DefaultParagraphFont"/>
    <w:uiPriority w:val="99"/>
    <w:rsid w:val="00AC7D93"/>
    <w:rPr>
      <w:color w:val="605E5C"/>
      <w:shd w:val="clear" w:color="auto" w:fill="E1DFDD"/>
    </w:rPr>
  </w:style>
  <w:style w:type="paragraph" w:styleId="FootnoteText">
    <w:name w:val="footnote text"/>
    <w:basedOn w:val="Normal"/>
    <w:link w:val="FootnoteTextChar"/>
    <w:uiPriority w:val="99"/>
    <w:semiHidden/>
    <w:unhideWhenUsed/>
    <w:rsid w:val="00AC7D93"/>
    <w:pPr>
      <w:spacing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semiHidden/>
    <w:rsid w:val="00AC7D93"/>
    <w:rPr>
      <w:rFonts w:ascii="Times New Roman" w:eastAsia="Times New Roman" w:hAnsi="Times New Roman" w:cs="Times New Roman"/>
      <w:sz w:val="20"/>
      <w:szCs w:val="20"/>
    </w:rPr>
  </w:style>
  <w:style w:type="character" w:customStyle="1" w:styleId="il">
    <w:name w:val="il"/>
    <w:basedOn w:val="DefaultParagraphFont"/>
    <w:rsid w:val="00AC7D93"/>
  </w:style>
  <w:style w:type="paragraph" w:customStyle="1" w:styleId="SYHeading1">
    <w:name w:val="SY Heading 1"/>
    <w:basedOn w:val="ListParagraph"/>
    <w:link w:val="SYHeading1Char"/>
    <w:qFormat/>
    <w:rsid w:val="00AC7D93"/>
    <w:pPr>
      <w:ind w:left="0"/>
    </w:pPr>
    <w:rPr>
      <w:rFonts w:cs="Arial"/>
      <w:szCs w:val="24"/>
      <w:u w:val="single"/>
    </w:rPr>
  </w:style>
  <w:style w:type="character" w:customStyle="1" w:styleId="SYHeading1Char">
    <w:name w:val="SY Heading 1 Char"/>
    <w:basedOn w:val="ListParagraphChar"/>
    <w:link w:val="SYHeading1"/>
    <w:rsid w:val="00AC7D93"/>
    <w:rPr>
      <w:rFonts w:ascii="Arial" w:hAnsi="Arial" w:cs="Arial"/>
      <w:color w:val="000000" w:themeColor="text1"/>
      <w:sz w:val="24"/>
      <w:szCs w:val="24"/>
      <w:u w:val="single"/>
    </w:rPr>
  </w:style>
  <w:style w:type="character" w:customStyle="1" w:styleId="apple-converted-space">
    <w:name w:val="apple-converted-space"/>
    <w:basedOn w:val="DefaultParagraphFont"/>
    <w:rsid w:val="00AC7D93"/>
  </w:style>
  <w:style w:type="paragraph" w:styleId="NormalWeb">
    <w:name w:val="Normal (Web)"/>
    <w:basedOn w:val="Normal"/>
    <w:uiPriority w:val="99"/>
    <w:unhideWhenUsed/>
    <w:rsid w:val="00AC7D93"/>
    <w:pPr>
      <w:spacing w:before="100" w:beforeAutospacing="1" w:after="100" w:afterAutospacing="1" w:line="240" w:lineRule="auto"/>
    </w:pPr>
    <w:rPr>
      <w:rFonts w:ascii="Times New Roman" w:eastAsia="Times New Roman" w:hAnsi="Times New Roman" w:cs="Times New Roman"/>
      <w:szCs w:val="24"/>
    </w:rPr>
  </w:style>
  <w:style w:type="paragraph" w:customStyle="1" w:styleId="Body">
    <w:name w:val="Body"/>
    <w:rsid w:val="00AC7D93"/>
    <w:pPr>
      <w:pBdr>
        <w:top w:val="nil"/>
        <w:left w:val="nil"/>
        <w:bottom w:val="nil"/>
        <w:right w:val="nil"/>
        <w:between w:val="nil"/>
        <w:bar w:val="nil"/>
      </w:pBdr>
      <w:spacing w:after="0" w:line="276" w:lineRule="auto"/>
    </w:pPr>
    <w:rPr>
      <w:rFonts w:ascii="Arial" w:eastAsia="Arial Unicode MS" w:hAnsi="Arial" w:cs="Arial Unicode MS"/>
      <w:color w:val="000000"/>
      <w:u w:color="000000"/>
      <w:bdr w:val="nil"/>
    </w:rPr>
  </w:style>
  <w:style w:type="paragraph" w:styleId="TOC1">
    <w:name w:val="toc 1"/>
    <w:basedOn w:val="Normal"/>
    <w:next w:val="Normal"/>
    <w:uiPriority w:val="39"/>
    <w:unhideWhenUsed/>
    <w:rsid w:val="00075D0A"/>
    <w:pPr>
      <w:tabs>
        <w:tab w:val="right" w:leader="dot" w:pos="9350"/>
      </w:tabs>
      <w:spacing w:before="240" w:after="40" w:line="240" w:lineRule="auto"/>
    </w:pPr>
    <w:rPr>
      <w:rFonts w:eastAsia="Times New Roman" w:cs="Arial"/>
      <w:noProof/>
      <w:szCs w:val="24"/>
    </w:rPr>
  </w:style>
  <w:style w:type="paragraph" w:styleId="TOC2">
    <w:name w:val="toc 2"/>
    <w:basedOn w:val="Normal"/>
    <w:next w:val="Normal"/>
    <w:uiPriority w:val="39"/>
    <w:unhideWhenUsed/>
    <w:rsid w:val="00075D0A"/>
    <w:pPr>
      <w:tabs>
        <w:tab w:val="left" w:pos="660"/>
        <w:tab w:val="left" w:pos="880"/>
        <w:tab w:val="right" w:leader="dot" w:pos="9350"/>
      </w:tabs>
      <w:spacing w:after="100" w:line="240" w:lineRule="auto"/>
      <w:ind w:left="720" w:hanging="360"/>
    </w:pPr>
    <w:rPr>
      <w:rFonts w:ascii="Times New Roman" w:eastAsia="Times New Roman" w:hAnsi="Times New Roman" w:cs="Times New Roman"/>
      <w:szCs w:val="24"/>
    </w:rPr>
  </w:style>
  <w:style w:type="paragraph" w:styleId="TOC3">
    <w:name w:val="toc 3"/>
    <w:basedOn w:val="Normal"/>
    <w:next w:val="Normal"/>
    <w:autoRedefine/>
    <w:uiPriority w:val="39"/>
    <w:unhideWhenUsed/>
    <w:rsid w:val="00075D0A"/>
    <w:pPr>
      <w:tabs>
        <w:tab w:val="left" w:pos="1100"/>
        <w:tab w:val="right" w:leader="dot" w:pos="9350"/>
      </w:tabs>
      <w:spacing w:after="100" w:line="240" w:lineRule="auto"/>
      <w:ind w:left="1080" w:hanging="360"/>
    </w:pPr>
    <w:rPr>
      <w:rFonts w:ascii="Times New Roman" w:eastAsia="Times New Roman" w:hAnsi="Times New Roman" w:cs="Times New Roman"/>
      <w:szCs w:val="24"/>
    </w:rPr>
  </w:style>
  <w:style w:type="character" w:styleId="CommentReference">
    <w:name w:val="annotation reference"/>
    <w:basedOn w:val="DefaultParagraphFont"/>
    <w:uiPriority w:val="99"/>
    <w:semiHidden/>
    <w:unhideWhenUsed/>
    <w:rsid w:val="00AC7D93"/>
    <w:rPr>
      <w:sz w:val="16"/>
      <w:szCs w:val="16"/>
    </w:rPr>
  </w:style>
  <w:style w:type="paragraph" w:styleId="CommentText">
    <w:name w:val="annotation text"/>
    <w:basedOn w:val="Normal"/>
    <w:link w:val="CommentTextChar"/>
    <w:uiPriority w:val="99"/>
    <w:unhideWhenUsed/>
    <w:rsid w:val="00AC7D93"/>
    <w:pPr>
      <w:spacing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rsid w:val="00AC7D93"/>
    <w:rPr>
      <w:rFonts w:ascii="Times New Roman" w:eastAsia="Times New Roman" w:hAnsi="Times New Roman" w:cs="Times New Roman"/>
      <w:sz w:val="20"/>
      <w:szCs w:val="20"/>
    </w:rPr>
  </w:style>
  <w:style w:type="character" w:customStyle="1" w:styleId="CommentSubjectChar">
    <w:name w:val="Comment Subject Char"/>
    <w:basedOn w:val="CommentTextChar"/>
    <w:link w:val="CommentSubject"/>
    <w:uiPriority w:val="99"/>
    <w:semiHidden/>
    <w:rsid w:val="00AC7D93"/>
    <w:rPr>
      <w:rFonts w:ascii="Times New Roman" w:eastAsia="Times New Roman" w:hAnsi="Times New Roman" w:cs="Times New Roman"/>
      <w:b/>
      <w:bCs/>
      <w:sz w:val="20"/>
      <w:szCs w:val="20"/>
    </w:rPr>
  </w:style>
  <w:style w:type="paragraph" w:styleId="CommentSubject">
    <w:name w:val="annotation subject"/>
    <w:basedOn w:val="CommentText"/>
    <w:next w:val="CommentText"/>
    <w:link w:val="CommentSubjectChar"/>
    <w:uiPriority w:val="99"/>
    <w:semiHidden/>
    <w:unhideWhenUsed/>
    <w:rsid w:val="00AC7D93"/>
    <w:rPr>
      <w:b/>
      <w:bCs/>
    </w:rPr>
  </w:style>
  <w:style w:type="paragraph" w:styleId="BalloonText">
    <w:name w:val="Balloon Text"/>
    <w:basedOn w:val="Normal"/>
    <w:link w:val="BalloonTextChar"/>
    <w:uiPriority w:val="99"/>
    <w:semiHidden/>
    <w:unhideWhenUsed/>
    <w:rsid w:val="00AC7D93"/>
    <w:pPr>
      <w:spacing w:line="240" w:lineRule="auto"/>
    </w:pPr>
    <w:rPr>
      <w:rFonts w:ascii="Segoe UI" w:eastAsia="Times New Roman" w:hAnsi="Segoe UI" w:cs="Segoe UI"/>
      <w:sz w:val="18"/>
      <w:szCs w:val="18"/>
    </w:rPr>
  </w:style>
  <w:style w:type="character" w:customStyle="1" w:styleId="BalloonTextChar">
    <w:name w:val="Balloon Text Char"/>
    <w:basedOn w:val="DefaultParagraphFont"/>
    <w:link w:val="BalloonText"/>
    <w:uiPriority w:val="99"/>
    <w:semiHidden/>
    <w:rsid w:val="00AC7D93"/>
    <w:rPr>
      <w:rFonts w:ascii="Segoe UI" w:eastAsia="Times New Roman" w:hAnsi="Segoe UI" w:cs="Segoe UI"/>
      <w:sz w:val="18"/>
      <w:szCs w:val="18"/>
    </w:rPr>
  </w:style>
  <w:style w:type="character" w:customStyle="1" w:styleId="css-1baulvz">
    <w:name w:val="css-1baulvz"/>
    <w:basedOn w:val="DefaultParagraphFont"/>
    <w:rsid w:val="00AC7D93"/>
  </w:style>
  <w:style w:type="character" w:customStyle="1" w:styleId="field-content">
    <w:name w:val="field-content"/>
    <w:basedOn w:val="DefaultParagraphFont"/>
    <w:rsid w:val="00AC7D93"/>
  </w:style>
  <w:style w:type="character" w:customStyle="1" w:styleId="Hyperlink1">
    <w:name w:val="Hyperlink1"/>
    <w:basedOn w:val="DefaultParagraphFont"/>
    <w:uiPriority w:val="99"/>
    <w:unhideWhenUsed/>
    <w:rsid w:val="00AC7D93"/>
    <w:rPr>
      <w:color w:val="0563C1"/>
      <w:u w:val="single"/>
    </w:rPr>
  </w:style>
  <w:style w:type="character" w:customStyle="1" w:styleId="sr-only">
    <w:name w:val="sr-only"/>
    <w:basedOn w:val="DefaultParagraphFont"/>
    <w:rsid w:val="00AC7D93"/>
  </w:style>
  <w:style w:type="character" w:customStyle="1" w:styleId="crumblink">
    <w:name w:val="crumb_link"/>
    <w:basedOn w:val="DefaultParagraphFont"/>
    <w:rsid w:val="00AC7D93"/>
  </w:style>
  <w:style w:type="character" w:customStyle="1" w:styleId="ref-journal">
    <w:name w:val="ref-journal"/>
    <w:basedOn w:val="DefaultParagraphFont"/>
    <w:rsid w:val="00AC7D93"/>
  </w:style>
  <w:style w:type="character" w:customStyle="1" w:styleId="hgkelc">
    <w:name w:val="hgkelc"/>
    <w:basedOn w:val="DefaultParagraphFont"/>
    <w:rsid w:val="00AC7D93"/>
  </w:style>
  <w:style w:type="character" w:customStyle="1" w:styleId="ls1">
    <w:name w:val="ls1"/>
    <w:basedOn w:val="DefaultParagraphFont"/>
    <w:rsid w:val="00AC7D93"/>
  </w:style>
  <w:style w:type="character" w:customStyle="1" w:styleId="ws3">
    <w:name w:val="ws3"/>
    <w:basedOn w:val="DefaultParagraphFont"/>
    <w:rsid w:val="00AC7D93"/>
  </w:style>
  <w:style w:type="character" w:customStyle="1" w:styleId="ls4">
    <w:name w:val="ls4"/>
    <w:basedOn w:val="DefaultParagraphFont"/>
    <w:rsid w:val="00AC7D93"/>
  </w:style>
  <w:style w:type="paragraph" w:customStyle="1" w:styleId="t5">
    <w:name w:val="t5"/>
    <w:basedOn w:val="Normal"/>
    <w:rsid w:val="00AC7D93"/>
    <w:pPr>
      <w:spacing w:before="100" w:beforeAutospacing="1" w:after="100" w:afterAutospacing="1" w:line="240" w:lineRule="auto"/>
    </w:pPr>
    <w:rPr>
      <w:rFonts w:ascii="Times New Roman" w:eastAsia="Times New Roman" w:hAnsi="Times New Roman" w:cs="Times New Roman"/>
      <w:szCs w:val="24"/>
    </w:rPr>
  </w:style>
  <w:style w:type="paragraph" w:customStyle="1" w:styleId="newsletterformdisclaimer">
    <w:name w:val="newsletterform__disclaimer"/>
    <w:basedOn w:val="Normal"/>
    <w:rsid w:val="00AC7D93"/>
    <w:pPr>
      <w:spacing w:before="100" w:beforeAutospacing="1" w:after="100" w:afterAutospacing="1" w:line="240" w:lineRule="auto"/>
    </w:pPr>
    <w:rPr>
      <w:rFonts w:ascii="Times New Roman" w:eastAsia="Times New Roman" w:hAnsi="Times New Roman" w:cs="Times New Roman"/>
      <w:szCs w:val="24"/>
    </w:rPr>
  </w:style>
  <w:style w:type="paragraph" w:customStyle="1" w:styleId="counter-paragraph">
    <w:name w:val="counter-paragraph"/>
    <w:basedOn w:val="Normal"/>
    <w:rsid w:val="00AC7D93"/>
    <w:pPr>
      <w:spacing w:before="100" w:beforeAutospacing="1" w:after="100" w:afterAutospacing="1" w:line="240" w:lineRule="auto"/>
    </w:pPr>
    <w:rPr>
      <w:rFonts w:ascii="Times New Roman" w:eastAsia="Times New Roman" w:hAnsi="Times New Roman" w:cs="Times New Roman"/>
      <w:szCs w:val="24"/>
    </w:rPr>
  </w:style>
  <w:style w:type="character" w:customStyle="1" w:styleId="field">
    <w:name w:val="field"/>
    <w:basedOn w:val="DefaultParagraphFont"/>
    <w:rsid w:val="00AC7D93"/>
  </w:style>
  <w:style w:type="character" w:customStyle="1" w:styleId="meta-citation-journal-name">
    <w:name w:val="meta-citation-journal-name"/>
    <w:basedOn w:val="DefaultParagraphFont"/>
    <w:rsid w:val="00AC7D93"/>
  </w:style>
  <w:style w:type="character" w:customStyle="1" w:styleId="meta-citation">
    <w:name w:val="meta-citation"/>
    <w:basedOn w:val="DefaultParagraphFont"/>
    <w:rsid w:val="00AC7D93"/>
  </w:style>
  <w:style w:type="character" w:customStyle="1" w:styleId="epub-sectionitem">
    <w:name w:val="epub-section__item"/>
    <w:basedOn w:val="DefaultParagraphFont"/>
    <w:rsid w:val="00AC7D93"/>
  </w:style>
  <w:style w:type="paragraph" w:styleId="TOC4">
    <w:name w:val="toc 4"/>
    <w:basedOn w:val="Normal"/>
    <w:next w:val="Normal"/>
    <w:autoRedefine/>
    <w:uiPriority w:val="39"/>
    <w:unhideWhenUsed/>
    <w:rsid w:val="00224015"/>
    <w:pPr>
      <w:tabs>
        <w:tab w:val="left" w:pos="873"/>
        <w:tab w:val="left" w:pos="945"/>
      </w:tabs>
      <w:spacing w:after="40" w:line="259" w:lineRule="auto"/>
      <w:ind w:left="660"/>
    </w:pPr>
    <w:rPr>
      <w:rFonts w:asciiTheme="minorHAnsi" w:eastAsiaTheme="minorEastAsia" w:hAnsiTheme="minorHAnsi"/>
      <w:sz w:val="22"/>
    </w:rPr>
  </w:style>
  <w:style w:type="paragraph" w:styleId="TOC5">
    <w:name w:val="toc 5"/>
    <w:basedOn w:val="Normal"/>
    <w:next w:val="Normal"/>
    <w:autoRedefine/>
    <w:uiPriority w:val="39"/>
    <w:unhideWhenUsed/>
    <w:rsid w:val="00AC7D93"/>
    <w:pPr>
      <w:spacing w:after="100" w:line="259" w:lineRule="auto"/>
      <w:ind w:left="880"/>
    </w:pPr>
    <w:rPr>
      <w:rFonts w:asciiTheme="minorHAnsi" w:eastAsiaTheme="minorEastAsia" w:hAnsiTheme="minorHAnsi"/>
      <w:sz w:val="22"/>
    </w:rPr>
  </w:style>
  <w:style w:type="paragraph" w:styleId="TOC6">
    <w:name w:val="toc 6"/>
    <w:basedOn w:val="Normal"/>
    <w:next w:val="Normal"/>
    <w:autoRedefine/>
    <w:uiPriority w:val="39"/>
    <w:unhideWhenUsed/>
    <w:rsid w:val="00AC7D93"/>
    <w:pPr>
      <w:spacing w:after="100" w:line="259" w:lineRule="auto"/>
      <w:ind w:left="1100"/>
    </w:pPr>
    <w:rPr>
      <w:rFonts w:asciiTheme="minorHAnsi" w:eastAsiaTheme="minorEastAsia" w:hAnsiTheme="minorHAnsi"/>
      <w:sz w:val="22"/>
    </w:rPr>
  </w:style>
  <w:style w:type="paragraph" w:styleId="TOC7">
    <w:name w:val="toc 7"/>
    <w:basedOn w:val="Normal"/>
    <w:next w:val="Normal"/>
    <w:autoRedefine/>
    <w:uiPriority w:val="39"/>
    <w:unhideWhenUsed/>
    <w:rsid w:val="00AC7D93"/>
    <w:pPr>
      <w:spacing w:after="100" w:line="259" w:lineRule="auto"/>
      <w:ind w:left="1320"/>
    </w:pPr>
    <w:rPr>
      <w:rFonts w:asciiTheme="minorHAnsi" w:eastAsiaTheme="minorEastAsia" w:hAnsiTheme="minorHAnsi"/>
      <w:sz w:val="22"/>
    </w:rPr>
  </w:style>
  <w:style w:type="paragraph" w:styleId="TOC8">
    <w:name w:val="toc 8"/>
    <w:basedOn w:val="Normal"/>
    <w:next w:val="Normal"/>
    <w:autoRedefine/>
    <w:uiPriority w:val="39"/>
    <w:unhideWhenUsed/>
    <w:rsid w:val="00AC7D93"/>
    <w:pPr>
      <w:spacing w:after="100" w:line="259" w:lineRule="auto"/>
      <w:ind w:left="1540"/>
    </w:pPr>
    <w:rPr>
      <w:rFonts w:asciiTheme="minorHAnsi" w:eastAsiaTheme="minorEastAsia" w:hAnsiTheme="minorHAnsi"/>
      <w:sz w:val="22"/>
    </w:rPr>
  </w:style>
  <w:style w:type="paragraph" w:styleId="TOC9">
    <w:name w:val="toc 9"/>
    <w:basedOn w:val="Normal"/>
    <w:next w:val="Normal"/>
    <w:autoRedefine/>
    <w:uiPriority w:val="39"/>
    <w:unhideWhenUsed/>
    <w:rsid w:val="00AC7D93"/>
    <w:pPr>
      <w:spacing w:after="100" w:line="259" w:lineRule="auto"/>
      <w:ind w:left="1760"/>
    </w:pPr>
    <w:rPr>
      <w:rFonts w:asciiTheme="minorHAnsi" w:eastAsiaTheme="minorEastAsia" w:hAnsiTheme="minorHAnsi"/>
      <w:sz w:val="22"/>
    </w:rPr>
  </w:style>
  <w:style w:type="character" w:styleId="FootnoteReference">
    <w:name w:val="footnote reference"/>
    <w:basedOn w:val="DefaultParagraphFont"/>
    <w:uiPriority w:val="99"/>
    <w:semiHidden/>
    <w:unhideWhenUsed/>
    <w:rsid w:val="00ED668E"/>
    <w:rPr>
      <w:vertAlign w:val="superscript"/>
    </w:rPr>
  </w:style>
  <w:style w:type="paragraph" w:customStyle="1" w:styleId="pf0">
    <w:name w:val="pf0"/>
    <w:basedOn w:val="Normal"/>
    <w:rsid w:val="001E43D4"/>
    <w:pPr>
      <w:spacing w:before="100" w:beforeAutospacing="1" w:after="100" w:afterAutospacing="1" w:line="240" w:lineRule="auto"/>
    </w:pPr>
    <w:rPr>
      <w:rFonts w:ascii="Times New Roman" w:eastAsia="Times New Roman" w:hAnsi="Times New Roman" w:cs="Times New Roman"/>
      <w:szCs w:val="24"/>
    </w:rPr>
  </w:style>
  <w:style w:type="character" w:customStyle="1" w:styleId="cf01">
    <w:name w:val="cf01"/>
    <w:basedOn w:val="DefaultParagraphFont"/>
    <w:rsid w:val="001E43D4"/>
    <w:rPr>
      <w:rFonts w:ascii="Segoe UI" w:hAnsi="Segoe UI" w:cs="Segoe UI" w:hint="default"/>
      <w:sz w:val="18"/>
      <w:szCs w:val="18"/>
    </w:rPr>
  </w:style>
  <w:style w:type="character" w:customStyle="1" w:styleId="screen-reader-text">
    <w:name w:val="screen-reader-text"/>
    <w:basedOn w:val="DefaultParagraphFont"/>
    <w:rsid w:val="004764A7"/>
  </w:style>
  <w:style w:type="character" w:styleId="FollowedHyperlink">
    <w:name w:val="FollowedHyperlink"/>
    <w:basedOn w:val="DefaultParagraphFont"/>
    <w:uiPriority w:val="99"/>
    <w:semiHidden/>
    <w:unhideWhenUsed/>
    <w:rsid w:val="00540A45"/>
    <w:rPr>
      <w:color w:val="800080" w:themeColor="followedHyperlink"/>
      <w:u w:val="single"/>
    </w:rPr>
  </w:style>
  <w:style w:type="paragraph" w:styleId="Revision">
    <w:name w:val="Revision"/>
    <w:hidden/>
    <w:uiPriority w:val="99"/>
    <w:semiHidden/>
    <w:rsid w:val="009F55D8"/>
    <w:pPr>
      <w:spacing w:after="0" w:line="240" w:lineRule="auto"/>
    </w:pPr>
    <w:rPr>
      <w:rFonts w:ascii="Arial" w:hAnsi="Arial"/>
      <w:sz w:val="24"/>
    </w:rPr>
  </w:style>
  <w:style w:type="numbering" w:customStyle="1" w:styleId="CurrentList1">
    <w:name w:val="Current List1"/>
    <w:uiPriority w:val="99"/>
    <w:rsid w:val="00337169"/>
    <w:pPr>
      <w:numPr>
        <w:numId w:val="3"/>
      </w:numPr>
    </w:pPr>
  </w:style>
  <w:style w:type="paragraph" w:customStyle="1" w:styleId="Default">
    <w:name w:val="Default"/>
    <w:rsid w:val="0008212C"/>
    <w:pPr>
      <w:autoSpaceDE w:val="0"/>
      <w:autoSpaceDN w:val="0"/>
      <w:adjustRightInd w:val="0"/>
      <w:spacing w:after="0" w:line="240" w:lineRule="auto"/>
    </w:pPr>
    <w:rPr>
      <w:rFonts w:ascii="Univers LT Std 45 Light" w:hAnsi="Univers LT Std 45 Light" w:cs="Univers LT Std 45 Light"/>
      <w:color w:val="000000"/>
      <w:sz w:val="24"/>
      <w:szCs w:val="24"/>
    </w:rPr>
  </w:style>
  <w:style w:type="paragraph" w:customStyle="1" w:styleId="Pa8">
    <w:name w:val="Pa8"/>
    <w:basedOn w:val="Default"/>
    <w:next w:val="Default"/>
    <w:uiPriority w:val="99"/>
    <w:rsid w:val="0008212C"/>
    <w:pPr>
      <w:spacing w:line="231" w:lineRule="atLeast"/>
    </w:pPr>
    <w:rPr>
      <w:rFonts w:cstheme="minorBidi"/>
      <w:color w:val="auto"/>
    </w:rPr>
  </w:style>
  <w:style w:type="paragraph" w:customStyle="1" w:styleId="Pa9">
    <w:name w:val="Pa9"/>
    <w:basedOn w:val="Default"/>
    <w:next w:val="Default"/>
    <w:uiPriority w:val="99"/>
    <w:rsid w:val="0008212C"/>
    <w:pPr>
      <w:spacing w:line="201" w:lineRule="atLeast"/>
    </w:pPr>
    <w:rPr>
      <w:rFonts w:cstheme="minorBidi"/>
      <w:color w:val="auto"/>
    </w:rPr>
  </w:style>
  <w:style w:type="paragraph" w:customStyle="1" w:styleId="NCDBodyText">
    <w:name w:val="NCD.Body Text"/>
    <w:rsid w:val="006920C4"/>
    <w:pPr>
      <w:pBdr>
        <w:top w:val="nil"/>
        <w:left w:val="nil"/>
        <w:bottom w:val="nil"/>
        <w:right w:val="nil"/>
        <w:between w:val="nil"/>
        <w:bar w:val="nil"/>
      </w:pBdr>
      <w:spacing w:after="200" w:line="360" w:lineRule="auto"/>
    </w:pPr>
    <w:rPr>
      <w:rFonts w:ascii="Arial" w:eastAsia="Calibri" w:hAnsi="Arial" w:cs="Calibri"/>
      <w:color w:val="000000"/>
      <w:sz w:val="24"/>
      <w:szCs w:val="24"/>
      <w:u w:color="000000"/>
      <w:bdr w:val="nil"/>
    </w:rPr>
  </w:style>
  <w:style w:type="paragraph" w:customStyle="1" w:styleId="NCDBulletsLevel1">
    <w:name w:val="NCD.Bullets Level 1"/>
    <w:qFormat/>
    <w:rsid w:val="006920C4"/>
    <w:pPr>
      <w:numPr>
        <w:numId w:val="4"/>
      </w:numPr>
      <w:spacing w:after="200" w:line="360" w:lineRule="auto"/>
    </w:pPr>
    <w:rPr>
      <w:rFonts w:ascii="Arial" w:eastAsia="Calibri" w:hAnsi="Arial" w:cs="Arial"/>
      <w:sz w:val="24"/>
      <w:szCs w:val="24"/>
    </w:rPr>
  </w:style>
  <w:style w:type="paragraph" w:customStyle="1" w:styleId="NCDExtract">
    <w:name w:val="NCD.Extract"/>
    <w:basedOn w:val="NCDBodyText"/>
    <w:qFormat/>
    <w:rsid w:val="00783F5C"/>
    <w:pPr>
      <w:ind w:left="360" w:right="360"/>
    </w:pPr>
    <w:rPr>
      <w:rFonts w:cs="Arial"/>
    </w:rPr>
  </w:style>
  <w:style w:type="paragraph" w:customStyle="1" w:styleId="NCDNumberedLevel1">
    <w:name w:val="NCD.Numbered Level 1"/>
    <w:basedOn w:val="NCDBulletsLevel1"/>
    <w:qFormat/>
    <w:rsid w:val="00E31037"/>
    <w:pPr>
      <w:numPr>
        <w:numId w:val="5"/>
      </w:numPr>
    </w:pPr>
  </w:style>
  <w:style w:type="paragraph" w:customStyle="1" w:styleId="NCDTableHeader">
    <w:name w:val="NCD.Table Header"/>
    <w:basedOn w:val="Normal"/>
    <w:qFormat/>
    <w:rsid w:val="00E5526D"/>
    <w:rPr>
      <w:rFonts w:eastAsia="Times New Roman" w:cs="Arial"/>
      <w:b/>
      <w:bCs/>
      <w:szCs w:val="24"/>
    </w:rPr>
  </w:style>
  <w:style w:type="paragraph" w:customStyle="1" w:styleId="NCDTableText">
    <w:name w:val="NCD.Table Text"/>
    <w:qFormat/>
    <w:rsid w:val="00E5526D"/>
    <w:pPr>
      <w:spacing w:after="0" w:line="360" w:lineRule="auto"/>
    </w:pPr>
    <w:rPr>
      <w:rFonts w:ascii="Arial" w:eastAsia="Times New Roman" w:hAnsi="Arial" w:cs="Arial"/>
      <w:sz w:val="24"/>
      <w:szCs w:val="24"/>
    </w:rPr>
  </w:style>
  <w:style w:type="paragraph" w:customStyle="1" w:styleId="NCDNationalCouncilStaff">
    <w:name w:val="NCD.National Council Staff"/>
    <w:qFormat/>
    <w:rsid w:val="00744B8B"/>
    <w:pPr>
      <w:keepNext/>
      <w:keepLines/>
      <w:spacing w:before="480" w:after="0" w:line="276" w:lineRule="auto"/>
      <w:jc w:val="center"/>
      <w:outlineLvl w:val="0"/>
    </w:pPr>
    <w:rPr>
      <w:rFonts w:ascii="Arial" w:eastAsiaTheme="majorEastAsia" w:hAnsi="Arial" w:cs="Arial"/>
      <w:b/>
      <w:bCs/>
      <w:sz w:val="36"/>
      <w:szCs w:val="28"/>
    </w:rPr>
  </w:style>
  <w:style w:type="table" w:styleId="TableGrid">
    <w:name w:val="Table Grid"/>
    <w:basedOn w:val="TableNormal"/>
    <w:uiPriority w:val="59"/>
    <w:rsid w:val="000D4F98"/>
    <w:pPr>
      <w:spacing w:after="0" w:line="240" w:lineRule="auto"/>
    </w:pPr>
    <w:rPr>
      <w:rFonts w:ascii="Calibri" w:eastAsia="Calibri" w:hAnsi="Calibri" w:cs="Calibri"/>
      <w:sz w:val="24"/>
      <w:szCs w:val="24"/>
      <w:lang w:bidi="hi-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CDBodyTextSpaceBefore">
    <w:name w:val="NCD.Body Text Space Before"/>
    <w:basedOn w:val="NCDBodyText"/>
    <w:qFormat/>
    <w:rsid w:val="000D4F98"/>
    <w:pPr>
      <w:spacing w:before="240" w:after="360"/>
    </w:pPr>
    <w:rPr>
      <w:lang w:bidi="hi-IN"/>
    </w:rPr>
  </w:style>
  <w:style w:type="character" w:customStyle="1" w:styleId="UnresolvedMention1">
    <w:name w:val="Unresolved Mention1"/>
    <w:basedOn w:val="DefaultParagraphFont"/>
    <w:uiPriority w:val="99"/>
    <w:semiHidden/>
    <w:unhideWhenUsed/>
    <w:rsid w:val="000D4F98"/>
    <w:rPr>
      <w:color w:val="605E5C"/>
      <w:shd w:val="clear" w:color="auto" w:fill="E1DFDD"/>
    </w:rPr>
  </w:style>
  <w:style w:type="character" w:customStyle="1" w:styleId="UnresolvedMention2">
    <w:name w:val="Unresolved Mention2"/>
    <w:basedOn w:val="DefaultParagraphFont"/>
    <w:uiPriority w:val="99"/>
    <w:semiHidden/>
    <w:unhideWhenUsed/>
    <w:rsid w:val="000D4F98"/>
    <w:rPr>
      <w:color w:val="605E5C"/>
      <w:shd w:val="clear" w:color="auto" w:fill="E1DFDD"/>
    </w:rPr>
  </w:style>
  <w:style w:type="table" w:customStyle="1" w:styleId="PlainTable1">
    <w:name w:val="Plain Table 1"/>
    <w:basedOn w:val="TableNormal"/>
    <w:uiPriority w:val="41"/>
    <w:rsid w:val="000D4F98"/>
    <w:pPr>
      <w:spacing w:after="0" w:line="240" w:lineRule="auto"/>
    </w:pPr>
    <w:rPr>
      <w:rFonts w:ascii="Calibri" w:eastAsia="Calibri" w:hAnsi="Calibri" w:cs="Calibri"/>
      <w:sz w:val="24"/>
      <w:szCs w:val="24"/>
      <w:lang w:bidi="hi-IN"/>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ListTable1LightAccent1">
    <w:name w:val="List Table 1 Light Accent 1"/>
    <w:basedOn w:val="TableNormal"/>
    <w:uiPriority w:val="46"/>
    <w:rsid w:val="000D4F98"/>
    <w:pPr>
      <w:spacing w:after="0" w:line="240" w:lineRule="auto"/>
    </w:pPr>
    <w:rPr>
      <w:rFonts w:ascii="Calibri" w:eastAsia="Calibri" w:hAnsi="Calibri" w:cs="Calibri"/>
      <w:sz w:val="24"/>
      <w:szCs w:val="24"/>
      <w:lang w:bidi="hi-IN"/>
    </w:r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BodyText">
    <w:name w:val="Body Text"/>
    <w:basedOn w:val="Normal"/>
    <w:link w:val="BodyTextChar"/>
    <w:uiPriority w:val="1"/>
    <w:qFormat/>
    <w:rsid w:val="000D4F98"/>
    <w:pPr>
      <w:widowControl w:val="0"/>
      <w:autoSpaceDE w:val="0"/>
      <w:autoSpaceDN w:val="0"/>
      <w:spacing w:line="240" w:lineRule="auto"/>
    </w:pPr>
    <w:rPr>
      <w:rFonts w:eastAsia="Arial" w:cs="Arial"/>
      <w:sz w:val="22"/>
      <w:lang w:bidi="en-US"/>
    </w:rPr>
  </w:style>
  <w:style w:type="character" w:customStyle="1" w:styleId="BodyTextChar">
    <w:name w:val="Body Text Char"/>
    <w:basedOn w:val="DefaultParagraphFont"/>
    <w:link w:val="BodyText"/>
    <w:uiPriority w:val="1"/>
    <w:rsid w:val="000D4F98"/>
    <w:rPr>
      <w:rFonts w:ascii="Arial" w:eastAsia="Arial" w:hAnsi="Arial" w:cs="Arial"/>
      <w:lang w:bidi="en-US"/>
    </w:rPr>
  </w:style>
  <w:style w:type="paragraph" w:customStyle="1" w:styleId="NCDLetteredLevel1">
    <w:name w:val="NCD.Lettered Level 1"/>
    <w:basedOn w:val="NCDNumberedLevel1"/>
    <w:qFormat/>
    <w:rsid w:val="00544FFB"/>
    <w:pPr>
      <w:numPr>
        <w:numId w:val="13"/>
      </w:numPr>
    </w:pPr>
  </w:style>
  <w:style w:type="paragraph" w:customStyle="1" w:styleId="NCDAppendixNumberedLevel1">
    <w:name w:val="NCD. Appendix Numbered Level 1"/>
    <w:basedOn w:val="Normal"/>
    <w:qFormat/>
    <w:rsid w:val="00687E4A"/>
    <w:pPr>
      <w:numPr>
        <w:numId w:val="6"/>
      </w:numPr>
      <w:spacing w:after="200" w:line="240" w:lineRule="auto"/>
      <w:ind w:left="360"/>
    </w:pPr>
  </w:style>
  <w:style w:type="paragraph" w:customStyle="1" w:styleId="NCDAppendixNumberedLevel2">
    <w:name w:val="NCD. Appendix Numbered Level 2"/>
    <w:basedOn w:val="Normal"/>
    <w:qFormat/>
    <w:rsid w:val="00687E4A"/>
    <w:pPr>
      <w:numPr>
        <w:ilvl w:val="1"/>
        <w:numId w:val="6"/>
      </w:numPr>
      <w:spacing w:after="200" w:line="240" w:lineRule="auto"/>
      <w:ind w:left="720"/>
    </w:pPr>
  </w:style>
  <w:style w:type="paragraph" w:customStyle="1" w:styleId="NCDAppendixNumberedLevel3">
    <w:name w:val="NCD. Appendix Numbered Level 3"/>
    <w:basedOn w:val="Normal"/>
    <w:qFormat/>
    <w:rsid w:val="00687E4A"/>
    <w:pPr>
      <w:numPr>
        <w:ilvl w:val="2"/>
        <w:numId w:val="6"/>
      </w:numPr>
      <w:spacing w:after="200" w:line="240" w:lineRule="auto"/>
      <w:ind w:left="1296"/>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216342">
      <w:bodyDiv w:val="1"/>
      <w:marLeft w:val="0"/>
      <w:marRight w:val="0"/>
      <w:marTop w:val="0"/>
      <w:marBottom w:val="0"/>
      <w:divBdr>
        <w:top w:val="none" w:sz="0" w:space="0" w:color="auto"/>
        <w:left w:val="none" w:sz="0" w:space="0" w:color="auto"/>
        <w:bottom w:val="none" w:sz="0" w:space="0" w:color="auto"/>
        <w:right w:val="none" w:sz="0" w:space="0" w:color="auto"/>
      </w:divBdr>
    </w:div>
    <w:div w:id="170072169">
      <w:bodyDiv w:val="1"/>
      <w:marLeft w:val="0"/>
      <w:marRight w:val="0"/>
      <w:marTop w:val="0"/>
      <w:marBottom w:val="0"/>
      <w:divBdr>
        <w:top w:val="none" w:sz="0" w:space="0" w:color="auto"/>
        <w:left w:val="none" w:sz="0" w:space="0" w:color="auto"/>
        <w:bottom w:val="none" w:sz="0" w:space="0" w:color="auto"/>
        <w:right w:val="none" w:sz="0" w:space="0" w:color="auto"/>
      </w:divBdr>
    </w:div>
    <w:div w:id="209465781">
      <w:bodyDiv w:val="1"/>
      <w:marLeft w:val="0"/>
      <w:marRight w:val="0"/>
      <w:marTop w:val="0"/>
      <w:marBottom w:val="0"/>
      <w:divBdr>
        <w:top w:val="none" w:sz="0" w:space="0" w:color="auto"/>
        <w:left w:val="none" w:sz="0" w:space="0" w:color="auto"/>
        <w:bottom w:val="none" w:sz="0" w:space="0" w:color="auto"/>
        <w:right w:val="none" w:sz="0" w:space="0" w:color="auto"/>
      </w:divBdr>
    </w:div>
    <w:div w:id="347219722">
      <w:bodyDiv w:val="1"/>
      <w:marLeft w:val="0"/>
      <w:marRight w:val="0"/>
      <w:marTop w:val="0"/>
      <w:marBottom w:val="0"/>
      <w:divBdr>
        <w:top w:val="none" w:sz="0" w:space="0" w:color="auto"/>
        <w:left w:val="none" w:sz="0" w:space="0" w:color="auto"/>
        <w:bottom w:val="none" w:sz="0" w:space="0" w:color="auto"/>
        <w:right w:val="none" w:sz="0" w:space="0" w:color="auto"/>
      </w:divBdr>
    </w:div>
    <w:div w:id="389887796">
      <w:bodyDiv w:val="1"/>
      <w:marLeft w:val="0"/>
      <w:marRight w:val="0"/>
      <w:marTop w:val="0"/>
      <w:marBottom w:val="0"/>
      <w:divBdr>
        <w:top w:val="none" w:sz="0" w:space="0" w:color="auto"/>
        <w:left w:val="none" w:sz="0" w:space="0" w:color="auto"/>
        <w:bottom w:val="none" w:sz="0" w:space="0" w:color="auto"/>
        <w:right w:val="none" w:sz="0" w:space="0" w:color="auto"/>
      </w:divBdr>
    </w:div>
    <w:div w:id="394357268">
      <w:bodyDiv w:val="1"/>
      <w:marLeft w:val="0"/>
      <w:marRight w:val="0"/>
      <w:marTop w:val="0"/>
      <w:marBottom w:val="0"/>
      <w:divBdr>
        <w:top w:val="none" w:sz="0" w:space="0" w:color="auto"/>
        <w:left w:val="none" w:sz="0" w:space="0" w:color="auto"/>
        <w:bottom w:val="none" w:sz="0" w:space="0" w:color="auto"/>
        <w:right w:val="none" w:sz="0" w:space="0" w:color="auto"/>
      </w:divBdr>
    </w:div>
    <w:div w:id="409430118">
      <w:bodyDiv w:val="1"/>
      <w:marLeft w:val="0"/>
      <w:marRight w:val="0"/>
      <w:marTop w:val="0"/>
      <w:marBottom w:val="0"/>
      <w:divBdr>
        <w:top w:val="none" w:sz="0" w:space="0" w:color="auto"/>
        <w:left w:val="none" w:sz="0" w:space="0" w:color="auto"/>
        <w:bottom w:val="none" w:sz="0" w:space="0" w:color="auto"/>
        <w:right w:val="none" w:sz="0" w:space="0" w:color="auto"/>
      </w:divBdr>
    </w:div>
    <w:div w:id="425806752">
      <w:bodyDiv w:val="1"/>
      <w:marLeft w:val="0"/>
      <w:marRight w:val="0"/>
      <w:marTop w:val="0"/>
      <w:marBottom w:val="0"/>
      <w:divBdr>
        <w:top w:val="none" w:sz="0" w:space="0" w:color="auto"/>
        <w:left w:val="none" w:sz="0" w:space="0" w:color="auto"/>
        <w:bottom w:val="none" w:sz="0" w:space="0" w:color="auto"/>
        <w:right w:val="none" w:sz="0" w:space="0" w:color="auto"/>
      </w:divBdr>
    </w:div>
    <w:div w:id="436604830">
      <w:bodyDiv w:val="1"/>
      <w:marLeft w:val="0"/>
      <w:marRight w:val="0"/>
      <w:marTop w:val="0"/>
      <w:marBottom w:val="0"/>
      <w:divBdr>
        <w:top w:val="none" w:sz="0" w:space="0" w:color="auto"/>
        <w:left w:val="none" w:sz="0" w:space="0" w:color="auto"/>
        <w:bottom w:val="none" w:sz="0" w:space="0" w:color="auto"/>
        <w:right w:val="none" w:sz="0" w:space="0" w:color="auto"/>
      </w:divBdr>
    </w:div>
    <w:div w:id="471218486">
      <w:bodyDiv w:val="1"/>
      <w:marLeft w:val="0"/>
      <w:marRight w:val="0"/>
      <w:marTop w:val="0"/>
      <w:marBottom w:val="0"/>
      <w:divBdr>
        <w:top w:val="none" w:sz="0" w:space="0" w:color="auto"/>
        <w:left w:val="none" w:sz="0" w:space="0" w:color="auto"/>
        <w:bottom w:val="none" w:sz="0" w:space="0" w:color="auto"/>
        <w:right w:val="none" w:sz="0" w:space="0" w:color="auto"/>
      </w:divBdr>
    </w:div>
    <w:div w:id="473839572">
      <w:bodyDiv w:val="1"/>
      <w:marLeft w:val="0"/>
      <w:marRight w:val="0"/>
      <w:marTop w:val="0"/>
      <w:marBottom w:val="0"/>
      <w:divBdr>
        <w:top w:val="none" w:sz="0" w:space="0" w:color="auto"/>
        <w:left w:val="none" w:sz="0" w:space="0" w:color="auto"/>
        <w:bottom w:val="none" w:sz="0" w:space="0" w:color="auto"/>
        <w:right w:val="none" w:sz="0" w:space="0" w:color="auto"/>
      </w:divBdr>
    </w:div>
    <w:div w:id="519971712">
      <w:bodyDiv w:val="1"/>
      <w:marLeft w:val="0"/>
      <w:marRight w:val="0"/>
      <w:marTop w:val="0"/>
      <w:marBottom w:val="0"/>
      <w:divBdr>
        <w:top w:val="none" w:sz="0" w:space="0" w:color="auto"/>
        <w:left w:val="none" w:sz="0" w:space="0" w:color="auto"/>
        <w:bottom w:val="none" w:sz="0" w:space="0" w:color="auto"/>
        <w:right w:val="none" w:sz="0" w:space="0" w:color="auto"/>
      </w:divBdr>
    </w:div>
    <w:div w:id="526679139">
      <w:bodyDiv w:val="1"/>
      <w:marLeft w:val="0"/>
      <w:marRight w:val="0"/>
      <w:marTop w:val="0"/>
      <w:marBottom w:val="0"/>
      <w:divBdr>
        <w:top w:val="none" w:sz="0" w:space="0" w:color="auto"/>
        <w:left w:val="none" w:sz="0" w:space="0" w:color="auto"/>
        <w:bottom w:val="none" w:sz="0" w:space="0" w:color="auto"/>
        <w:right w:val="none" w:sz="0" w:space="0" w:color="auto"/>
      </w:divBdr>
    </w:div>
    <w:div w:id="546839102">
      <w:bodyDiv w:val="1"/>
      <w:marLeft w:val="0"/>
      <w:marRight w:val="0"/>
      <w:marTop w:val="0"/>
      <w:marBottom w:val="0"/>
      <w:divBdr>
        <w:top w:val="none" w:sz="0" w:space="0" w:color="auto"/>
        <w:left w:val="none" w:sz="0" w:space="0" w:color="auto"/>
        <w:bottom w:val="none" w:sz="0" w:space="0" w:color="auto"/>
        <w:right w:val="none" w:sz="0" w:space="0" w:color="auto"/>
      </w:divBdr>
    </w:div>
    <w:div w:id="549266881">
      <w:bodyDiv w:val="1"/>
      <w:marLeft w:val="0"/>
      <w:marRight w:val="0"/>
      <w:marTop w:val="0"/>
      <w:marBottom w:val="0"/>
      <w:divBdr>
        <w:top w:val="none" w:sz="0" w:space="0" w:color="auto"/>
        <w:left w:val="none" w:sz="0" w:space="0" w:color="auto"/>
        <w:bottom w:val="none" w:sz="0" w:space="0" w:color="auto"/>
        <w:right w:val="none" w:sz="0" w:space="0" w:color="auto"/>
      </w:divBdr>
    </w:div>
    <w:div w:id="632910887">
      <w:bodyDiv w:val="1"/>
      <w:marLeft w:val="0"/>
      <w:marRight w:val="0"/>
      <w:marTop w:val="0"/>
      <w:marBottom w:val="0"/>
      <w:divBdr>
        <w:top w:val="none" w:sz="0" w:space="0" w:color="auto"/>
        <w:left w:val="none" w:sz="0" w:space="0" w:color="auto"/>
        <w:bottom w:val="none" w:sz="0" w:space="0" w:color="auto"/>
        <w:right w:val="none" w:sz="0" w:space="0" w:color="auto"/>
      </w:divBdr>
    </w:div>
    <w:div w:id="634213948">
      <w:bodyDiv w:val="1"/>
      <w:marLeft w:val="0"/>
      <w:marRight w:val="0"/>
      <w:marTop w:val="0"/>
      <w:marBottom w:val="0"/>
      <w:divBdr>
        <w:top w:val="none" w:sz="0" w:space="0" w:color="auto"/>
        <w:left w:val="none" w:sz="0" w:space="0" w:color="auto"/>
        <w:bottom w:val="none" w:sz="0" w:space="0" w:color="auto"/>
        <w:right w:val="none" w:sz="0" w:space="0" w:color="auto"/>
      </w:divBdr>
    </w:div>
    <w:div w:id="681854542">
      <w:bodyDiv w:val="1"/>
      <w:marLeft w:val="0"/>
      <w:marRight w:val="0"/>
      <w:marTop w:val="0"/>
      <w:marBottom w:val="0"/>
      <w:divBdr>
        <w:top w:val="none" w:sz="0" w:space="0" w:color="auto"/>
        <w:left w:val="none" w:sz="0" w:space="0" w:color="auto"/>
        <w:bottom w:val="none" w:sz="0" w:space="0" w:color="auto"/>
        <w:right w:val="none" w:sz="0" w:space="0" w:color="auto"/>
      </w:divBdr>
    </w:div>
    <w:div w:id="695077868">
      <w:bodyDiv w:val="1"/>
      <w:marLeft w:val="0"/>
      <w:marRight w:val="0"/>
      <w:marTop w:val="0"/>
      <w:marBottom w:val="0"/>
      <w:divBdr>
        <w:top w:val="none" w:sz="0" w:space="0" w:color="auto"/>
        <w:left w:val="none" w:sz="0" w:space="0" w:color="auto"/>
        <w:bottom w:val="none" w:sz="0" w:space="0" w:color="auto"/>
        <w:right w:val="none" w:sz="0" w:space="0" w:color="auto"/>
      </w:divBdr>
    </w:div>
    <w:div w:id="719475029">
      <w:bodyDiv w:val="1"/>
      <w:marLeft w:val="0"/>
      <w:marRight w:val="0"/>
      <w:marTop w:val="0"/>
      <w:marBottom w:val="0"/>
      <w:divBdr>
        <w:top w:val="none" w:sz="0" w:space="0" w:color="auto"/>
        <w:left w:val="none" w:sz="0" w:space="0" w:color="auto"/>
        <w:bottom w:val="none" w:sz="0" w:space="0" w:color="auto"/>
        <w:right w:val="none" w:sz="0" w:space="0" w:color="auto"/>
      </w:divBdr>
    </w:div>
    <w:div w:id="740102299">
      <w:bodyDiv w:val="1"/>
      <w:marLeft w:val="0"/>
      <w:marRight w:val="0"/>
      <w:marTop w:val="0"/>
      <w:marBottom w:val="0"/>
      <w:divBdr>
        <w:top w:val="none" w:sz="0" w:space="0" w:color="auto"/>
        <w:left w:val="none" w:sz="0" w:space="0" w:color="auto"/>
        <w:bottom w:val="none" w:sz="0" w:space="0" w:color="auto"/>
        <w:right w:val="none" w:sz="0" w:space="0" w:color="auto"/>
      </w:divBdr>
    </w:div>
    <w:div w:id="849953328">
      <w:bodyDiv w:val="1"/>
      <w:marLeft w:val="0"/>
      <w:marRight w:val="0"/>
      <w:marTop w:val="0"/>
      <w:marBottom w:val="0"/>
      <w:divBdr>
        <w:top w:val="none" w:sz="0" w:space="0" w:color="auto"/>
        <w:left w:val="none" w:sz="0" w:space="0" w:color="auto"/>
        <w:bottom w:val="none" w:sz="0" w:space="0" w:color="auto"/>
        <w:right w:val="none" w:sz="0" w:space="0" w:color="auto"/>
      </w:divBdr>
    </w:div>
    <w:div w:id="855461082">
      <w:bodyDiv w:val="1"/>
      <w:marLeft w:val="0"/>
      <w:marRight w:val="0"/>
      <w:marTop w:val="0"/>
      <w:marBottom w:val="0"/>
      <w:divBdr>
        <w:top w:val="none" w:sz="0" w:space="0" w:color="auto"/>
        <w:left w:val="none" w:sz="0" w:space="0" w:color="auto"/>
        <w:bottom w:val="none" w:sz="0" w:space="0" w:color="auto"/>
        <w:right w:val="none" w:sz="0" w:space="0" w:color="auto"/>
      </w:divBdr>
    </w:div>
    <w:div w:id="917637579">
      <w:bodyDiv w:val="1"/>
      <w:marLeft w:val="0"/>
      <w:marRight w:val="0"/>
      <w:marTop w:val="0"/>
      <w:marBottom w:val="0"/>
      <w:divBdr>
        <w:top w:val="none" w:sz="0" w:space="0" w:color="auto"/>
        <w:left w:val="none" w:sz="0" w:space="0" w:color="auto"/>
        <w:bottom w:val="none" w:sz="0" w:space="0" w:color="auto"/>
        <w:right w:val="none" w:sz="0" w:space="0" w:color="auto"/>
      </w:divBdr>
    </w:div>
    <w:div w:id="988749806">
      <w:bodyDiv w:val="1"/>
      <w:marLeft w:val="0"/>
      <w:marRight w:val="0"/>
      <w:marTop w:val="0"/>
      <w:marBottom w:val="0"/>
      <w:divBdr>
        <w:top w:val="none" w:sz="0" w:space="0" w:color="auto"/>
        <w:left w:val="none" w:sz="0" w:space="0" w:color="auto"/>
        <w:bottom w:val="none" w:sz="0" w:space="0" w:color="auto"/>
        <w:right w:val="none" w:sz="0" w:space="0" w:color="auto"/>
      </w:divBdr>
    </w:div>
    <w:div w:id="1001590242">
      <w:bodyDiv w:val="1"/>
      <w:marLeft w:val="0"/>
      <w:marRight w:val="0"/>
      <w:marTop w:val="0"/>
      <w:marBottom w:val="0"/>
      <w:divBdr>
        <w:top w:val="none" w:sz="0" w:space="0" w:color="auto"/>
        <w:left w:val="none" w:sz="0" w:space="0" w:color="auto"/>
        <w:bottom w:val="none" w:sz="0" w:space="0" w:color="auto"/>
        <w:right w:val="none" w:sz="0" w:space="0" w:color="auto"/>
      </w:divBdr>
    </w:div>
    <w:div w:id="1051072318">
      <w:bodyDiv w:val="1"/>
      <w:marLeft w:val="0"/>
      <w:marRight w:val="0"/>
      <w:marTop w:val="0"/>
      <w:marBottom w:val="0"/>
      <w:divBdr>
        <w:top w:val="none" w:sz="0" w:space="0" w:color="auto"/>
        <w:left w:val="none" w:sz="0" w:space="0" w:color="auto"/>
        <w:bottom w:val="none" w:sz="0" w:space="0" w:color="auto"/>
        <w:right w:val="none" w:sz="0" w:space="0" w:color="auto"/>
      </w:divBdr>
    </w:div>
    <w:div w:id="1054349698">
      <w:bodyDiv w:val="1"/>
      <w:marLeft w:val="0"/>
      <w:marRight w:val="0"/>
      <w:marTop w:val="0"/>
      <w:marBottom w:val="0"/>
      <w:divBdr>
        <w:top w:val="none" w:sz="0" w:space="0" w:color="auto"/>
        <w:left w:val="none" w:sz="0" w:space="0" w:color="auto"/>
        <w:bottom w:val="none" w:sz="0" w:space="0" w:color="auto"/>
        <w:right w:val="none" w:sz="0" w:space="0" w:color="auto"/>
      </w:divBdr>
    </w:div>
    <w:div w:id="1065495366">
      <w:bodyDiv w:val="1"/>
      <w:marLeft w:val="0"/>
      <w:marRight w:val="0"/>
      <w:marTop w:val="0"/>
      <w:marBottom w:val="0"/>
      <w:divBdr>
        <w:top w:val="none" w:sz="0" w:space="0" w:color="auto"/>
        <w:left w:val="none" w:sz="0" w:space="0" w:color="auto"/>
        <w:bottom w:val="none" w:sz="0" w:space="0" w:color="auto"/>
        <w:right w:val="none" w:sz="0" w:space="0" w:color="auto"/>
      </w:divBdr>
    </w:div>
    <w:div w:id="1070423473">
      <w:bodyDiv w:val="1"/>
      <w:marLeft w:val="0"/>
      <w:marRight w:val="0"/>
      <w:marTop w:val="0"/>
      <w:marBottom w:val="0"/>
      <w:divBdr>
        <w:top w:val="none" w:sz="0" w:space="0" w:color="auto"/>
        <w:left w:val="none" w:sz="0" w:space="0" w:color="auto"/>
        <w:bottom w:val="none" w:sz="0" w:space="0" w:color="auto"/>
        <w:right w:val="none" w:sz="0" w:space="0" w:color="auto"/>
      </w:divBdr>
    </w:div>
    <w:div w:id="1084717559">
      <w:bodyDiv w:val="1"/>
      <w:marLeft w:val="0"/>
      <w:marRight w:val="0"/>
      <w:marTop w:val="0"/>
      <w:marBottom w:val="0"/>
      <w:divBdr>
        <w:top w:val="none" w:sz="0" w:space="0" w:color="auto"/>
        <w:left w:val="none" w:sz="0" w:space="0" w:color="auto"/>
        <w:bottom w:val="none" w:sz="0" w:space="0" w:color="auto"/>
        <w:right w:val="none" w:sz="0" w:space="0" w:color="auto"/>
      </w:divBdr>
    </w:div>
    <w:div w:id="1148208394">
      <w:bodyDiv w:val="1"/>
      <w:marLeft w:val="0"/>
      <w:marRight w:val="0"/>
      <w:marTop w:val="0"/>
      <w:marBottom w:val="0"/>
      <w:divBdr>
        <w:top w:val="none" w:sz="0" w:space="0" w:color="auto"/>
        <w:left w:val="none" w:sz="0" w:space="0" w:color="auto"/>
        <w:bottom w:val="none" w:sz="0" w:space="0" w:color="auto"/>
        <w:right w:val="none" w:sz="0" w:space="0" w:color="auto"/>
      </w:divBdr>
    </w:div>
    <w:div w:id="1214392107">
      <w:bodyDiv w:val="1"/>
      <w:marLeft w:val="0"/>
      <w:marRight w:val="0"/>
      <w:marTop w:val="0"/>
      <w:marBottom w:val="0"/>
      <w:divBdr>
        <w:top w:val="none" w:sz="0" w:space="0" w:color="auto"/>
        <w:left w:val="none" w:sz="0" w:space="0" w:color="auto"/>
        <w:bottom w:val="none" w:sz="0" w:space="0" w:color="auto"/>
        <w:right w:val="none" w:sz="0" w:space="0" w:color="auto"/>
      </w:divBdr>
    </w:div>
    <w:div w:id="1303316200">
      <w:bodyDiv w:val="1"/>
      <w:marLeft w:val="0"/>
      <w:marRight w:val="0"/>
      <w:marTop w:val="0"/>
      <w:marBottom w:val="0"/>
      <w:divBdr>
        <w:top w:val="none" w:sz="0" w:space="0" w:color="auto"/>
        <w:left w:val="none" w:sz="0" w:space="0" w:color="auto"/>
        <w:bottom w:val="none" w:sz="0" w:space="0" w:color="auto"/>
        <w:right w:val="none" w:sz="0" w:space="0" w:color="auto"/>
      </w:divBdr>
    </w:div>
    <w:div w:id="1315375794">
      <w:bodyDiv w:val="1"/>
      <w:marLeft w:val="0"/>
      <w:marRight w:val="0"/>
      <w:marTop w:val="0"/>
      <w:marBottom w:val="0"/>
      <w:divBdr>
        <w:top w:val="none" w:sz="0" w:space="0" w:color="auto"/>
        <w:left w:val="none" w:sz="0" w:space="0" w:color="auto"/>
        <w:bottom w:val="none" w:sz="0" w:space="0" w:color="auto"/>
        <w:right w:val="none" w:sz="0" w:space="0" w:color="auto"/>
      </w:divBdr>
    </w:div>
    <w:div w:id="1387485772">
      <w:bodyDiv w:val="1"/>
      <w:marLeft w:val="0"/>
      <w:marRight w:val="0"/>
      <w:marTop w:val="0"/>
      <w:marBottom w:val="0"/>
      <w:divBdr>
        <w:top w:val="none" w:sz="0" w:space="0" w:color="auto"/>
        <w:left w:val="none" w:sz="0" w:space="0" w:color="auto"/>
        <w:bottom w:val="none" w:sz="0" w:space="0" w:color="auto"/>
        <w:right w:val="none" w:sz="0" w:space="0" w:color="auto"/>
      </w:divBdr>
    </w:div>
    <w:div w:id="1401369838">
      <w:bodyDiv w:val="1"/>
      <w:marLeft w:val="0"/>
      <w:marRight w:val="0"/>
      <w:marTop w:val="0"/>
      <w:marBottom w:val="0"/>
      <w:divBdr>
        <w:top w:val="none" w:sz="0" w:space="0" w:color="auto"/>
        <w:left w:val="none" w:sz="0" w:space="0" w:color="auto"/>
        <w:bottom w:val="none" w:sz="0" w:space="0" w:color="auto"/>
        <w:right w:val="none" w:sz="0" w:space="0" w:color="auto"/>
      </w:divBdr>
      <w:divsChild>
        <w:div w:id="228158150">
          <w:marLeft w:val="0"/>
          <w:marRight w:val="0"/>
          <w:marTop w:val="0"/>
          <w:marBottom w:val="0"/>
          <w:divBdr>
            <w:top w:val="none" w:sz="0" w:space="0" w:color="auto"/>
            <w:left w:val="none" w:sz="0" w:space="0" w:color="auto"/>
            <w:bottom w:val="none" w:sz="0" w:space="0" w:color="auto"/>
            <w:right w:val="none" w:sz="0" w:space="0" w:color="auto"/>
          </w:divBdr>
          <w:divsChild>
            <w:div w:id="559286520">
              <w:marLeft w:val="0"/>
              <w:marRight w:val="0"/>
              <w:marTop w:val="0"/>
              <w:marBottom w:val="0"/>
              <w:divBdr>
                <w:top w:val="none" w:sz="0" w:space="0" w:color="auto"/>
                <w:left w:val="none" w:sz="0" w:space="0" w:color="auto"/>
                <w:bottom w:val="none" w:sz="0" w:space="0" w:color="auto"/>
                <w:right w:val="none" w:sz="0" w:space="0" w:color="auto"/>
              </w:divBdr>
              <w:divsChild>
                <w:div w:id="94098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456190">
      <w:bodyDiv w:val="1"/>
      <w:marLeft w:val="0"/>
      <w:marRight w:val="0"/>
      <w:marTop w:val="0"/>
      <w:marBottom w:val="0"/>
      <w:divBdr>
        <w:top w:val="none" w:sz="0" w:space="0" w:color="auto"/>
        <w:left w:val="none" w:sz="0" w:space="0" w:color="auto"/>
        <w:bottom w:val="none" w:sz="0" w:space="0" w:color="auto"/>
        <w:right w:val="none" w:sz="0" w:space="0" w:color="auto"/>
      </w:divBdr>
    </w:div>
    <w:div w:id="1447430044">
      <w:bodyDiv w:val="1"/>
      <w:marLeft w:val="0"/>
      <w:marRight w:val="0"/>
      <w:marTop w:val="0"/>
      <w:marBottom w:val="0"/>
      <w:divBdr>
        <w:top w:val="none" w:sz="0" w:space="0" w:color="auto"/>
        <w:left w:val="none" w:sz="0" w:space="0" w:color="auto"/>
        <w:bottom w:val="none" w:sz="0" w:space="0" w:color="auto"/>
        <w:right w:val="none" w:sz="0" w:space="0" w:color="auto"/>
      </w:divBdr>
    </w:div>
    <w:div w:id="1492483845">
      <w:bodyDiv w:val="1"/>
      <w:marLeft w:val="0"/>
      <w:marRight w:val="0"/>
      <w:marTop w:val="0"/>
      <w:marBottom w:val="0"/>
      <w:divBdr>
        <w:top w:val="none" w:sz="0" w:space="0" w:color="auto"/>
        <w:left w:val="none" w:sz="0" w:space="0" w:color="auto"/>
        <w:bottom w:val="none" w:sz="0" w:space="0" w:color="auto"/>
        <w:right w:val="none" w:sz="0" w:space="0" w:color="auto"/>
      </w:divBdr>
    </w:div>
    <w:div w:id="1495486819">
      <w:bodyDiv w:val="1"/>
      <w:marLeft w:val="0"/>
      <w:marRight w:val="0"/>
      <w:marTop w:val="0"/>
      <w:marBottom w:val="0"/>
      <w:divBdr>
        <w:top w:val="none" w:sz="0" w:space="0" w:color="auto"/>
        <w:left w:val="none" w:sz="0" w:space="0" w:color="auto"/>
        <w:bottom w:val="none" w:sz="0" w:space="0" w:color="auto"/>
        <w:right w:val="none" w:sz="0" w:space="0" w:color="auto"/>
      </w:divBdr>
    </w:div>
    <w:div w:id="1543439243">
      <w:bodyDiv w:val="1"/>
      <w:marLeft w:val="0"/>
      <w:marRight w:val="0"/>
      <w:marTop w:val="0"/>
      <w:marBottom w:val="0"/>
      <w:divBdr>
        <w:top w:val="none" w:sz="0" w:space="0" w:color="auto"/>
        <w:left w:val="none" w:sz="0" w:space="0" w:color="auto"/>
        <w:bottom w:val="none" w:sz="0" w:space="0" w:color="auto"/>
        <w:right w:val="none" w:sz="0" w:space="0" w:color="auto"/>
      </w:divBdr>
    </w:div>
    <w:div w:id="1544902360">
      <w:bodyDiv w:val="1"/>
      <w:marLeft w:val="0"/>
      <w:marRight w:val="0"/>
      <w:marTop w:val="0"/>
      <w:marBottom w:val="0"/>
      <w:divBdr>
        <w:top w:val="none" w:sz="0" w:space="0" w:color="auto"/>
        <w:left w:val="none" w:sz="0" w:space="0" w:color="auto"/>
        <w:bottom w:val="none" w:sz="0" w:space="0" w:color="auto"/>
        <w:right w:val="none" w:sz="0" w:space="0" w:color="auto"/>
      </w:divBdr>
    </w:div>
    <w:div w:id="1550340464">
      <w:bodyDiv w:val="1"/>
      <w:marLeft w:val="0"/>
      <w:marRight w:val="0"/>
      <w:marTop w:val="0"/>
      <w:marBottom w:val="0"/>
      <w:divBdr>
        <w:top w:val="none" w:sz="0" w:space="0" w:color="auto"/>
        <w:left w:val="none" w:sz="0" w:space="0" w:color="auto"/>
        <w:bottom w:val="none" w:sz="0" w:space="0" w:color="auto"/>
        <w:right w:val="none" w:sz="0" w:space="0" w:color="auto"/>
      </w:divBdr>
    </w:div>
    <w:div w:id="1571764682">
      <w:bodyDiv w:val="1"/>
      <w:marLeft w:val="0"/>
      <w:marRight w:val="0"/>
      <w:marTop w:val="0"/>
      <w:marBottom w:val="0"/>
      <w:divBdr>
        <w:top w:val="none" w:sz="0" w:space="0" w:color="auto"/>
        <w:left w:val="none" w:sz="0" w:space="0" w:color="auto"/>
        <w:bottom w:val="none" w:sz="0" w:space="0" w:color="auto"/>
        <w:right w:val="none" w:sz="0" w:space="0" w:color="auto"/>
      </w:divBdr>
    </w:div>
    <w:div w:id="1617954262">
      <w:bodyDiv w:val="1"/>
      <w:marLeft w:val="0"/>
      <w:marRight w:val="0"/>
      <w:marTop w:val="0"/>
      <w:marBottom w:val="0"/>
      <w:divBdr>
        <w:top w:val="none" w:sz="0" w:space="0" w:color="auto"/>
        <w:left w:val="none" w:sz="0" w:space="0" w:color="auto"/>
        <w:bottom w:val="none" w:sz="0" w:space="0" w:color="auto"/>
        <w:right w:val="none" w:sz="0" w:space="0" w:color="auto"/>
      </w:divBdr>
    </w:div>
    <w:div w:id="1655794180">
      <w:bodyDiv w:val="1"/>
      <w:marLeft w:val="0"/>
      <w:marRight w:val="0"/>
      <w:marTop w:val="0"/>
      <w:marBottom w:val="0"/>
      <w:divBdr>
        <w:top w:val="none" w:sz="0" w:space="0" w:color="auto"/>
        <w:left w:val="none" w:sz="0" w:space="0" w:color="auto"/>
        <w:bottom w:val="none" w:sz="0" w:space="0" w:color="auto"/>
        <w:right w:val="none" w:sz="0" w:space="0" w:color="auto"/>
      </w:divBdr>
    </w:div>
    <w:div w:id="1656951666">
      <w:bodyDiv w:val="1"/>
      <w:marLeft w:val="0"/>
      <w:marRight w:val="0"/>
      <w:marTop w:val="0"/>
      <w:marBottom w:val="0"/>
      <w:divBdr>
        <w:top w:val="none" w:sz="0" w:space="0" w:color="auto"/>
        <w:left w:val="none" w:sz="0" w:space="0" w:color="auto"/>
        <w:bottom w:val="none" w:sz="0" w:space="0" w:color="auto"/>
        <w:right w:val="none" w:sz="0" w:space="0" w:color="auto"/>
      </w:divBdr>
    </w:div>
    <w:div w:id="1691905940">
      <w:bodyDiv w:val="1"/>
      <w:marLeft w:val="0"/>
      <w:marRight w:val="0"/>
      <w:marTop w:val="0"/>
      <w:marBottom w:val="0"/>
      <w:divBdr>
        <w:top w:val="none" w:sz="0" w:space="0" w:color="auto"/>
        <w:left w:val="none" w:sz="0" w:space="0" w:color="auto"/>
        <w:bottom w:val="none" w:sz="0" w:space="0" w:color="auto"/>
        <w:right w:val="none" w:sz="0" w:space="0" w:color="auto"/>
      </w:divBdr>
    </w:div>
    <w:div w:id="1728217066">
      <w:bodyDiv w:val="1"/>
      <w:marLeft w:val="0"/>
      <w:marRight w:val="0"/>
      <w:marTop w:val="0"/>
      <w:marBottom w:val="0"/>
      <w:divBdr>
        <w:top w:val="none" w:sz="0" w:space="0" w:color="auto"/>
        <w:left w:val="none" w:sz="0" w:space="0" w:color="auto"/>
        <w:bottom w:val="none" w:sz="0" w:space="0" w:color="auto"/>
        <w:right w:val="none" w:sz="0" w:space="0" w:color="auto"/>
      </w:divBdr>
    </w:div>
    <w:div w:id="1739938513">
      <w:bodyDiv w:val="1"/>
      <w:marLeft w:val="0"/>
      <w:marRight w:val="0"/>
      <w:marTop w:val="0"/>
      <w:marBottom w:val="0"/>
      <w:divBdr>
        <w:top w:val="none" w:sz="0" w:space="0" w:color="auto"/>
        <w:left w:val="none" w:sz="0" w:space="0" w:color="auto"/>
        <w:bottom w:val="none" w:sz="0" w:space="0" w:color="auto"/>
        <w:right w:val="none" w:sz="0" w:space="0" w:color="auto"/>
      </w:divBdr>
    </w:div>
    <w:div w:id="1789158704">
      <w:bodyDiv w:val="1"/>
      <w:marLeft w:val="0"/>
      <w:marRight w:val="0"/>
      <w:marTop w:val="0"/>
      <w:marBottom w:val="0"/>
      <w:divBdr>
        <w:top w:val="none" w:sz="0" w:space="0" w:color="auto"/>
        <w:left w:val="none" w:sz="0" w:space="0" w:color="auto"/>
        <w:bottom w:val="none" w:sz="0" w:space="0" w:color="auto"/>
        <w:right w:val="none" w:sz="0" w:space="0" w:color="auto"/>
      </w:divBdr>
    </w:div>
    <w:div w:id="1820687451">
      <w:bodyDiv w:val="1"/>
      <w:marLeft w:val="0"/>
      <w:marRight w:val="0"/>
      <w:marTop w:val="0"/>
      <w:marBottom w:val="0"/>
      <w:divBdr>
        <w:top w:val="none" w:sz="0" w:space="0" w:color="auto"/>
        <w:left w:val="none" w:sz="0" w:space="0" w:color="auto"/>
        <w:bottom w:val="none" w:sz="0" w:space="0" w:color="auto"/>
        <w:right w:val="none" w:sz="0" w:space="0" w:color="auto"/>
      </w:divBdr>
    </w:div>
    <w:div w:id="1834838151">
      <w:bodyDiv w:val="1"/>
      <w:marLeft w:val="0"/>
      <w:marRight w:val="0"/>
      <w:marTop w:val="0"/>
      <w:marBottom w:val="0"/>
      <w:divBdr>
        <w:top w:val="none" w:sz="0" w:space="0" w:color="auto"/>
        <w:left w:val="none" w:sz="0" w:space="0" w:color="auto"/>
        <w:bottom w:val="none" w:sz="0" w:space="0" w:color="auto"/>
        <w:right w:val="none" w:sz="0" w:space="0" w:color="auto"/>
      </w:divBdr>
    </w:div>
    <w:div w:id="1843625860">
      <w:bodyDiv w:val="1"/>
      <w:marLeft w:val="0"/>
      <w:marRight w:val="0"/>
      <w:marTop w:val="0"/>
      <w:marBottom w:val="0"/>
      <w:divBdr>
        <w:top w:val="none" w:sz="0" w:space="0" w:color="auto"/>
        <w:left w:val="none" w:sz="0" w:space="0" w:color="auto"/>
        <w:bottom w:val="none" w:sz="0" w:space="0" w:color="auto"/>
        <w:right w:val="none" w:sz="0" w:space="0" w:color="auto"/>
      </w:divBdr>
    </w:div>
    <w:div w:id="1896158895">
      <w:bodyDiv w:val="1"/>
      <w:marLeft w:val="0"/>
      <w:marRight w:val="0"/>
      <w:marTop w:val="0"/>
      <w:marBottom w:val="0"/>
      <w:divBdr>
        <w:top w:val="none" w:sz="0" w:space="0" w:color="auto"/>
        <w:left w:val="none" w:sz="0" w:space="0" w:color="auto"/>
        <w:bottom w:val="none" w:sz="0" w:space="0" w:color="auto"/>
        <w:right w:val="none" w:sz="0" w:space="0" w:color="auto"/>
      </w:divBdr>
    </w:div>
    <w:div w:id="1921523115">
      <w:bodyDiv w:val="1"/>
      <w:marLeft w:val="0"/>
      <w:marRight w:val="0"/>
      <w:marTop w:val="0"/>
      <w:marBottom w:val="0"/>
      <w:divBdr>
        <w:top w:val="none" w:sz="0" w:space="0" w:color="auto"/>
        <w:left w:val="none" w:sz="0" w:space="0" w:color="auto"/>
        <w:bottom w:val="none" w:sz="0" w:space="0" w:color="auto"/>
        <w:right w:val="none" w:sz="0" w:space="0" w:color="auto"/>
      </w:divBdr>
    </w:div>
    <w:div w:id="1943607160">
      <w:bodyDiv w:val="1"/>
      <w:marLeft w:val="0"/>
      <w:marRight w:val="0"/>
      <w:marTop w:val="0"/>
      <w:marBottom w:val="0"/>
      <w:divBdr>
        <w:top w:val="none" w:sz="0" w:space="0" w:color="auto"/>
        <w:left w:val="none" w:sz="0" w:space="0" w:color="auto"/>
        <w:bottom w:val="none" w:sz="0" w:space="0" w:color="auto"/>
        <w:right w:val="none" w:sz="0" w:space="0" w:color="auto"/>
      </w:divBdr>
    </w:div>
    <w:div w:id="2051417817">
      <w:bodyDiv w:val="1"/>
      <w:marLeft w:val="0"/>
      <w:marRight w:val="0"/>
      <w:marTop w:val="0"/>
      <w:marBottom w:val="0"/>
      <w:divBdr>
        <w:top w:val="none" w:sz="0" w:space="0" w:color="auto"/>
        <w:left w:val="none" w:sz="0" w:space="0" w:color="auto"/>
        <w:bottom w:val="none" w:sz="0" w:space="0" w:color="auto"/>
        <w:right w:val="none" w:sz="0" w:space="0" w:color="auto"/>
      </w:divBdr>
    </w:div>
    <w:div w:id="2052604527">
      <w:bodyDiv w:val="1"/>
      <w:marLeft w:val="0"/>
      <w:marRight w:val="0"/>
      <w:marTop w:val="0"/>
      <w:marBottom w:val="0"/>
      <w:divBdr>
        <w:top w:val="none" w:sz="0" w:space="0" w:color="auto"/>
        <w:left w:val="none" w:sz="0" w:space="0" w:color="auto"/>
        <w:bottom w:val="none" w:sz="0" w:space="0" w:color="auto"/>
        <w:right w:val="none" w:sz="0" w:space="0" w:color="auto"/>
      </w:divBdr>
    </w:div>
    <w:div w:id="2073038484">
      <w:bodyDiv w:val="1"/>
      <w:marLeft w:val="0"/>
      <w:marRight w:val="0"/>
      <w:marTop w:val="0"/>
      <w:marBottom w:val="0"/>
      <w:divBdr>
        <w:top w:val="none" w:sz="0" w:space="0" w:color="auto"/>
        <w:left w:val="none" w:sz="0" w:space="0" w:color="auto"/>
        <w:bottom w:val="none" w:sz="0" w:space="0" w:color="auto"/>
        <w:right w:val="none" w:sz="0" w:space="0" w:color="auto"/>
      </w:divBdr>
    </w:div>
    <w:div w:id="2077849344">
      <w:bodyDiv w:val="1"/>
      <w:marLeft w:val="0"/>
      <w:marRight w:val="0"/>
      <w:marTop w:val="0"/>
      <w:marBottom w:val="0"/>
      <w:divBdr>
        <w:top w:val="none" w:sz="0" w:space="0" w:color="auto"/>
        <w:left w:val="none" w:sz="0" w:space="0" w:color="auto"/>
        <w:bottom w:val="none" w:sz="0" w:space="0" w:color="auto"/>
        <w:right w:val="none" w:sz="0" w:space="0" w:color="auto"/>
      </w:divBdr>
    </w:div>
    <w:div w:id="2104258728">
      <w:bodyDiv w:val="1"/>
      <w:marLeft w:val="0"/>
      <w:marRight w:val="0"/>
      <w:marTop w:val="0"/>
      <w:marBottom w:val="0"/>
      <w:divBdr>
        <w:top w:val="none" w:sz="0" w:space="0" w:color="auto"/>
        <w:left w:val="none" w:sz="0" w:space="0" w:color="auto"/>
        <w:bottom w:val="none" w:sz="0" w:space="0" w:color="auto"/>
        <w:right w:val="none" w:sz="0" w:space="0" w:color="auto"/>
      </w:divBdr>
    </w:div>
    <w:div w:id="2119788221">
      <w:bodyDiv w:val="1"/>
      <w:marLeft w:val="0"/>
      <w:marRight w:val="0"/>
      <w:marTop w:val="0"/>
      <w:marBottom w:val="0"/>
      <w:divBdr>
        <w:top w:val="none" w:sz="0" w:space="0" w:color="auto"/>
        <w:left w:val="none" w:sz="0" w:space="0" w:color="auto"/>
        <w:bottom w:val="none" w:sz="0" w:space="0" w:color="auto"/>
        <w:right w:val="none" w:sz="0" w:space="0" w:color="auto"/>
      </w:divBdr>
    </w:div>
    <w:div w:id="2140956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hyperlink" Target="https://www.qualtrics.com/security-statement/" TargetMode="External"/><Relationship Id="rId26" Type="http://schemas.openxmlformats.org/officeDocument/2006/relationships/hyperlink" Target="https://www.msdanationalprofile.com/profiles/2019/national/all/policy" TargetMode="External"/><Relationship Id="rId39" Type="http://schemas.openxmlformats.org/officeDocument/2006/relationships/hyperlink" Target="https://www.bls.gov/oes/tables.htm." TargetMode="External"/><Relationship Id="rId3" Type="http://schemas.openxmlformats.org/officeDocument/2006/relationships/customXml" Target="../customXml/item3.xml"/><Relationship Id="rId21" Type="http://schemas.openxmlformats.org/officeDocument/2006/relationships/hyperlink" Target="https://www.carequest.org/system/files/CareQuest-Institute-Health-Mouths-Why-They-Matter-for-Adults-and-State-Budgets-Brief.pdf" TargetMode="External"/><Relationship Id="rId34" Type="http://schemas.openxmlformats.org/officeDocument/2006/relationships/hyperlink" Target="https://www.msdanationalprofile.com/profiles/2019/national/all/benefits/dental-codes/11?chip=0" TargetMode="External"/><Relationship Id="rId42" Type="http://schemas.openxmlformats.org/officeDocument/2006/relationships/hyperlink" Target="https://www.msdanationalprofile.com/profiles/2019/national/all/policy/medical-waivers" TargetMode="External"/><Relationship Id="rId47" Type="http://schemas.openxmlformats.org/officeDocument/2006/relationships/theme" Target="theme/theme1.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chart" Target="charts/chart1.xml"/><Relationship Id="rId25" Type="http://schemas.openxmlformats.org/officeDocument/2006/relationships/hyperlink" Target="https://www.kff.org/medicaid/issue-brief/status-of-state-medicaid-expansion-decisions-interactive-map/" TargetMode="External"/><Relationship Id="rId33" Type="http://schemas.openxmlformats.org/officeDocument/2006/relationships/hyperlink" Target="https://www.msdanationalprofile.com/profiles/2019/national/all/benefits/dental-codes/11?chip=0" TargetMode="External"/><Relationship Id="rId38" Type="http://schemas.openxmlformats.org/officeDocument/2006/relationships/hyperlink" Target="https://www.bls.gov/oes/tables.htm" TargetMode="External"/><Relationship Id="rId46"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www.carequest.org/system/files/CareQuest-Institute-Health-Mouths-Why-They-Matter-for-Adults-and-State-Budgets-Brief.pdf" TargetMode="External"/><Relationship Id="rId29" Type="http://schemas.openxmlformats.org/officeDocument/2006/relationships/hyperlink" Target="%20https://www.msdanationalprofile.com/profiles/2019/national/all/benefits/dental-codes/37?chip=0" TargetMode="External"/><Relationship Id="rId41" Type="http://schemas.openxmlformats.org/officeDocument/2006/relationships/hyperlink" Target="https://www.dol.gov/sites/dolgov/files/odep/topics/medicaidbuyinqaf.pdf"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hyperlink" Target="https://www.kff.org/medicaid/issue-brief/status-of-state-medicaid-expansion-decisions-interactive-map/" TargetMode="External"/><Relationship Id="rId32" Type="http://schemas.openxmlformats.org/officeDocument/2006/relationships/hyperlink" Target="https://www.msdanationalprofile.com/profiles/2019/national/all/benefits/dental-codes/12?chip=0" TargetMode="External"/><Relationship Id="rId37" Type="http://schemas.openxmlformats.org/officeDocument/2006/relationships/hyperlink" Target="https://www.kff.org/medicaid/state-indicator/federal-matching-rate-and-multiplier/?currentTimeframe=0&amp;sortModel=%7B%22colId%22:%22Location%22,%22sort%22:%22asc%22%7D" TargetMode="External"/><Relationship Id="rId40" Type="http://schemas.openxmlformats.org/officeDocument/2006/relationships/hyperlink" Target="https://www.kff.org/report-section/medicaid-financial-eligibility-for-seniors-and-people-with-disabilities-findings-from-a-50-state-survey-appendix-tables/" TargetMode="External"/><Relationship Id="rId45"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hyperlink" Target="mailto:ssetty@bankstreet.edu" TargetMode="External"/><Relationship Id="rId28" Type="http://schemas.openxmlformats.org/officeDocument/2006/relationships/hyperlink" Target="https://www.chcs.org/media/Adult-Oral-Health-Fact-Sheet_072718.pdf" TargetMode="External"/><Relationship Id="rId36" Type="http://schemas.openxmlformats.org/officeDocument/2006/relationships/hyperlink" Target="https://www.msdanationalprofile.com/profiles/2019/national/all/policy/silver-diamine-flouride" TargetMode="External"/><Relationship Id="rId10" Type="http://schemas.openxmlformats.org/officeDocument/2006/relationships/webSettings" Target="webSettings.xml"/><Relationship Id="rId19" Type="http://schemas.openxmlformats.org/officeDocument/2006/relationships/hyperlink" Target="https://www.chcs.org/media/Adult-Oral-Health-Fact-Sheet_091519.pdf" TargetMode="External"/><Relationship Id="rId31" Type="http://schemas.openxmlformats.org/officeDocument/2006/relationships/hyperlink" Target="https://www.msdanationalprofile.com/profiles/2019/national/all/benefits/dental-codes/12?chip=0" TargetMode="External"/><Relationship Id="rId44" Type="http://schemas.openxmlformats.org/officeDocument/2006/relationships/hyperlink" Target="https://www.nashp.org/state-medicaid-coverage-of-dental-services-for-general-adult-and-pregnant-populations/"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emf"/><Relationship Id="rId22" Type="http://schemas.openxmlformats.org/officeDocument/2006/relationships/hyperlink" Target="https://www.carequest.org/system/files/CareQuest-Institute-Health-Mouths-Why-They-Matter-for-Adults-and-State-Budgets-Brief.pdf" TargetMode="External"/><Relationship Id="rId27" Type="http://schemas.openxmlformats.org/officeDocument/2006/relationships/hyperlink" Target="https://www.nashp.org/state-medicaid-coverage-of-dental-services-for-general-adult-and-pregnant-populations/" TargetMode="External"/><Relationship Id="rId30" Type="http://schemas.openxmlformats.org/officeDocument/2006/relationships/hyperlink" Target="https://www.msdanationalprofile.com/profiles/2019/national/all/benefits/dental-codes/39?chip=0" TargetMode="External"/><Relationship Id="rId35" Type="http://schemas.openxmlformats.org/officeDocument/2006/relationships/hyperlink" Target="https://www.msdanationalprofile.com/profiles/2019/national/all/policy/silver-diamine-flouride" TargetMode="External"/><Relationship Id="rId43" Type="http://schemas.openxmlformats.org/officeDocument/2006/relationships/hyperlink" Target="https://health.maryland.gov/mmcp/Documents/Overview.pdf." TargetMode="External"/></Relationships>
</file>

<file path=word/_rels/endnotes.xml.rels><?xml version="1.0" encoding="UTF-8" standalone="yes"?>
<Relationships xmlns="http://schemas.openxmlformats.org/package/2006/relationships"><Relationship Id="rId13" Type="http://schemas.openxmlformats.org/officeDocument/2006/relationships/hyperlink" Target="https://doi.org/10.1016/j.adaj.2015.01.024" TargetMode="External"/><Relationship Id="rId18" Type="http://schemas.openxmlformats.org/officeDocument/2006/relationships/hyperlink" Target="https://www.medicaid.gov/medicaid/benefits/dental-care/index.html" TargetMode="External"/><Relationship Id="rId26" Type="http://schemas.openxmlformats.org/officeDocument/2006/relationships/hyperlink" Target="https://hcup-us.ahrq.gov/reports/statbriefs/sb280-Dental-ED-Visits-2018.pdf" TargetMode="External"/><Relationship Id="rId39" Type="http://schemas.openxmlformats.org/officeDocument/2006/relationships/hyperlink" Target="https://www.nashp.org/state-medicaid-coverage-of-dental-services-for-general-adult-and-pregnant-populations/" TargetMode="External"/><Relationship Id="rId21" Type="http://schemas.openxmlformats.org/officeDocument/2006/relationships/hyperlink" Target="https://www.kff.org/medicaid/issue-brief/10-things-to-know-about-medicaid-managed-care/" TargetMode="External"/><Relationship Id="rId34" Type="http://schemas.openxmlformats.org/officeDocument/2006/relationships/hyperlink" Target="https://lao.ca.gov/Publications/Report/3884" TargetMode="External"/><Relationship Id="rId42" Type="http://schemas.openxmlformats.org/officeDocument/2006/relationships/hyperlink" Target="https://www.govtrack.us/congress/bills/115/hr2422/summary" TargetMode="External"/><Relationship Id="rId47" Type="http://schemas.openxmlformats.org/officeDocument/2006/relationships/hyperlink" Target="https://coda.ada.org/en/current-accreditation-standards" TargetMode="External"/><Relationship Id="rId50" Type="http://schemas.openxmlformats.org/officeDocument/2006/relationships/hyperlink" Target="https://www.nber.org/system/files/working_papers/w26095/w26095.pdf" TargetMode="External"/><Relationship Id="rId55" Type="http://schemas.openxmlformats.org/officeDocument/2006/relationships/hyperlink" Target="http://dx.doi.org/10.1377/hlthaff.2016.0877" TargetMode="External"/><Relationship Id="rId63" Type="http://schemas.openxmlformats.org/officeDocument/2006/relationships/hyperlink" Target="https://www.chcs.org/media/Adult-Oral-Health-Fact-Sheet_072718.pdf" TargetMode="External"/><Relationship Id="rId68" Type="http://schemas.openxmlformats.org/officeDocument/2006/relationships/hyperlink" Target="https://vahealthcatalyst.org/wp-content/uploads/2020/01/HPI-Report-with-Intro-Letter.pdf" TargetMode="External"/><Relationship Id="rId76" Type="http://schemas.openxmlformats.org/officeDocument/2006/relationships/hyperlink" Target="https://www.kff.org/medicaid/state-indicator/federal-matching-rate-and-multiplier/?currentTimeframe=0&amp;sortModel=%7B%22colId%22:%22Location%22,%22sort%22:%22asc%22%7D" TargetMode="External"/><Relationship Id="rId84" Type="http://schemas.openxmlformats.org/officeDocument/2006/relationships/hyperlink" Target="https://www.congress.gov/bill/117th-congress/house-bill/4311" TargetMode="External"/><Relationship Id="rId89" Type="http://schemas.openxmlformats.org/officeDocument/2006/relationships/hyperlink" Target="https://dental.nyu.edu/patientcare/ohcpd.html" TargetMode="External"/><Relationship Id="rId7" Type="http://schemas.openxmlformats.org/officeDocument/2006/relationships/hyperlink" Target="https://www.nichd.nih.gov/health/topics/idds/conditioninfo/default" TargetMode="External"/><Relationship Id="rId71" Type="http://schemas.openxmlformats.org/officeDocument/2006/relationships/hyperlink" Target="https://www.nadp.org/PressReleases/2017/11/23/nadp-analysis-shows-adults-with-medicaid-preventive-dental-benefits-have-lower-medical-costs-for-chronic-conditions" TargetMode="External"/><Relationship Id="rId92" Type="http://schemas.openxmlformats.org/officeDocument/2006/relationships/hyperlink" Target="https://www.ada.org/en/publications/cdt" TargetMode="External"/><Relationship Id="rId2" Type="http://schemas.openxmlformats.org/officeDocument/2006/relationships/hyperlink" Target="https://www.nidcr.nih.gov/news-events/nidcr-news/2021/nidcr-director-oral-health-in-america" TargetMode="External"/><Relationship Id="rId16" Type="http://schemas.openxmlformats.org/officeDocument/2006/relationships/hyperlink" Target="https://thearc.org/wp-content/uploads/forchapters/FINDS_Report_811a.pdf" TargetMode="External"/><Relationship Id="rId29" Type="http://schemas.openxmlformats.org/officeDocument/2006/relationships/hyperlink" Target="https://vahealthcatalyst.org/wp-content/uploads/2020/02/HPI-Report-with-Intro-Letter_Update.pdf" TargetMode="External"/><Relationship Id="rId11" Type="http://schemas.openxmlformats.org/officeDocument/2006/relationships/hyperlink" Target="https://ajph.aphapublications.org/doi/abs/10.2105/AJPH.2019.305056" TargetMode="External"/><Relationship Id="rId24" Type="http://schemas.openxmlformats.org/officeDocument/2006/relationships/hyperlink" Target="http://www.ada.org/~/media/ADA/Science%20and%20Research/HPI/Files/HPIBrief_0417_1.pdf" TargetMode="External"/><Relationship Id="rId32" Type="http://schemas.openxmlformats.org/officeDocument/2006/relationships/hyperlink" Target="https://www.nber.org/system/files/working_papers/w26095/w26095.pdf" TargetMode="External"/><Relationship Id="rId37" Type="http://schemas.openxmlformats.org/officeDocument/2006/relationships/hyperlink" Target="https://onlinelibrary.wiley.com/doi/abs/10.1111/j.1475-6773.2010.01131.x" TargetMode="External"/><Relationship Id="rId40" Type="http://schemas.openxmlformats.org/officeDocument/2006/relationships/hyperlink" Target="https://www.carequest.org/system/files/CareQuest-Institute-Health-Mouths-Why-They-Matter-for-Adults-and-State-Budgets-Brief.pdf" TargetMode="External"/><Relationship Id="rId45" Type="http://schemas.openxmlformats.org/officeDocument/2006/relationships/hyperlink" Target="https://www.wsda.org/news/blog/2018/12/12/action-for-dental-health-act-is-now-law" TargetMode="External"/><Relationship Id="rId53" Type="http://schemas.openxmlformats.org/officeDocument/2006/relationships/hyperlink" Target="https://www.ada.org/~/media/ADA/Science%20and%20Research/HPI/Files/HPIgraphic_0518_1.pdf?la=en" TargetMode="External"/><Relationship Id="rId58" Type="http://schemas.openxmlformats.org/officeDocument/2006/relationships/hyperlink" Target="https://www.chcs.org/media/Adult-Oral-Health-Fact-Sheet_112118.pdf." TargetMode="External"/><Relationship Id="rId66" Type="http://schemas.openxmlformats.org/officeDocument/2006/relationships/hyperlink" Target="https://www.ada.org/~/media/ADA/DQA/2022_Adult_ED_Visits.pdf?la=en" TargetMode="External"/><Relationship Id="rId74" Type="http://schemas.openxmlformats.org/officeDocument/2006/relationships/hyperlink" Target="https://www.kff.org/report-section/key-state-policy-choices-about-medicaid-home-and-community-based-services-issue-brief/" TargetMode="External"/><Relationship Id="rId79" Type="http://schemas.openxmlformats.org/officeDocument/2006/relationships/hyperlink" Target="https://familiesusa.org/wp-content/uploads/2019/10/OH_Oral-Health-and-People-with-Disabilities_IssueBrief.pdf" TargetMode="External"/><Relationship Id="rId87" Type="http://schemas.openxmlformats.org/officeDocument/2006/relationships/hyperlink" Target="https://www.research.va.gov/research_in_action/Oral-hygiene-to-fight-pneumonia.cfm%23:~:text=VA%20researchers%20developed%20and%20implemented,living%20center%20and%20hospital%20patients.&amp;text=By%20preventing%20hospital%2Dacquired%20pneumonia,million%20as%20of%20July%202019" TargetMode="External"/><Relationship Id="rId5" Type="http://schemas.openxmlformats.org/officeDocument/2006/relationships/hyperlink" Target="https://www.zotero.org/google-docs/?E6alWc" TargetMode="External"/><Relationship Id="rId61" Type="http://schemas.openxmlformats.org/officeDocument/2006/relationships/hyperlink" Target="https://www.macpac.gov/wp-content/uploads/2015/01/EXHIBIT-30.-Percentage-of-Medicaid-Enrollees-in-Managed-Care-by-State-and-Eligibility-Group-FY-2018.pdf" TargetMode="External"/><Relationship Id="rId82" Type="http://schemas.openxmlformats.org/officeDocument/2006/relationships/hyperlink" Target="https://dmh.mo.gov/dev-disabilities/individuals-families/elk-dental" TargetMode="External"/><Relationship Id="rId90" Type="http://schemas.openxmlformats.org/officeDocument/2006/relationships/hyperlink" Target="https://doi.org/10.1001/jamainternmed.2017.7055" TargetMode="External"/><Relationship Id="rId95" Type="http://schemas.openxmlformats.org/officeDocument/2006/relationships/hyperlink" Target="https://www.ada.org/-/media/project/ada-organization/ada/ada-org/ada/ada/science-and-research/hpi/files/hpibrief_0516_1.pdf." TargetMode="External"/><Relationship Id="rId19" Type="http://schemas.openxmlformats.org/officeDocument/2006/relationships/hyperlink" Target="https://www.medicaid.gov/sites/default/files/2020-02/mce-checklist-state-user-guide.pdf" TargetMode="External"/><Relationship Id="rId14" Type="http://schemas.openxmlformats.org/officeDocument/2006/relationships/hyperlink" Target="https://www.nccp.org/wp-content/uploads/2020/07/1229.pdf" TargetMode="External"/><Relationship Id="rId22" Type="http://schemas.openxmlformats.org/officeDocument/2006/relationships/hyperlink" Target="https://www.kff.org/other/state-indicator/total-medicaid-mco-enrollment/?currentTimeframe=0&amp;sortModel=%7B%22colId%22:%22Location%22,%22sort%22:%22asc%22%7D" TargetMode="External"/><Relationship Id="rId27" Type="http://schemas.openxmlformats.org/officeDocument/2006/relationships/hyperlink" Target="http://dx.doi.org/10.5888/pcd16.180641" TargetMode="External"/><Relationship Id="rId30" Type="http://schemas.openxmlformats.org/officeDocument/2006/relationships/hyperlink" Target="https://www.ada.org/-/media/project/ada-organization/ada/ada-org/files/resources/research/hpi/hpibrief_0220_1.pdf." TargetMode="External"/><Relationship Id="rId35" Type="http://schemas.openxmlformats.org/officeDocument/2006/relationships/hyperlink" Target="https://www.cthealth.org/publication/impact-increased-dental-reimbursement-rates-husky-a-insured-children-2006-2011/" TargetMode="External"/><Relationship Id="rId43" Type="http://schemas.openxmlformats.org/officeDocument/2006/relationships/hyperlink" Target="https://www.govtrack.us/congress/bills/115/hr2422/summary" TargetMode="External"/><Relationship Id="rId48" Type="http://schemas.openxmlformats.org/officeDocument/2006/relationships/hyperlink" Target="https://www.ada.org/en/publications/cdt" TargetMode="External"/><Relationship Id="rId56" Type="http://schemas.openxmlformats.org/officeDocument/2006/relationships/hyperlink" Target="https://www.nashp.org/state-medicaid-coverage-of-dental-services-for-general-adult-and-pregnant-populations/" TargetMode="External"/><Relationship Id="rId64" Type="http://schemas.openxmlformats.org/officeDocument/2006/relationships/hyperlink" Target="https://www.cthealth.org/publication/impact-increased-dental-reimbursement-rates-husky-a-insured-children-2006-2011/" TargetMode="External"/><Relationship Id="rId69" Type="http://schemas.openxmlformats.org/officeDocument/2006/relationships/hyperlink" Target="https://www.nadp.org/PressReleases/2017/11/23/nadp-analysis-shows-adults-with-medicaid-preventive-dental-benefits-have-lower-medical-costs-for-chronic-conditions" TargetMode="External"/><Relationship Id="rId77" Type="http://schemas.openxmlformats.org/officeDocument/2006/relationships/hyperlink" Target="https://www.medicaid.gov/medicaid/long-term-services-supports/balancing-incentive-program/balancing-incentive-program/index.html" TargetMode="External"/><Relationship Id="rId8" Type="http://schemas.openxmlformats.org/officeDocument/2006/relationships/hyperlink" Target="https://www.ssa.gov/policy/docs/ssb/v77n1/v77n1p17.html" TargetMode="External"/><Relationship Id="rId51" Type="http://schemas.openxmlformats.org/officeDocument/2006/relationships/hyperlink" Target="https://lao.ca.gov/Publications/Report/3884" TargetMode="External"/><Relationship Id="rId72" Type="http://schemas.openxmlformats.org/officeDocument/2006/relationships/hyperlink" Target="https://publichealth.gwu.edu/departments/healthpolicy/CHPR/downloads/mil_prep042605.pdf" TargetMode="External"/><Relationship Id="rId80" Type="http://schemas.openxmlformats.org/officeDocument/2006/relationships/hyperlink" Target="https://doi.org/10.1001/journalofethics.2016.18.4.pfor1-1604" TargetMode="External"/><Relationship Id="rId85" Type="http://schemas.openxmlformats.org/officeDocument/2006/relationships/hyperlink" Target="https://www.research.va.gov/research_in_action/Oral-hygiene-to-fight-pneumonia.cfm" TargetMode="External"/><Relationship Id="rId93" Type="http://schemas.openxmlformats.org/officeDocument/2006/relationships/hyperlink" Target="https://www.astdd.org/bestpractices/DES34005NMspecialneedsdentalcode.pdf" TargetMode="External"/><Relationship Id="rId3" Type="http://schemas.openxmlformats.org/officeDocument/2006/relationships/hyperlink" Target="http://dx.doi.org/10.15585/mmwr.mm6732a3" TargetMode="External"/><Relationship Id="rId12" Type="http://schemas.openxmlformats.org/officeDocument/2006/relationships/hyperlink" Target="https://doi.org/10.1111/jphd.12160" TargetMode="External"/><Relationship Id="rId17" Type="http://schemas.openxmlformats.org/officeDocument/2006/relationships/hyperlink" Target="https://www.cms.gov/Research-Statistics-Data-and-Systems/Statistics-Trends-and-Reports/NationalHealthExpendData/NationalHealthAccountsHistorical" TargetMode="External"/><Relationship Id="rId25" Type="http://schemas.openxmlformats.org/officeDocument/2006/relationships/hyperlink" Target="https://www.ada.org/publications/ada-news/2020/september/snap-september-21-2020" TargetMode="External"/><Relationship Id="rId33" Type="http://schemas.openxmlformats.org/officeDocument/2006/relationships/hyperlink" Target="https://doi.org/10.1001/jamainternmed.2017.6302" TargetMode="External"/><Relationship Id="rId38" Type="http://schemas.openxmlformats.org/officeDocument/2006/relationships/hyperlink" Target="https://www.nidcr.nih.gov/sites/default/files/2017-10/hck1ocv.%40www.surgeon.fullrpt.pdf" TargetMode="External"/><Relationship Id="rId46" Type="http://schemas.openxmlformats.org/officeDocument/2006/relationships/hyperlink" Target="https://www.prnewswire.com/news-releases/ncd-commends-ada-code-of-professional-conduct-revisions-facilitating-access-for-patients-with-disabilities-300780404.html" TargetMode="External"/><Relationship Id="rId59" Type="http://schemas.openxmlformats.org/officeDocument/2006/relationships/hyperlink" Target="https://www.msdanationalprofile.com/profiles/2019/national/all/policy%20(free%20account%20creation%20required%20to%20access)." TargetMode="External"/><Relationship Id="rId67" Type="http://schemas.openxmlformats.org/officeDocument/2006/relationships/hyperlink" Target="https://www.hhs.texas.gov/sites/default/files/documents/laws-regulations/reports-presentations/2018/hb-3295-sb-1-dental-services-adults-disabilities-dec-2018.pdf" TargetMode="External"/><Relationship Id="rId20" Type="http://schemas.openxmlformats.org/officeDocument/2006/relationships/hyperlink" Target="https://www.federalregister.gov/documents/2020/11/13/2020-24758/medicaid-program-medicaid-and-childrens-health-insurance-program-chip-managed-care" TargetMode="External"/><Relationship Id="rId41" Type="http://schemas.openxmlformats.org/officeDocument/2006/relationships/hyperlink" Target="https://oig.hhs.gov/oei/reports/OEI-02-19-00180.pdf" TargetMode="External"/><Relationship Id="rId54" Type="http://schemas.openxmlformats.org/officeDocument/2006/relationships/hyperlink" Target="https://doi.org/10.1016/j.jhealeco.2011.08.002" TargetMode="External"/><Relationship Id="rId62" Type="http://schemas.openxmlformats.org/officeDocument/2006/relationships/hyperlink" Target="http://www.ada.org/~/media/ADA/Science%20and%20Research/HPI/Files/HPIBrief_0316_1.ashx" TargetMode="External"/><Relationship Id="rId70" Type="http://schemas.openxmlformats.org/officeDocument/2006/relationships/hyperlink" Target="https://www.txdisabilities.org/public/upload/files/general/Texas_Estimate_-_4.22.pdf" TargetMode="External"/><Relationship Id="rId75" Type="http://schemas.openxmlformats.org/officeDocument/2006/relationships/hyperlink" Target="https://www.medicaid.gov/medicaid/home-community-based-services/home-community-based-services-authorities/home-community-based-services-1915i/index.html" TargetMode="External"/><Relationship Id="rId83" Type="http://schemas.openxmlformats.org/officeDocument/2006/relationships/hyperlink" Target="https://familiesusa.org/wp-content/uploads/2019/10/OH_Oral-Health-and-People-with-Disabilities_IssueBrief.pdf/" TargetMode="External"/><Relationship Id="rId88" Type="http://schemas.openxmlformats.org/officeDocument/2006/relationships/hyperlink" Target="https://sdm.rutgers.edu/patient-care" TargetMode="External"/><Relationship Id="rId91" Type="http://schemas.openxmlformats.org/officeDocument/2006/relationships/hyperlink" Target="https://www.cadc.uscourts.gov/internet/opinions.nsf/DDBA611EB31A1A218525850E00580F2D/$file/19-5094%20-%201828589.pdf" TargetMode="External"/><Relationship Id="rId96" Type="http://schemas.openxmlformats.org/officeDocument/2006/relationships/hyperlink" Target="https://www.medicaid.gov/medicaid/section-1115-demo/demonstration-and-waiver-list/index.html?search_api_fulltext=&amp;items_per_page=50&amp;f%5B0%5D=state_waiver_status_facet%3A1561&amp;f%5B1%5D=waiver_state_facet%3A781" TargetMode="External"/><Relationship Id="rId1" Type="http://schemas.openxmlformats.org/officeDocument/2006/relationships/hyperlink" Target="https://www.nidcr.nih.gov/sites/default/files/2017-10/hck1ocv.%40www.surgeon.fullrpt.pdf" TargetMode="External"/><Relationship Id="rId6" Type="http://schemas.openxmlformats.org/officeDocument/2006/relationships/hyperlink" Target="https://doi.org/10.1352/1934-9556-57.5.421" TargetMode="External"/><Relationship Id="rId15" Type="http://schemas.openxmlformats.org/officeDocument/2006/relationships/hyperlink" Target="https://doi.org/10.1352/0047-6765(2004)42%3c181:popfac%3e2.0.co;2" TargetMode="External"/><Relationship Id="rId23" Type="http://schemas.openxmlformats.org/officeDocument/2006/relationships/hyperlink" Target="https://www.medicaid.gov/state-overviews/scorecard/how-states-deliver-care-medicaid/index.html" TargetMode="External"/><Relationship Id="rId28" Type="http://schemas.openxmlformats.org/officeDocument/2006/relationships/hyperlink" Target="https://doi.org/10.1002/hec.3316" TargetMode="External"/><Relationship Id="rId36" Type="http://schemas.openxmlformats.org/officeDocument/2006/relationships/hyperlink" Target="https://doi.org/10.1377/hlthaff.27.3.759" TargetMode="External"/><Relationship Id="rId49" Type="http://schemas.openxmlformats.org/officeDocument/2006/relationships/hyperlink" Target="https://www.cthealth.org/publication/impact-increased-dental-reimbursement-rates-husky-a-insured-children-2006-2011/" TargetMode="External"/><Relationship Id="rId57" Type="http://schemas.openxmlformats.org/officeDocument/2006/relationships/hyperlink" Target="https://www.nashp.org/state-medicaid-coverage-of-dental-services-for-general-adult-and-pregnant-populations/" TargetMode="External"/><Relationship Id="rId10" Type="http://schemas.openxmlformats.org/officeDocument/2006/relationships/hyperlink" Target="https://www.zotero.org/google-docs/?Fc5Soh" TargetMode="External"/><Relationship Id="rId31" Type="http://schemas.openxmlformats.org/officeDocument/2006/relationships/hyperlink" Target="https://www.texashealthinstitute.org/uploads/3/9/5/2/39521365/oral_health_brief-_implementing_a_medicaid_dental_benefit_for_adults_with_disabilities_digital.pdf" TargetMode="External"/><Relationship Id="rId44" Type="http://schemas.openxmlformats.org/officeDocument/2006/relationships/hyperlink" Target="https://www.proquest.com/openview/ca2f5a438b667ce690dbc78e8790083d/1?pq-origsite=gscholar&amp;cbl=41679" TargetMode="External"/><Relationship Id="rId52" Type="http://schemas.openxmlformats.org/officeDocument/2006/relationships/hyperlink" Target="https://www.chcs.org/media/Adult-Oral-Health-Fact-Sheet_091519.pdf" TargetMode="External"/><Relationship Id="rId60" Type="http://schemas.openxmlformats.org/officeDocument/2006/relationships/hyperlink" Target="https://www.macpac.gov/medicaid-101/provider-payment-and-delivery-systems/" TargetMode="External"/><Relationship Id="rId65" Type="http://schemas.openxmlformats.org/officeDocument/2006/relationships/hyperlink" Target="https://www.medicaid.gov/sites/default/files/2020-02/mce-checklist-state-user-guide.pdf" TargetMode="External"/><Relationship Id="rId73" Type="http://schemas.openxmlformats.org/officeDocument/2006/relationships/hyperlink" Target="https://www.legis.la.gov/legis/ViewDocument.aspx?d=1236011" TargetMode="External"/><Relationship Id="rId78" Type="http://schemas.openxmlformats.org/officeDocument/2006/relationships/hyperlink" Target="https://www.hhs.gov/guidance/sites/default/files/hhs-guidance-documents/cib062520.pdf" TargetMode="External"/><Relationship Id="rId81" Type="http://schemas.openxmlformats.org/officeDocument/2006/relationships/hyperlink" Target="https://www.chcs.org/media/NH-State-WIC-Profile_041316.pdf" TargetMode="External"/><Relationship Id="rId86" Type="http://schemas.openxmlformats.org/officeDocument/2006/relationships/hyperlink" Target="https://hsdm.harvard.edu/harvard-dental-center-cambridge" TargetMode="External"/><Relationship Id="rId94" Type="http://schemas.openxmlformats.org/officeDocument/2006/relationships/hyperlink" Target="https://www.mass.gov/doc/101-cmr-314-dental-services/download" TargetMode="External"/><Relationship Id="rId4" Type="http://schemas.openxmlformats.org/officeDocument/2006/relationships/hyperlink" Target="https://risp.umn.edu/" TargetMode="External"/><Relationship Id="rId9" Type="http://schemas.openxmlformats.org/officeDocument/2006/relationships/hyperlink" Target="https://www.nidcr.nih.gov/sites/default/files/2017-10/hck1ocv.%40www.surgeon.fullrpt.pdf"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5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Sheet1!$A$78:$A$81</c:f>
              <c:strCache>
                <c:ptCount val="4"/>
                <c:pt idx="0">
                  <c:v>No Coverage</c:v>
                </c:pt>
                <c:pt idx="1">
                  <c:v>Emergency Only</c:v>
                </c:pt>
                <c:pt idx="2">
                  <c:v>Limited</c:v>
                </c:pt>
                <c:pt idx="3">
                  <c:v>Extensive</c:v>
                </c:pt>
              </c:strCache>
            </c:strRef>
          </c:cat>
          <c:val>
            <c:numRef>
              <c:f>Sheet1!$C$78:$C$81</c:f>
              <c:numCache>
                <c:formatCode>0%</c:formatCode>
                <c:ptCount val="4"/>
                <c:pt idx="0">
                  <c:v>0.28000000000000003</c:v>
                </c:pt>
                <c:pt idx="1">
                  <c:v>0.15260000000000001</c:v>
                </c:pt>
                <c:pt idx="2">
                  <c:v>0.13930000000000001</c:v>
                </c:pt>
                <c:pt idx="3">
                  <c:v>0.1636</c:v>
                </c:pt>
              </c:numCache>
            </c:numRef>
          </c:val>
          <c:extLst xmlns:c16r2="http://schemas.microsoft.com/office/drawing/2015/06/chart">
            <c:ext xmlns:c16="http://schemas.microsoft.com/office/drawing/2014/chart" uri="{C3380CC4-5D6E-409C-BE32-E72D297353CC}">
              <c16:uniqueId val="{00000000-BCCE-420D-8369-EF1DB4FB10F0}"/>
            </c:ext>
          </c:extLst>
        </c:ser>
        <c:dLbls>
          <c:dLblPos val="outEnd"/>
          <c:showLegendKey val="0"/>
          <c:showVal val="1"/>
          <c:showCatName val="0"/>
          <c:showSerName val="0"/>
          <c:showPercent val="0"/>
          <c:showBubbleSize val="0"/>
        </c:dLbls>
        <c:gapWidth val="219"/>
        <c:overlap val="-27"/>
        <c:axId val="24625152"/>
        <c:axId val="24626304"/>
      </c:barChart>
      <c:catAx>
        <c:axId val="246251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en-US"/>
          </a:p>
        </c:txPr>
        <c:crossAx val="24626304"/>
        <c:crosses val="autoZero"/>
        <c:auto val="1"/>
        <c:lblAlgn val="ctr"/>
        <c:lblOffset val="100"/>
        <c:noMultiLvlLbl val="0"/>
      </c:catAx>
      <c:valAx>
        <c:axId val="24626304"/>
        <c:scaling>
          <c:orientation val="minMax"/>
        </c:scaling>
        <c:delete val="0"/>
        <c:axPos val="l"/>
        <c:majorGridlines>
          <c:spPr>
            <a:ln w="9525" cap="flat" cmpd="sng" algn="ctr">
              <a:no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2462515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Has the Promise Been Kept? Federal Enforcement of Disability Rights Laws</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7B8FBCE7E8BFB43A4E07395146E6CCB" ma:contentTypeVersion="0" ma:contentTypeDescription="Create a new document." ma:contentTypeScope="" ma:versionID="08b195ecaa3d657d072b3efc98da6fba">
  <xsd:schema xmlns:xsd="http://www.w3.org/2001/XMLSchema" xmlns:xs="http://www.w3.org/2001/XMLSchema" xmlns:p="http://schemas.microsoft.com/office/2006/metadata/properties" targetNamespace="http://schemas.microsoft.com/office/2006/metadata/properties" ma:root="true" ma:fieldsID="1989bebae18d647a5988bfd95bec218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CHICAGO.XSL" StyleName="Chicago" Version="16">
  <b:Source>
    <b:Tag>Dis00</b:Tag>
    <b:SourceType>Report</b:SourceType>
    <b:Guid>{3E6E7FDE-FAB6-401E-8617-77016BA83C46}</b:Guid>
    <b:Author>
      <b:Author>
        <b:Corporate>Disability, National Council on</b:Corporate>
      </b:Author>
    </b:Author>
    <b:Title>Promises to Keep: A Decade of Federal Enforcement of the Americans with Disabilities Act</b:Title>
    <b:Year>2000</b:Yea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C8C69F8-4AE6-48B1-BD06-4E090890AC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79389606-5058-4A08-A346-560F6C4B92C4}">
  <ds:schemaRefs>
    <ds:schemaRef ds:uri="http://schemas.microsoft.com/sharepoint/v3/contenttype/forms"/>
  </ds:schemaRefs>
</ds:datastoreItem>
</file>

<file path=customXml/itemProps4.xml><?xml version="1.0" encoding="utf-8"?>
<ds:datastoreItem xmlns:ds="http://schemas.openxmlformats.org/officeDocument/2006/customXml" ds:itemID="{2F8C84E5-7447-442B-B1FD-D2CD3A6B5ED6}">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EE4AA0D3-D6A6-42AE-BB87-E44B786C31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2573</TotalTime>
  <Pages>131</Pages>
  <Words>24802</Words>
  <Characters>141376</Characters>
  <Application>Microsoft Office Word</Application>
  <DocSecurity>0</DocSecurity>
  <Lines>1178</Lines>
  <Paragraphs>331</Paragraphs>
  <ScaleCrop>false</ScaleCrop>
  <HeadingPairs>
    <vt:vector size="2" baseType="variant">
      <vt:variant>
        <vt:lpstr>Title</vt:lpstr>
      </vt:variant>
      <vt:variant>
        <vt:i4>1</vt:i4>
      </vt:variant>
    </vt:vector>
  </HeadingPairs>
  <TitlesOfParts>
    <vt:vector size="1" baseType="lpstr">
      <vt:lpstr>National Disability Policy COVID-19: A Progress Report</vt:lpstr>
    </vt:vector>
  </TitlesOfParts>
  <Company>American Institutes for Research</Company>
  <LinksUpToDate>false</LinksUpToDate>
  <CharactersWithSpaces>165847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National Disability Policy COVID-19: A Progress Report</dc:title>
  <dc:creator>NCD</dc:creator>
  <cp:lastModifiedBy>Suresh</cp:lastModifiedBy>
  <cp:revision>1199</cp:revision>
  <cp:lastPrinted>2022-02-23T09:22:00Z</cp:lastPrinted>
  <dcterms:created xsi:type="dcterms:W3CDTF">2018-09-19T03:55:00Z</dcterms:created>
  <dcterms:modified xsi:type="dcterms:W3CDTF">2022-02-25T07:31:00Z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0x010100D7B8FBCE7E8BFB43A4E07395146E6CCB</vt:lpwstr>
  </property>
</Properties>
</file>